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9855"/>
      </w:tblGrid>
      <w:tr w:rsidR="00BB6A87" w:rsidRPr="001914B9" w:rsidTr="001F51F0">
        <w:tc>
          <w:tcPr>
            <w:tcW w:w="9855" w:type="dxa"/>
            <w:shd w:val="clear" w:color="auto" w:fill="auto"/>
          </w:tcPr>
          <w:p w:rsidR="00DB5B54" w:rsidRPr="00B75952" w:rsidRDefault="00800CED" w:rsidP="00800CED">
            <w:pPr>
              <w:pStyle w:val="ARIERcovertitle"/>
              <w:spacing w:after="240"/>
            </w:pPr>
            <w:bookmarkStart w:id="0" w:name="_MacBuGuideStaticData_80H"/>
            <w:bookmarkStart w:id="1" w:name="_MacBuGuideStaticData_16450H"/>
            <w:bookmarkStart w:id="2" w:name="_MacBuGuideStaticData_620V"/>
            <w:bookmarkStart w:id="3" w:name="_GoBack"/>
            <w:bookmarkEnd w:id="3"/>
            <w:r w:rsidRPr="00800CED">
              <w:t xml:space="preserve">Towards a habitat condition assessment method for guiding the management of overabundant </w:t>
            </w:r>
            <w:r w:rsidR="000044D9">
              <w:t>K</w:t>
            </w:r>
            <w:r w:rsidRPr="00800CED">
              <w:t>oala populations</w:t>
            </w:r>
          </w:p>
          <w:p w:rsidR="00DB5B54" w:rsidRPr="00B13939" w:rsidRDefault="00800CED" w:rsidP="00800CED">
            <w:pPr>
              <w:pStyle w:val="ARIERcovauthors"/>
              <w:spacing w:before="400"/>
            </w:pPr>
            <w:r>
              <w:t>D.S.L</w:t>
            </w:r>
            <w:r w:rsidR="00DB5B54" w:rsidRPr="00B13939">
              <w:t xml:space="preserve">. </w:t>
            </w:r>
            <w:r>
              <w:t>Ramsey</w:t>
            </w:r>
            <w:r w:rsidR="00DB5B54" w:rsidRPr="00B13939">
              <w:t xml:space="preserve">, </w:t>
            </w:r>
            <w:r>
              <w:t>A.D</w:t>
            </w:r>
            <w:r w:rsidR="00DB5B54" w:rsidRPr="00B13939">
              <w:t xml:space="preserve">. </w:t>
            </w:r>
            <w:proofErr w:type="spellStart"/>
            <w:r>
              <w:t>Tolsma</w:t>
            </w:r>
            <w:proofErr w:type="spellEnd"/>
            <w:r w:rsidR="00DB5B54" w:rsidRPr="00B13939">
              <w:t xml:space="preserve"> and </w:t>
            </w:r>
            <w:r>
              <w:t>G.W</w:t>
            </w:r>
            <w:r w:rsidR="00DB5B54" w:rsidRPr="00B13939">
              <w:t xml:space="preserve">. </w:t>
            </w:r>
            <w:r>
              <w:t>Brown</w:t>
            </w:r>
          </w:p>
          <w:p w:rsidR="00DB5B54" w:rsidRDefault="00DB5B54" w:rsidP="00DB5B54">
            <w:pPr>
              <w:pStyle w:val="ARIERcoverdate"/>
            </w:pPr>
            <w:bookmarkStart w:id="4" w:name="_Toc300760990"/>
            <w:bookmarkStart w:id="5" w:name="_Toc300779054"/>
            <w:bookmarkStart w:id="6" w:name="_Toc300779686"/>
            <w:bookmarkStart w:id="7" w:name="_Toc300780088"/>
          </w:p>
          <w:p w:rsidR="00DB5B54" w:rsidRPr="00493E42" w:rsidRDefault="00800CED" w:rsidP="00DB5B54">
            <w:pPr>
              <w:pStyle w:val="ARIERcoverdate"/>
            </w:pPr>
            <w:r>
              <w:t>June</w:t>
            </w:r>
            <w:r w:rsidR="00DB5B54" w:rsidRPr="00493E42">
              <w:t xml:space="preserve"> 201</w:t>
            </w:r>
            <w:bookmarkEnd w:id="4"/>
            <w:bookmarkEnd w:id="5"/>
            <w:bookmarkEnd w:id="6"/>
            <w:bookmarkEnd w:id="7"/>
            <w:r w:rsidR="00DB5B54" w:rsidRPr="00493E42">
              <w:t>6</w:t>
            </w:r>
          </w:p>
          <w:p w:rsidR="00DB5B54" w:rsidRPr="00B75952" w:rsidRDefault="00DB5B54" w:rsidP="00DB5B54">
            <w:pPr>
              <w:pStyle w:val="ARIERcoverreptype"/>
            </w:pPr>
            <w:r w:rsidRPr="001914B9">
              <w:t xml:space="preserve">Arthur </w:t>
            </w:r>
            <w:proofErr w:type="spellStart"/>
            <w:r w:rsidRPr="001914B9">
              <w:t>Rylah</w:t>
            </w:r>
            <w:proofErr w:type="spellEnd"/>
            <w:r w:rsidRPr="001914B9">
              <w:t xml:space="preserve"> Institute for Environmental Research</w:t>
            </w:r>
            <w:r>
              <w:t xml:space="preserve">, </w:t>
            </w:r>
            <w:r>
              <w:br/>
              <w:t>Department of Environment, Land, Water and Planning</w:t>
            </w:r>
          </w:p>
          <w:p w:rsidR="00150C2F" w:rsidRPr="001914B9" w:rsidRDefault="00EE04F8" w:rsidP="00800CED">
            <w:pPr>
              <w:pStyle w:val="ARIERcoverreptype"/>
              <w:rPr>
                <w:b/>
                <w:sz w:val="56"/>
                <w:szCs w:val="56"/>
              </w:rPr>
            </w:pPr>
            <w:r>
              <w:t xml:space="preserve">Technical Report </w:t>
            </w:r>
            <w:r w:rsidR="00A9753D">
              <w:t xml:space="preserve">Series </w:t>
            </w:r>
            <w:r>
              <w:t xml:space="preserve">No. </w:t>
            </w:r>
            <w:r w:rsidR="00800CED" w:rsidRPr="00800CED">
              <w:t>272</w:t>
            </w:r>
            <w:r>
              <w:t>.</w:t>
            </w:r>
          </w:p>
        </w:tc>
      </w:tr>
    </w:tbl>
    <w:p w:rsidR="00BB6A87" w:rsidRPr="001914B9" w:rsidRDefault="00BB6A87" w:rsidP="00DC1725">
      <w:pPr>
        <w:rPr>
          <w:rFonts w:asciiTheme="minorHAnsi" w:hAnsiTheme="minorHAnsi"/>
        </w:rPr>
        <w:sectPr w:rsidR="00BB6A87" w:rsidRPr="001914B9" w:rsidSect="00D1343E">
          <w:headerReference w:type="default" r:id="rId10"/>
          <w:footerReference w:type="default" r:id="rId11"/>
          <w:type w:val="continuous"/>
          <w:pgSz w:w="11907" w:h="16840" w:code="9"/>
          <w:pgMar w:top="1134" w:right="1134" w:bottom="567" w:left="1134" w:header="709" w:footer="709" w:gutter="0"/>
          <w:cols w:space="708"/>
          <w:docGrid w:linePitch="360"/>
        </w:sectPr>
      </w:pPr>
    </w:p>
    <w:bookmarkEnd w:id="0"/>
    <w:bookmarkEnd w:id="1"/>
    <w:bookmarkEnd w:id="2"/>
    <w:p w:rsidR="000B1BC2" w:rsidRPr="000B1BC2" w:rsidRDefault="000B1BC2" w:rsidP="000B1BC2">
      <w:pPr>
        <w:rPr>
          <w:rFonts w:asciiTheme="minorHAnsi" w:hAnsiTheme="minorHAnsi"/>
          <w:sz w:val="24"/>
        </w:rPr>
      </w:pPr>
      <w:r w:rsidRPr="000B1BC2">
        <w:rPr>
          <w:rFonts w:asciiTheme="minorHAnsi" w:hAnsiTheme="minorHAnsi"/>
          <w:sz w:val="24"/>
        </w:rPr>
        <w:lastRenderedPageBreak/>
        <w:t>Towards a habitat condition assessment method for guiding the</w:t>
      </w:r>
      <w:r>
        <w:rPr>
          <w:rFonts w:asciiTheme="minorHAnsi" w:hAnsiTheme="minorHAnsi"/>
          <w:sz w:val="24"/>
        </w:rPr>
        <w:br/>
      </w:r>
      <w:r w:rsidRPr="000B1BC2">
        <w:rPr>
          <w:rFonts w:asciiTheme="minorHAnsi" w:hAnsiTheme="minorHAnsi"/>
          <w:sz w:val="24"/>
        </w:rPr>
        <w:t>management of</w:t>
      </w:r>
      <w:r>
        <w:rPr>
          <w:rFonts w:asciiTheme="minorHAnsi" w:hAnsiTheme="minorHAnsi"/>
          <w:sz w:val="24"/>
        </w:rPr>
        <w:t xml:space="preserve"> </w:t>
      </w:r>
      <w:r w:rsidRPr="000B1BC2">
        <w:rPr>
          <w:rFonts w:asciiTheme="minorHAnsi" w:hAnsiTheme="minorHAnsi"/>
          <w:sz w:val="24"/>
        </w:rPr>
        <w:t>overabundant Koala populations</w:t>
      </w:r>
    </w:p>
    <w:p w:rsidR="000B1BC2" w:rsidRPr="000B1BC2" w:rsidRDefault="000B1BC2" w:rsidP="000B1BC2">
      <w:pPr>
        <w:rPr>
          <w:rFonts w:asciiTheme="minorHAnsi" w:hAnsiTheme="minorHAnsi"/>
          <w:sz w:val="24"/>
        </w:rPr>
      </w:pPr>
    </w:p>
    <w:p w:rsidR="000B1BC2" w:rsidRPr="000B1BC2" w:rsidRDefault="000B1BC2" w:rsidP="000B1BC2">
      <w:pPr>
        <w:rPr>
          <w:rFonts w:asciiTheme="minorHAnsi" w:hAnsiTheme="minorHAnsi"/>
          <w:sz w:val="24"/>
        </w:rPr>
      </w:pPr>
    </w:p>
    <w:p w:rsidR="000B1BC2" w:rsidRPr="000B1BC2" w:rsidRDefault="000B1BC2" w:rsidP="000B1BC2">
      <w:pPr>
        <w:rPr>
          <w:rFonts w:asciiTheme="minorHAnsi" w:hAnsiTheme="minorHAnsi"/>
          <w:sz w:val="24"/>
        </w:rPr>
      </w:pPr>
      <w:r w:rsidRPr="000B1BC2">
        <w:rPr>
          <w:rFonts w:asciiTheme="minorHAnsi" w:hAnsiTheme="minorHAnsi"/>
          <w:sz w:val="24"/>
        </w:rPr>
        <w:t xml:space="preserve">David S.L. Ramsey, </w:t>
      </w:r>
      <w:proofErr w:type="spellStart"/>
      <w:r w:rsidRPr="000B1BC2">
        <w:rPr>
          <w:rFonts w:asciiTheme="minorHAnsi" w:hAnsiTheme="minorHAnsi"/>
          <w:sz w:val="24"/>
        </w:rPr>
        <w:t>Arn</w:t>
      </w:r>
      <w:proofErr w:type="spellEnd"/>
      <w:r w:rsidRPr="000B1BC2">
        <w:rPr>
          <w:rFonts w:asciiTheme="minorHAnsi" w:hAnsiTheme="minorHAnsi"/>
          <w:sz w:val="24"/>
        </w:rPr>
        <w:t xml:space="preserve"> D. </w:t>
      </w:r>
      <w:proofErr w:type="spellStart"/>
      <w:r w:rsidRPr="000B1BC2">
        <w:rPr>
          <w:rFonts w:asciiTheme="minorHAnsi" w:hAnsiTheme="minorHAnsi"/>
          <w:sz w:val="24"/>
        </w:rPr>
        <w:t>Tolsma</w:t>
      </w:r>
      <w:proofErr w:type="spellEnd"/>
      <w:r w:rsidRPr="000B1BC2">
        <w:rPr>
          <w:rFonts w:asciiTheme="minorHAnsi" w:hAnsiTheme="minorHAnsi"/>
          <w:sz w:val="24"/>
        </w:rPr>
        <w:t xml:space="preserve"> and Geoff W. Brown</w:t>
      </w:r>
    </w:p>
    <w:p w:rsidR="000B1BC2" w:rsidRPr="000B1BC2" w:rsidRDefault="000B1BC2" w:rsidP="000B1BC2">
      <w:pPr>
        <w:rPr>
          <w:rFonts w:asciiTheme="minorHAnsi" w:hAnsiTheme="minorHAnsi"/>
          <w:sz w:val="24"/>
        </w:rPr>
      </w:pPr>
    </w:p>
    <w:p w:rsidR="000B1BC2" w:rsidRDefault="000B1BC2" w:rsidP="000B1BC2">
      <w:pPr>
        <w:rPr>
          <w:rFonts w:asciiTheme="minorHAnsi" w:hAnsiTheme="minorHAnsi"/>
          <w:sz w:val="24"/>
        </w:rPr>
      </w:pPr>
    </w:p>
    <w:p w:rsidR="000B1BC2" w:rsidRPr="000B1BC2" w:rsidRDefault="000B1BC2" w:rsidP="000B1BC2">
      <w:pPr>
        <w:rPr>
          <w:rFonts w:asciiTheme="minorHAnsi" w:hAnsiTheme="minorHAnsi"/>
          <w:sz w:val="24"/>
        </w:rPr>
      </w:pPr>
      <w:r w:rsidRPr="000B1BC2">
        <w:rPr>
          <w:rFonts w:asciiTheme="minorHAnsi" w:hAnsiTheme="minorHAnsi"/>
          <w:sz w:val="24"/>
        </w:rPr>
        <w:t>June 2016</w:t>
      </w:r>
    </w:p>
    <w:p w:rsidR="000B1BC2" w:rsidRPr="000B1BC2" w:rsidRDefault="000B1BC2" w:rsidP="000B1BC2">
      <w:pPr>
        <w:rPr>
          <w:rFonts w:asciiTheme="minorHAnsi" w:hAnsiTheme="minorHAnsi"/>
          <w:sz w:val="24"/>
        </w:rPr>
      </w:pPr>
    </w:p>
    <w:p w:rsidR="000B1BC2" w:rsidRPr="000B1BC2" w:rsidRDefault="000B1BC2" w:rsidP="000B1BC2">
      <w:pPr>
        <w:rPr>
          <w:rFonts w:asciiTheme="minorHAnsi" w:hAnsiTheme="minorHAnsi"/>
          <w:sz w:val="24"/>
        </w:rPr>
      </w:pPr>
    </w:p>
    <w:p w:rsidR="000B1BC2" w:rsidRDefault="004D167B" w:rsidP="000B1BC2">
      <w:pPr>
        <w:rPr>
          <w:rFonts w:asciiTheme="minorHAnsi" w:hAnsiTheme="minorHAnsi"/>
          <w:sz w:val="24"/>
        </w:rPr>
      </w:pPr>
      <w:r>
        <w:rPr>
          <w:rFonts w:asciiTheme="minorHAnsi" w:hAnsiTheme="minorHAnsi"/>
          <w:sz w:val="24"/>
        </w:rPr>
        <w:t>Report produced by:</w:t>
      </w:r>
    </w:p>
    <w:p w:rsidR="004D167B" w:rsidRDefault="004D167B" w:rsidP="000B1BC2">
      <w:pPr>
        <w:rPr>
          <w:rFonts w:asciiTheme="minorHAnsi" w:hAnsiTheme="minorHAnsi"/>
          <w:sz w:val="24"/>
        </w:rPr>
      </w:pPr>
    </w:p>
    <w:p w:rsidR="000B1BC2" w:rsidRPr="000B1BC2" w:rsidRDefault="000B1BC2" w:rsidP="000B1BC2">
      <w:pPr>
        <w:rPr>
          <w:rFonts w:asciiTheme="minorHAnsi" w:hAnsiTheme="minorHAnsi"/>
          <w:sz w:val="24"/>
        </w:rPr>
      </w:pPr>
      <w:r w:rsidRPr="000B1BC2">
        <w:rPr>
          <w:rFonts w:asciiTheme="minorHAnsi" w:hAnsiTheme="minorHAnsi"/>
          <w:sz w:val="24"/>
        </w:rPr>
        <w:t xml:space="preserve">Arthur </w:t>
      </w:r>
      <w:proofErr w:type="spellStart"/>
      <w:r w:rsidRPr="000B1BC2">
        <w:rPr>
          <w:rFonts w:asciiTheme="minorHAnsi" w:hAnsiTheme="minorHAnsi"/>
          <w:sz w:val="24"/>
        </w:rPr>
        <w:t>Rylah</w:t>
      </w:r>
      <w:proofErr w:type="spellEnd"/>
      <w:r w:rsidRPr="000B1BC2">
        <w:rPr>
          <w:rFonts w:asciiTheme="minorHAnsi" w:hAnsiTheme="minorHAnsi"/>
          <w:sz w:val="24"/>
        </w:rPr>
        <w:t xml:space="preserve"> Institute for Environmental Research</w:t>
      </w:r>
    </w:p>
    <w:p w:rsidR="000B1BC2" w:rsidRPr="000B1BC2" w:rsidRDefault="000B1BC2" w:rsidP="000B1BC2">
      <w:pPr>
        <w:rPr>
          <w:rFonts w:asciiTheme="minorHAnsi" w:hAnsiTheme="minorHAnsi"/>
          <w:sz w:val="24"/>
        </w:rPr>
      </w:pPr>
      <w:r w:rsidRPr="000B1BC2">
        <w:rPr>
          <w:rFonts w:asciiTheme="minorHAnsi" w:hAnsiTheme="minorHAnsi"/>
          <w:sz w:val="24"/>
        </w:rPr>
        <w:t>Heidelberg, Victoria</w:t>
      </w:r>
    </w:p>
    <w:p w:rsidR="000B1BC2" w:rsidRPr="000B1BC2" w:rsidRDefault="000B1BC2" w:rsidP="000B1BC2">
      <w:pPr>
        <w:rPr>
          <w:rFonts w:asciiTheme="minorHAnsi" w:hAnsiTheme="minorHAnsi"/>
          <w:sz w:val="24"/>
        </w:rPr>
      </w:pPr>
    </w:p>
    <w:p w:rsidR="000B1BC2" w:rsidRPr="000B1BC2" w:rsidRDefault="000B1BC2" w:rsidP="000B1BC2">
      <w:pPr>
        <w:rPr>
          <w:rFonts w:asciiTheme="minorHAnsi" w:hAnsiTheme="minorHAnsi"/>
          <w:sz w:val="24"/>
        </w:rPr>
      </w:pPr>
      <w:r w:rsidRPr="000B1BC2">
        <w:rPr>
          <w:rFonts w:asciiTheme="minorHAnsi" w:hAnsiTheme="minorHAnsi"/>
          <w:sz w:val="24"/>
        </w:rPr>
        <w:t>In partnership with:</w:t>
      </w:r>
    </w:p>
    <w:p w:rsidR="000B1BC2" w:rsidRPr="000B1BC2" w:rsidRDefault="000B1BC2" w:rsidP="000B1BC2">
      <w:pPr>
        <w:rPr>
          <w:rFonts w:asciiTheme="minorHAnsi" w:hAnsiTheme="minorHAnsi"/>
          <w:sz w:val="24"/>
        </w:rPr>
      </w:pPr>
    </w:p>
    <w:p w:rsidR="000B1BC2" w:rsidRDefault="000B1BC2" w:rsidP="000B1BC2">
      <w:pPr>
        <w:rPr>
          <w:rFonts w:asciiTheme="minorHAnsi" w:hAnsiTheme="minorHAnsi"/>
          <w:sz w:val="24"/>
        </w:rPr>
      </w:pPr>
      <w:r w:rsidRPr="000B1BC2">
        <w:rPr>
          <w:rFonts w:asciiTheme="minorHAnsi" w:hAnsiTheme="minorHAnsi"/>
          <w:sz w:val="24"/>
        </w:rPr>
        <w:t>Barwon South West Region</w:t>
      </w:r>
    </w:p>
    <w:p w:rsidR="000B1BC2" w:rsidRPr="000B1BC2" w:rsidRDefault="000B1BC2" w:rsidP="000B1BC2">
      <w:pPr>
        <w:rPr>
          <w:rFonts w:asciiTheme="minorHAnsi" w:hAnsiTheme="minorHAnsi"/>
          <w:sz w:val="24"/>
        </w:rPr>
      </w:pPr>
      <w:r w:rsidRPr="000B1BC2">
        <w:rPr>
          <w:rFonts w:asciiTheme="minorHAnsi" w:hAnsiTheme="minorHAnsi"/>
          <w:sz w:val="24"/>
        </w:rPr>
        <w:t xml:space="preserve">Department of Environment, Land, Water and Planning </w:t>
      </w:r>
    </w:p>
    <w:p w:rsidR="00C82F19" w:rsidRPr="000B1BC2" w:rsidRDefault="00C82F19" w:rsidP="000B1BC2">
      <w:pPr>
        <w:rPr>
          <w:rFonts w:asciiTheme="minorHAnsi" w:hAnsiTheme="minorHAnsi"/>
          <w:sz w:val="24"/>
        </w:rPr>
      </w:pPr>
    </w:p>
    <w:p w:rsidR="00C82F19" w:rsidRDefault="00C82F19" w:rsidP="000B1BC2">
      <w:pPr>
        <w:rPr>
          <w:rFonts w:asciiTheme="minorHAnsi" w:hAnsiTheme="minorHAnsi"/>
          <w:sz w:val="24"/>
        </w:rPr>
      </w:pPr>
    </w:p>
    <w:p w:rsidR="000B1BC2" w:rsidRPr="000B1BC2" w:rsidRDefault="000B1BC2" w:rsidP="000B1BC2">
      <w:pPr>
        <w:rPr>
          <w:rFonts w:asciiTheme="minorHAnsi" w:hAnsiTheme="minorHAnsi"/>
          <w:sz w:val="24"/>
        </w:rPr>
      </w:pPr>
    </w:p>
    <w:p w:rsidR="000B1BC2" w:rsidRPr="000B1BC2" w:rsidRDefault="00C82F19" w:rsidP="000B1BC2">
      <w:pPr>
        <w:rPr>
          <w:rFonts w:asciiTheme="minorHAnsi" w:hAnsiTheme="minorHAnsi"/>
          <w:sz w:val="16"/>
          <w:szCs w:val="16"/>
        </w:rPr>
      </w:pPr>
      <w:r w:rsidRPr="000B1BC2">
        <w:rPr>
          <w:rFonts w:asciiTheme="minorHAnsi" w:hAnsiTheme="minorHAnsi"/>
          <w:sz w:val="16"/>
          <w:szCs w:val="16"/>
        </w:rPr>
        <w:t xml:space="preserve">Arthur </w:t>
      </w:r>
      <w:proofErr w:type="spellStart"/>
      <w:r w:rsidRPr="000B1BC2">
        <w:rPr>
          <w:rFonts w:asciiTheme="minorHAnsi" w:hAnsiTheme="minorHAnsi"/>
          <w:sz w:val="16"/>
          <w:szCs w:val="16"/>
        </w:rPr>
        <w:t>Rylah</w:t>
      </w:r>
      <w:proofErr w:type="spellEnd"/>
      <w:r w:rsidRPr="000B1BC2">
        <w:rPr>
          <w:rFonts w:asciiTheme="minorHAnsi" w:hAnsiTheme="minorHAnsi"/>
          <w:sz w:val="16"/>
          <w:szCs w:val="16"/>
        </w:rPr>
        <w:t xml:space="preserve"> Institute for Environmental Research</w:t>
      </w:r>
    </w:p>
    <w:p w:rsidR="000B1BC2" w:rsidRPr="000B1BC2" w:rsidRDefault="00C82F19" w:rsidP="000B1BC2">
      <w:pPr>
        <w:rPr>
          <w:rFonts w:asciiTheme="minorHAnsi" w:hAnsiTheme="minorHAnsi"/>
          <w:sz w:val="16"/>
          <w:szCs w:val="16"/>
        </w:rPr>
      </w:pPr>
      <w:r w:rsidRPr="000B1BC2">
        <w:rPr>
          <w:rFonts w:asciiTheme="minorHAnsi" w:hAnsiTheme="minorHAnsi"/>
          <w:sz w:val="16"/>
          <w:szCs w:val="16"/>
        </w:rPr>
        <w:t>Department of Environment, Land, Water and Planning</w:t>
      </w:r>
    </w:p>
    <w:p w:rsidR="000B1BC2" w:rsidRPr="000B1BC2" w:rsidRDefault="000B1BC2" w:rsidP="000B1BC2">
      <w:pPr>
        <w:rPr>
          <w:rFonts w:asciiTheme="minorHAnsi" w:hAnsiTheme="minorHAnsi"/>
          <w:sz w:val="16"/>
          <w:szCs w:val="16"/>
        </w:rPr>
      </w:pPr>
      <w:r>
        <w:rPr>
          <w:rFonts w:asciiTheme="minorHAnsi" w:hAnsiTheme="minorHAnsi"/>
          <w:sz w:val="16"/>
          <w:szCs w:val="16"/>
        </w:rPr>
        <w:t>123 Brown Street (</w:t>
      </w:r>
      <w:r w:rsidR="00C82F19" w:rsidRPr="000B1BC2">
        <w:rPr>
          <w:rFonts w:asciiTheme="minorHAnsi" w:hAnsiTheme="minorHAnsi"/>
          <w:sz w:val="16"/>
          <w:szCs w:val="16"/>
        </w:rPr>
        <w:t>PO Box 137</w:t>
      </w:r>
      <w:r>
        <w:rPr>
          <w:rFonts w:asciiTheme="minorHAnsi" w:hAnsiTheme="minorHAnsi"/>
          <w:sz w:val="16"/>
          <w:szCs w:val="16"/>
        </w:rPr>
        <w:t>)</w:t>
      </w:r>
      <w:r w:rsidR="00AF487A">
        <w:rPr>
          <w:rFonts w:asciiTheme="minorHAnsi" w:hAnsiTheme="minorHAnsi"/>
          <w:sz w:val="16"/>
          <w:szCs w:val="16"/>
        </w:rPr>
        <w:t>,</w:t>
      </w:r>
      <w:r>
        <w:rPr>
          <w:rFonts w:asciiTheme="minorHAnsi" w:hAnsiTheme="minorHAnsi"/>
          <w:sz w:val="16"/>
          <w:szCs w:val="16"/>
        </w:rPr>
        <w:t xml:space="preserve">. </w:t>
      </w:r>
      <w:r w:rsidR="00C82F19" w:rsidRPr="000B1BC2">
        <w:rPr>
          <w:rFonts w:asciiTheme="minorHAnsi" w:hAnsiTheme="minorHAnsi"/>
          <w:sz w:val="16"/>
          <w:szCs w:val="16"/>
        </w:rPr>
        <w:t>Heidelberg, Victoria 3084</w:t>
      </w:r>
    </w:p>
    <w:p w:rsidR="00C82F19" w:rsidRPr="000B1BC2" w:rsidRDefault="00C82F19" w:rsidP="000B1BC2">
      <w:pPr>
        <w:rPr>
          <w:rFonts w:asciiTheme="minorHAnsi" w:hAnsiTheme="minorHAnsi"/>
          <w:sz w:val="16"/>
          <w:szCs w:val="16"/>
        </w:rPr>
      </w:pPr>
      <w:r w:rsidRPr="000B1BC2">
        <w:rPr>
          <w:rFonts w:asciiTheme="minorHAnsi" w:hAnsiTheme="minorHAnsi"/>
          <w:sz w:val="16"/>
          <w:szCs w:val="16"/>
        </w:rPr>
        <w:t>Phone (03) 9450 8600</w:t>
      </w:r>
      <w:r w:rsidR="000B1BC2">
        <w:rPr>
          <w:rFonts w:asciiTheme="minorHAnsi" w:hAnsiTheme="minorHAnsi"/>
          <w:sz w:val="16"/>
          <w:szCs w:val="16"/>
        </w:rPr>
        <w:t xml:space="preserve">. </w:t>
      </w:r>
      <w:r w:rsidRPr="000B1BC2">
        <w:rPr>
          <w:rFonts w:asciiTheme="minorHAnsi" w:hAnsiTheme="minorHAnsi"/>
          <w:sz w:val="16"/>
          <w:szCs w:val="16"/>
        </w:rPr>
        <w:t xml:space="preserve">Website: </w:t>
      </w:r>
      <w:hyperlink r:id="rId12" w:history="1">
        <w:r w:rsidRPr="000B1BC2">
          <w:rPr>
            <w:rFonts w:asciiTheme="minorHAnsi" w:hAnsiTheme="minorHAnsi"/>
            <w:sz w:val="16"/>
            <w:szCs w:val="16"/>
          </w:rPr>
          <w:t>www.delwp.vic.gov.au</w:t>
        </w:r>
      </w:hyperlink>
    </w:p>
    <w:p w:rsidR="000B1BC2" w:rsidRDefault="000B1BC2" w:rsidP="000B1BC2">
      <w:pPr>
        <w:rPr>
          <w:rFonts w:asciiTheme="minorHAnsi" w:hAnsiTheme="minorHAnsi"/>
          <w:sz w:val="16"/>
          <w:szCs w:val="16"/>
        </w:rPr>
      </w:pPr>
    </w:p>
    <w:p w:rsidR="000B1BC2" w:rsidRDefault="000B1BC2" w:rsidP="000B1BC2">
      <w:pPr>
        <w:rPr>
          <w:rFonts w:asciiTheme="minorHAnsi" w:hAnsiTheme="minorHAnsi"/>
          <w:sz w:val="16"/>
          <w:szCs w:val="16"/>
        </w:rPr>
      </w:pPr>
    </w:p>
    <w:p w:rsidR="000B1BC2" w:rsidRDefault="000B1BC2" w:rsidP="000B1BC2">
      <w:pPr>
        <w:rPr>
          <w:rFonts w:asciiTheme="minorHAnsi" w:hAnsiTheme="minorHAnsi"/>
          <w:sz w:val="16"/>
          <w:szCs w:val="16"/>
        </w:rPr>
      </w:pPr>
    </w:p>
    <w:p w:rsidR="00C82F19" w:rsidRPr="00C76DA3" w:rsidRDefault="00C82F19" w:rsidP="00C82F19">
      <w:pPr>
        <w:pStyle w:val="ARIimpcitation"/>
        <w:rPr>
          <w:color w:val="000000" w:themeColor="text1"/>
        </w:rPr>
      </w:pPr>
      <w:r w:rsidRPr="00C76DA3">
        <w:rPr>
          <w:b/>
          <w:color w:val="000000" w:themeColor="text1"/>
        </w:rPr>
        <w:t xml:space="preserve">Citation: </w:t>
      </w:r>
      <w:r w:rsidR="00C76DA3">
        <w:rPr>
          <w:color w:val="000000" w:themeColor="text1"/>
        </w:rPr>
        <w:t xml:space="preserve">Ramsey, D.S.L., </w:t>
      </w:r>
      <w:proofErr w:type="spellStart"/>
      <w:r w:rsidR="00C76DA3">
        <w:rPr>
          <w:color w:val="000000" w:themeColor="text1"/>
        </w:rPr>
        <w:t>Tolsma</w:t>
      </w:r>
      <w:proofErr w:type="spellEnd"/>
      <w:r w:rsidR="00C76DA3">
        <w:rPr>
          <w:color w:val="000000" w:themeColor="text1"/>
        </w:rPr>
        <w:t>, A.D. and Brown, G.W.</w:t>
      </w:r>
      <w:r w:rsidRPr="00C76DA3">
        <w:rPr>
          <w:color w:val="000000" w:themeColor="text1"/>
        </w:rPr>
        <w:t xml:space="preserve"> (2016). </w:t>
      </w:r>
      <w:r w:rsidR="00C866BC" w:rsidRPr="00C866BC">
        <w:rPr>
          <w:i/>
          <w:color w:val="000000" w:themeColor="text1"/>
        </w:rPr>
        <w:t xml:space="preserve">Towards a habitat condition assessment method for guiding the management of overabundant </w:t>
      </w:r>
      <w:r w:rsidR="005574FB">
        <w:rPr>
          <w:i/>
          <w:color w:val="000000" w:themeColor="text1"/>
        </w:rPr>
        <w:t>Koala</w:t>
      </w:r>
      <w:r w:rsidR="00C866BC" w:rsidRPr="00C866BC">
        <w:rPr>
          <w:i/>
          <w:color w:val="000000" w:themeColor="text1"/>
        </w:rPr>
        <w:t xml:space="preserve"> populations</w:t>
      </w:r>
      <w:r w:rsidRPr="00C76DA3">
        <w:rPr>
          <w:i/>
          <w:color w:val="000000" w:themeColor="text1"/>
        </w:rPr>
        <w:t>.</w:t>
      </w:r>
      <w:r w:rsidRPr="00C76DA3">
        <w:rPr>
          <w:color w:val="000000" w:themeColor="text1"/>
        </w:rPr>
        <w:t xml:space="preserve"> Arthur </w:t>
      </w:r>
      <w:proofErr w:type="spellStart"/>
      <w:r w:rsidRPr="00C76DA3">
        <w:rPr>
          <w:color w:val="000000" w:themeColor="text1"/>
        </w:rPr>
        <w:t>Rylah</w:t>
      </w:r>
      <w:proofErr w:type="spellEnd"/>
      <w:r w:rsidRPr="00C76DA3">
        <w:rPr>
          <w:color w:val="000000" w:themeColor="text1"/>
        </w:rPr>
        <w:t xml:space="preserve"> Institute for Environmental Research</w:t>
      </w:r>
      <w:r w:rsidR="00C866BC">
        <w:rPr>
          <w:color w:val="000000" w:themeColor="text1"/>
        </w:rPr>
        <w:t xml:space="preserve"> Technical Report Series No. 272</w:t>
      </w:r>
      <w:r w:rsidRPr="00C76DA3">
        <w:rPr>
          <w:color w:val="000000" w:themeColor="text1"/>
        </w:rPr>
        <w:t>. Department of Environment, Land, Water and Planning, Heidelberg, Victoria.</w:t>
      </w:r>
    </w:p>
    <w:p w:rsidR="000635AB" w:rsidRDefault="00C82F19" w:rsidP="000635AB">
      <w:pPr>
        <w:pStyle w:val="ARIimpcoverphoto"/>
        <w:rPr>
          <w:b/>
          <w:color w:val="auto"/>
        </w:rPr>
      </w:pPr>
      <w:r w:rsidRPr="007A776F">
        <w:rPr>
          <w:b/>
          <w:color w:val="auto"/>
        </w:rPr>
        <w:t xml:space="preserve">Front cover photo: </w:t>
      </w:r>
      <w:r w:rsidR="000635AB" w:rsidRPr="000635AB">
        <w:rPr>
          <w:color w:val="auto"/>
        </w:rPr>
        <w:t>Koala in Manna Gum (</w:t>
      </w:r>
      <w:proofErr w:type="spellStart"/>
      <w:r w:rsidR="000635AB" w:rsidRPr="000635AB">
        <w:rPr>
          <w:color w:val="auto"/>
        </w:rPr>
        <w:t>Arn</w:t>
      </w:r>
      <w:proofErr w:type="spellEnd"/>
      <w:r w:rsidR="000635AB" w:rsidRPr="000635AB">
        <w:rPr>
          <w:color w:val="auto"/>
        </w:rPr>
        <w:t xml:space="preserve"> </w:t>
      </w:r>
      <w:proofErr w:type="spellStart"/>
      <w:r w:rsidR="000635AB" w:rsidRPr="000635AB">
        <w:rPr>
          <w:color w:val="auto"/>
        </w:rPr>
        <w:t>Tolsma</w:t>
      </w:r>
      <w:proofErr w:type="spellEnd"/>
      <w:r w:rsidR="000635AB" w:rsidRPr="000635AB">
        <w:rPr>
          <w:color w:val="auto"/>
        </w:rPr>
        <w:t>)</w:t>
      </w:r>
    </w:p>
    <w:p w:rsidR="00C82F19" w:rsidRPr="006C4986" w:rsidRDefault="00C82F19" w:rsidP="000635AB">
      <w:pPr>
        <w:pStyle w:val="ARIimpcoverphoto"/>
        <w:rPr>
          <w:sz w:val="18"/>
          <w:szCs w:val="18"/>
        </w:rPr>
      </w:pPr>
      <w:r w:rsidRPr="006C4986">
        <w:t>© The State of Victoria Department of Environment, Land, Water and Planning 20</w:t>
      </w:r>
      <w:r w:rsidR="000635AB">
        <w:t>16</w:t>
      </w:r>
    </w:p>
    <w:p w:rsidR="00C82F19" w:rsidRPr="006C4986" w:rsidRDefault="00C82F19" w:rsidP="00C82F19">
      <w:pPr>
        <w:pStyle w:val="ARIimpcopyright"/>
      </w:pPr>
      <w:r w:rsidRPr="00971E21">
        <w:rPr>
          <w:noProof/>
          <w:lang w:eastAsia="en-AU"/>
        </w:rPr>
        <w:drawing>
          <wp:inline distT="0" distB="0" distL="0" distR="0" wp14:anchorId="5A0D7E96" wp14:editId="52BE2293">
            <wp:extent cx="658495" cy="237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inline>
        </w:drawing>
      </w:r>
    </w:p>
    <w:p w:rsidR="00C82F19" w:rsidRPr="006C4986" w:rsidRDefault="00C82F19" w:rsidP="00C82F19">
      <w:pPr>
        <w:pStyle w:val="ARIimpcopyright"/>
        <w:rPr>
          <w:rFonts w:eastAsia="Calibri"/>
          <w:color w:val="0000FF"/>
          <w:u w:val="single"/>
        </w:rPr>
      </w:pPr>
      <w:r w:rsidRPr="006C4986">
        <w:t>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w:t>
      </w:r>
      <w:r>
        <w:t>,</w:t>
      </w:r>
      <w:r w:rsidRPr="006C4986">
        <w:t xml:space="preserve"> the Department of Environment, Land, Water and Planning logo</w:t>
      </w:r>
      <w:r>
        <w:t xml:space="preserve"> and the Arthur </w:t>
      </w:r>
      <w:proofErr w:type="spellStart"/>
      <w:r>
        <w:t>Rylah</w:t>
      </w:r>
      <w:proofErr w:type="spellEnd"/>
      <w:r>
        <w:t xml:space="preserve"> Institute logo</w:t>
      </w:r>
      <w:r w:rsidRPr="006C4986">
        <w:t xml:space="preserve">. To view a copy of this licence, visit </w:t>
      </w:r>
      <w:hyperlink r:id="rId14" w:history="1">
        <w:r w:rsidRPr="006C4986">
          <w:rPr>
            <w:rFonts w:eastAsia="Calibri"/>
            <w:color w:val="0000FF"/>
            <w:u w:val="single"/>
          </w:rPr>
          <w:t>http://creativecommons.org/licenses/by/3.0/au/deed.en</w:t>
        </w:r>
      </w:hyperlink>
    </w:p>
    <w:p w:rsidR="00C82F19" w:rsidRDefault="00C82F19" w:rsidP="00C82F19">
      <w:pPr>
        <w:pStyle w:val="ARIimprintpubdetails"/>
      </w:pPr>
      <w:r w:rsidRPr="006C4986">
        <w:t>Printed by</w:t>
      </w:r>
      <w:r w:rsidR="008724EC">
        <w:t xml:space="preserve"> Melbourne Polytechnic, Preston </w:t>
      </w:r>
    </w:p>
    <w:p w:rsidR="00C82F19" w:rsidRDefault="00C82F19" w:rsidP="00C82F19">
      <w:pPr>
        <w:pStyle w:val="ARIimprintpubdetails"/>
        <w:rPr>
          <w:color w:val="FF0000"/>
        </w:rPr>
      </w:pPr>
      <w:r w:rsidRPr="001F51F0">
        <w:t xml:space="preserve">Edited by </w:t>
      </w:r>
      <w:r w:rsidR="00C866BC" w:rsidRPr="00C866BC">
        <w:rPr>
          <w:color w:val="000000" w:themeColor="text1"/>
        </w:rPr>
        <w:t>Organic Editing</w:t>
      </w:r>
    </w:p>
    <w:p w:rsidR="006D43DE" w:rsidRPr="001F51F0" w:rsidRDefault="006D43DE" w:rsidP="00C82F19">
      <w:pPr>
        <w:pStyle w:val="ARIimprintpubdetails"/>
      </w:pPr>
    </w:p>
    <w:p w:rsidR="00C82F19" w:rsidRPr="00085D3E" w:rsidRDefault="00C82F19" w:rsidP="00C82F19">
      <w:pPr>
        <w:pStyle w:val="ARIimprintpubdetails"/>
      </w:pPr>
      <w:r w:rsidRPr="00085D3E">
        <w:t>ISSN 1835-3827 (print)</w:t>
      </w:r>
    </w:p>
    <w:p w:rsidR="00C82F19" w:rsidRPr="00085D3E" w:rsidRDefault="00C82F19" w:rsidP="00C82F19">
      <w:pPr>
        <w:pStyle w:val="ARIimprintpubdetails"/>
      </w:pPr>
      <w:r w:rsidRPr="00085D3E">
        <w:t>ISSN</w:t>
      </w:r>
      <w:r w:rsidRPr="00085D3E">
        <w:rPr>
          <w:color w:val="FF0000"/>
        </w:rPr>
        <w:t xml:space="preserve"> </w:t>
      </w:r>
      <w:r w:rsidRPr="00085D3E">
        <w:t>1835-3835 (pdf))</w:t>
      </w:r>
    </w:p>
    <w:p w:rsidR="00C82F19" w:rsidRPr="00085D3E" w:rsidRDefault="00C82F19" w:rsidP="00C82F19">
      <w:pPr>
        <w:pStyle w:val="ARIimprintpubdetails"/>
      </w:pPr>
      <w:r w:rsidRPr="00085D3E">
        <w:t>ISBN</w:t>
      </w:r>
      <w:r w:rsidR="008724EC">
        <w:t xml:space="preserve"> 978-1-76047-182-8</w:t>
      </w:r>
      <w:r w:rsidRPr="00085D3E">
        <w:rPr>
          <w:color w:val="FF0000"/>
        </w:rPr>
        <w:t xml:space="preserve"> </w:t>
      </w:r>
      <w:r w:rsidRPr="00085D3E">
        <w:t>(print)</w:t>
      </w:r>
    </w:p>
    <w:p w:rsidR="00C82F19" w:rsidRDefault="00C82F19" w:rsidP="00C82F19">
      <w:pPr>
        <w:pStyle w:val="ARIimprintpubdetails"/>
        <w:rPr>
          <w:color w:val="FF0000"/>
        </w:rPr>
      </w:pPr>
      <w:r w:rsidRPr="00085D3E">
        <w:t>ISBN</w:t>
      </w:r>
      <w:r w:rsidR="008724EC">
        <w:t xml:space="preserve"> 978-1-76047-183-5</w:t>
      </w:r>
      <w:r w:rsidRPr="00085D3E">
        <w:t xml:space="preserve"> (pdf</w:t>
      </w:r>
      <w:r w:rsidR="008724EC">
        <w:t>/online</w:t>
      </w:r>
      <w:r w:rsidRPr="00085D3E">
        <w:t>)</w:t>
      </w:r>
    </w:p>
    <w:p w:rsidR="00C82F19" w:rsidRDefault="00C82F19" w:rsidP="00C82F19">
      <w:pPr>
        <w:autoSpaceDE w:val="0"/>
        <w:autoSpaceDN w:val="0"/>
        <w:adjustRightInd w:val="0"/>
        <w:spacing w:after="60"/>
        <w:rPr>
          <w:rFonts w:eastAsia="Calibri" w:cstheme="minorHAnsi"/>
          <w:b/>
          <w:bCs/>
          <w:color w:val="000000"/>
          <w:sz w:val="16"/>
          <w:szCs w:val="16"/>
        </w:rPr>
      </w:pPr>
    </w:p>
    <w:p w:rsidR="00C82F19" w:rsidRPr="006C4986" w:rsidRDefault="00C82F19" w:rsidP="00C82F19">
      <w:pPr>
        <w:pStyle w:val="ARIimprintheading"/>
      </w:pPr>
      <w:r w:rsidRPr="006C4986">
        <w:t>Accessibility</w:t>
      </w:r>
    </w:p>
    <w:p w:rsidR="00C82F19" w:rsidRPr="00CF2B0A" w:rsidRDefault="00C82F19" w:rsidP="00C82F19">
      <w:pPr>
        <w:pStyle w:val="ARIERimprint"/>
      </w:pPr>
      <w:r w:rsidRPr="00CF2B0A">
        <w:t xml:space="preserve">If you would like to receive this publication in an alternative format, please telephone the DELWP Customer Service Centre on 136 186, email </w:t>
      </w:r>
      <w:hyperlink r:id="rId15" w:history="1">
        <w:r w:rsidRPr="00CF2B0A">
          <w:t>customer.service@delwp.vic.gov.au</w:t>
        </w:r>
      </w:hyperlink>
      <w:r w:rsidRPr="00CF2B0A">
        <w:t xml:space="preserve"> or contact us via the National Relay Service on 133 677 or </w:t>
      </w:r>
      <w:hyperlink r:id="rId16" w:history="1">
        <w:r w:rsidRPr="00CF2B0A">
          <w:t>www.relayservice.com.au</w:t>
        </w:r>
      </w:hyperlink>
      <w:r w:rsidRPr="00CF2B0A">
        <w:t xml:space="preserve">. This document is also available on the internet at </w:t>
      </w:r>
      <w:hyperlink r:id="rId17" w:history="1">
        <w:r w:rsidRPr="00CF2B0A">
          <w:t>www.delwp.vic.gov.au</w:t>
        </w:r>
      </w:hyperlink>
    </w:p>
    <w:p w:rsidR="00C82F19" w:rsidRPr="006C4986" w:rsidRDefault="00C82F19" w:rsidP="00C82F19">
      <w:pPr>
        <w:pStyle w:val="ARIimprintheading"/>
      </w:pPr>
      <w:r w:rsidRPr="006C4986">
        <w:t>Disclaimer</w:t>
      </w:r>
    </w:p>
    <w:p w:rsidR="00D07950" w:rsidRDefault="00C82F19" w:rsidP="00C82F19">
      <w:pPr>
        <w:pStyle w:val="ARIERimprint"/>
        <w:sectPr w:rsidR="00D07950" w:rsidSect="00E63924">
          <w:headerReference w:type="default" r:id="rId18"/>
          <w:footerReference w:type="even" r:id="rId19"/>
          <w:pgSz w:w="11907" w:h="16840" w:code="9"/>
          <w:pgMar w:top="1134" w:right="1134" w:bottom="425" w:left="1134" w:header="709" w:footer="567" w:gutter="0"/>
          <w:pgNumType w:fmt="lowerRoman"/>
          <w:cols w:space="708"/>
          <w:formProt w:val="0"/>
          <w:docGrid w:linePitch="360"/>
        </w:sectPr>
      </w:pPr>
      <w:r w:rsidRPr="006C4986">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C72B31" w:rsidRDefault="00C72B31" w:rsidP="002810DE"/>
    <w:p w:rsidR="00C82F19" w:rsidRPr="00F559A7" w:rsidRDefault="00C82F19" w:rsidP="002810DE">
      <w:pPr>
        <w:sectPr w:rsidR="00C82F19" w:rsidRPr="00F559A7" w:rsidSect="00584C1F">
          <w:headerReference w:type="default" r:id="rId20"/>
          <w:footerReference w:type="default" r:id="rId21"/>
          <w:type w:val="continuous"/>
          <w:pgSz w:w="11907" w:h="16840" w:code="9"/>
          <w:pgMar w:top="1134" w:right="1134" w:bottom="425" w:left="1134" w:header="709" w:footer="440" w:gutter="0"/>
          <w:pgNumType w:fmt="lowerRoman" w:start="1"/>
          <w:cols w:space="708"/>
          <w:formProt w:val="0"/>
          <w:docGrid w:linePitch="360"/>
        </w:sectPr>
      </w:pPr>
    </w:p>
    <w:p w:rsidR="000A5A22" w:rsidRDefault="00606707" w:rsidP="006850F1">
      <w:pPr>
        <w:pStyle w:val="HA"/>
      </w:pPr>
      <w:r w:rsidRPr="00B75952">
        <w:lastRenderedPageBreak/>
        <w:t>Contents</w:t>
      </w:r>
    </w:p>
    <w:p w:rsidR="00AF44F0" w:rsidRDefault="00606707">
      <w:pPr>
        <w:pStyle w:val="TOC1"/>
        <w:rPr>
          <w:rFonts w:asciiTheme="minorHAnsi" w:eastAsiaTheme="minorEastAsia" w:hAnsiTheme="minorHAnsi" w:cstheme="minorBidi"/>
          <w:b w:val="0"/>
          <w:color w:val="auto"/>
          <w:szCs w:val="22"/>
          <w:lang w:val="en-AU" w:eastAsia="en-AU"/>
        </w:rPr>
      </w:pPr>
      <w:r>
        <w:rPr>
          <w:rFonts w:asciiTheme="minorHAnsi" w:hAnsiTheme="minorHAnsi"/>
          <w:b w:val="0"/>
          <w:color w:val="auto"/>
          <w:lang w:val="en-AU"/>
        </w:rPr>
        <w:fldChar w:fldCharType="begin"/>
      </w:r>
      <w:r>
        <w:rPr>
          <w:rFonts w:asciiTheme="minorHAnsi" w:hAnsiTheme="minorHAnsi"/>
          <w:b w:val="0"/>
          <w:color w:val="auto"/>
          <w:lang w:val="en-AU"/>
        </w:rPr>
        <w:instrText xml:space="preserve"> TOC \t "ARIER_HA,1,ARIER_HB,2,ARIER_HC,3" </w:instrText>
      </w:r>
      <w:r>
        <w:rPr>
          <w:rFonts w:asciiTheme="minorHAnsi" w:hAnsiTheme="minorHAnsi"/>
          <w:b w:val="0"/>
          <w:color w:val="auto"/>
          <w:lang w:val="en-AU"/>
        </w:rPr>
        <w:fldChar w:fldCharType="separate"/>
      </w:r>
      <w:r w:rsidR="00AF44F0">
        <w:t>Acknowledgements</w:t>
      </w:r>
      <w:r w:rsidR="00AF44F0">
        <w:tab/>
      </w:r>
      <w:r w:rsidR="00AF44F0">
        <w:fldChar w:fldCharType="begin"/>
      </w:r>
      <w:r w:rsidR="00AF44F0">
        <w:instrText xml:space="preserve"> PAGEREF _Toc455406118 \h </w:instrText>
      </w:r>
      <w:r w:rsidR="00AF44F0">
        <w:fldChar w:fldCharType="separate"/>
      </w:r>
      <w:r w:rsidR="008F1D9A">
        <w:t>ii</w:t>
      </w:r>
      <w:r w:rsidR="00AF44F0">
        <w:fldChar w:fldCharType="end"/>
      </w:r>
    </w:p>
    <w:p w:rsidR="00AF44F0" w:rsidRDefault="00AF44F0">
      <w:pPr>
        <w:pStyle w:val="TOC1"/>
        <w:rPr>
          <w:rFonts w:asciiTheme="minorHAnsi" w:eastAsiaTheme="minorEastAsia" w:hAnsiTheme="minorHAnsi" w:cstheme="minorBidi"/>
          <w:b w:val="0"/>
          <w:color w:val="auto"/>
          <w:szCs w:val="22"/>
          <w:lang w:val="en-AU" w:eastAsia="en-AU"/>
        </w:rPr>
      </w:pPr>
      <w:r>
        <w:t>Summary</w:t>
      </w:r>
      <w:r>
        <w:tab/>
      </w:r>
      <w:r>
        <w:fldChar w:fldCharType="begin"/>
      </w:r>
      <w:r>
        <w:instrText xml:space="preserve"> PAGEREF _Toc455406119 \h </w:instrText>
      </w:r>
      <w:r>
        <w:fldChar w:fldCharType="separate"/>
      </w:r>
      <w:r w:rsidR="008F1D9A">
        <w:t>1</w:t>
      </w:r>
      <w:r>
        <w:fldChar w:fldCharType="end"/>
      </w:r>
    </w:p>
    <w:p w:rsidR="00AF44F0" w:rsidRDefault="00AF44F0">
      <w:pPr>
        <w:pStyle w:val="TOC1"/>
        <w:tabs>
          <w:tab w:val="left" w:pos="480"/>
        </w:tabs>
        <w:rPr>
          <w:rFonts w:asciiTheme="minorHAnsi" w:eastAsiaTheme="minorEastAsia" w:hAnsiTheme="minorHAnsi" w:cstheme="minorBidi"/>
          <w:b w:val="0"/>
          <w:color w:val="auto"/>
          <w:szCs w:val="22"/>
          <w:lang w:val="en-AU" w:eastAsia="en-AU"/>
        </w:rPr>
      </w:pPr>
      <w:r>
        <w:t>1</w:t>
      </w:r>
      <w:r>
        <w:rPr>
          <w:rFonts w:asciiTheme="minorHAnsi" w:eastAsiaTheme="minorEastAsia" w:hAnsiTheme="minorHAnsi" w:cstheme="minorBidi"/>
          <w:b w:val="0"/>
          <w:color w:val="auto"/>
          <w:szCs w:val="22"/>
          <w:lang w:val="en-AU" w:eastAsia="en-AU"/>
        </w:rPr>
        <w:tab/>
      </w:r>
      <w:r>
        <w:t>Introduction</w:t>
      </w:r>
      <w:r>
        <w:tab/>
      </w:r>
      <w:r>
        <w:fldChar w:fldCharType="begin"/>
      </w:r>
      <w:r>
        <w:instrText xml:space="preserve"> PAGEREF _Toc455406120 \h </w:instrText>
      </w:r>
      <w:r>
        <w:fldChar w:fldCharType="separate"/>
      </w:r>
      <w:r w:rsidR="008F1D9A">
        <w:t>3</w:t>
      </w:r>
      <w:r>
        <w:fldChar w:fldCharType="end"/>
      </w:r>
    </w:p>
    <w:p w:rsidR="00AF44F0" w:rsidRDefault="00AF44F0">
      <w:pPr>
        <w:pStyle w:val="TOC1"/>
        <w:tabs>
          <w:tab w:val="left" w:pos="480"/>
        </w:tabs>
        <w:rPr>
          <w:rFonts w:asciiTheme="minorHAnsi" w:eastAsiaTheme="minorEastAsia" w:hAnsiTheme="minorHAnsi" w:cstheme="minorBidi"/>
          <w:b w:val="0"/>
          <w:color w:val="auto"/>
          <w:szCs w:val="22"/>
          <w:lang w:val="en-AU" w:eastAsia="en-AU"/>
        </w:rPr>
      </w:pPr>
      <w:r>
        <w:t>2</w:t>
      </w:r>
      <w:r>
        <w:rPr>
          <w:rFonts w:asciiTheme="minorHAnsi" w:eastAsiaTheme="minorEastAsia" w:hAnsiTheme="minorHAnsi" w:cstheme="minorBidi"/>
          <w:b w:val="0"/>
          <w:color w:val="auto"/>
          <w:szCs w:val="22"/>
          <w:lang w:val="en-AU" w:eastAsia="en-AU"/>
        </w:rPr>
        <w:tab/>
      </w:r>
      <w:r>
        <w:t>Methods</w:t>
      </w:r>
      <w:r>
        <w:tab/>
      </w:r>
      <w:r>
        <w:fldChar w:fldCharType="begin"/>
      </w:r>
      <w:r>
        <w:instrText xml:space="preserve"> PAGEREF _Toc455406121 \h </w:instrText>
      </w:r>
      <w:r>
        <w:fldChar w:fldCharType="separate"/>
      </w:r>
      <w:r w:rsidR="008F1D9A">
        <w:t>4</w:t>
      </w:r>
      <w:r>
        <w:fldChar w:fldCharType="end"/>
      </w:r>
    </w:p>
    <w:p w:rsidR="00AF44F0" w:rsidRDefault="00AF44F0">
      <w:pPr>
        <w:pStyle w:val="TOC2"/>
        <w:rPr>
          <w:rFonts w:eastAsiaTheme="minorEastAsia" w:cstheme="minorBidi"/>
          <w:bCs w:val="0"/>
          <w:sz w:val="22"/>
          <w:szCs w:val="22"/>
        </w:rPr>
      </w:pPr>
      <w:r>
        <w:t>2.1</w:t>
      </w:r>
      <w:r>
        <w:rPr>
          <w:rFonts w:eastAsiaTheme="minorEastAsia" w:cstheme="minorBidi"/>
          <w:bCs w:val="0"/>
          <w:sz w:val="22"/>
          <w:szCs w:val="22"/>
        </w:rPr>
        <w:tab/>
      </w:r>
      <w:r>
        <w:t>Development of a eucalypt ‘habitat health trigger’</w:t>
      </w:r>
      <w:r>
        <w:tab/>
      </w:r>
      <w:r>
        <w:fldChar w:fldCharType="begin"/>
      </w:r>
      <w:r>
        <w:instrText xml:space="preserve"> PAGEREF _Toc455406122 \h </w:instrText>
      </w:r>
      <w:r>
        <w:fldChar w:fldCharType="separate"/>
      </w:r>
      <w:r w:rsidR="008F1D9A">
        <w:t>4</w:t>
      </w:r>
      <w:r>
        <w:fldChar w:fldCharType="end"/>
      </w:r>
    </w:p>
    <w:p w:rsidR="00AF44F0" w:rsidRDefault="00AF44F0">
      <w:pPr>
        <w:pStyle w:val="TOC3"/>
        <w:rPr>
          <w:rFonts w:eastAsiaTheme="minorEastAsia" w:cstheme="minorBidi"/>
          <w:noProof/>
          <w:sz w:val="22"/>
          <w:szCs w:val="22"/>
          <w:lang w:eastAsia="en-AU"/>
        </w:rPr>
      </w:pPr>
      <w:r>
        <w:rPr>
          <w:noProof/>
        </w:rPr>
        <w:t>2.1.1</w:t>
      </w:r>
      <w:r>
        <w:rPr>
          <w:rFonts w:eastAsiaTheme="minorEastAsia" w:cstheme="minorBidi"/>
          <w:noProof/>
          <w:sz w:val="22"/>
          <w:szCs w:val="22"/>
          <w:lang w:eastAsia="en-AU"/>
        </w:rPr>
        <w:tab/>
      </w:r>
      <w:r w:rsidRPr="00483C26">
        <w:rPr>
          <w:noProof/>
          <w:lang w:val="en-US"/>
        </w:rPr>
        <w:t>Canopy cover</w:t>
      </w:r>
      <w:r>
        <w:rPr>
          <w:noProof/>
        </w:rPr>
        <w:t xml:space="preserve"> and tree mortality for Manna Gums</w:t>
      </w:r>
      <w:r>
        <w:rPr>
          <w:noProof/>
        </w:rPr>
        <w:tab/>
      </w:r>
      <w:r>
        <w:rPr>
          <w:noProof/>
        </w:rPr>
        <w:fldChar w:fldCharType="begin"/>
      </w:r>
      <w:r>
        <w:rPr>
          <w:noProof/>
        </w:rPr>
        <w:instrText xml:space="preserve"> PAGEREF _Toc455406123 \h </w:instrText>
      </w:r>
      <w:r>
        <w:rPr>
          <w:noProof/>
        </w:rPr>
      </w:r>
      <w:r>
        <w:rPr>
          <w:noProof/>
        </w:rPr>
        <w:fldChar w:fldCharType="separate"/>
      </w:r>
      <w:r w:rsidR="008F1D9A">
        <w:rPr>
          <w:noProof/>
        </w:rPr>
        <w:t>4</w:t>
      </w:r>
      <w:r>
        <w:rPr>
          <w:noProof/>
        </w:rPr>
        <w:fldChar w:fldCharType="end"/>
      </w:r>
    </w:p>
    <w:p w:rsidR="00AF44F0" w:rsidRDefault="00AF44F0">
      <w:pPr>
        <w:pStyle w:val="TOC3"/>
        <w:rPr>
          <w:rFonts w:eastAsiaTheme="minorEastAsia" w:cstheme="minorBidi"/>
          <w:noProof/>
          <w:sz w:val="22"/>
          <w:szCs w:val="22"/>
          <w:lang w:eastAsia="en-AU"/>
        </w:rPr>
      </w:pPr>
      <w:r>
        <w:rPr>
          <w:noProof/>
        </w:rPr>
        <w:t>2.1.2</w:t>
      </w:r>
      <w:r>
        <w:rPr>
          <w:rFonts w:eastAsiaTheme="minorEastAsia" w:cstheme="minorBidi"/>
          <w:noProof/>
          <w:sz w:val="22"/>
          <w:szCs w:val="22"/>
          <w:lang w:eastAsia="en-AU"/>
        </w:rPr>
        <w:tab/>
      </w:r>
      <w:r>
        <w:rPr>
          <w:noProof/>
        </w:rPr>
        <w:t>Canopy defoliation levels and Koala density</w:t>
      </w:r>
      <w:r>
        <w:rPr>
          <w:noProof/>
        </w:rPr>
        <w:tab/>
      </w:r>
      <w:r>
        <w:rPr>
          <w:noProof/>
        </w:rPr>
        <w:fldChar w:fldCharType="begin"/>
      </w:r>
      <w:r>
        <w:rPr>
          <w:noProof/>
        </w:rPr>
        <w:instrText xml:space="preserve"> PAGEREF _Toc455406124 \h </w:instrText>
      </w:r>
      <w:r>
        <w:rPr>
          <w:noProof/>
        </w:rPr>
      </w:r>
      <w:r>
        <w:rPr>
          <w:noProof/>
        </w:rPr>
        <w:fldChar w:fldCharType="separate"/>
      </w:r>
      <w:r w:rsidR="008F1D9A">
        <w:rPr>
          <w:noProof/>
        </w:rPr>
        <w:t>5</w:t>
      </w:r>
      <w:r>
        <w:rPr>
          <w:noProof/>
        </w:rPr>
        <w:fldChar w:fldCharType="end"/>
      </w:r>
    </w:p>
    <w:p w:rsidR="00AF44F0" w:rsidRDefault="00AF44F0">
      <w:pPr>
        <w:pStyle w:val="TOC2"/>
        <w:rPr>
          <w:rFonts w:eastAsiaTheme="minorEastAsia" w:cstheme="minorBidi"/>
          <w:bCs w:val="0"/>
          <w:sz w:val="22"/>
          <w:szCs w:val="22"/>
        </w:rPr>
      </w:pPr>
      <w:r>
        <w:t>2.2</w:t>
      </w:r>
      <w:r>
        <w:rPr>
          <w:rFonts w:eastAsiaTheme="minorEastAsia" w:cstheme="minorBidi"/>
          <w:bCs w:val="0"/>
          <w:sz w:val="22"/>
          <w:szCs w:val="22"/>
        </w:rPr>
        <w:tab/>
      </w:r>
      <w:r>
        <w:t>Carrying capacity of Koala habitat at Cape Otway</w:t>
      </w:r>
      <w:r>
        <w:tab/>
      </w:r>
      <w:r>
        <w:fldChar w:fldCharType="begin"/>
      </w:r>
      <w:r>
        <w:instrText xml:space="preserve"> PAGEREF _Toc455406125 \h </w:instrText>
      </w:r>
      <w:r>
        <w:fldChar w:fldCharType="separate"/>
      </w:r>
      <w:r w:rsidR="008F1D9A">
        <w:t>8</w:t>
      </w:r>
      <w:r>
        <w:fldChar w:fldCharType="end"/>
      </w:r>
    </w:p>
    <w:p w:rsidR="00AF44F0" w:rsidRDefault="00AF44F0">
      <w:pPr>
        <w:pStyle w:val="TOC1"/>
        <w:tabs>
          <w:tab w:val="left" w:pos="480"/>
        </w:tabs>
        <w:rPr>
          <w:rFonts w:asciiTheme="minorHAnsi" w:eastAsiaTheme="minorEastAsia" w:hAnsiTheme="minorHAnsi" w:cstheme="minorBidi"/>
          <w:b w:val="0"/>
          <w:color w:val="auto"/>
          <w:szCs w:val="22"/>
          <w:lang w:val="en-AU" w:eastAsia="en-AU"/>
        </w:rPr>
      </w:pPr>
      <w:r>
        <w:t>3</w:t>
      </w:r>
      <w:r>
        <w:rPr>
          <w:rFonts w:asciiTheme="minorHAnsi" w:eastAsiaTheme="minorEastAsia" w:hAnsiTheme="minorHAnsi" w:cstheme="minorBidi"/>
          <w:b w:val="0"/>
          <w:color w:val="auto"/>
          <w:szCs w:val="22"/>
          <w:lang w:val="en-AU" w:eastAsia="en-AU"/>
        </w:rPr>
        <w:tab/>
      </w:r>
      <w:r>
        <w:t>Results</w:t>
      </w:r>
      <w:r>
        <w:tab/>
      </w:r>
      <w:r>
        <w:fldChar w:fldCharType="begin"/>
      </w:r>
      <w:r>
        <w:instrText xml:space="preserve"> PAGEREF _Toc455406126 \h </w:instrText>
      </w:r>
      <w:r>
        <w:fldChar w:fldCharType="separate"/>
      </w:r>
      <w:r w:rsidR="008F1D9A">
        <w:t>11</w:t>
      </w:r>
      <w:r>
        <w:fldChar w:fldCharType="end"/>
      </w:r>
    </w:p>
    <w:p w:rsidR="00AF44F0" w:rsidRDefault="00AF44F0">
      <w:pPr>
        <w:pStyle w:val="TOC2"/>
        <w:rPr>
          <w:rFonts w:eastAsiaTheme="minorEastAsia" w:cstheme="minorBidi"/>
          <w:bCs w:val="0"/>
          <w:sz w:val="22"/>
          <w:szCs w:val="22"/>
        </w:rPr>
      </w:pPr>
      <w:r>
        <w:t>3.1</w:t>
      </w:r>
      <w:r>
        <w:rPr>
          <w:rFonts w:eastAsiaTheme="minorEastAsia" w:cstheme="minorBidi"/>
          <w:bCs w:val="0"/>
          <w:sz w:val="22"/>
          <w:szCs w:val="22"/>
        </w:rPr>
        <w:tab/>
      </w:r>
      <w:r>
        <w:t>Development of a eucalypt ‘habitat health trigger’</w:t>
      </w:r>
      <w:r>
        <w:tab/>
      </w:r>
      <w:r>
        <w:fldChar w:fldCharType="begin"/>
      </w:r>
      <w:r>
        <w:instrText xml:space="preserve"> PAGEREF _Toc455406127 \h </w:instrText>
      </w:r>
      <w:r>
        <w:fldChar w:fldCharType="separate"/>
      </w:r>
      <w:r w:rsidR="008F1D9A">
        <w:t>11</w:t>
      </w:r>
      <w:r>
        <w:fldChar w:fldCharType="end"/>
      </w:r>
    </w:p>
    <w:p w:rsidR="00AF44F0" w:rsidRDefault="00AF44F0">
      <w:pPr>
        <w:pStyle w:val="TOC3"/>
        <w:rPr>
          <w:rFonts w:eastAsiaTheme="minorEastAsia" w:cstheme="minorBidi"/>
          <w:noProof/>
          <w:sz w:val="22"/>
          <w:szCs w:val="22"/>
          <w:lang w:eastAsia="en-AU"/>
        </w:rPr>
      </w:pPr>
      <w:r>
        <w:rPr>
          <w:noProof/>
        </w:rPr>
        <w:t>3.1.1</w:t>
      </w:r>
      <w:r>
        <w:rPr>
          <w:rFonts w:eastAsiaTheme="minorEastAsia" w:cstheme="minorBidi"/>
          <w:noProof/>
          <w:sz w:val="22"/>
          <w:szCs w:val="22"/>
          <w:lang w:eastAsia="en-AU"/>
        </w:rPr>
        <w:tab/>
      </w:r>
      <w:r>
        <w:rPr>
          <w:noProof/>
        </w:rPr>
        <w:t>Canopy cover and tree mortality for Manna Gums</w:t>
      </w:r>
      <w:r>
        <w:rPr>
          <w:noProof/>
        </w:rPr>
        <w:tab/>
      </w:r>
      <w:r>
        <w:rPr>
          <w:noProof/>
        </w:rPr>
        <w:fldChar w:fldCharType="begin"/>
      </w:r>
      <w:r>
        <w:rPr>
          <w:noProof/>
        </w:rPr>
        <w:instrText xml:space="preserve"> PAGEREF _Toc455406128 \h </w:instrText>
      </w:r>
      <w:r>
        <w:rPr>
          <w:noProof/>
        </w:rPr>
      </w:r>
      <w:r>
        <w:rPr>
          <w:noProof/>
        </w:rPr>
        <w:fldChar w:fldCharType="separate"/>
      </w:r>
      <w:r w:rsidR="008F1D9A">
        <w:rPr>
          <w:noProof/>
        </w:rPr>
        <w:t>11</w:t>
      </w:r>
      <w:r>
        <w:rPr>
          <w:noProof/>
        </w:rPr>
        <w:fldChar w:fldCharType="end"/>
      </w:r>
    </w:p>
    <w:p w:rsidR="00AF44F0" w:rsidRDefault="00AF44F0">
      <w:pPr>
        <w:pStyle w:val="TOC3"/>
        <w:rPr>
          <w:rFonts w:eastAsiaTheme="minorEastAsia" w:cstheme="minorBidi"/>
          <w:noProof/>
          <w:sz w:val="22"/>
          <w:szCs w:val="22"/>
          <w:lang w:eastAsia="en-AU"/>
        </w:rPr>
      </w:pPr>
      <w:r>
        <w:rPr>
          <w:noProof/>
        </w:rPr>
        <w:t>3.1.2</w:t>
      </w:r>
      <w:r>
        <w:rPr>
          <w:rFonts w:eastAsiaTheme="minorEastAsia" w:cstheme="minorBidi"/>
          <w:noProof/>
          <w:sz w:val="22"/>
          <w:szCs w:val="22"/>
          <w:lang w:eastAsia="en-AU"/>
        </w:rPr>
        <w:tab/>
      </w:r>
      <w:r>
        <w:rPr>
          <w:noProof/>
        </w:rPr>
        <w:t>Canopy defoliation levels and Koala density</w:t>
      </w:r>
      <w:r>
        <w:rPr>
          <w:noProof/>
        </w:rPr>
        <w:tab/>
      </w:r>
      <w:r>
        <w:rPr>
          <w:noProof/>
        </w:rPr>
        <w:fldChar w:fldCharType="begin"/>
      </w:r>
      <w:r>
        <w:rPr>
          <w:noProof/>
        </w:rPr>
        <w:instrText xml:space="preserve"> PAGEREF _Toc455406129 \h </w:instrText>
      </w:r>
      <w:r>
        <w:rPr>
          <w:noProof/>
        </w:rPr>
      </w:r>
      <w:r>
        <w:rPr>
          <w:noProof/>
        </w:rPr>
        <w:fldChar w:fldCharType="separate"/>
      </w:r>
      <w:r w:rsidR="008F1D9A">
        <w:rPr>
          <w:noProof/>
        </w:rPr>
        <w:t>12</w:t>
      </w:r>
      <w:r>
        <w:rPr>
          <w:noProof/>
        </w:rPr>
        <w:fldChar w:fldCharType="end"/>
      </w:r>
    </w:p>
    <w:p w:rsidR="00AF44F0" w:rsidRDefault="00AF44F0">
      <w:pPr>
        <w:pStyle w:val="TOC2"/>
        <w:rPr>
          <w:rFonts w:eastAsiaTheme="minorEastAsia" w:cstheme="minorBidi"/>
          <w:bCs w:val="0"/>
          <w:sz w:val="22"/>
          <w:szCs w:val="22"/>
        </w:rPr>
      </w:pPr>
      <w:r>
        <w:t>3.2</w:t>
      </w:r>
      <w:r>
        <w:rPr>
          <w:rFonts w:eastAsiaTheme="minorEastAsia" w:cstheme="minorBidi"/>
          <w:bCs w:val="0"/>
          <w:sz w:val="22"/>
          <w:szCs w:val="22"/>
        </w:rPr>
        <w:tab/>
      </w:r>
      <w:r>
        <w:t>Carrying capacity of Koala habitat at Cape Otway</w:t>
      </w:r>
      <w:r>
        <w:tab/>
      </w:r>
      <w:r>
        <w:fldChar w:fldCharType="begin"/>
      </w:r>
      <w:r>
        <w:instrText xml:space="preserve"> PAGEREF _Toc455406130 \h </w:instrText>
      </w:r>
      <w:r>
        <w:fldChar w:fldCharType="separate"/>
      </w:r>
      <w:r w:rsidR="008F1D9A">
        <w:t>14</w:t>
      </w:r>
      <w:r>
        <w:fldChar w:fldCharType="end"/>
      </w:r>
    </w:p>
    <w:p w:rsidR="00AF44F0" w:rsidRDefault="00AF44F0">
      <w:pPr>
        <w:pStyle w:val="TOC2"/>
        <w:rPr>
          <w:rFonts w:eastAsiaTheme="minorEastAsia" w:cstheme="minorBidi"/>
          <w:bCs w:val="0"/>
          <w:sz w:val="22"/>
          <w:szCs w:val="22"/>
        </w:rPr>
      </w:pPr>
      <w:r>
        <w:t>3.3</w:t>
      </w:r>
      <w:r>
        <w:rPr>
          <w:rFonts w:eastAsiaTheme="minorEastAsia" w:cstheme="minorBidi"/>
          <w:bCs w:val="0"/>
          <w:sz w:val="22"/>
          <w:szCs w:val="22"/>
        </w:rPr>
        <w:tab/>
      </w:r>
      <w:r>
        <w:t>Towards a habitat health trigger</w:t>
      </w:r>
      <w:r>
        <w:tab/>
      </w:r>
      <w:r>
        <w:fldChar w:fldCharType="begin"/>
      </w:r>
      <w:r>
        <w:instrText xml:space="preserve"> PAGEREF _Toc455406131 \h </w:instrText>
      </w:r>
      <w:r>
        <w:fldChar w:fldCharType="separate"/>
      </w:r>
      <w:r w:rsidR="008F1D9A">
        <w:t>21</w:t>
      </w:r>
      <w:r>
        <w:fldChar w:fldCharType="end"/>
      </w:r>
    </w:p>
    <w:p w:rsidR="00AF44F0" w:rsidRDefault="00AF44F0">
      <w:pPr>
        <w:pStyle w:val="TOC3"/>
        <w:rPr>
          <w:rFonts w:eastAsiaTheme="minorEastAsia" w:cstheme="minorBidi"/>
          <w:noProof/>
          <w:sz w:val="22"/>
          <w:szCs w:val="22"/>
          <w:lang w:eastAsia="en-AU"/>
        </w:rPr>
      </w:pPr>
      <w:r>
        <w:rPr>
          <w:noProof/>
        </w:rPr>
        <w:t>3.3.1</w:t>
      </w:r>
      <w:r>
        <w:rPr>
          <w:rFonts w:eastAsiaTheme="minorEastAsia" w:cstheme="minorBidi"/>
          <w:noProof/>
          <w:sz w:val="22"/>
          <w:szCs w:val="22"/>
          <w:lang w:eastAsia="en-AU"/>
        </w:rPr>
        <w:tab/>
      </w:r>
      <w:r>
        <w:rPr>
          <w:noProof/>
        </w:rPr>
        <w:t>Canopy defoliation and Koala densities</w:t>
      </w:r>
      <w:r>
        <w:rPr>
          <w:noProof/>
        </w:rPr>
        <w:tab/>
      </w:r>
      <w:r>
        <w:rPr>
          <w:noProof/>
        </w:rPr>
        <w:fldChar w:fldCharType="begin"/>
      </w:r>
      <w:r>
        <w:rPr>
          <w:noProof/>
        </w:rPr>
        <w:instrText xml:space="preserve"> PAGEREF _Toc455406132 \h </w:instrText>
      </w:r>
      <w:r>
        <w:rPr>
          <w:noProof/>
        </w:rPr>
      </w:r>
      <w:r>
        <w:rPr>
          <w:noProof/>
        </w:rPr>
        <w:fldChar w:fldCharType="separate"/>
      </w:r>
      <w:r w:rsidR="008F1D9A">
        <w:rPr>
          <w:noProof/>
        </w:rPr>
        <w:t>21</w:t>
      </w:r>
      <w:r>
        <w:rPr>
          <w:noProof/>
        </w:rPr>
        <w:fldChar w:fldCharType="end"/>
      </w:r>
    </w:p>
    <w:p w:rsidR="00AF44F0" w:rsidRDefault="00AF44F0">
      <w:pPr>
        <w:pStyle w:val="TOC3"/>
        <w:rPr>
          <w:rFonts w:eastAsiaTheme="minorEastAsia" w:cstheme="minorBidi"/>
          <w:noProof/>
          <w:sz w:val="22"/>
          <w:szCs w:val="22"/>
          <w:lang w:eastAsia="en-AU"/>
        </w:rPr>
      </w:pPr>
      <w:r>
        <w:rPr>
          <w:noProof/>
        </w:rPr>
        <w:t>3.3.2</w:t>
      </w:r>
      <w:r>
        <w:rPr>
          <w:rFonts w:eastAsiaTheme="minorEastAsia" w:cstheme="minorBidi"/>
          <w:noProof/>
          <w:sz w:val="22"/>
          <w:szCs w:val="22"/>
          <w:lang w:eastAsia="en-AU"/>
        </w:rPr>
        <w:tab/>
      </w:r>
      <w:r>
        <w:rPr>
          <w:noProof/>
        </w:rPr>
        <w:t>Carrying capacity estimates for Koala habitat at Cape Otway</w:t>
      </w:r>
      <w:r>
        <w:rPr>
          <w:noProof/>
        </w:rPr>
        <w:tab/>
      </w:r>
      <w:r>
        <w:rPr>
          <w:noProof/>
        </w:rPr>
        <w:fldChar w:fldCharType="begin"/>
      </w:r>
      <w:r>
        <w:rPr>
          <w:noProof/>
        </w:rPr>
        <w:instrText xml:space="preserve"> PAGEREF _Toc455406133 \h </w:instrText>
      </w:r>
      <w:r>
        <w:rPr>
          <w:noProof/>
        </w:rPr>
      </w:r>
      <w:r>
        <w:rPr>
          <w:noProof/>
        </w:rPr>
        <w:fldChar w:fldCharType="separate"/>
      </w:r>
      <w:r w:rsidR="008F1D9A">
        <w:rPr>
          <w:noProof/>
        </w:rPr>
        <w:t>24</w:t>
      </w:r>
      <w:r>
        <w:rPr>
          <w:noProof/>
        </w:rPr>
        <w:fldChar w:fldCharType="end"/>
      </w:r>
    </w:p>
    <w:p w:rsidR="00AF44F0" w:rsidRDefault="00AF44F0">
      <w:pPr>
        <w:pStyle w:val="TOC1"/>
        <w:tabs>
          <w:tab w:val="left" w:pos="480"/>
        </w:tabs>
        <w:rPr>
          <w:rFonts w:asciiTheme="minorHAnsi" w:eastAsiaTheme="minorEastAsia" w:hAnsiTheme="minorHAnsi" w:cstheme="minorBidi"/>
          <w:b w:val="0"/>
          <w:color w:val="auto"/>
          <w:szCs w:val="22"/>
          <w:lang w:val="en-AU" w:eastAsia="en-AU"/>
        </w:rPr>
      </w:pPr>
      <w:r>
        <w:t>4</w:t>
      </w:r>
      <w:r>
        <w:rPr>
          <w:rFonts w:asciiTheme="minorHAnsi" w:eastAsiaTheme="minorEastAsia" w:hAnsiTheme="minorHAnsi" w:cstheme="minorBidi"/>
          <w:b w:val="0"/>
          <w:color w:val="auto"/>
          <w:szCs w:val="22"/>
          <w:lang w:val="en-AU" w:eastAsia="en-AU"/>
        </w:rPr>
        <w:tab/>
      </w:r>
      <w:r>
        <w:t>Discussion</w:t>
      </w:r>
      <w:r>
        <w:tab/>
      </w:r>
      <w:r>
        <w:fldChar w:fldCharType="begin"/>
      </w:r>
      <w:r>
        <w:instrText xml:space="preserve"> PAGEREF _Toc455406134 \h </w:instrText>
      </w:r>
      <w:r>
        <w:fldChar w:fldCharType="separate"/>
      </w:r>
      <w:r w:rsidR="008F1D9A">
        <w:t>27</w:t>
      </w:r>
      <w:r>
        <w:fldChar w:fldCharType="end"/>
      </w:r>
    </w:p>
    <w:p w:rsidR="00AF44F0" w:rsidRDefault="00AF44F0">
      <w:pPr>
        <w:pStyle w:val="TOC1"/>
        <w:tabs>
          <w:tab w:val="left" w:pos="480"/>
        </w:tabs>
        <w:rPr>
          <w:rFonts w:asciiTheme="minorHAnsi" w:eastAsiaTheme="minorEastAsia" w:hAnsiTheme="minorHAnsi" w:cstheme="minorBidi"/>
          <w:b w:val="0"/>
          <w:color w:val="auto"/>
          <w:szCs w:val="22"/>
          <w:lang w:val="en-AU" w:eastAsia="en-AU"/>
        </w:rPr>
      </w:pPr>
      <w:r>
        <w:t>5</w:t>
      </w:r>
      <w:r>
        <w:rPr>
          <w:rFonts w:asciiTheme="minorHAnsi" w:eastAsiaTheme="minorEastAsia" w:hAnsiTheme="minorHAnsi" w:cstheme="minorBidi"/>
          <w:b w:val="0"/>
          <w:color w:val="auto"/>
          <w:szCs w:val="22"/>
          <w:lang w:val="en-AU" w:eastAsia="en-AU"/>
        </w:rPr>
        <w:tab/>
      </w:r>
      <w:r>
        <w:t>References</w:t>
      </w:r>
      <w:r>
        <w:tab/>
      </w:r>
      <w:r>
        <w:fldChar w:fldCharType="begin"/>
      </w:r>
      <w:r>
        <w:instrText xml:space="preserve"> PAGEREF _Toc455406135 \h </w:instrText>
      </w:r>
      <w:r>
        <w:fldChar w:fldCharType="separate"/>
      </w:r>
      <w:r w:rsidR="008F1D9A">
        <w:t>29</w:t>
      </w:r>
      <w:r>
        <w:fldChar w:fldCharType="end"/>
      </w:r>
    </w:p>
    <w:p w:rsidR="00AF44F0" w:rsidRDefault="00AF44F0">
      <w:pPr>
        <w:pStyle w:val="TOC1"/>
        <w:rPr>
          <w:rFonts w:asciiTheme="minorHAnsi" w:eastAsiaTheme="minorEastAsia" w:hAnsiTheme="minorHAnsi" w:cstheme="minorBidi"/>
          <w:b w:val="0"/>
          <w:color w:val="auto"/>
          <w:szCs w:val="22"/>
          <w:lang w:val="en-AU" w:eastAsia="en-AU"/>
        </w:rPr>
      </w:pPr>
      <w:r>
        <w:t>Appendix 1</w:t>
      </w:r>
      <w:r>
        <w:tab/>
      </w:r>
      <w:r>
        <w:fldChar w:fldCharType="begin"/>
      </w:r>
      <w:r>
        <w:instrText xml:space="preserve"> PAGEREF _Toc455406136 \h </w:instrText>
      </w:r>
      <w:r>
        <w:fldChar w:fldCharType="separate"/>
      </w:r>
      <w:r w:rsidR="008F1D9A">
        <w:t>31</w:t>
      </w:r>
      <w:r>
        <w:fldChar w:fldCharType="end"/>
      </w:r>
    </w:p>
    <w:p w:rsidR="00AF44F0" w:rsidRDefault="00AF44F0">
      <w:pPr>
        <w:pStyle w:val="TOC1"/>
        <w:rPr>
          <w:rFonts w:asciiTheme="minorHAnsi" w:eastAsiaTheme="minorEastAsia" w:hAnsiTheme="minorHAnsi" w:cstheme="minorBidi"/>
          <w:b w:val="0"/>
          <w:color w:val="auto"/>
          <w:szCs w:val="22"/>
          <w:lang w:val="en-AU" w:eastAsia="en-AU"/>
        </w:rPr>
      </w:pPr>
      <w:r>
        <w:t>Appendix 2</w:t>
      </w:r>
      <w:r>
        <w:tab/>
      </w:r>
      <w:r>
        <w:fldChar w:fldCharType="begin"/>
      </w:r>
      <w:r>
        <w:instrText xml:space="preserve"> PAGEREF _Toc455406137 \h </w:instrText>
      </w:r>
      <w:r>
        <w:fldChar w:fldCharType="separate"/>
      </w:r>
      <w:r w:rsidR="008F1D9A">
        <w:t>32</w:t>
      </w:r>
      <w:r>
        <w:fldChar w:fldCharType="end"/>
      </w:r>
    </w:p>
    <w:p w:rsidR="00AF44F0" w:rsidRDefault="00AF44F0">
      <w:pPr>
        <w:pStyle w:val="TOC2"/>
        <w:rPr>
          <w:rFonts w:eastAsiaTheme="minorEastAsia" w:cstheme="minorBidi"/>
          <w:bCs w:val="0"/>
          <w:sz w:val="22"/>
          <w:szCs w:val="22"/>
        </w:rPr>
      </w:pPr>
      <w:r>
        <w:t>Forest canopy condition assessment—field protocol</w:t>
      </w:r>
      <w:r>
        <w:tab/>
      </w:r>
      <w:r>
        <w:fldChar w:fldCharType="begin"/>
      </w:r>
      <w:r>
        <w:instrText xml:space="preserve"> PAGEREF _Toc455406138 \h </w:instrText>
      </w:r>
      <w:r>
        <w:fldChar w:fldCharType="separate"/>
      </w:r>
      <w:r w:rsidR="008F1D9A">
        <w:t>32</w:t>
      </w:r>
      <w:r>
        <w:fldChar w:fldCharType="end"/>
      </w:r>
    </w:p>
    <w:p w:rsidR="00AF44F0" w:rsidRDefault="00AF44F0">
      <w:pPr>
        <w:pStyle w:val="TOC1"/>
        <w:rPr>
          <w:rFonts w:asciiTheme="minorHAnsi" w:eastAsiaTheme="minorEastAsia" w:hAnsiTheme="minorHAnsi" w:cstheme="minorBidi"/>
          <w:b w:val="0"/>
          <w:color w:val="auto"/>
          <w:szCs w:val="22"/>
          <w:lang w:val="en-AU" w:eastAsia="en-AU"/>
        </w:rPr>
      </w:pPr>
      <w:r>
        <w:t>Appendix 3</w:t>
      </w:r>
      <w:r>
        <w:tab/>
      </w:r>
      <w:r>
        <w:fldChar w:fldCharType="begin"/>
      </w:r>
      <w:r>
        <w:instrText xml:space="preserve"> PAGEREF _Toc455406139 \h </w:instrText>
      </w:r>
      <w:r>
        <w:fldChar w:fldCharType="separate"/>
      </w:r>
      <w:r w:rsidR="008F1D9A">
        <w:t>34</w:t>
      </w:r>
      <w:r>
        <w:fldChar w:fldCharType="end"/>
      </w:r>
    </w:p>
    <w:p w:rsidR="00AF44F0" w:rsidRDefault="00AF44F0">
      <w:pPr>
        <w:pStyle w:val="TOC2"/>
        <w:rPr>
          <w:rFonts w:eastAsiaTheme="minorEastAsia" w:cstheme="minorBidi"/>
          <w:bCs w:val="0"/>
          <w:sz w:val="22"/>
          <w:szCs w:val="22"/>
        </w:rPr>
      </w:pPr>
      <w:r>
        <w:t>Koala surveys—field protocol</w:t>
      </w:r>
      <w:r>
        <w:tab/>
      </w:r>
      <w:r>
        <w:fldChar w:fldCharType="begin"/>
      </w:r>
      <w:r>
        <w:instrText xml:space="preserve"> PAGEREF _Toc455406140 \h </w:instrText>
      </w:r>
      <w:r>
        <w:fldChar w:fldCharType="separate"/>
      </w:r>
      <w:r w:rsidR="008F1D9A">
        <w:t>34</w:t>
      </w:r>
      <w:r>
        <w:fldChar w:fldCharType="end"/>
      </w:r>
    </w:p>
    <w:p w:rsidR="004D167B" w:rsidRDefault="00606707" w:rsidP="004D167B">
      <w:pPr>
        <w:pStyle w:val="TOCTitle"/>
        <w:spacing w:after="0" w:line="240" w:lineRule="auto"/>
        <w:rPr>
          <w:rFonts w:asciiTheme="minorHAnsi" w:hAnsiTheme="minorHAnsi" w:cs="Times New Roman"/>
          <w:b w:val="0"/>
          <w:noProof/>
          <w:color w:val="auto"/>
          <w:sz w:val="22"/>
          <w:szCs w:val="24"/>
          <w:lang w:val="en-AU"/>
        </w:rPr>
      </w:pPr>
      <w:r>
        <w:rPr>
          <w:rFonts w:asciiTheme="minorHAnsi" w:hAnsiTheme="minorHAnsi" w:cs="Times New Roman"/>
          <w:b w:val="0"/>
          <w:noProof/>
          <w:color w:val="auto"/>
          <w:sz w:val="22"/>
          <w:szCs w:val="24"/>
          <w:lang w:val="en-AU"/>
        </w:rPr>
        <w:fldChar w:fldCharType="end"/>
      </w:r>
    </w:p>
    <w:p w:rsidR="004D167B" w:rsidRPr="004D167B" w:rsidRDefault="004D167B" w:rsidP="004D167B">
      <w:pPr>
        <w:pStyle w:val="TOCTitle"/>
        <w:spacing w:after="0" w:line="240" w:lineRule="auto"/>
        <w:rPr>
          <w:rFonts w:asciiTheme="minorHAnsi" w:hAnsiTheme="minorHAnsi" w:cs="Times New Roman"/>
          <w:b w:val="0"/>
          <w:noProof/>
          <w:color w:val="auto"/>
          <w:sz w:val="22"/>
          <w:szCs w:val="24"/>
          <w:lang w:val="en-AU"/>
        </w:rPr>
      </w:pPr>
    </w:p>
    <w:p w:rsidR="00606707" w:rsidRPr="00B75952" w:rsidRDefault="00606707" w:rsidP="00606707">
      <w:pPr>
        <w:pStyle w:val="TableofFigures"/>
        <w:ind w:left="0" w:firstLine="0"/>
        <w:rPr>
          <w:rFonts w:asciiTheme="minorHAnsi" w:hAnsiTheme="minorHAnsi"/>
        </w:rPr>
        <w:sectPr w:rsidR="00606707" w:rsidRPr="00B75952" w:rsidSect="00584C1F">
          <w:headerReference w:type="even" r:id="rId22"/>
          <w:footerReference w:type="even" r:id="rId23"/>
          <w:footerReference w:type="default" r:id="rId24"/>
          <w:type w:val="continuous"/>
          <w:pgSz w:w="11907" w:h="16840" w:code="9"/>
          <w:pgMar w:top="1134" w:right="1134" w:bottom="1134" w:left="1134" w:header="709" w:footer="440" w:gutter="0"/>
          <w:pgNumType w:fmt="lowerRoman"/>
          <w:cols w:space="708"/>
          <w:formProt w:val="0"/>
          <w:docGrid w:linePitch="360"/>
        </w:sectPr>
      </w:pPr>
    </w:p>
    <w:p w:rsidR="00606707" w:rsidRPr="00B75952" w:rsidRDefault="004D167B" w:rsidP="003B1492">
      <w:pPr>
        <w:pStyle w:val="ARIERHA"/>
        <w:spacing w:after="480"/>
      </w:pPr>
      <w:bookmarkStart w:id="8" w:name="_Toc409798395"/>
      <w:bookmarkStart w:id="9" w:name="_Toc286018758"/>
      <w:r>
        <w:lastRenderedPageBreak/>
        <w:br w:type="page"/>
      </w:r>
      <w:bookmarkStart w:id="10" w:name="_Toc455406118"/>
      <w:r w:rsidR="00606707" w:rsidRPr="00B75952">
        <w:lastRenderedPageBreak/>
        <w:t>Acknowledgements</w:t>
      </w:r>
      <w:bookmarkEnd w:id="8"/>
      <w:bookmarkEnd w:id="9"/>
      <w:bookmarkEnd w:id="10"/>
    </w:p>
    <w:p w:rsidR="00606707" w:rsidRDefault="00C866BC" w:rsidP="00606707">
      <w:pPr>
        <w:pStyle w:val="ARIERBody"/>
      </w:pPr>
      <w:r w:rsidRPr="00C866BC">
        <w:t xml:space="preserve">Garry Peterson and Andrew Pritchard </w:t>
      </w:r>
      <w:r w:rsidR="00D72F16">
        <w:t>[</w:t>
      </w:r>
      <w:r w:rsidR="00A9728D" w:rsidRPr="00C76DA3">
        <w:rPr>
          <w:color w:val="000000" w:themeColor="text1"/>
        </w:rPr>
        <w:t>Department of Environment, Land, Water and Planning</w:t>
      </w:r>
      <w:r w:rsidR="00A9728D">
        <w:t xml:space="preserve"> (</w:t>
      </w:r>
      <w:r w:rsidRPr="00C866BC">
        <w:t>DELWP</w:t>
      </w:r>
      <w:r w:rsidR="00A9728D">
        <w:t>),</w:t>
      </w:r>
      <w:r w:rsidRPr="00C866BC">
        <w:t xml:space="preserve"> Barwon S</w:t>
      </w:r>
      <w:r w:rsidR="00D72F16">
        <w:t>outh West</w:t>
      </w:r>
      <w:r w:rsidRPr="00C866BC">
        <w:t xml:space="preserve"> </w:t>
      </w:r>
      <w:r w:rsidR="00D72F16">
        <w:t>R</w:t>
      </w:r>
      <w:r w:rsidRPr="00C866BC">
        <w:t>egion</w:t>
      </w:r>
      <w:r w:rsidR="00A9728D">
        <w:t>]</w:t>
      </w:r>
      <w:r w:rsidRPr="00C866BC">
        <w:t xml:space="preserve"> were instrumental in initiating and funding this research project, and with Mandy Watson </w:t>
      </w:r>
      <w:r w:rsidR="00A9728D">
        <w:t xml:space="preserve">(DELWP, Barwon South West Region) </w:t>
      </w:r>
      <w:r w:rsidRPr="00C866BC">
        <w:t>assisted in developing the research protocols and direction.</w:t>
      </w:r>
      <w:r w:rsidR="00285836">
        <w:t xml:space="preserve"> </w:t>
      </w:r>
      <w:r w:rsidRPr="00C866BC">
        <w:t xml:space="preserve">Evelyn Nicholson and David Pitts </w:t>
      </w:r>
      <w:r w:rsidR="00A9728D">
        <w:t xml:space="preserve">(DELWP, Barwon South West Region) </w:t>
      </w:r>
      <w:r w:rsidRPr="00C866BC">
        <w:t>provided field support for Tyrendarra Flora Reserve</w:t>
      </w:r>
      <w:r w:rsidR="00A9728D">
        <w:t>,</w:t>
      </w:r>
      <w:r w:rsidRPr="00C866BC">
        <w:t xml:space="preserve"> and David Pitts and Andrew Pritchard assisted with data collection at </w:t>
      </w:r>
      <w:proofErr w:type="spellStart"/>
      <w:r w:rsidRPr="00C866BC">
        <w:t>Kurtonitj</w:t>
      </w:r>
      <w:proofErr w:type="spellEnd"/>
      <w:r w:rsidRPr="00C866BC">
        <w:t xml:space="preserve"> Indigenous Protected Area.</w:t>
      </w:r>
      <w:r w:rsidR="00285836">
        <w:t xml:space="preserve"> </w:t>
      </w:r>
      <w:r w:rsidRPr="00C866BC">
        <w:t xml:space="preserve">Matt White </w:t>
      </w:r>
      <w:r w:rsidR="00A9728D">
        <w:t>[</w:t>
      </w:r>
      <w:r w:rsidRPr="00C866BC">
        <w:t xml:space="preserve">Arthur </w:t>
      </w:r>
      <w:proofErr w:type="spellStart"/>
      <w:r w:rsidRPr="00C866BC">
        <w:t>Rylah</w:t>
      </w:r>
      <w:proofErr w:type="spellEnd"/>
      <w:r w:rsidRPr="00C866BC">
        <w:t xml:space="preserve"> Institute</w:t>
      </w:r>
      <w:r w:rsidR="00A9728D">
        <w:t xml:space="preserve"> for Environmental Research (ARI</w:t>
      </w:r>
      <w:r w:rsidRPr="00C866BC">
        <w:t>)</w:t>
      </w:r>
      <w:r w:rsidR="00A9728D">
        <w:t>]</w:t>
      </w:r>
      <w:r w:rsidRPr="00C866BC">
        <w:t xml:space="preserve"> produced </w:t>
      </w:r>
      <w:r w:rsidR="005574FB">
        <w:t>Koala</w:t>
      </w:r>
      <w:r w:rsidRPr="00C866BC">
        <w:t xml:space="preserve"> habitat suitability modelling to assist with site selection, and Peter </w:t>
      </w:r>
      <w:proofErr w:type="spellStart"/>
      <w:r w:rsidRPr="00C866BC">
        <w:t>Menkhorst</w:t>
      </w:r>
      <w:proofErr w:type="spellEnd"/>
      <w:r w:rsidRPr="00C866BC">
        <w:t xml:space="preserve"> and Tim O’Brien </w:t>
      </w:r>
      <w:r w:rsidR="00A9728D">
        <w:t xml:space="preserve">(ARI) </w:t>
      </w:r>
      <w:r w:rsidRPr="00C866BC">
        <w:t>provided valuable advice and logistical support.</w:t>
      </w:r>
      <w:r w:rsidR="00285836">
        <w:t xml:space="preserve"> </w:t>
      </w:r>
      <w:r w:rsidRPr="00C866BC">
        <w:t>Jack Pascoe (Conservation Ecology Centre) provided background information on field assessments around Cape Otway.</w:t>
      </w:r>
      <w:r w:rsidR="00285836">
        <w:t xml:space="preserve"> </w:t>
      </w:r>
      <w:r w:rsidRPr="00C866BC">
        <w:t xml:space="preserve">Additional </w:t>
      </w:r>
      <w:r w:rsidR="005574FB">
        <w:t>Koala</w:t>
      </w:r>
      <w:r w:rsidRPr="00C866BC">
        <w:t xml:space="preserve"> and tree condition data were provided by Australian Ecological Research Services and </w:t>
      </w:r>
      <w:proofErr w:type="spellStart"/>
      <w:r w:rsidRPr="00C866BC">
        <w:t>Biosis</w:t>
      </w:r>
      <w:proofErr w:type="spellEnd"/>
      <w:r w:rsidRPr="00C866BC">
        <w:t xml:space="preserve"> Research (via Lorraine Taylor, Parks Victoria), </w:t>
      </w:r>
      <w:proofErr w:type="spellStart"/>
      <w:r w:rsidRPr="00C866BC">
        <w:t>Desley</w:t>
      </w:r>
      <w:proofErr w:type="spellEnd"/>
      <w:r w:rsidRPr="00C866BC">
        <w:t xml:space="preserve"> </w:t>
      </w:r>
      <w:proofErr w:type="spellStart"/>
      <w:r w:rsidRPr="00C866BC">
        <w:t>Whisson</w:t>
      </w:r>
      <w:proofErr w:type="spellEnd"/>
      <w:r w:rsidRPr="00C866BC">
        <w:t xml:space="preserve"> (Deakin University), Alistair Melzer (Central Queensland University) and Jack Pascoe (Conservation Ecology </w:t>
      </w:r>
      <w:r w:rsidR="00A9728D" w:rsidRPr="00C866BC">
        <w:t>Cent</w:t>
      </w:r>
      <w:r w:rsidR="00A9728D">
        <w:t>re</w:t>
      </w:r>
      <w:r w:rsidRPr="00C866BC">
        <w:t xml:space="preserve">). Kasey </w:t>
      </w:r>
      <w:proofErr w:type="spellStart"/>
      <w:r w:rsidRPr="00C866BC">
        <w:t>Stamation</w:t>
      </w:r>
      <w:proofErr w:type="spellEnd"/>
      <w:r w:rsidRPr="00C866BC">
        <w:t xml:space="preserve"> (A</w:t>
      </w:r>
      <w:r w:rsidR="00A9728D">
        <w:t>RI</w:t>
      </w:r>
      <w:r w:rsidRPr="00C866BC">
        <w:t>) developed the access database.</w:t>
      </w:r>
    </w:p>
    <w:p w:rsidR="004D167B" w:rsidRDefault="004D167B" w:rsidP="00606707">
      <w:pPr>
        <w:pStyle w:val="ARIERBody"/>
      </w:pPr>
    </w:p>
    <w:p w:rsidR="004D167B" w:rsidRDefault="004D167B" w:rsidP="00606707">
      <w:pPr>
        <w:pStyle w:val="ARIERBody"/>
      </w:pPr>
    </w:p>
    <w:p w:rsidR="004D167B" w:rsidRDefault="004D167B" w:rsidP="003B1492">
      <w:pPr>
        <w:pStyle w:val="ARIERHA"/>
        <w:spacing w:after="480"/>
        <w:rPr>
          <w:rStyle w:val="Heading1Char"/>
          <w:rFonts w:ascii="Calibri" w:hAnsi="Calibri"/>
          <w:b/>
          <w:bCs w:val="0"/>
          <w:kern w:val="0"/>
        </w:rPr>
        <w:sectPr w:rsidR="004D167B" w:rsidSect="003F031A">
          <w:headerReference w:type="default" r:id="rId25"/>
          <w:footerReference w:type="default" r:id="rId26"/>
          <w:type w:val="continuous"/>
          <w:pgSz w:w="11907" w:h="16840" w:code="9"/>
          <w:pgMar w:top="1276" w:right="1134" w:bottom="1134" w:left="1134" w:header="709" w:footer="410" w:gutter="0"/>
          <w:pgNumType w:fmt="lowerRoman"/>
          <w:cols w:space="708"/>
          <w:formProt w:val="0"/>
          <w:docGrid w:linePitch="360"/>
        </w:sectPr>
      </w:pPr>
      <w:bookmarkStart w:id="11" w:name="_Toc409798396"/>
      <w:bookmarkStart w:id="12" w:name="_Toc286018759"/>
    </w:p>
    <w:p w:rsidR="00606707" w:rsidRPr="003F031A" w:rsidRDefault="00606707" w:rsidP="00011E1A">
      <w:pPr>
        <w:pStyle w:val="ARIERHA"/>
        <w:spacing w:after="240" w:line="240" w:lineRule="auto"/>
      </w:pPr>
      <w:bookmarkStart w:id="13" w:name="_Toc455406119"/>
      <w:r w:rsidRPr="003F031A">
        <w:lastRenderedPageBreak/>
        <w:t>Summary</w:t>
      </w:r>
      <w:bookmarkEnd w:id="11"/>
      <w:bookmarkEnd w:id="12"/>
      <w:bookmarkEnd w:id="13"/>
    </w:p>
    <w:p w:rsidR="00C866BC" w:rsidRPr="00147A1D" w:rsidRDefault="00A517BD" w:rsidP="00147A1D">
      <w:pPr>
        <w:rPr>
          <w:b/>
        </w:rPr>
      </w:pPr>
      <w:bookmarkStart w:id="14" w:name="_Toc409798398"/>
      <w:r w:rsidRPr="00147A1D">
        <w:rPr>
          <w:b/>
        </w:rPr>
        <w:t>Background</w:t>
      </w:r>
    </w:p>
    <w:p w:rsidR="00A517BD" w:rsidRDefault="00A517BD" w:rsidP="00A517BD">
      <w:pPr>
        <w:pStyle w:val="ARIERBody"/>
      </w:pPr>
      <w:r>
        <w:t>High densities of Koalas in south-western Victoria have resulted in unsustainable browsing pressure on native trees in many areas on both private and public land</w:t>
      </w:r>
      <w:r>
        <w:fldChar w:fldCharType="begin"/>
      </w:r>
      <w:r>
        <w:instrText xml:space="preserve"> ADDIN ZOTERO_ITEM CSL_CITATION {"citationID":"1ktqkbd2me","properties":{"formattedCitation":"(DELWP 2015b)","plainCitation":"(DELWP 2015b)"},"citationItems":[{"id":5238,"uris":["http://zotero.org/users/634364/items/4GPR8JQR"],"uri":["http://zotero.org/users/634364/items/4GPR8JQR"],"itemData":{"id":5238,"type":"article","title":"Koalas at Cape Otway","publisher":"Department of Environment, Land, Water and Planning","URL":"http://delwp.vic.gov.au/environment-and-wildlife/wildlife/koalas","author":[{"family":"DELWP","given":""}],"issued":{"date-parts":[["2015"]]},"accessed":{"date-parts":[["2016",5,20]]}}}],"schema":"https://github.com/citation-style-language/schema/raw/master/csl-citation.json"} </w:instrText>
      </w:r>
      <w:r>
        <w:fldChar w:fldCharType="end"/>
      </w:r>
      <w:r>
        <w:t xml:space="preserve">. This browsing pressure has led to excessive defoliation of tree canopies, resulting in the death of many trees—which, in turn, has resulted in increased competition for food and the eventual starvation and death of Koalas. </w:t>
      </w:r>
      <w:r w:rsidR="001C018E">
        <w:t xml:space="preserve"> This problem was highlighted recently in 2013 </w:t>
      </w:r>
      <w:r>
        <w:t>at Cape Otway</w:t>
      </w:r>
      <w:r w:rsidR="001C018E">
        <w:t xml:space="preserve"> where</w:t>
      </w:r>
      <w:r>
        <w:t xml:space="preserve"> Koala population</w:t>
      </w:r>
      <w:r w:rsidR="001C018E">
        <w:t>s</w:t>
      </w:r>
      <w:r>
        <w:t xml:space="preserve"> had </w:t>
      </w:r>
      <w:r w:rsidRPr="008C4522">
        <w:t xml:space="preserve">reached 20 </w:t>
      </w:r>
      <w:r>
        <w:t>Koalas per hectare in some areas</w:t>
      </w:r>
      <w:r w:rsidRPr="001F252D">
        <w:fldChar w:fldCharType="begin"/>
      </w:r>
      <w:r w:rsidRPr="008C4522">
        <w:instrText xml:space="preserve"> ADDIN ZOTERO_ITEM CSL_CITATION {"citationID":"2pi262atq2","properties":{"formattedCitation":"{\\rtf (Whisson {\\i{}et al.} 2016)}","plainCitation":"(Whisson et al. 2016)"},"citationItems":[{"id":1423,"uris":["http://zotero.org/users/634364/items/SFNS2XS4"],"uri":["http://zotero.org/users/634364/items/SFNS2XS4"],"itemData":{"id":1423,"type":"article-journal","title":"Failure to Respond to Food Resource Decline Has Catastrophic Consequences for Koalas in a High-Density Population in Southern Australia","container-title":"PLOS ONE","page":"e0144348","volume":"11","issue":"1","source":"PLoS Journals","abstract":"Understanding the ability of koalas to respond to changes in their environment is critical for conservation of the species and their habitat. We monitored the behavioural response of koalas to declining food resources in manna gum ( Eucalyptus viminalis ) woodland at Cape Otway, Victoria, Australia, from September 2011 to November 2013. Over this period, koala population density increased from 10.1 to 18.4 koalas.ha -1 . As a result of the high browsing pressure of this population, manna gum canopy condition declined with 71.4% manna gum being completely or highly defoliated in September 2013. Despite declining food resources, radio collared koalas (N = 30) exhibited high fidelity to small ranges (0.4–1.2 ha). When trees became severely defoliated in September 2013, koalas moved relatively short distances from their former ranges (mean predicted change in range centroid = 144 m) and remained in areas of 0.9 to 1.0 ha. This was despite the high connectivity of most manna gum woodland, and close proximity of the study site (&amp;lt; 3 km) to the contiguous mixed forest of the Great Otway National Park. Limited movement had catastrophic consequences for koalas with 71% (15/21) of radio collared koalas dying from starvation or being euthanased due to their poor condition between September and November 2013.","DOI":"10.1371/journal.pone.0144348","ISSN":"1932-6203","journalAbbreviation":"PLOS ONE","author":[{"family":"Whisson","given":"Desley A."},{"family":"Dixon","given":"Victoria"},{"family":"Taylor","given":"Megan L."},{"family":"Melzer","given":"Alistair"}],"issued":{"date-parts":[["2016",1,6]]}}}],"schema":"https://github.com/citation-style-language/schema/raw/master/csl-citation.json"} </w:instrText>
      </w:r>
      <w:r w:rsidRPr="001F252D">
        <w:fldChar w:fldCharType="end"/>
      </w:r>
      <w:r w:rsidRPr="008C4522">
        <w:t xml:space="preserve">. </w:t>
      </w:r>
      <w:r w:rsidR="008724EC">
        <w:t xml:space="preserve">  However, b</w:t>
      </w:r>
      <w:r w:rsidRPr="008C4522">
        <w:t xml:space="preserve">y the time </w:t>
      </w:r>
      <w:r>
        <w:t>Koala</w:t>
      </w:r>
      <w:r w:rsidRPr="008C4522">
        <w:t>s were observed to be</w:t>
      </w:r>
      <w:r>
        <w:t xml:space="preserve"> in distress or malnourished, severe canopy defoliation and tree deaths had already occurred in many cases</w:t>
      </w:r>
      <w:r>
        <w:fldChar w:fldCharType="begin"/>
      </w:r>
      <w:r>
        <w:instrText xml:space="preserve"> ADDIN ZOTERO_ITEM CSL_CITATION {"citationID":"101t889bgt","properties":{"formattedCitation":"(DELWP 2015a)","plainCitation":"(DELWP 2015a)"},"citationItems":[{"id":5237,"uris":["http://zotero.org/users/634364/items/9WGFXC7D"],"uri":["http://zotero.org/users/634364/items/9WGFXC7D"],"itemData":{"id":5237,"type":"article","title":"Cape Otway Koala Management Actions","publisher":"Department of Environment, Land, Water and Planning, Barwon South West Region","URL":"http://delwp.vic.gov.au/environment-and-wildlife/wildlife/koalas","author":[{"family":"DELWP","given":""}],"issued":{"date-parts":[["2015"]]},"accessed":{"date-parts":[["2016",5,20]]}}}],"schema":"https://github.com/citation-style-language/schema/raw/master/csl-citation.json"} </w:instrText>
      </w:r>
      <w:r>
        <w:fldChar w:fldCharType="end"/>
      </w:r>
      <w:r>
        <w:t>.</w:t>
      </w:r>
      <w:r w:rsidR="00D8236E">
        <w:t xml:space="preserve"> </w:t>
      </w:r>
      <w:r>
        <w:t xml:space="preserve">The main lesson learned from this was that initiating intervention at the time when malnourished and/or distressed Koalas were being observed was too late either to save Koalas or to avoid irreversible canopy decline. </w:t>
      </w:r>
    </w:p>
    <w:p w:rsidR="00147A1D" w:rsidRPr="001774A6" w:rsidRDefault="00A517BD" w:rsidP="00147A1D">
      <w:pPr>
        <w:rPr>
          <w:b/>
        </w:rPr>
      </w:pPr>
      <w:r w:rsidRPr="001774A6">
        <w:rPr>
          <w:b/>
        </w:rPr>
        <w:t>Aims</w:t>
      </w:r>
    </w:p>
    <w:p w:rsidR="00A517BD" w:rsidRDefault="001C018E" w:rsidP="00147A1D">
      <w:pPr>
        <w:pStyle w:val="ARIERBody"/>
      </w:pPr>
      <w:r>
        <w:t xml:space="preserve">This study addresses two actions proposed in the </w:t>
      </w:r>
      <w:r w:rsidR="00A517BD">
        <w:t xml:space="preserve">Cape Otway Koala Management Plan </w:t>
      </w:r>
      <w:r w:rsidR="00A517BD">
        <w:fldChar w:fldCharType="begin"/>
      </w:r>
      <w:r w:rsidR="00A517BD">
        <w:instrText xml:space="preserve"> ADDIN ZOTERO_ITEM CSL_CITATION {"citationID":"dbr1g3ms4","properties":{"formattedCitation":"(DELWP 2015a)","plainCitation":"(DELWP 2015a)"},"citationItems":[{"id":5237,"uris":["http://zotero.org/users/634364/items/9WGFXC7D"],"uri":["http://zotero.org/users/634364/items/9WGFXC7D"],"itemData":{"id":5237,"type":"article","title":"Cape Otway Koala Management Actions","publisher":"Department of Environment, Land, Water and Planning, Barwon South West Region","URL":"http://delwp.vic.gov.au/environment-and-wildlife/wildlife/koalas","author":[{"family":"DELWP","given":""}],"issued":{"date-parts":[["2015"]]},"accessed":{"date-parts":[["2016",5,20]]}}}],"schema":"https://github.com/citation-style-language/schema/raw/master/csl-citation.json"} </w:instrText>
      </w:r>
      <w:r w:rsidR="00A517BD">
        <w:fldChar w:fldCharType="separate"/>
      </w:r>
      <w:r w:rsidR="00A517BD" w:rsidRPr="00104731">
        <w:t>(DELWP 2015a)</w:t>
      </w:r>
      <w:r w:rsidR="00A517BD">
        <w:fldChar w:fldCharType="end"/>
      </w:r>
      <w:r w:rsidR="00A517BD">
        <w:t>:</w:t>
      </w:r>
    </w:p>
    <w:p w:rsidR="00A517BD" w:rsidRDefault="00A517BD" w:rsidP="002E060D">
      <w:pPr>
        <w:pStyle w:val="ARIERBody"/>
        <w:numPr>
          <w:ilvl w:val="0"/>
          <w:numId w:val="42"/>
        </w:numPr>
        <w:spacing w:after="0"/>
        <w:ind w:left="426" w:hanging="412"/>
      </w:pPr>
      <w:r>
        <w:t xml:space="preserve">Develop a habitat health trigger for initiating Koala management </w:t>
      </w:r>
      <w:r w:rsidR="00882602">
        <w:t xml:space="preserve">actions </w:t>
      </w:r>
      <w:r>
        <w:t>(e.g. welfare intervention, fertility control, or translocation).</w:t>
      </w:r>
    </w:p>
    <w:p w:rsidR="00A517BD" w:rsidRDefault="00A517BD" w:rsidP="002E060D">
      <w:pPr>
        <w:pStyle w:val="ARIERBody"/>
        <w:numPr>
          <w:ilvl w:val="0"/>
          <w:numId w:val="42"/>
        </w:numPr>
        <w:spacing w:after="0"/>
        <w:ind w:left="426" w:hanging="412"/>
      </w:pPr>
      <w:r>
        <w:t>Determine the carrying capacity and population targets for Cape Otway Koala habitats.</w:t>
      </w:r>
    </w:p>
    <w:p w:rsidR="002E060D" w:rsidRDefault="002E060D" w:rsidP="002E060D">
      <w:pPr>
        <w:pStyle w:val="ARIERBody"/>
        <w:spacing w:after="0"/>
        <w:ind w:left="426"/>
      </w:pPr>
    </w:p>
    <w:p w:rsidR="00A517BD" w:rsidRPr="00147A1D" w:rsidRDefault="006034A0" w:rsidP="00147A1D">
      <w:pPr>
        <w:rPr>
          <w:b/>
        </w:rPr>
      </w:pPr>
      <w:r w:rsidRPr="00147A1D">
        <w:rPr>
          <w:b/>
        </w:rPr>
        <w:t>Methods</w:t>
      </w:r>
    </w:p>
    <w:p w:rsidR="007F1189" w:rsidRDefault="007F1189" w:rsidP="006034A0">
      <w:pPr>
        <w:pStyle w:val="ARIERBody"/>
        <w:rPr>
          <w:i/>
        </w:rPr>
      </w:pPr>
      <w:r w:rsidRPr="007F1189">
        <w:rPr>
          <w:i/>
        </w:rPr>
        <w:t>Habitat health trigger</w:t>
      </w:r>
    </w:p>
    <w:p w:rsidR="006034A0" w:rsidRPr="00C866BC" w:rsidRDefault="00AE611D" w:rsidP="006034A0">
      <w:pPr>
        <w:pStyle w:val="ARIERBody"/>
      </w:pPr>
      <w:r>
        <w:t>A</w:t>
      </w:r>
      <w:r w:rsidR="006034A0" w:rsidRPr="00C866BC">
        <w:t xml:space="preserve"> habitat health trigger </w:t>
      </w:r>
      <w:r>
        <w:t>was developed using a</w:t>
      </w:r>
      <w:r w:rsidR="006034A0" w:rsidRPr="00C866BC">
        <w:t xml:space="preserve"> relationship between canopy </w:t>
      </w:r>
      <w:r>
        <w:t>projected foliage cover (PFC)</w:t>
      </w:r>
      <w:r w:rsidR="006034A0" w:rsidRPr="00C866BC">
        <w:t xml:space="preserve"> and tree mortality </w:t>
      </w:r>
      <w:r w:rsidR="006034A0">
        <w:t xml:space="preserve">so as </w:t>
      </w:r>
      <w:r w:rsidR="006034A0" w:rsidRPr="00C866BC">
        <w:t xml:space="preserve">to determine a potential </w:t>
      </w:r>
      <w:r>
        <w:t>‘foliar cover</w:t>
      </w:r>
      <w:r w:rsidR="006034A0" w:rsidRPr="00C866BC">
        <w:t xml:space="preserve"> threshold</w:t>
      </w:r>
      <w:r>
        <w:t>’</w:t>
      </w:r>
      <w:r w:rsidR="006034A0" w:rsidRPr="00C866BC">
        <w:t>.</w:t>
      </w:r>
      <w:r w:rsidR="006034A0">
        <w:t xml:space="preserve"> </w:t>
      </w:r>
      <w:r w:rsidR="006034A0" w:rsidRPr="00C866BC">
        <w:t xml:space="preserve">The </w:t>
      </w:r>
      <w:r>
        <w:t>foliar cover threshold is an estimate of the point at which,</w:t>
      </w:r>
      <w:r w:rsidR="006034A0" w:rsidRPr="00C866BC">
        <w:t xml:space="preserve"> if </w:t>
      </w:r>
      <w:r w:rsidR="00775025">
        <w:t xml:space="preserve">an individual trees </w:t>
      </w:r>
      <w:r>
        <w:t>PFC</w:t>
      </w:r>
      <w:r w:rsidR="006034A0" w:rsidRPr="00C866BC">
        <w:t xml:space="preserve"> </w:t>
      </w:r>
      <w:r w:rsidR="006034A0">
        <w:t xml:space="preserve">drops below the </w:t>
      </w:r>
      <w:r w:rsidR="006034A0" w:rsidRPr="00C866BC">
        <w:t xml:space="preserve">threshold, even a substantial reduction in </w:t>
      </w:r>
      <w:r w:rsidR="006034A0">
        <w:t>Koala</w:t>
      </w:r>
      <w:r w:rsidR="006034A0" w:rsidRPr="00C866BC">
        <w:t xml:space="preserve"> abundance may be insufficient to reverse continued canopy decline and </w:t>
      </w:r>
      <w:r w:rsidR="006034A0">
        <w:t xml:space="preserve">to </w:t>
      </w:r>
      <w:r w:rsidR="006034A0" w:rsidRPr="00C866BC">
        <w:t>avoid subsequent tree death.</w:t>
      </w:r>
      <w:r w:rsidR="007F1189">
        <w:t xml:space="preserve">  T</w:t>
      </w:r>
      <w:r w:rsidR="006034A0" w:rsidRPr="00C866BC">
        <w:t xml:space="preserve">he relationship between </w:t>
      </w:r>
      <w:r w:rsidR="007F1189">
        <w:t>PFC</w:t>
      </w:r>
      <w:r w:rsidR="006034A0" w:rsidRPr="00C866BC">
        <w:t xml:space="preserve"> and tree mortality </w:t>
      </w:r>
      <w:r w:rsidR="007F1189">
        <w:t>was estimated from 865 tagged Manna Gum trees over a 10-year period</w:t>
      </w:r>
      <w:r w:rsidR="006034A0" w:rsidRPr="00C866BC">
        <w:t xml:space="preserve"> fr</w:t>
      </w:r>
      <w:r w:rsidR="007F1189">
        <w:t>om</w:t>
      </w:r>
      <w:r w:rsidR="006034A0" w:rsidRPr="00C866BC">
        <w:t xml:space="preserve"> M</w:t>
      </w:r>
      <w:r w:rsidR="006034A0">
        <w:t>oun</w:t>
      </w:r>
      <w:r w:rsidR="006034A0" w:rsidRPr="00C866BC">
        <w:t>t Eccles National Park.</w:t>
      </w:r>
    </w:p>
    <w:p w:rsidR="00E4677B" w:rsidRDefault="00D8236E" w:rsidP="006034A0">
      <w:pPr>
        <w:pStyle w:val="ARIERBody"/>
      </w:pPr>
      <w:r>
        <w:t xml:space="preserve">We assessed </w:t>
      </w:r>
      <w:r w:rsidR="008E292E">
        <w:t>Koala abundance and canopy PFC for several eucalypt species at 23 sites in the Barwon South West region, including several sites at Cape Otway</w:t>
      </w:r>
      <w:r w:rsidRPr="00C866BC">
        <w:t>.</w:t>
      </w:r>
      <w:r w:rsidR="008E292E">
        <w:t xml:space="preserve">  At each site, we then determined whether the PFC estimate for individual sampled trees fell below the foliar cover threshold.  Trees with a PFC estimate below the threshold were classified as ‘defoliated’.</w:t>
      </w:r>
      <w:r>
        <w:t xml:space="preserve"> </w:t>
      </w:r>
      <w:r w:rsidR="008E292E">
        <w:t xml:space="preserve">  The proportion of defoliated trees for each eucalypt species was used to estimate the ‘canopy defoliation level’.  The canopy defoliation level was then estimated for the site as a whole by combining estimates for each eucalypt species using a weighted mean.</w:t>
      </w:r>
      <w:r w:rsidR="007D6E36">
        <w:t xml:space="preserve">  </w:t>
      </w:r>
    </w:p>
    <w:p w:rsidR="007D6E36" w:rsidRPr="007D6E36" w:rsidRDefault="007D6E36" w:rsidP="006034A0">
      <w:pPr>
        <w:pStyle w:val="ARIERBody"/>
        <w:rPr>
          <w:i/>
        </w:rPr>
      </w:pPr>
      <w:r w:rsidRPr="007D6E36">
        <w:rPr>
          <w:i/>
        </w:rPr>
        <w:t>Carry-capacity for Cape Otway Koala habitat</w:t>
      </w:r>
    </w:p>
    <w:p w:rsidR="003E7100" w:rsidRDefault="003E7100" w:rsidP="003E7100">
      <w:pPr>
        <w:pStyle w:val="ARIERBody"/>
      </w:pPr>
      <w:r>
        <w:t xml:space="preserve">Data </w:t>
      </w:r>
      <w:r w:rsidR="007D6E36">
        <w:t xml:space="preserve">on Koala abundance and canopy PFC for Manna Gum </w:t>
      </w:r>
      <w:r>
        <w:t xml:space="preserve">from a long-term </w:t>
      </w:r>
      <w:r w:rsidR="007D6E36">
        <w:t xml:space="preserve">(8-year) </w:t>
      </w:r>
      <w:r>
        <w:t xml:space="preserve">study at a number of sites </w:t>
      </w:r>
      <w:r w:rsidR="00E4677B">
        <w:t xml:space="preserve">on private land </w:t>
      </w:r>
      <w:r>
        <w:t>at Cape Otway was used to fit a multivariate state–space model of both the population dynamics of Koalas and Manna Gum canopy foliage cover.</w:t>
      </w:r>
      <w:r w:rsidR="007D6E36">
        <w:t xml:space="preserve">   The equilibrium points from this model were then used to estimate the carrying-capacity of Koalas for Manna Gum woodland at Cape Otway.</w:t>
      </w:r>
    </w:p>
    <w:p w:rsidR="006034A0" w:rsidRPr="00147A1D" w:rsidRDefault="006034A0" w:rsidP="00147A1D">
      <w:pPr>
        <w:rPr>
          <w:b/>
        </w:rPr>
      </w:pPr>
      <w:r w:rsidRPr="00147A1D">
        <w:rPr>
          <w:b/>
        </w:rPr>
        <w:t>Results</w:t>
      </w:r>
    </w:p>
    <w:p w:rsidR="00E4677B" w:rsidRPr="00E4677B" w:rsidRDefault="00E4677B" w:rsidP="00F6205D">
      <w:pPr>
        <w:pStyle w:val="ARIERBody"/>
        <w:rPr>
          <w:i/>
        </w:rPr>
      </w:pPr>
      <w:r w:rsidRPr="00E4677B">
        <w:rPr>
          <w:i/>
        </w:rPr>
        <w:t>Habitat health trigger</w:t>
      </w:r>
    </w:p>
    <w:p w:rsidR="00C866BC" w:rsidRDefault="00C866BC" w:rsidP="00F6205D">
      <w:pPr>
        <w:pStyle w:val="ARIERBody"/>
      </w:pPr>
      <w:r>
        <w:t xml:space="preserve">The estimated mortality rate of </w:t>
      </w:r>
      <w:r w:rsidR="00FF1DB9">
        <w:t>Manna Gum</w:t>
      </w:r>
      <w:r>
        <w:t xml:space="preserve"> trees over a 10-year period indicated that mortality was strongly related to </w:t>
      </w:r>
      <w:r w:rsidR="007D6E36">
        <w:t>PFC</w:t>
      </w:r>
      <w:r>
        <w:t>.</w:t>
      </w:r>
      <w:r w:rsidR="00285836">
        <w:t xml:space="preserve"> </w:t>
      </w:r>
      <w:r>
        <w:t xml:space="preserve">The estimated mortality rate </w:t>
      </w:r>
      <w:r w:rsidR="00281D35">
        <w:t>was very low</w:t>
      </w:r>
      <w:r>
        <w:t xml:space="preserve"> when </w:t>
      </w:r>
      <w:r w:rsidR="007D6E36">
        <w:t>PFC</w:t>
      </w:r>
      <w:r>
        <w:t xml:space="preserve"> was </w:t>
      </w:r>
      <w:r w:rsidR="00281D35">
        <w:t>&gt;</w:t>
      </w:r>
      <w:r>
        <w:t xml:space="preserve">50% </w:t>
      </w:r>
      <w:r w:rsidR="00285E0F">
        <w:t xml:space="preserve">, while </w:t>
      </w:r>
      <w:r w:rsidR="007D6E36">
        <w:t xml:space="preserve">PFC </w:t>
      </w:r>
      <w:r>
        <w:t xml:space="preserve">levels of &lt;10% resulted in mortality rates </w:t>
      </w:r>
      <w:r w:rsidR="00281D35">
        <w:t xml:space="preserve">of </w:t>
      </w:r>
      <w:r>
        <w:t>between 0.3</w:t>
      </w:r>
      <w:r w:rsidR="00281D35">
        <w:t xml:space="preserve"> and </w:t>
      </w:r>
      <w:r>
        <w:t>0.5 trees per annum.</w:t>
      </w:r>
      <w:r w:rsidR="00285836">
        <w:t xml:space="preserve"> </w:t>
      </w:r>
      <w:r>
        <w:t xml:space="preserve">Based on this relationship, we selected a </w:t>
      </w:r>
      <w:r w:rsidR="007D6E36">
        <w:t xml:space="preserve">PFC </w:t>
      </w:r>
      <w:r>
        <w:t>of 25%</w:t>
      </w:r>
      <w:r w:rsidR="007D6E36">
        <w:t xml:space="preserve"> as the ‘foliar cover threshold’</w:t>
      </w:r>
      <w:r>
        <w:t>.</w:t>
      </w:r>
    </w:p>
    <w:p w:rsidR="007D6E36" w:rsidRDefault="007D6E36" w:rsidP="007D6E36">
      <w:pPr>
        <w:pStyle w:val="ARIERBody"/>
      </w:pPr>
      <w:r>
        <w:t xml:space="preserve">Canopy defoliation levels (proportion of trees with PFC &lt;25%) at 23 sites sampled in the Barwon South West region showed a strong relationship to Koala density for a number of eucalypt species preferred by Koalas. Canopy defoliation levels for Manna Gum had the strongest relationship with Koala density, increasing to </w:t>
      </w:r>
      <w:r w:rsidR="002B1912">
        <w:t>0.6</w:t>
      </w:r>
      <w:r>
        <w:t xml:space="preserve">6 at Koala densities of 1.6 Koalas/ha. </w:t>
      </w:r>
      <w:r w:rsidR="002B1912">
        <w:t xml:space="preserve"> At a Koala density of 0.90 Koalas/ha, canopy defoliations levels were predicted to be less than 0.4.  </w:t>
      </w:r>
      <w:r>
        <w:t xml:space="preserve">Canopy defoliation levels for other eucalypt species were generally much lower than for Manna </w:t>
      </w:r>
      <w:r w:rsidR="007E7A83">
        <w:t>Gum.</w:t>
      </w:r>
    </w:p>
    <w:p w:rsidR="00E4677B" w:rsidRPr="007D6E36" w:rsidRDefault="00E4677B" w:rsidP="00E4677B">
      <w:pPr>
        <w:pStyle w:val="ARIERBody"/>
        <w:rPr>
          <w:i/>
        </w:rPr>
      </w:pPr>
      <w:r w:rsidRPr="007D6E36">
        <w:rPr>
          <w:i/>
        </w:rPr>
        <w:lastRenderedPageBreak/>
        <w:t>Carry-capacity for Cape Otway Koala habitat</w:t>
      </w:r>
    </w:p>
    <w:p w:rsidR="00C866BC" w:rsidRDefault="00C866BC" w:rsidP="00F6205D">
      <w:pPr>
        <w:pStyle w:val="ARIERBody"/>
      </w:pPr>
      <w:r>
        <w:t xml:space="preserve">Data </w:t>
      </w:r>
      <w:r w:rsidR="00B46FF1">
        <w:t xml:space="preserve">for </w:t>
      </w:r>
      <w:r w:rsidR="005574FB">
        <w:t>Koala</w:t>
      </w:r>
      <w:r>
        <w:t xml:space="preserve"> densities and PFC of </w:t>
      </w:r>
      <w:r w:rsidR="00FF1DB9">
        <w:t>Manna Gum</w:t>
      </w:r>
      <w:r>
        <w:t xml:space="preserve">s from sites on privately owned land at Cape Otway indicated that </w:t>
      </w:r>
      <w:r w:rsidR="005574FB">
        <w:t>Koala</w:t>
      </w:r>
      <w:r>
        <w:t xml:space="preserve"> densities averaged </w:t>
      </w:r>
      <w:r w:rsidR="00B46FF1">
        <w:t>~</w:t>
      </w:r>
      <w:r>
        <w:t xml:space="preserve">10 </w:t>
      </w:r>
      <w:r w:rsidR="005574FB">
        <w:t>Koala</w:t>
      </w:r>
      <w:r>
        <w:t>s/ha from 2008</w:t>
      </w:r>
      <w:r w:rsidR="00B46FF1">
        <w:t xml:space="preserve"> to </w:t>
      </w:r>
      <w:r>
        <w:t>2011</w:t>
      </w:r>
      <w:r w:rsidR="00B46FF1">
        <w:t>,</w:t>
      </w:r>
      <w:r>
        <w:t xml:space="preserve"> increasing to </w:t>
      </w:r>
      <w:r w:rsidR="00B46FF1">
        <w:t>~</w:t>
      </w:r>
      <w:r>
        <w:t xml:space="preserve">15 </w:t>
      </w:r>
      <w:r w:rsidR="005574FB">
        <w:t>Koala</w:t>
      </w:r>
      <w:r>
        <w:t xml:space="preserve">s/ha in 2013 before plummeting to </w:t>
      </w:r>
      <w:r w:rsidR="00B46FF1">
        <w:t>~</w:t>
      </w:r>
      <w:r>
        <w:t xml:space="preserve">4 </w:t>
      </w:r>
      <w:r w:rsidR="005574FB">
        <w:t>Koala</w:t>
      </w:r>
      <w:r>
        <w:t>s/ha in 2014.</w:t>
      </w:r>
      <w:r w:rsidR="00285836">
        <w:t xml:space="preserve"> </w:t>
      </w:r>
      <w:r>
        <w:t>Th</w:t>
      </w:r>
      <w:r w:rsidR="00E42ECC">
        <w:t xml:space="preserve">e </w:t>
      </w:r>
      <w:r>
        <w:t xml:space="preserve">decline in </w:t>
      </w:r>
      <w:r w:rsidR="005574FB">
        <w:t>Koala</w:t>
      </w:r>
      <w:r>
        <w:t xml:space="preserve"> </w:t>
      </w:r>
      <w:r w:rsidR="00B46FF1">
        <w:t xml:space="preserve">density was </w:t>
      </w:r>
      <w:r w:rsidR="00EF3938">
        <w:t>preceded</w:t>
      </w:r>
      <w:r>
        <w:t xml:space="preserve"> in all cases by </w:t>
      </w:r>
      <w:r w:rsidR="00B46FF1">
        <w:t xml:space="preserve">a </w:t>
      </w:r>
      <w:r>
        <w:t>large</w:t>
      </w:r>
      <w:r w:rsidR="00285836">
        <w:t xml:space="preserve"> </w:t>
      </w:r>
      <w:r>
        <w:t xml:space="preserve">decline in canopy cover of the </w:t>
      </w:r>
      <w:r w:rsidR="00FF1DB9">
        <w:t>Manna Gum</w:t>
      </w:r>
      <w:r>
        <w:t xml:space="preserve"> forest due to high browsing pressure.</w:t>
      </w:r>
    </w:p>
    <w:p w:rsidR="00C866BC" w:rsidRDefault="00E4677B" w:rsidP="00F6205D">
      <w:pPr>
        <w:pStyle w:val="ARIERBody"/>
      </w:pPr>
      <w:r>
        <w:t xml:space="preserve">Estimates of the equilibrium points from the </w:t>
      </w:r>
      <w:r w:rsidR="00C866BC">
        <w:t>population dynamics model</w:t>
      </w:r>
      <w:r>
        <w:t xml:space="preserve"> for Koalas and Manna Gum PFC at Cape Otway</w:t>
      </w:r>
      <w:r w:rsidR="00C866BC">
        <w:t xml:space="preserve"> revealed that the likely carrying capacity of </w:t>
      </w:r>
      <w:r w:rsidR="0039404A">
        <w:t xml:space="preserve">the </w:t>
      </w:r>
      <w:r w:rsidR="005574FB">
        <w:t>Koala</w:t>
      </w:r>
      <w:r w:rsidR="0039404A">
        <w:t xml:space="preserve"> habitat</w:t>
      </w:r>
      <w:r w:rsidR="00C866BC">
        <w:t xml:space="preserve"> in these areas was 5.3</w:t>
      </w:r>
      <w:r w:rsidR="00F051B7">
        <w:t>–</w:t>
      </w:r>
      <w:r w:rsidR="00C866BC">
        <w:t xml:space="preserve">8.3 </w:t>
      </w:r>
      <w:r w:rsidR="005574FB">
        <w:t>Koala</w:t>
      </w:r>
      <w:r w:rsidR="00C866BC">
        <w:t>s/ha.</w:t>
      </w:r>
      <w:r w:rsidR="00285836">
        <w:t xml:space="preserve"> </w:t>
      </w:r>
      <w:r w:rsidR="00C866BC">
        <w:t>At these densities</w:t>
      </w:r>
      <w:r w:rsidR="0039404A">
        <w:t>,</w:t>
      </w:r>
      <w:r w:rsidR="00C866BC">
        <w:t xml:space="preserve"> the average canopy foliage cover of </w:t>
      </w:r>
      <w:r w:rsidR="00A4160B">
        <w:t>Manna Gum</w:t>
      </w:r>
      <w:r w:rsidR="00C866BC">
        <w:t>s would likely be between 19</w:t>
      </w:r>
      <w:r w:rsidR="0039404A">
        <w:t xml:space="preserve"> and </w:t>
      </w:r>
      <w:r w:rsidR="00C866BC">
        <w:t>30%.</w:t>
      </w:r>
      <w:r w:rsidR="00285836">
        <w:t xml:space="preserve"> </w:t>
      </w:r>
      <w:r w:rsidR="00C866BC">
        <w:t xml:space="preserve">However, these estimates had very low precision due to the short </w:t>
      </w:r>
      <w:r w:rsidR="0039404A">
        <w:t xml:space="preserve">period </w:t>
      </w:r>
      <w:r w:rsidR="00C866BC">
        <w:t>of the time-series data available for analysis.</w:t>
      </w:r>
      <w:r>
        <w:t xml:space="preserve"> </w:t>
      </w:r>
      <w:r w:rsidR="00285836">
        <w:t xml:space="preserve"> </w:t>
      </w:r>
      <w:r w:rsidR="00C866BC">
        <w:t xml:space="preserve">Although modelling has identified likely maximum </w:t>
      </w:r>
      <w:r w:rsidR="005574FB">
        <w:t>Koala</w:t>
      </w:r>
      <w:r w:rsidR="00C866BC">
        <w:t xml:space="preserve"> densities that are sustainable for Cape Otway </w:t>
      </w:r>
      <w:r w:rsidR="00A4160B">
        <w:t>Manna Gum</w:t>
      </w:r>
      <w:r w:rsidR="00C866BC">
        <w:t xml:space="preserve"> woodlands, lower densities than th</w:t>
      </w:r>
      <w:r w:rsidR="00285E0F">
        <w:t xml:space="preserve">ese </w:t>
      </w:r>
      <w:r w:rsidR="00C866BC">
        <w:t>may be required to enhance recovery of trees exposed to repeated defoliation.</w:t>
      </w:r>
    </w:p>
    <w:p w:rsidR="00C866BC" w:rsidRPr="00147A1D" w:rsidRDefault="00C866BC" w:rsidP="00147A1D">
      <w:pPr>
        <w:rPr>
          <w:b/>
        </w:rPr>
      </w:pPr>
      <w:r w:rsidRPr="00147A1D">
        <w:rPr>
          <w:b/>
        </w:rPr>
        <w:t>Recommendations</w:t>
      </w:r>
    </w:p>
    <w:p w:rsidR="00C866BC" w:rsidRDefault="00E42ECC" w:rsidP="0039404A">
      <w:pPr>
        <w:pStyle w:val="ARIERBody"/>
        <w:numPr>
          <w:ilvl w:val="0"/>
          <w:numId w:val="43"/>
        </w:numPr>
        <w:ind w:left="426" w:hanging="412"/>
      </w:pPr>
      <w:r>
        <w:t xml:space="preserve">Establish </w:t>
      </w:r>
      <w:r w:rsidR="00C866BC">
        <w:t xml:space="preserve">an ‘early warning system’ </w:t>
      </w:r>
      <w:r w:rsidR="002E1A31">
        <w:t>for</w:t>
      </w:r>
      <w:r w:rsidR="00C866BC">
        <w:t xml:space="preserve"> risk of unsustainable browsing pressure on eucalypt forests due to </w:t>
      </w:r>
      <w:r w:rsidR="005574FB">
        <w:t>Koala</w:t>
      </w:r>
      <w:r w:rsidR="00C866BC">
        <w:t xml:space="preserve">s based on an index of canopy ‘health’ rather than on estimates of </w:t>
      </w:r>
      <w:r w:rsidR="005574FB">
        <w:t>Koala</w:t>
      </w:r>
      <w:r w:rsidR="00C866BC">
        <w:t xml:space="preserve"> density.</w:t>
      </w:r>
    </w:p>
    <w:p w:rsidR="00C866BC" w:rsidRDefault="00285E0F" w:rsidP="0039404A">
      <w:pPr>
        <w:pStyle w:val="ARIERBody"/>
        <w:numPr>
          <w:ilvl w:val="0"/>
          <w:numId w:val="43"/>
        </w:numPr>
        <w:ind w:left="426" w:hanging="412"/>
      </w:pPr>
      <w:r>
        <w:t>A</w:t>
      </w:r>
      <w:r w:rsidR="00C866BC">
        <w:t xml:space="preserve"> ‘habitat health trigger’ for eucalypt forests subject to </w:t>
      </w:r>
      <w:r w:rsidR="005574FB">
        <w:t>Koala</w:t>
      </w:r>
      <w:r w:rsidR="00C866BC">
        <w:t xml:space="preserve"> browsing be based on the risk of tree mortality due to canopy defoliation</w:t>
      </w:r>
      <w:r w:rsidR="002E1A31">
        <w:t>,</w:t>
      </w:r>
      <w:r w:rsidR="00C866BC">
        <w:t xml:space="preserve"> </w:t>
      </w:r>
      <w:r w:rsidR="002E1A31">
        <w:t xml:space="preserve">and that </w:t>
      </w:r>
      <w:r w:rsidR="00C866BC">
        <w:t xml:space="preserve">a </w:t>
      </w:r>
      <w:r w:rsidR="00B46CCB" w:rsidRPr="00F02F54">
        <w:rPr>
          <w:i/>
        </w:rPr>
        <w:t>folia</w:t>
      </w:r>
      <w:r w:rsidR="00E4677B">
        <w:rPr>
          <w:i/>
        </w:rPr>
        <w:t>r</w:t>
      </w:r>
      <w:r w:rsidR="00C866BC" w:rsidRPr="007F46E2">
        <w:rPr>
          <w:i/>
        </w:rPr>
        <w:t xml:space="preserve"> cover </w:t>
      </w:r>
      <w:r w:rsidR="00C866BC" w:rsidRPr="00E4677B">
        <w:rPr>
          <w:i/>
        </w:rPr>
        <w:t>threshold</w:t>
      </w:r>
      <w:r w:rsidR="00C866BC">
        <w:t xml:space="preserve"> of </w:t>
      </w:r>
      <w:r w:rsidR="002E1A31">
        <w:t>&lt;</w:t>
      </w:r>
      <w:r w:rsidR="00C866BC">
        <w:t>25% be used to classify individual trees as ‘defoliated’.</w:t>
      </w:r>
    </w:p>
    <w:p w:rsidR="00C866BC" w:rsidRDefault="00C866BC" w:rsidP="0039404A">
      <w:pPr>
        <w:pStyle w:val="ARIERBody"/>
        <w:numPr>
          <w:ilvl w:val="0"/>
          <w:numId w:val="43"/>
        </w:numPr>
        <w:ind w:left="426" w:hanging="412"/>
      </w:pPr>
      <w:r>
        <w:t xml:space="preserve">The proportion of trees </w:t>
      </w:r>
      <w:r w:rsidR="002E1A31">
        <w:t xml:space="preserve">that fall below the </w:t>
      </w:r>
      <w:r w:rsidR="00A96C0F">
        <w:t>folia</w:t>
      </w:r>
      <w:r w:rsidR="00E4677B">
        <w:t>r</w:t>
      </w:r>
      <w:r w:rsidR="002E1A31">
        <w:t xml:space="preserve"> cover threshold </w:t>
      </w:r>
      <w:r>
        <w:t>for each eucalypt species at a site should</w:t>
      </w:r>
      <w:r w:rsidR="00285836">
        <w:t xml:space="preserve"> </w:t>
      </w:r>
      <w:r>
        <w:t xml:space="preserve">be used as the estimate of the </w:t>
      </w:r>
      <w:r w:rsidRPr="005807C1">
        <w:rPr>
          <w:i/>
        </w:rPr>
        <w:t>canopy defoliation level</w:t>
      </w:r>
      <w:r>
        <w:t xml:space="preserve"> for each tree</w:t>
      </w:r>
      <w:r w:rsidR="00EF3938">
        <w:t xml:space="preserve"> species.  Estimates for each species can also be combined to estimate the canopy defoliation level for the site as a whole. </w:t>
      </w:r>
      <w:r w:rsidR="00285E0F">
        <w:t>T</w:t>
      </w:r>
      <w:r>
        <w:t xml:space="preserve">he canopy defoliation level </w:t>
      </w:r>
      <w:r w:rsidR="00EF3938">
        <w:t>for a site or a</w:t>
      </w:r>
      <w:r w:rsidR="00713D84">
        <w:t xml:space="preserve"> eucalypt species is proposed as</w:t>
      </w:r>
      <w:r>
        <w:t xml:space="preserve"> the index of habitat ‘health’.</w:t>
      </w:r>
    </w:p>
    <w:p w:rsidR="00BB17A9" w:rsidRDefault="00713D84" w:rsidP="00DB026C">
      <w:pPr>
        <w:pStyle w:val="ARIERBody"/>
        <w:numPr>
          <w:ilvl w:val="0"/>
          <w:numId w:val="43"/>
        </w:numPr>
        <w:ind w:left="426" w:hanging="412"/>
      </w:pPr>
      <w:r>
        <w:t>The c</w:t>
      </w:r>
      <w:r w:rsidR="00C866BC">
        <w:t>anopy defoliation</w:t>
      </w:r>
      <w:r>
        <w:t xml:space="preserve"> level</w:t>
      </w:r>
      <w:r w:rsidR="00C866BC">
        <w:t xml:space="preserve"> for a eucalypt species or for a site should be </w:t>
      </w:r>
      <w:r w:rsidR="009E7A30">
        <w:t>categorised</w:t>
      </w:r>
      <w:r w:rsidR="00C866BC">
        <w:t xml:space="preserve"> </w:t>
      </w:r>
      <w:r w:rsidR="00D47BFD">
        <w:t xml:space="preserve">and used to </w:t>
      </w:r>
      <w:r w:rsidR="00C866BC">
        <w:t>‘trigger’ th</w:t>
      </w:r>
      <w:r w:rsidR="00285E0F">
        <w:t>e associated management actions</w:t>
      </w:r>
      <w:r w:rsidR="00D47BFD" w:rsidRPr="00D47BFD">
        <w:t xml:space="preserve"> </w:t>
      </w:r>
      <w:r w:rsidR="00D47BFD">
        <w:t>as summarized below</w:t>
      </w:r>
      <w:r w:rsidR="00285E0F">
        <w:t>.</w:t>
      </w:r>
      <w:r w:rsidR="00DB026C" w:rsidRPr="00DB026C">
        <w:t xml:space="preserve"> </w:t>
      </w:r>
      <w:bookmarkStart w:id="15" w:name="_Toc328568525"/>
      <w:bookmarkStart w:id="16" w:name="_Toc454803936"/>
    </w:p>
    <w:p w:rsidR="00C866BC" w:rsidRDefault="00EF28D4" w:rsidP="006850F1">
      <w:pPr>
        <w:pStyle w:val="ARIERCaption-Table"/>
      </w:pPr>
      <w:r>
        <w:t>Summary of s</w:t>
      </w:r>
      <w:r w:rsidR="00C866BC">
        <w:t xml:space="preserve">uggested management actions corresponding to </w:t>
      </w:r>
      <w:r w:rsidR="00687ED5">
        <w:t xml:space="preserve">the </w:t>
      </w:r>
      <w:r>
        <w:t xml:space="preserve">recommended </w:t>
      </w:r>
      <w:r w:rsidR="00C866BC">
        <w:t>canopy health trigger</w:t>
      </w:r>
      <w:r>
        <w:t>s</w:t>
      </w:r>
      <w:r w:rsidR="00011E1A" w:rsidRPr="00011E1A">
        <w:t xml:space="preserve"> </w:t>
      </w:r>
      <w:r w:rsidR="00011E1A">
        <w:t xml:space="preserve">(* based on the </w:t>
      </w:r>
      <w:r w:rsidR="00011E1A" w:rsidRPr="00011E1A">
        <w:t xml:space="preserve">proportion of trees in an area with </w:t>
      </w:r>
      <w:r w:rsidR="00F13058">
        <w:t xml:space="preserve">canopy </w:t>
      </w:r>
      <w:r w:rsidR="00011E1A" w:rsidRPr="00011E1A">
        <w:t>folia</w:t>
      </w:r>
      <w:r w:rsidR="00F13058">
        <w:t>ge</w:t>
      </w:r>
      <w:r w:rsidR="00011E1A" w:rsidRPr="00011E1A">
        <w:t xml:space="preserve"> cover less than the recommended threshold of 25%</w:t>
      </w:r>
      <w:r w:rsidR="00011E1A">
        <w:t>)</w:t>
      </w:r>
      <w:r w:rsidR="00011E1A" w:rsidRPr="00011E1A">
        <w:t>.</w:t>
      </w:r>
      <w:bookmarkEnd w:id="15"/>
      <w:bookmarkEnd w:id="16"/>
    </w:p>
    <w:tbl>
      <w:tblPr>
        <w:tblStyle w:val="PlainTable31"/>
        <w:tblW w:w="0" w:type="auto"/>
        <w:tblLook w:val="0620" w:firstRow="1" w:lastRow="0" w:firstColumn="0" w:lastColumn="0" w:noHBand="1" w:noVBand="1"/>
      </w:tblPr>
      <w:tblGrid>
        <w:gridCol w:w="3085"/>
        <w:gridCol w:w="6662"/>
      </w:tblGrid>
      <w:tr w:rsidR="00C866BC" w:rsidRPr="00C54AC1" w:rsidTr="00E50691">
        <w:trPr>
          <w:cnfStyle w:val="100000000000" w:firstRow="1" w:lastRow="0" w:firstColumn="0" w:lastColumn="0" w:oddVBand="0" w:evenVBand="0" w:oddHBand="0" w:evenHBand="0" w:firstRowFirstColumn="0" w:firstRowLastColumn="0" w:lastRowFirstColumn="0" w:lastRowLastColumn="0"/>
          <w:trHeight w:val="379"/>
        </w:trPr>
        <w:tc>
          <w:tcPr>
            <w:tcW w:w="3085" w:type="dxa"/>
            <w:tcBorders>
              <w:top w:val="single" w:sz="4" w:space="0" w:color="228591"/>
              <w:bottom w:val="single" w:sz="4" w:space="0" w:color="228591"/>
              <w:right w:val="single" w:sz="4" w:space="0" w:color="auto"/>
            </w:tcBorders>
            <w:shd w:val="clear" w:color="auto" w:fill="228591"/>
            <w:vAlign w:val="center"/>
          </w:tcPr>
          <w:p w:rsidR="00C866BC" w:rsidRPr="006850F1" w:rsidRDefault="00C866BC">
            <w:pPr>
              <w:jc w:val="center"/>
              <w:rPr>
                <w:b w:val="0"/>
                <w:color w:val="FFFFFF" w:themeColor="background1"/>
              </w:rPr>
            </w:pPr>
            <w:r w:rsidRPr="006850F1">
              <w:rPr>
                <w:color w:val="FFFFFF" w:themeColor="background1"/>
                <w:szCs w:val="24"/>
              </w:rPr>
              <w:t>Canopy defoliation level</w:t>
            </w:r>
            <w:r w:rsidR="00E50691">
              <w:rPr>
                <w:color w:val="FFFFFF" w:themeColor="background1"/>
                <w:szCs w:val="24"/>
              </w:rPr>
              <w:t>*</w:t>
            </w:r>
          </w:p>
        </w:tc>
        <w:tc>
          <w:tcPr>
            <w:tcW w:w="6662" w:type="dxa"/>
            <w:tcBorders>
              <w:top w:val="single" w:sz="4" w:space="0" w:color="228591"/>
              <w:left w:val="single" w:sz="4" w:space="0" w:color="auto"/>
              <w:bottom w:val="single" w:sz="4" w:space="0" w:color="228591"/>
            </w:tcBorders>
            <w:shd w:val="clear" w:color="auto" w:fill="228591"/>
            <w:vAlign w:val="center"/>
          </w:tcPr>
          <w:p w:rsidR="00C866BC" w:rsidRPr="006850F1" w:rsidRDefault="00C866BC">
            <w:pPr>
              <w:jc w:val="center"/>
              <w:rPr>
                <w:b w:val="0"/>
                <w:color w:val="FFFFFF" w:themeColor="background1"/>
              </w:rPr>
            </w:pPr>
            <w:r w:rsidRPr="006850F1">
              <w:rPr>
                <w:color w:val="FFFFFF" w:themeColor="background1"/>
                <w:szCs w:val="24"/>
              </w:rPr>
              <w:t>Suggested action</w:t>
            </w:r>
          </w:p>
        </w:tc>
      </w:tr>
      <w:tr w:rsidR="00C866BC" w:rsidTr="00713D84">
        <w:trPr>
          <w:cantSplit/>
          <w:trHeight w:val="809"/>
        </w:trPr>
        <w:tc>
          <w:tcPr>
            <w:tcW w:w="3085" w:type="dxa"/>
            <w:tcBorders>
              <w:top w:val="single" w:sz="4" w:space="0" w:color="228591"/>
              <w:right w:val="single" w:sz="4" w:space="0" w:color="auto"/>
            </w:tcBorders>
            <w:shd w:val="clear" w:color="auto" w:fill="00FF00"/>
            <w:vAlign w:val="center"/>
          </w:tcPr>
          <w:p w:rsidR="00EF28D4" w:rsidRPr="00E50691" w:rsidRDefault="00C866BC" w:rsidP="00713D84">
            <w:pPr>
              <w:jc w:val="center"/>
              <w:rPr>
                <w:b/>
              </w:rPr>
            </w:pPr>
            <w:r w:rsidRPr="00E50691">
              <w:rPr>
                <w:b/>
              </w:rPr>
              <w:t>Green</w:t>
            </w:r>
            <w:r w:rsidR="00EF28D4" w:rsidRPr="00E50691">
              <w:rPr>
                <w:b/>
              </w:rPr>
              <w:t xml:space="preserve"> – </w:t>
            </w:r>
            <w:r w:rsidRPr="00E50691">
              <w:rPr>
                <w:b/>
              </w:rPr>
              <w:t>low</w:t>
            </w:r>
            <w:r w:rsidR="00011E1A" w:rsidRPr="00011E1A">
              <w:rPr>
                <w:b/>
              </w:rPr>
              <w:t xml:space="preserve"> defoliation</w:t>
            </w:r>
          </w:p>
          <w:p w:rsidR="00C866BC" w:rsidRPr="00EF28D4" w:rsidRDefault="00EF28D4" w:rsidP="00713D84">
            <w:pPr>
              <w:jc w:val="center"/>
            </w:pPr>
            <w:r>
              <w:t>(0</w:t>
            </w:r>
            <w:r w:rsidR="00011E1A">
              <w:t>.0</w:t>
            </w:r>
            <w:r w:rsidR="00BF1CF1">
              <w:t xml:space="preserve"> </w:t>
            </w:r>
            <w:r>
              <w:t>-</w:t>
            </w:r>
            <w:r w:rsidR="00BF1CF1">
              <w:t xml:space="preserve"> </w:t>
            </w:r>
            <w:r w:rsidR="00011E1A">
              <w:t>0.2</w:t>
            </w:r>
            <w:r w:rsidR="00C866BC">
              <w:t>)</w:t>
            </w:r>
          </w:p>
        </w:tc>
        <w:tc>
          <w:tcPr>
            <w:tcW w:w="6662" w:type="dxa"/>
            <w:tcBorders>
              <w:top w:val="single" w:sz="4" w:space="0" w:color="228591"/>
              <w:left w:val="single" w:sz="4" w:space="0" w:color="auto"/>
            </w:tcBorders>
            <w:shd w:val="clear" w:color="auto" w:fill="00FF00"/>
            <w:vAlign w:val="center"/>
          </w:tcPr>
          <w:p w:rsidR="00C866BC" w:rsidRDefault="00C866BC" w:rsidP="00EF28D4">
            <w:pPr>
              <w:rPr>
                <w:rFonts w:eastAsia="Times New Roman" w:cs="Times New Roman"/>
                <w:szCs w:val="24"/>
              </w:rPr>
            </w:pPr>
            <w:r>
              <w:t>Forest condition monitoring</w:t>
            </w:r>
            <w:r w:rsidR="00EF28D4">
              <w:t xml:space="preserve"> at no more than 2 yearly intervals</w:t>
            </w:r>
          </w:p>
        </w:tc>
      </w:tr>
      <w:tr w:rsidR="00C866BC" w:rsidTr="00713D84">
        <w:trPr>
          <w:cantSplit/>
          <w:trHeight w:val="811"/>
        </w:trPr>
        <w:tc>
          <w:tcPr>
            <w:tcW w:w="3085" w:type="dxa"/>
            <w:tcBorders>
              <w:right w:val="single" w:sz="4" w:space="0" w:color="auto"/>
            </w:tcBorders>
            <w:shd w:val="clear" w:color="auto" w:fill="FFFF00"/>
            <w:vAlign w:val="center"/>
          </w:tcPr>
          <w:p w:rsidR="00EF28D4" w:rsidRPr="00E50691" w:rsidRDefault="00C866BC" w:rsidP="00713D84">
            <w:pPr>
              <w:jc w:val="center"/>
              <w:rPr>
                <w:b/>
              </w:rPr>
            </w:pPr>
            <w:r w:rsidRPr="00E50691">
              <w:rPr>
                <w:b/>
              </w:rPr>
              <w:t xml:space="preserve">Yellow </w:t>
            </w:r>
            <w:r w:rsidR="00EF28D4" w:rsidRPr="00E50691">
              <w:rPr>
                <w:b/>
              </w:rPr>
              <w:t xml:space="preserve">– </w:t>
            </w:r>
            <w:r w:rsidRPr="00E50691">
              <w:rPr>
                <w:b/>
              </w:rPr>
              <w:t>moderate</w:t>
            </w:r>
            <w:r w:rsidR="00011E1A" w:rsidRPr="00011E1A">
              <w:rPr>
                <w:b/>
              </w:rPr>
              <w:t xml:space="preserve"> defoliation</w:t>
            </w:r>
          </w:p>
          <w:p w:rsidR="00C866BC" w:rsidRDefault="00EF28D4" w:rsidP="00713D84">
            <w:pPr>
              <w:jc w:val="center"/>
              <w:rPr>
                <w:rFonts w:eastAsia="Times New Roman" w:cs="Times New Roman"/>
                <w:b/>
                <w:bCs/>
                <w:szCs w:val="24"/>
              </w:rPr>
            </w:pPr>
            <w:r>
              <w:t>(</w:t>
            </w:r>
            <w:r w:rsidR="00011E1A">
              <w:t>0.2</w:t>
            </w:r>
            <w:r w:rsidR="00BF1CF1">
              <w:t xml:space="preserve"> </w:t>
            </w:r>
            <w:r w:rsidR="00011E1A">
              <w:t>-</w:t>
            </w:r>
            <w:r w:rsidR="00BF1CF1">
              <w:t xml:space="preserve"> </w:t>
            </w:r>
            <w:r w:rsidR="00011E1A">
              <w:t>0.4</w:t>
            </w:r>
            <w:r w:rsidR="00C866BC">
              <w:t>)</w:t>
            </w:r>
          </w:p>
        </w:tc>
        <w:tc>
          <w:tcPr>
            <w:tcW w:w="6662" w:type="dxa"/>
            <w:tcBorders>
              <w:left w:val="single" w:sz="4" w:space="0" w:color="auto"/>
            </w:tcBorders>
            <w:shd w:val="clear" w:color="auto" w:fill="FFFF00"/>
            <w:vAlign w:val="center"/>
          </w:tcPr>
          <w:p w:rsidR="00C866BC" w:rsidRDefault="00C866BC" w:rsidP="00E50691">
            <w:pPr>
              <w:rPr>
                <w:rFonts w:eastAsia="Times New Roman" w:cs="Times New Roman"/>
                <w:szCs w:val="24"/>
              </w:rPr>
            </w:pPr>
            <w:r>
              <w:t xml:space="preserve">Forest condition monitoring plus </w:t>
            </w:r>
            <w:r w:rsidR="005574FB">
              <w:t>Koala</w:t>
            </w:r>
            <w:r>
              <w:t xml:space="preserve"> monitoring</w:t>
            </w:r>
            <w:r w:rsidR="00EF28D4">
              <w:t xml:space="preserve"> at no </w:t>
            </w:r>
            <w:r w:rsidR="00E50691">
              <w:t>more</w:t>
            </w:r>
            <w:r w:rsidR="00EF28D4">
              <w:t xml:space="preserve"> than 2 yearly intervals</w:t>
            </w:r>
          </w:p>
        </w:tc>
      </w:tr>
      <w:tr w:rsidR="00C866BC" w:rsidTr="00713D84">
        <w:trPr>
          <w:cantSplit/>
          <w:trHeight w:val="811"/>
        </w:trPr>
        <w:tc>
          <w:tcPr>
            <w:tcW w:w="3085" w:type="dxa"/>
            <w:tcBorders>
              <w:right w:val="single" w:sz="4" w:space="0" w:color="auto"/>
            </w:tcBorders>
            <w:shd w:val="clear" w:color="auto" w:fill="F79646" w:themeFill="accent6"/>
            <w:vAlign w:val="center"/>
          </w:tcPr>
          <w:p w:rsidR="00EF28D4" w:rsidRPr="00E50691" w:rsidRDefault="00C866BC" w:rsidP="00713D84">
            <w:pPr>
              <w:jc w:val="center"/>
              <w:rPr>
                <w:b/>
              </w:rPr>
            </w:pPr>
            <w:r w:rsidRPr="00E50691">
              <w:rPr>
                <w:b/>
              </w:rPr>
              <w:t xml:space="preserve">Orange </w:t>
            </w:r>
            <w:r w:rsidR="00EF28D4" w:rsidRPr="00E50691">
              <w:rPr>
                <w:b/>
              </w:rPr>
              <w:t xml:space="preserve">– </w:t>
            </w:r>
            <w:r w:rsidRPr="00E50691">
              <w:rPr>
                <w:b/>
              </w:rPr>
              <w:t>high</w:t>
            </w:r>
            <w:r w:rsidR="00011E1A" w:rsidRPr="00011E1A">
              <w:rPr>
                <w:b/>
              </w:rPr>
              <w:t xml:space="preserve"> defoliation</w:t>
            </w:r>
          </w:p>
          <w:p w:rsidR="00C866BC" w:rsidRDefault="00EF28D4" w:rsidP="00713D84">
            <w:pPr>
              <w:jc w:val="center"/>
              <w:rPr>
                <w:rFonts w:eastAsia="Times New Roman" w:cs="Times New Roman"/>
                <w:b/>
                <w:bCs/>
                <w:szCs w:val="24"/>
              </w:rPr>
            </w:pPr>
            <w:r>
              <w:t>(</w:t>
            </w:r>
            <w:r w:rsidR="00011E1A">
              <w:t>0.</w:t>
            </w:r>
            <w:r>
              <w:t>4</w:t>
            </w:r>
            <w:r w:rsidR="00BF1CF1">
              <w:t xml:space="preserve"> </w:t>
            </w:r>
            <w:r>
              <w:t>-</w:t>
            </w:r>
            <w:r w:rsidR="00BF1CF1">
              <w:t xml:space="preserve"> </w:t>
            </w:r>
            <w:r w:rsidR="00011E1A">
              <w:t>0.</w:t>
            </w:r>
            <w:r>
              <w:t>6</w:t>
            </w:r>
            <w:r w:rsidR="00C866BC">
              <w:t>)</w:t>
            </w:r>
          </w:p>
        </w:tc>
        <w:tc>
          <w:tcPr>
            <w:tcW w:w="6662" w:type="dxa"/>
            <w:tcBorders>
              <w:left w:val="single" w:sz="4" w:space="0" w:color="auto"/>
            </w:tcBorders>
            <w:shd w:val="clear" w:color="auto" w:fill="F79646" w:themeFill="accent6"/>
            <w:vAlign w:val="center"/>
          </w:tcPr>
          <w:p w:rsidR="00C866BC" w:rsidRPr="001643BB" w:rsidRDefault="00C866BC" w:rsidP="00A96C0F">
            <w:pPr>
              <w:rPr>
                <w:rFonts w:eastAsia="Times New Roman" w:cs="Times New Roman"/>
                <w:szCs w:val="24"/>
              </w:rPr>
            </w:pPr>
            <w:r>
              <w:t xml:space="preserve">Intervention </w:t>
            </w:r>
            <w:r w:rsidR="00A96C0F">
              <w:t>recommended</w:t>
            </w:r>
            <w:r w:rsidR="00285836">
              <w:t xml:space="preserve"> </w:t>
            </w:r>
            <w:r>
              <w:t xml:space="preserve">if </w:t>
            </w:r>
            <w:r w:rsidR="005574FB">
              <w:t>Koala</w:t>
            </w:r>
            <w:r>
              <w:t xml:space="preserve"> densities are </w:t>
            </w:r>
            <w:r w:rsidR="00944F88">
              <w:t>&gt;</w:t>
            </w:r>
            <w:r>
              <w:t xml:space="preserve">8 </w:t>
            </w:r>
            <w:r w:rsidR="00C54AC1">
              <w:t>Koalas/ha</w:t>
            </w:r>
            <w:r>
              <w:t xml:space="preserve"> (Cape Otway </w:t>
            </w:r>
            <w:r w:rsidR="00A4160B">
              <w:t>Manna Gum</w:t>
            </w:r>
            <w:r>
              <w:t xml:space="preserve">) or </w:t>
            </w:r>
            <w:r w:rsidR="00944F88">
              <w:t>&gt;</w:t>
            </w:r>
            <w:r>
              <w:t xml:space="preserve">1.6 </w:t>
            </w:r>
            <w:r w:rsidR="00C54AC1">
              <w:t>Koalas/ha</w:t>
            </w:r>
            <w:r>
              <w:t xml:space="preserve"> (elsewhere)</w:t>
            </w:r>
          </w:p>
        </w:tc>
      </w:tr>
      <w:tr w:rsidR="00C866BC" w:rsidTr="00713D84">
        <w:trPr>
          <w:cantSplit/>
          <w:trHeight w:val="811"/>
        </w:trPr>
        <w:tc>
          <w:tcPr>
            <w:tcW w:w="3085" w:type="dxa"/>
            <w:tcBorders>
              <w:bottom w:val="single" w:sz="4" w:space="0" w:color="228591"/>
              <w:right w:val="single" w:sz="4" w:space="0" w:color="auto"/>
            </w:tcBorders>
            <w:shd w:val="clear" w:color="auto" w:fill="FF0000"/>
            <w:vAlign w:val="center"/>
          </w:tcPr>
          <w:p w:rsidR="00EF28D4" w:rsidRPr="00E50691" w:rsidRDefault="00C866BC" w:rsidP="00713D84">
            <w:pPr>
              <w:jc w:val="center"/>
              <w:rPr>
                <w:b/>
              </w:rPr>
            </w:pPr>
            <w:r w:rsidRPr="00E50691">
              <w:rPr>
                <w:b/>
              </w:rPr>
              <w:t xml:space="preserve">Red </w:t>
            </w:r>
            <w:r w:rsidR="00EF28D4" w:rsidRPr="00E50691">
              <w:rPr>
                <w:b/>
              </w:rPr>
              <w:t xml:space="preserve">- </w:t>
            </w:r>
            <w:r w:rsidRPr="00E50691">
              <w:rPr>
                <w:b/>
              </w:rPr>
              <w:t>very high</w:t>
            </w:r>
            <w:r w:rsidR="00011E1A" w:rsidRPr="00011E1A">
              <w:rPr>
                <w:b/>
              </w:rPr>
              <w:t xml:space="preserve"> defoliation</w:t>
            </w:r>
          </w:p>
          <w:p w:rsidR="00C866BC" w:rsidRDefault="00EF28D4" w:rsidP="00713D84">
            <w:pPr>
              <w:jc w:val="center"/>
              <w:rPr>
                <w:rFonts w:eastAsia="Times New Roman" w:cs="Times New Roman"/>
                <w:b/>
                <w:bCs/>
                <w:szCs w:val="24"/>
              </w:rPr>
            </w:pPr>
            <w:r>
              <w:t>(</w:t>
            </w:r>
            <w:r w:rsidR="00011E1A">
              <w:t>0.</w:t>
            </w:r>
            <w:r w:rsidR="00BF1CF1">
              <w:t>6 -</w:t>
            </w:r>
            <w:r>
              <w:t>1</w:t>
            </w:r>
            <w:r w:rsidR="00011E1A">
              <w:t>.</w:t>
            </w:r>
            <w:r>
              <w:t>0</w:t>
            </w:r>
            <w:r w:rsidR="00C866BC">
              <w:t>)</w:t>
            </w:r>
          </w:p>
        </w:tc>
        <w:tc>
          <w:tcPr>
            <w:tcW w:w="6662" w:type="dxa"/>
            <w:tcBorders>
              <w:left w:val="single" w:sz="4" w:space="0" w:color="auto"/>
              <w:bottom w:val="single" w:sz="4" w:space="0" w:color="228591"/>
            </w:tcBorders>
            <w:shd w:val="clear" w:color="auto" w:fill="FF0000"/>
            <w:vAlign w:val="center"/>
          </w:tcPr>
          <w:p w:rsidR="00C866BC" w:rsidRPr="007707E9" w:rsidRDefault="00C866BC" w:rsidP="00D8236E">
            <w:pPr>
              <w:rPr>
                <w:rFonts w:eastAsia="Times New Roman" w:cs="Times New Roman"/>
                <w:szCs w:val="24"/>
              </w:rPr>
            </w:pPr>
            <w:r>
              <w:t xml:space="preserve">Intervention required to minimise the risk of severe canopy defoliation. Koala densities should be reduced to </w:t>
            </w:r>
            <w:r w:rsidR="00944F88">
              <w:t>&lt;</w:t>
            </w:r>
            <w:r>
              <w:t xml:space="preserve">5 </w:t>
            </w:r>
            <w:r w:rsidR="00C54AC1">
              <w:t>Koalas/ha</w:t>
            </w:r>
            <w:r>
              <w:t xml:space="preserve"> (Cape Otway </w:t>
            </w:r>
            <w:r w:rsidR="00A4160B">
              <w:t>Manna Gum</w:t>
            </w:r>
            <w:r>
              <w:t xml:space="preserve">) or </w:t>
            </w:r>
            <w:r w:rsidR="00944F88">
              <w:t>&lt;</w:t>
            </w:r>
            <w:r>
              <w:t xml:space="preserve">0.90 </w:t>
            </w:r>
            <w:r w:rsidR="00C54AC1">
              <w:t>Koalas/ha</w:t>
            </w:r>
            <w:r>
              <w:t xml:space="preserve"> (elsewhere)</w:t>
            </w:r>
            <w:r w:rsidR="00944F88">
              <w:t>.</w:t>
            </w:r>
            <w:r w:rsidR="00C573AD">
              <w:t xml:space="preserve">  To enhance the recovery of trees exposed to repeated defoliation, Koala densities should be kept below 0.90 Koalas/ha</w:t>
            </w:r>
            <w:r w:rsidR="001C018E">
              <w:t xml:space="preserve"> until recovery of the canopy has occurred.</w:t>
            </w:r>
          </w:p>
        </w:tc>
      </w:tr>
    </w:tbl>
    <w:p w:rsidR="00147A1D" w:rsidRDefault="00147A1D" w:rsidP="00147A1D">
      <w:pPr>
        <w:rPr>
          <w:b/>
        </w:rPr>
      </w:pPr>
    </w:p>
    <w:p w:rsidR="00147A1D" w:rsidRDefault="00147A1D" w:rsidP="00147A1D">
      <w:pPr>
        <w:rPr>
          <w:b/>
        </w:rPr>
      </w:pPr>
    </w:p>
    <w:p w:rsidR="00C866BC" w:rsidRPr="00147A1D" w:rsidRDefault="00C866BC" w:rsidP="00147A1D">
      <w:pPr>
        <w:rPr>
          <w:b/>
        </w:rPr>
      </w:pPr>
      <w:r w:rsidRPr="00147A1D">
        <w:rPr>
          <w:b/>
        </w:rPr>
        <w:t>Further research</w:t>
      </w:r>
    </w:p>
    <w:p w:rsidR="00C866BC" w:rsidRDefault="00D8236E" w:rsidP="005F2975">
      <w:pPr>
        <w:pStyle w:val="ARIERBody"/>
        <w:numPr>
          <w:ilvl w:val="0"/>
          <w:numId w:val="45"/>
        </w:numPr>
        <w:ind w:left="426" w:hanging="510"/>
      </w:pPr>
      <w:r>
        <w:t>A</w:t>
      </w:r>
      <w:r w:rsidR="00C866BC">
        <w:t xml:space="preserve"> number of </w:t>
      </w:r>
      <w:r w:rsidR="005F2975">
        <w:t xml:space="preserve">the </w:t>
      </w:r>
      <w:r w:rsidR="00C866BC">
        <w:t xml:space="preserve">sites </w:t>
      </w:r>
      <w:r w:rsidR="005F2975">
        <w:t>sampled in this study</w:t>
      </w:r>
      <w:r w:rsidR="00266180">
        <w:t>, including those at Cape Otway,</w:t>
      </w:r>
      <w:r w:rsidR="005F2975">
        <w:t xml:space="preserve"> </w:t>
      </w:r>
      <w:r>
        <w:t xml:space="preserve">should </w:t>
      </w:r>
      <w:r w:rsidR="00C866BC">
        <w:t xml:space="preserve">be re-sampled periodically to determine whether the relationship between canopy defoliation level and </w:t>
      </w:r>
      <w:r w:rsidR="005574FB">
        <w:t>Koala</w:t>
      </w:r>
      <w:r w:rsidR="00C866BC">
        <w:t xml:space="preserve"> density </w:t>
      </w:r>
      <w:r w:rsidR="005F2975">
        <w:t>is valid</w:t>
      </w:r>
      <w:r w:rsidR="00C866BC">
        <w:t xml:space="preserve"> long term.</w:t>
      </w:r>
      <w:r w:rsidR="00285836">
        <w:t xml:space="preserve"> </w:t>
      </w:r>
      <w:r w:rsidR="005F2975">
        <w:t xml:space="preserve">The habitat health of other </w:t>
      </w:r>
      <w:r>
        <w:t xml:space="preserve">Koala impacted </w:t>
      </w:r>
      <w:r w:rsidR="00C866BC">
        <w:t>sites in the B</w:t>
      </w:r>
      <w:r w:rsidR="005F2975">
        <w:t xml:space="preserve">arwon </w:t>
      </w:r>
      <w:r w:rsidR="00C866BC">
        <w:t>S</w:t>
      </w:r>
      <w:r w:rsidR="005F2975">
        <w:t xml:space="preserve">outh </w:t>
      </w:r>
      <w:r w:rsidR="00C866BC">
        <w:t>W</w:t>
      </w:r>
      <w:r w:rsidR="005F2975">
        <w:t>est</w:t>
      </w:r>
      <w:r w:rsidR="00C866BC">
        <w:t xml:space="preserve"> </w:t>
      </w:r>
      <w:r w:rsidR="005F2975">
        <w:t>R</w:t>
      </w:r>
      <w:r w:rsidR="00C866BC">
        <w:t>egion should also be monitor</w:t>
      </w:r>
      <w:r w:rsidR="005F2975">
        <w:t>ed</w:t>
      </w:r>
      <w:r w:rsidR="00C866BC">
        <w:t>.</w:t>
      </w:r>
    </w:p>
    <w:p w:rsidR="00606707" w:rsidRPr="00B75952" w:rsidRDefault="00606707" w:rsidP="003B1492">
      <w:pPr>
        <w:pStyle w:val="ARIERHA"/>
        <w:spacing w:after="480"/>
      </w:pPr>
      <w:bookmarkStart w:id="17" w:name="_Toc286018760"/>
      <w:r>
        <w:br w:type="page"/>
      </w:r>
      <w:bookmarkStart w:id="18" w:name="_Toc455406120"/>
      <w:r w:rsidRPr="00B75952">
        <w:lastRenderedPageBreak/>
        <w:t>1</w:t>
      </w:r>
      <w:r w:rsidRPr="00B75952">
        <w:tab/>
      </w:r>
      <w:bookmarkStart w:id="19" w:name="_Toc409798397"/>
      <w:r w:rsidRPr="00B75952">
        <w:t>Introduction</w:t>
      </w:r>
      <w:bookmarkEnd w:id="17"/>
      <w:bookmarkEnd w:id="18"/>
      <w:bookmarkEnd w:id="19"/>
    </w:p>
    <w:bookmarkEnd w:id="14"/>
    <w:p w:rsidR="00C866BC" w:rsidRDefault="00C866BC" w:rsidP="00F6205D">
      <w:pPr>
        <w:pStyle w:val="ARIERBody"/>
      </w:pPr>
      <w:r>
        <w:t xml:space="preserve">High </w:t>
      </w:r>
      <w:r w:rsidR="001F252D">
        <w:t xml:space="preserve">densities </w:t>
      </w:r>
      <w:r>
        <w:t xml:space="preserve">of </w:t>
      </w:r>
      <w:r w:rsidR="005574FB">
        <w:t>Koala</w:t>
      </w:r>
      <w:r>
        <w:t xml:space="preserve">s in south-western Victoria </w:t>
      </w:r>
      <w:r w:rsidR="001F252D">
        <w:t xml:space="preserve">have </w:t>
      </w:r>
      <w:r>
        <w:t xml:space="preserve">resulted in unsustainable browsing pressure on native trees </w:t>
      </w:r>
      <w:r w:rsidR="00B91783">
        <w:t>i</w:t>
      </w:r>
      <w:r>
        <w:t xml:space="preserve">n many areas </w:t>
      </w:r>
      <w:r w:rsidR="00B91783">
        <w:t xml:space="preserve">on both </w:t>
      </w:r>
      <w:r>
        <w:t xml:space="preserve">private and public land </w:t>
      </w:r>
      <w:r>
        <w:fldChar w:fldCharType="begin"/>
      </w:r>
      <w:r>
        <w:instrText xml:space="preserve"> ADDIN ZOTERO_ITEM CSL_CITATION {"citationID":"1ktqkbd2me","properties":{"formattedCitation":"(DELWP 2015b)","plainCitation":"(DELWP 2015b)"},"citationItems":[{"id":5238,"uris":["http://zotero.org/users/634364/items/4GPR8JQR"],"uri":["http://zotero.org/users/634364/items/4GPR8JQR"],"itemData":{"id":5238,"type":"article","title":"Koalas at Cape Otway","publisher":"Department of Environment, Land, Water and Planning","URL":"http://delwp.vic.gov.au/environment-and-wildlife/wildlife/koalas","author":[{"family":"DELWP","given":""}],"issued":{"date-parts":[["2015"]]},"accessed":{"date-parts":[["2016",5,20]]}}}],"schema":"https://github.com/citation-style-language/schema/raw/master/csl-citation.json"} </w:instrText>
      </w:r>
      <w:r>
        <w:fldChar w:fldCharType="separate"/>
      </w:r>
      <w:r w:rsidRPr="006A4A20">
        <w:t>(DELWP 2015b)</w:t>
      </w:r>
      <w:r>
        <w:fldChar w:fldCharType="end"/>
      </w:r>
      <w:r>
        <w:t>. This browsing pressure has led to excessive defoliation of tree canopies</w:t>
      </w:r>
      <w:r w:rsidR="00B91783">
        <w:t>,</w:t>
      </w:r>
      <w:r>
        <w:t xml:space="preserve"> resulting in the death of many trees</w:t>
      </w:r>
      <w:r w:rsidR="00B91783">
        <w:t>—</w:t>
      </w:r>
      <w:r>
        <w:t xml:space="preserve">which, in turn, has resulted in increased competition for food and the eventual starvation and death of </w:t>
      </w:r>
      <w:r w:rsidR="005574FB">
        <w:t>Koala</w:t>
      </w:r>
      <w:r>
        <w:t>s.</w:t>
      </w:r>
      <w:r w:rsidR="00285836">
        <w:t xml:space="preserve"> </w:t>
      </w:r>
      <w:r>
        <w:t xml:space="preserve">Many of the areas currently subject to unsustainable browsing pressure by </w:t>
      </w:r>
      <w:r w:rsidR="005574FB">
        <w:t>Koala</w:t>
      </w:r>
      <w:r>
        <w:t xml:space="preserve">s are </w:t>
      </w:r>
      <w:r w:rsidR="00B91783">
        <w:t>near sites of</w:t>
      </w:r>
      <w:r>
        <w:t xml:space="preserve"> historical translocations.</w:t>
      </w:r>
      <w:r w:rsidR="00285836">
        <w:t xml:space="preserve"> </w:t>
      </w:r>
      <w:r>
        <w:t xml:space="preserve">During the 1900s, translocation programs successfully reinstated </w:t>
      </w:r>
      <w:r w:rsidR="005574FB">
        <w:t>Koala</w:t>
      </w:r>
      <w:r>
        <w:t xml:space="preserve"> populations across their estimated </w:t>
      </w:r>
      <w:r w:rsidR="00B91783">
        <w:t xml:space="preserve">pre–European settlement </w:t>
      </w:r>
      <w:r>
        <w:t xml:space="preserve">range in Victoria </w:t>
      </w:r>
      <w:r>
        <w:fldChar w:fldCharType="begin"/>
      </w:r>
      <w:r>
        <w:instrText xml:space="preserve"> ADDIN ZOTERO_ITEM CSL_CITATION {"citationID":"l7l4bk19p","properties":{"formattedCitation":"(DELWP 2015b)","plainCitation":"(DELWP 2015b)"},"citationItems":[{"id":5238,"uris":["http://zotero.org/users/634364/items/4GPR8JQR"],"uri":["http://zotero.org/users/634364/items/4GPR8JQR"],"itemData":{"id":5238,"type":"article","title":"Koalas at Cape Otway","publisher":"Department of Environment, Land, Water and Planning","URL":"http://delwp.vic.gov.au/environment-and-wildlife/wildlife/koalas","author":[{"family":"DELWP","given":""}],"issued":{"date-parts":[["2015"]]},"accessed":{"date-parts":[["2016",5,20]]}}}],"schema":"https://github.com/citation-style-language/schema/raw/master/csl-citation.json"} </w:instrText>
      </w:r>
      <w:r>
        <w:fldChar w:fldCharType="separate"/>
      </w:r>
      <w:r w:rsidRPr="00104731">
        <w:t>(DELWP 2015b)</w:t>
      </w:r>
      <w:r>
        <w:fldChar w:fldCharType="end"/>
      </w:r>
      <w:r>
        <w:t>.</w:t>
      </w:r>
      <w:r w:rsidR="00285836">
        <w:t xml:space="preserve"> </w:t>
      </w:r>
      <w:r>
        <w:t xml:space="preserve">The release of 75 </w:t>
      </w:r>
      <w:r w:rsidR="005574FB">
        <w:t>Koala</w:t>
      </w:r>
      <w:r>
        <w:t>s at Cape Otway in 1981 was particularly successful due to the abundance of favoured Manna Gum (</w:t>
      </w:r>
      <w:r w:rsidRPr="00D507D8">
        <w:rPr>
          <w:i/>
        </w:rPr>
        <w:t xml:space="preserve">Eucalyptus </w:t>
      </w:r>
      <w:proofErr w:type="spellStart"/>
      <w:r w:rsidRPr="00D507D8">
        <w:rPr>
          <w:i/>
        </w:rPr>
        <w:t>viminalis</w:t>
      </w:r>
      <w:proofErr w:type="spellEnd"/>
      <w:r>
        <w:t xml:space="preserve">) woodland, a high fertility rate, and an absence of predators, disease and wildfires </w:t>
      </w:r>
      <w:r>
        <w:fldChar w:fldCharType="begin"/>
      </w:r>
      <w:r>
        <w:instrText xml:space="preserve"> ADDIN ZOTERO_ITEM CSL_CITATION {"citationID":"2dp1ath05d","properties":{"formattedCitation":"(DELWP 2015b)","plainCitation":"(DELWP 2015b)"},"citationItems":[{"id":5238,"uris":["http://zotero.org/users/634364/items/4GPR8JQR"],"uri":["http://zotero.org/users/634364/items/4GPR8JQR"],"itemData":{"id":5238,"type":"article","title":"Koalas at Cape Otway","publisher":"Department of Environment, Land, Water and Planning","URL":"http://delwp.vic.gov.au/environment-and-wildlife/wildlife/koalas","author":[{"family":"DELWP","given":""}],"issued":{"date-parts":[["2015"]]},"accessed":{"date-parts":[["2016",5,20]]}}}],"schema":"https://github.com/citation-style-language/schema/raw/master/csl-citation.json"} </w:instrText>
      </w:r>
      <w:r>
        <w:fldChar w:fldCharType="separate"/>
      </w:r>
      <w:r w:rsidRPr="00104731">
        <w:t>(DELWP 2015b)</w:t>
      </w:r>
      <w:r>
        <w:fldChar w:fldCharType="end"/>
      </w:r>
      <w:r>
        <w:t>.</w:t>
      </w:r>
    </w:p>
    <w:p w:rsidR="00C866BC" w:rsidRDefault="00C866BC" w:rsidP="00F6205D">
      <w:pPr>
        <w:pStyle w:val="ARIERBody"/>
      </w:pPr>
      <w:r>
        <w:t xml:space="preserve">However, such was the increase in </w:t>
      </w:r>
      <w:r w:rsidR="005574FB">
        <w:t>Koala</w:t>
      </w:r>
      <w:r>
        <w:t xml:space="preserve">s at Cape Otway, by 2013 </w:t>
      </w:r>
      <w:r w:rsidR="005574FB">
        <w:t>Koala</w:t>
      </w:r>
      <w:r>
        <w:t xml:space="preserve"> population densities had </w:t>
      </w:r>
      <w:r w:rsidRPr="008C4522">
        <w:t xml:space="preserve">reached 20 </w:t>
      </w:r>
      <w:r w:rsidR="005574FB">
        <w:t>Koala</w:t>
      </w:r>
      <w:r w:rsidRPr="008C4522">
        <w:t xml:space="preserve">s per hectare in some areas </w:t>
      </w:r>
      <w:r w:rsidRPr="001F252D">
        <w:fldChar w:fldCharType="begin"/>
      </w:r>
      <w:r w:rsidRPr="008C4522">
        <w:instrText xml:space="preserve"> ADDIN ZOTERO_ITEM CSL_CITATION {"citationID":"2pi262atq2","properties":{"formattedCitation":"{\\rtf (Whisson {\\i{}et al.} 2016)}","plainCitation":"(Whisson et al. 2016)"},"citationItems":[{"id":1423,"uris":["http://zotero.org/users/634364/items/SFNS2XS4"],"uri":["http://zotero.org/users/634364/items/SFNS2XS4"],"itemData":{"id":1423,"type":"article-journal","title":"Failure to Respond to Food Resource Decline Has Catastrophic Consequences for Koalas in a High-Density Population in Southern Australia","container-title":"PLOS ONE","page":"e0144348","volume":"11","issue":"1","source":"PLoS Journals","abstract":"Understanding the ability of koalas to respond to changes in their environment is critical for conservation of the species and their habitat. We monitored the behavioural response of koalas to declining food resources in manna gum ( Eucalyptus viminalis ) woodland at Cape Otway, Victoria, Australia, from September 2011 to November 2013. Over this period, koala population density increased from 10.1 to 18.4 koalas.ha -1 . As a result of the high browsing pressure of this population, manna gum canopy condition declined with 71.4% manna gum being completely or highly defoliated in September 2013. Despite declining food resources, radio collared koalas (N = 30) exhibited high fidelity to small ranges (0.4–1.2 ha). When trees became severely defoliated in September 2013, koalas moved relatively short distances from their former ranges (mean predicted change in range centroid = 144 m) and remained in areas of 0.9 to 1.0 ha. This was despite the high connectivity of most manna gum woodland, and close proximity of the study site (&amp;lt; 3 km) to the contiguous mixed forest of the Great Otway National Park. Limited movement had catastrophic consequences for koalas with 71% (15/21) of radio collared koalas dying from starvation or being euthanased due to their poor condition between September and November 2013.","DOI":"10.1371/journal.pone.0144348","ISSN":"1932-6203","journalAbbreviation":"PLOS ONE","author":[{"family":"Whisson","given":"Desley A."},{"family":"Dixon","given":"Victoria"},{"family":"Taylor","given":"Megan L."},{"family":"Melzer","given":"Alistair"}],"issued":{"date-parts":[["2016",1,6]]}}}],"schema":"https://github.com/citation-style-language/schema/raw/master/csl-citation.json"} </w:instrText>
      </w:r>
      <w:r w:rsidRPr="001F252D">
        <w:fldChar w:fldCharType="separate"/>
      </w:r>
      <w:r w:rsidRPr="008C4522">
        <w:t xml:space="preserve">(Whisson </w:t>
      </w:r>
      <w:r w:rsidRPr="006850F1">
        <w:rPr>
          <w:iCs/>
        </w:rPr>
        <w:t>et al.</w:t>
      </w:r>
      <w:r w:rsidRPr="008C4522">
        <w:t xml:space="preserve"> 2016)</w:t>
      </w:r>
      <w:r w:rsidRPr="001F252D">
        <w:fldChar w:fldCharType="end"/>
      </w:r>
      <w:r w:rsidRPr="008C4522">
        <w:t>.</w:t>
      </w:r>
      <w:r w:rsidR="00285836" w:rsidRPr="008C4522">
        <w:t xml:space="preserve"> </w:t>
      </w:r>
      <w:r w:rsidRPr="008C4522">
        <w:t xml:space="preserve">By the time </w:t>
      </w:r>
      <w:r w:rsidR="005574FB">
        <w:t>Koala</w:t>
      </w:r>
      <w:r w:rsidRPr="008C4522">
        <w:t>s were observed to be</w:t>
      </w:r>
      <w:r>
        <w:t xml:space="preserve"> in distress or malnourished, severe canopy defoliation </w:t>
      </w:r>
      <w:r w:rsidR="008A714C">
        <w:t>and</w:t>
      </w:r>
      <w:r>
        <w:t xml:space="preserve"> tree</w:t>
      </w:r>
      <w:r w:rsidR="008A714C">
        <w:t xml:space="preserve"> death</w:t>
      </w:r>
      <w:r>
        <w:t xml:space="preserve">s had already occurred in many cases </w:t>
      </w:r>
      <w:r>
        <w:fldChar w:fldCharType="begin"/>
      </w:r>
      <w:r>
        <w:instrText xml:space="preserve"> ADDIN ZOTERO_ITEM CSL_CITATION {"citationID":"101t889bgt","properties":{"formattedCitation":"(DELWP 2015a)","plainCitation":"(DELWP 2015a)"},"citationItems":[{"id":5237,"uris":["http://zotero.org/users/634364/items/9WGFXC7D"],"uri":["http://zotero.org/users/634364/items/9WGFXC7D"],"itemData":{"id":5237,"type":"article","title":"Cape Otway Koala Management Actions","publisher":"Department of Environment, Land, Water and Planning, Barwon South West Region","URL":"http://delwp.vic.gov.au/environment-and-wildlife/wildlife/koalas","author":[{"family":"DELWP","given":""}],"issued":{"date-parts":[["2015"]]},"accessed":{"date-parts":[["2016",5,20]]}}}],"schema":"https://github.com/citation-style-language/schema/raw/master/csl-citation.json"} </w:instrText>
      </w:r>
      <w:r>
        <w:fldChar w:fldCharType="separate"/>
      </w:r>
      <w:r w:rsidRPr="00104731">
        <w:t>(DELWP 2015a)</w:t>
      </w:r>
      <w:r>
        <w:fldChar w:fldCharType="end"/>
      </w:r>
      <w:r>
        <w:t>.</w:t>
      </w:r>
      <w:r w:rsidR="00285836">
        <w:t xml:space="preserve"> </w:t>
      </w:r>
      <w:r>
        <w:t xml:space="preserve">In addition, it was observed that </w:t>
      </w:r>
      <w:r w:rsidRPr="00DD256D">
        <w:t xml:space="preserve">excessive defoliation of trees </w:t>
      </w:r>
      <w:r>
        <w:t xml:space="preserve">occurred </w:t>
      </w:r>
      <w:r w:rsidRPr="00DD256D">
        <w:t>quite rapidly</w:t>
      </w:r>
      <w:r w:rsidR="00D640C9">
        <w:t>,</w:t>
      </w:r>
      <w:r w:rsidRPr="00DD256D">
        <w:t xml:space="preserve"> but </w:t>
      </w:r>
      <w:r w:rsidR="00D640C9">
        <w:t xml:space="preserve">that </w:t>
      </w:r>
      <w:r w:rsidR="005574FB">
        <w:t>Koala</w:t>
      </w:r>
      <w:r w:rsidRPr="00DD256D">
        <w:t>s d</w:t>
      </w:r>
      <w:r>
        <w:t>id</w:t>
      </w:r>
      <w:r w:rsidRPr="00DD256D">
        <w:t xml:space="preserve"> not lose condition until </w:t>
      </w:r>
      <w:r>
        <w:t xml:space="preserve">forest canopies were </w:t>
      </w:r>
      <w:r w:rsidRPr="00DD256D">
        <w:t>extremely degraded</w:t>
      </w:r>
      <w:r>
        <w:t>.</w:t>
      </w:r>
      <w:r w:rsidR="00285836">
        <w:t xml:space="preserve"> </w:t>
      </w:r>
      <w:r>
        <w:t xml:space="preserve">Despite the presence of nearby </w:t>
      </w:r>
      <w:r w:rsidR="00D640C9">
        <w:t>mixed-</w:t>
      </w:r>
      <w:r>
        <w:t xml:space="preserve">species eucalypt forest, the majority of </w:t>
      </w:r>
      <w:r w:rsidR="005574FB">
        <w:t>Koala</w:t>
      </w:r>
      <w:r>
        <w:t xml:space="preserve">s at Cape Otway appeared reluctant </w:t>
      </w:r>
      <w:r w:rsidRPr="008C4522">
        <w:t xml:space="preserve">to move to relatively </w:t>
      </w:r>
      <w:proofErr w:type="spellStart"/>
      <w:r w:rsidRPr="008C4522">
        <w:t>unbrowsed</w:t>
      </w:r>
      <w:proofErr w:type="spellEnd"/>
      <w:r w:rsidRPr="008C4522">
        <w:t xml:space="preserve"> trees and subsequently starved to death </w:t>
      </w:r>
      <w:r w:rsidRPr="001F252D">
        <w:fldChar w:fldCharType="begin"/>
      </w:r>
      <w:r w:rsidRPr="008C4522">
        <w:instrText xml:space="preserve"> ADDIN ZOTERO_ITEM CSL_CITATION {"citationID":"21gbk7ic8f","properties":{"formattedCitation":"{\\rtf (DELWP 2015a; Whisson {\\i{}et al.} 2016)}","plainCitation":"(DELWP 2015a; Whisson et al. 2016)"},"citationItems":[{"id":5237,"uris":["http://zotero.org/users/634364/items/9WGFXC7D"],"uri":["http://zotero.org/users/634364/items/9WGFXC7D"],"itemData":{"id":5237,"type":"article","title":"Cape Otway Koala Management Actions","publisher":"Department of Environment, Land, Water and Planning, Barwon South West Region","URL":"http://delwp.vic.gov.au/environment-and-wildlife/wildlife/koalas","author":[{"family":"DELWP","given":""}],"issued":{"date-parts":[["2015"]]},"accessed":{"date-parts":[["2016",5,20]]}}},{"id":1423,"uris":["http://zotero.org/users/634364/items/SFNS2XS4"],"uri":["http://zotero.org/users/634364/items/SFNS2XS4"],"itemData":{"id":1423,"type":"article-journal","title":"Failure to Respond to Food Resource Decline Has Catastrophic Consequences for Koalas in a High-Density Population in Southern Australia","container-title":"PLOS ONE","page":"e0144348","volume":"11","issue":"1","source":"PLoS Journals","abstract":"Understanding the ability of koalas to respond to changes in their environment is critical for conservation of the species and their habitat. We monitored the behavioural response of koalas to declining food resources in manna gum ( Eucalyptus viminalis ) woodland at Cape Otway, Victoria, Australia, from September 2011 to November 2013. Over this period, koala population density increased from 10.1 to 18.4 koalas.ha -1 . As a result of the high browsing pressure of this population, manna gum canopy condition declined with 71.4% manna gum being completely or highly defoliated in September 2013. Despite declining food resources, radio collared koalas (N = 30) exhibited high fidelity to small ranges (0.4–1.2 ha). When trees became severely defoliated in September 2013, koalas moved relatively short distances from their former ranges (mean predicted change in range centroid = 144 m) and remained in areas of 0.9 to 1.0 ha. This was despite the high connectivity of most manna gum woodland, and close proximity of the study site (&amp;lt; 3 km) to the contiguous mixed forest of the Great Otway National Park. Limited movement had catastrophic consequences for koalas with 71% (15/21) of radio collared koalas dying from starvation or being euthanased due to their poor condition between September and November 2013.","DOI":"10.1371/journal.pone.0144348","ISSN":"1932-6203","journalAbbreviation":"PLOS ONE","author":[{"family":"Whisson","given":"Desley A."},{"family":"Dixon","given":"Victoria"},{"family":"Taylor","given":"Megan L."},{"family":"Melzer","given":"Alistair"}],"issued":{"date-parts":[["2016",1,6]]}}}],"schema":"https://github.com/citation-style-language/schema/raw/master/csl-citation.json"} </w:instrText>
      </w:r>
      <w:r w:rsidRPr="001F252D">
        <w:fldChar w:fldCharType="separate"/>
      </w:r>
      <w:r w:rsidRPr="008C4522">
        <w:t xml:space="preserve">(DELWP 2015a; Whisson </w:t>
      </w:r>
      <w:r w:rsidRPr="006850F1">
        <w:rPr>
          <w:iCs/>
        </w:rPr>
        <w:t>et al.</w:t>
      </w:r>
      <w:r w:rsidRPr="008C4522">
        <w:t xml:space="preserve"> 2016)</w:t>
      </w:r>
      <w:r w:rsidRPr="001F252D">
        <w:fldChar w:fldCharType="end"/>
      </w:r>
      <w:r>
        <w:t>.</w:t>
      </w:r>
    </w:p>
    <w:p w:rsidR="00C866BC" w:rsidRDefault="00C866BC" w:rsidP="00F6205D">
      <w:pPr>
        <w:pStyle w:val="ARIERBody"/>
      </w:pPr>
      <w:r>
        <w:t xml:space="preserve">The severity of the threat to Cape Otway </w:t>
      </w:r>
      <w:r w:rsidR="005574FB">
        <w:t>Koala</w:t>
      </w:r>
      <w:r>
        <w:t xml:space="preserve"> populations led to emergency welfare interventions by the </w:t>
      </w:r>
      <w:r w:rsidR="00D640C9">
        <w:t>Department of Primary Industries (DEPI)/</w:t>
      </w:r>
      <w:r w:rsidR="00D640C9" w:rsidRPr="00C76DA3">
        <w:rPr>
          <w:color w:val="000000" w:themeColor="text1"/>
        </w:rPr>
        <w:t>Department of Environment, Land, Water and Planning</w:t>
      </w:r>
      <w:r w:rsidR="00D640C9">
        <w:t xml:space="preserve"> (DELWP) </w:t>
      </w:r>
      <w:r>
        <w:t>in 2014</w:t>
      </w:r>
      <w:r w:rsidR="00D640C9">
        <w:t>–20</w:t>
      </w:r>
      <w:r>
        <w:t>15.</w:t>
      </w:r>
      <w:r w:rsidR="00285836">
        <w:t xml:space="preserve"> </w:t>
      </w:r>
      <w:r>
        <w:t xml:space="preserve">Of 960 </w:t>
      </w:r>
      <w:r w:rsidR="005574FB">
        <w:t>Koala</w:t>
      </w:r>
      <w:r>
        <w:t xml:space="preserve">s assessed, 686 were found to be in sufficiently poor health that they were humanely euthanized by veterinarians </w:t>
      </w:r>
      <w:r>
        <w:fldChar w:fldCharType="begin"/>
      </w:r>
      <w:r>
        <w:instrText xml:space="preserve"> ADDIN ZOTERO_ITEM CSL_CITATION {"citationID":"4fee487dh","properties":{"formattedCitation":"(DELWP 2015a)","plainCitation":"(DELWP 2015a)"},"citationItems":[{"id":5237,"uris":["http://zotero.org/users/634364/items/9WGFXC7D"],"uri":["http://zotero.org/users/634364/items/9WGFXC7D"],"itemData":{"id":5237,"type":"article","title":"Cape Otway Koala Management Actions","publisher":"Department of Environment, Land, Water and Planning, Barwon South West Region","URL":"http://delwp.vic.gov.au/environment-and-wildlife/wildlife/koalas","author":[{"family":"DELWP","given":""}],"issued":{"date-parts":[["2015"]]},"accessed":{"date-parts":[["2016",5,20]]}}}],"schema":"https://github.com/citation-style-language/schema/raw/master/csl-citation.json"} </w:instrText>
      </w:r>
      <w:r>
        <w:fldChar w:fldCharType="separate"/>
      </w:r>
      <w:r w:rsidRPr="00104731">
        <w:t>(DELWP 2015a)</w:t>
      </w:r>
      <w:r>
        <w:fldChar w:fldCharType="end"/>
      </w:r>
      <w:r>
        <w:t>.</w:t>
      </w:r>
      <w:r w:rsidR="00285836">
        <w:t xml:space="preserve"> </w:t>
      </w:r>
      <w:r>
        <w:t xml:space="preserve">The main lesson learned from </w:t>
      </w:r>
      <w:r w:rsidR="000E266D">
        <w:t>this</w:t>
      </w:r>
      <w:r>
        <w:t xml:space="preserve"> was that initiating intervention at the time when malnourished and/or distressed </w:t>
      </w:r>
      <w:r w:rsidR="005574FB">
        <w:t>Koala</w:t>
      </w:r>
      <w:r>
        <w:t xml:space="preserve">s were being observed was too late </w:t>
      </w:r>
      <w:r w:rsidR="000E266D">
        <w:t xml:space="preserve">either </w:t>
      </w:r>
      <w:r>
        <w:t xml:space="preserve">to save </w:t>
      </w:r>
      <w:r w:rsidR="005574FB">
        <w:t>Koala</w:t>
      </w:r>
      <w:r>
        <w:t xml:space="preserve">s </w:t>
      </w:r>
      <w:r w:rsidR="000E266D">
        <w:t>or to</w:t>
      </w:r>
      <w:r>
        <w:t xml:space="preserve"> avoid irreversible canopy decline.</w:t>
      </w:r>
      <w:r w:rsidR="00285836">
        <w:t xml:space="preserve"> </w:t>
      </w:r>
      <w:r>
        <w:t xml:space="preserve">Hence, the challenge for land managers is to determine when management intervention is required </w:t>
      </w:r>
      <w:r w:rsidR="000E266D">
        <w:t xml:space="preserve">in order </w:t>
      </w:r>
      <w:r>
        <w:t xml:space="preserve">to prevent such </w:t>
      </w:r>
      <w:proofErr w:type="spellStart"/>
      <w:r w:rsidR="0021267C">
        <w:t>over</w:t>
      </w:r>
      <w:r>
        <w:t>browsing</w:t>
      </w:r>
      <w:proofErr w:type="spellEnd"/>
      <w:r>
        <w:t xml:space="preserve"> so that both long-term sustainable </w:t>
      </w:r>
      <w:r w:rsidR="005574FB">
        <w:t>Koala</w:t>
      </w:r>
      <w:r>
        <w:t xml:space="preserve"> populations and forest canopies are maintained. Intervention that is too early can result in a waste of limited resources and unnecessary stress on </w:t>
      </w:r>
      <w:r w:rsidR="005574FB">
        <w:t>Koala</w:t>
      </w:r>
      <w:r>
        <w:t>s.</w:t>
      </w:r>
      <w:r w:rsidR="00285836">
        <w:t xml:space="preserve"> </w:t>
      </w:r>
      <w:r>
        <w:t xml:space="preserve">However, intervention that is too late can lead to long-term damage to native forest and subsequent starvation of </w:t>
      </w:r>
      <w:r w:rsidR="005574FB">
        <w:t>Koala</w:t>
      </w:r>
      <w:r>
        <w:t>s.</w:t>
      </w:r>
    </w:p>
    <w:p w:rsidR="00C866BC" w:rsidRDefault="00C866BC" w:rsidP="00F6205D">
      <w:pPr>
        <w:pStyle w:val="ARIERBody"/>
      </w:pPr>
      <w:r>
        <w:t xml:space="preserve">The Cape Otway Koala Management Plan </w:t>
      </w:r>
      <w:r>
        <w:fldChar w:fldCharType="begin"/>
      </w:r>
      <w:r>
        <w:instrText xml:space="preserve"> ADDIN ZOTERO_ITEM CSL_CITATION {"citationID":"dbr1g3ms4","properties":{"formattedCitation":"(DELWP 2015a)","plainCitation":"(DELWP 2015a)"},"citationItems":[{"id":5237,"uris":["http://zotero.org/users/634364/items/9WGFXC7D"],"uri":["http://zotero.org/users/634364/items/9WGFXC7D"],"itemData":{"id":5237,"type":"article","title":"Cape Otway Koala Management Actions","publisher":"Department of Environment, Land, Water and Planning, Barwon South West Region","URL":"http://delwp.vic.gov.au/environment-and-wildlife/wildlife/koalas","author":[{"family":"DELWP","given":""}],"issued":{"date-parts":[["2015"]]},"accessed":{"date-parts":[["2016",5,20]]}}}],"schema":"https://github.com/citation-style-language/schema/raw/master/csl-citation.json"} </w:instrText>
      </w:r>
      <w:r>
        <w:fldChar w:fldCharType="separate"/>
      </w:r>
      <w:r w:rsidRPr="00104731">
        <w:t>(DELWP 2015a)</w:t>
      </w:r>
      <w:r>
        <w:fldChar w:fldCharType="end"/>
      </w:r>
      <w:r>
        <w:t xml:space="preserve"> identified a range of short</w:t>
      </w:r>
      <w:r w:rsidR="000E266D">
        <w:t>-</w:t>
      </w:r>
      <w:r>
        <w:t xml:space="preserve"> and </w:t>
      </w:r>
      <w:r w:rsidR="000E266D">
        <w:t>long-</w:t>
      </w:r>
      <w:r>
        <w:t xml:space="preserve">term actions </w:t>
      </w:r>
      <w:r w:rsidR="00055A1B">
        <w:t xml:space="preserve">for </w:t>
      </w:r>
      <w:r>
        <w:t>maintain</w:t>
      </w:r>
      <w:r w:rsidR="00055A1B">
        <w:t>ing</w:t>
      </w:r>
      <w:r>
        <w:t xml:space="preserve"> a sustainable and healthy population of </w:t>
      </w:r>
      <w:r w:rsidR="005574FB">
        <w:t>Koala</w:t>
      </w:r>
      <w:r>
        <w:t>s at Cape Otway.</w:t>
      </w:r>
      <w:r w:rsidR="00285836">
        <w:t xml:space="preserve"> </w:t>
      </w:r>
      <w:r>
        <w:t xml:space="preserve">This </w:t>
      </w:r>
      <w:r w:rsidR="00055A1B">
        <w:t xml:space="preserve">study </w:t>
      </w:r>
      <w:r>
        <w:t>addresses two of the actions proposed in the Management Plan:</w:t>
      </w:r>
    </w:p>
    <w:p w:rsidR="00C866BC" w:rsidRDefault="00C866BC" w:rsidP="00AA27C1">
      <w:pPr>
        <w:pStyle w:val="ARIERBody"/>
        <w:numPr>
          <w:ilvl w:val="0"/>
          <w:numId w:val="42"/>
        </w:numPr>
        <w:ind w:left="426" w:hanging="412"/>
      </w:pPr>
      <w:r>
        <w:t xml:space="preserve">Develop a habitat health trigger for initiating </w:t>
      </w:r>
      <w:r w:rsidR="005574FB">
        <w:t>Koala</w:t>
      </w:r>
      <w:r>
        <w:t xml:space="preserve"> management actions (e.g. welfare intervention, fertility control</w:t>
      </w:r>
      <w:r w:rsidR="00623883">
        <w:t>,</w:t>
      </w:r>
      <w:r>
        <w:t xml:space="preserve"> or translocation)</w:t>
      </w:r>
      <w:r w:rsidR="00055A1B">
        <w:t>.</w:t>
      </w:r>
    </w:p>
    <w:p w:rsidR="00C866BC" w:rsidRDefault="00C866BC" w:rsidP="00AA27C1">
      <w:pPr>
        <w:pStyle w:val="ARIERBody"/>
        <w:numPr>
          <w:ilvl w:val="0"/>
          <w:numId w:val="42"/>
        </w:numPr>
        <w:ind w:left="426" w:hanging="412"/>
      </w:pPr>
      <w:r>
        <w:t xml:space="preserve">Determine </w:t>
      </w:r>
      <w:r w:rsidR="00623883">
        <w:t xml:space="preserve">the </w:t>
      </w:r>
      <w:r>
        <w:t xml:space="preserve">carrying capacity and population targets for Cape Otway </w:t>
      </w:r>
      <w:r w:rsidR="005574FB">
        <w:t>Koala</w:t>
      </w:r>
      <w:r>
        <w:t xml:space="preserve"> habitats</w:t>
      </w:r>
      <w:r w:rsidR="00055A1B">
        <w:t>.</w:t>
      </w:r>
    </w:p>
    <w:p w:rsidR="00285836" w:rsidRDefault="00C866BC" w:rsidP="00F6205D">
      <w:pPr>
        <w:pStyle w:val="ARIERBody"/>
      </w:pPr>
      <w:r>
        <w:t xml:space="preserve">The objective of this research was to identify potential habitat condition ‘triggers’ that can be used to determine when forests and their </w:t>
      </w:r>
      <w:r w:rsidR="005574FB">
        <w:t>Koala</w:t>
      </w:r>
      <w:r>
        <w:t xml:space="preserve"> populations are at imminent risk of collapse due to unsustainable browsing pressure so that pre-emptive management intervention can be initiated to mitigate this risk.</w:t>
      </w:r>
      <w:r w:rsidR="00285836">
        <w:t xml:space="preserve"> </w:t>
      </w:r>
      <w:r w:rsidRPr="00DD256D">
        <w:t>Here we will develop intervention triggers based on an index of canopy</w:t>
      </w:r>
      <w:r>
        <w:t xml:space="preserve"> </w:t>
      </w:r>
      <w:r w:rsidRPr="00DD256D">
        <w:t xml:space="preserve">health for </w:t>
      </w:r>
      <w:r>
        <w:t xml:space="preserve">eucalypt species preferred by </w:t>
      </w:r>
      <w:r w:rsidR="005574FB">
        <w:t>Koala</w:t>
      </w:r>
      <w:r>
        <w:t xml:space="preserve">s </w:t>
      </w:r>
      <w:r w:rsidR="00623883">
        <w:t xml:space="preserve">in order </w:t>
      </w:r>
      <w:r w:rsidRPr="00DD256D">
        <w:t>to guide future interventions.</w:t>
      </w:r>
      <w:r w:rsidR="00285836">
        <w:t xml:space="preserve"> </w:t>
      </w:r>
      <w:r>
        <w:t>Development of these intervention triggers will provide managers with an ‘early warning system</w:t>
      </w:r>
      <w:r w:rsidR="00623883">
        <w:t>’</w:t>
      </w:r>
      <w:r>
        <w:t xml:space="preserve"> so that intervention can be</w:t>
      </w:r>
      <w:r w:rsidRPr="00DD256D">
        <w:t xml:space="preserve"> implemented </w:t>
      </w:r>
      <w:r>
        <w:t xml:space="preserve">soon enough to avoid </w:t>
      </w:r>
      <w:r w:rsidR="00623883">
        <w:t xml:space="preserve">both </w:t>
      </w:r>
      <w:r>
        <w:t>excessive defoliation of</w:t>
      </w:r>
      <w:r w:rsidRPr="00DD256D">
        <w:t xml:space="preserve"> forest canop</w:t>
      </w:r>
      <w:r>
        <w:t>ies</w:t>
      </w:r>
      <w:r w:rsidRPr="00DD256D">
        <w:t xml:space="preserve"> </w:t>
      </w:r>
      <w:r w:rsidR="00623883">
        <w:t>and</w:t>
      </w:r>
      <w:r>
        <w:t xml:space="preserve"> detrimental effects on</w:t>
      </w:r>
      <w:r w:rsidRPr="00DD256D">
        <w:t xml:space="preserve"> </w:t>
      </w:r>
      <w:r w:rsidR="005574FB">
        <w:t>Koala</w:t>
      </w:r>
      <w:r>
        <w:t>s.</w:t>
      </w:r>
      <w:r w:rsidR="00285836">
        <w:t xml:space="preserve"> </w:t>
      </w:r>
      <w:r w:rsidR="00B46CCB">
        <w:t>U</w:t>
      </w:r>
      <w:r w:rsidRPr="00DD256D">
        <w:t xml:space="preserve">se of these intervention triggers </w:t>
      </w:r>
      <w:r>
        <w:t>should</w:t>
      </w:r>
      <w:r w:rsidRPr="00DD256D">
        <w:t xml:space="preserve"> ensure the lo</w:t>
      </w:r>
      <w:r>
        <w:t>ng-term sustainability of both e</w:t>
      </w:r>
      <w:r w:rsidRPr="00DD256D">
        <w:t xml:space="preserve">ucalypt forests and </w:t>
      </w:r>
      <w:r w:rsidR="005574FB">
        <w:t>Koala</w:t>
      </w:r>
      <w:r w:rsidRPr="00DD256D">
        <w:t xml:space="preserve"> populations</w:t>
      </w:r>
      <w:r>
        <w:t xml:space="preserve"> in areas at high risk of unsustainable canopy defoliation</w:t>
      </w:r>
      <w:r w:rsidRPr="00DD256D">
        <w:t>.</w:t>
      </w:r>
    </w:p>
    <w:p w:rsidR="00606707" w:rsidRPr="00B75952" w:rsidRDefault="00606707" w:rsidP="003B1492">
      <w:pPr>
        <w:pStyle w:val="ARIERHA"/>
        <w:spacing w:after="480"/>
      </w:pPr>
      <w:r w:rsidRPr="00B75952">
        <w:br w:type="page"/>
      </w:r>
      <w:bookmarkStart w:id="20" w:name="_Toc286018763"/>
      <w:bookmarkStart w:id="21" w:name="_Toc455406121"/>
      <w:r w:rsidRPr="00B75952">
        <w:lastRenderedPageBreak/>
        <w:t>2</w:t>
      </w:r>
      <w:r w:rsidRPr="00B75952">
        <w:tab/>
      </w:r>
      <w:bookmarkEnd w:id="20"/>
      <w:r w:rsidR="00FE7967" w:rsidRPr="00B75952">
        <w:t>Method</w:t>
      </w:r>
      <w:r w:rsidR="00C42D27">
        <w:t>s</w:t>
      </w:r>
      <w:bookmarkEnd w:id="21"/>
    </w:p>
    <w:p w:rsidR="00606707" w:rsidRPr="00B75952" w:rsidRDefault="00606707" w:rsidP="00606707">
      <w:pPr>
        <w:pStyle w:val="ARIERHB"/>
      </w:pPr>
      <w:bookmarkStart w:id="22" w:name="_Toc409798401"/>
      <w:bookmarkStart w:id="23" w:name="_Toc286018764"/>
      <w:bookmarkStart w:id="24" w:name="_Toc455406122"/>
      <w:r w:rsidRPr="00B75952">
        <w:t>2.1</w:t>
      </w:r>
      <w:r w:rsidRPr="00B75952">
        <w:rPr>
          <w:rFonts w:cs="Times New Roman"/>
          <w:lang w:val="en-US"/>
        </w:rPr>
        <w:tab/>
      </w:r>
      <w:bookmarkEnd w:id="22"/>
      <w:bookmarkEnd w:id="23"/>
      <w:r w:rsidR="00C866BC" w:rsidRPr="00C866BC">
        <w:t xml:space="preserve">Development of a </w:t>
      </w:r>
      <w:r w:rsidR="008B1E21">
        <w:t xml:space="preserve">eucalypt </w:t>
      </w:r>
      <w:r w:rsidR="00C866BC" w:rsidRPr="00C866BC">
        <w:t>‘habitat health trigger’</w:t>
      </w:r>
      <w:bookmarkEnd w:id="24"/>
    </w:p>
    <w:p w:rsidR="00606707" w:rsidRPr="00B75952" w:rsidRDefault="00606707" w:rsidP="00606707">
      <w:pPr>
        <w:pStyle w:val="ARIERHC"/>
      </w:pPr>
      <w:bookmarkStart w:id="25" w:name="_Toc409798403"/>
      <w:bookmarkStart w:id="26" w:name="_Toc455406123"/>
      <w:r w:rsidRPr="00B75952">
        <w:t>2.</w:t>
      </w:r>
      <w:r w:rsidR="0027068A">
        <w:t>1</w:t>
      </w:r>
      <w:r w:rsidRPr="00B75952">
        <w:t>.1</w:t>
      </w:r>
      <w:r w:rsidRPr="00B75952">
        <w:rPr>
          <w:rFonts w:cs="Times New Roman"/>
          <w:lang w:val="en-US"/>
        </w:rPr>
        <w:tab/>
      </w:r>
      <w:bookmarkEnd w:id="25"/>
      <w:r w:rsidR="00652CF3">
        <w:rPr>
          <w:rFonts w:cs="Times New Roman"/>
          <w:lang w:val="en-US"/>
        </w:rPr>
        <w:t>Canopy cover</w:t>
      </w:r>
      <w:r w:rsidR="00C866BC" w:rsidRPr="00C866BC">
        <w:t xml:space="preserve"> and tree mortality</w:t>
      </w:r>
      <w:r w:rsidR="00A35BA5">
        <w:t xml:space="preserve"> for Manna Gums</w:t>
      </w:r>
      <w:bookmarkEnd w:id="26"/>
    </w:p>
    <w:p w:rsidR="00285836" w:rsidRDefault="00C866BC" w:rsidP="00F6205D">
      <w:pPr>
        <w:pStyle w:val="ARIERBody"/>
      </w:pPr>
      <w:r w:rsidRPr="00C866BC">
        <w:t xml:space="preserve">In the majority of cases, </w:t>
      </w:r>
      <w:r w:rsidR="005574FB">
        <w:t>Koala</w:t>
      </w:r>
      <w:r w:rsidRPr="00C866BC">
        <w:t xml:space="preserve"> </w:t>
      </w:r>
      <w:proofErr w:type="spellStart"/>
      <w:r w:rsidRPr="00C866BC">
        <w:t>overbrowsing</w:t>
      </w:r>
      <w:proofErr w:type="spellEnd"/>
      <w:r w:rsidRPr="00C866BC">
        <w:t xml:space="preserve"> is characterised by severe defoliation of the coastal subspecies of </w:t>
      </w:r>
      <w:r w:rsidR="00FF1DB9">
        <w:t>Manna Gum</w:t>
      </w:r>
      <w:r w:rsidRPr="00C866BC">
        <w:t xml:space="preserve"> (</w:t>
      </w:r>
      <w:r w:rsidRPr="00C866BC">
        <w:rPr>
          <w:i/>
        </w:rPr>
        <w:t xml:space="preserve">Eucalyptus </w:t>
      </w:r>
      <w:proofErr w:type="spellStart"/>
      <w:r w:rsidRPr="00C866BC">
        <w:rPr>
          <w:i/>
        </w:rPr>
        <w:t>viminalis</w:t>
      </w:r>
      <w:proofErr w:type="spellEnd"/>
      <w:r w:rsidRPr="00C866BC">
        <w:t xml:space="preserve"> ssp</w:t>
      </w:r>
      <w:r w:rsidR="00717DA0">
        <w:t>.</w:t>
      </w:r>
      <w:r w:rsidRPr="00C866BC">
        <w:t xml:space="preserve"> </w:t>
      </w:r>
      <w:proofErr w:type="spellStart"/>
      <w:r w:rsidRPr="00C866BC">
        <w:rPr>
          <w:i/>
        </w:rPr>
        <w:t>pryoriana</w:t>
      </w:r>
      <w:proofErr w:type="spellEnd"/>
      <w:r w:rsidRPr="00C866BC">
        <w:t xml:space="preserve"> or ssp</w:t>
      </w:r>
      <w:r w:rsidR="00717DA0">
        <w:t>.</w:t>
      </w:r>
      <w:r w:rsidRPr="00C866BC">
        <w:t xml:space="preserve"> </w:t>
      </w:r>
      <w:proofErr w:type="spellStart"/>
      <w:r w:rsidRPr="00C866BC">
        <w:rPr>
          <w:i/>
        </w:rPr>
        <w:t>cygn</w:t>
      </w:r>
      <w:r w:rsidR="00717DA0">
        <w:rPr>
          <w:i/>
        </w:rPr>
        <w:t>e</w:t>
      </w:r>
      <w:r w:rsidRPr="00C866BC">
        <w:rPr>
          <w:i/>
        </w:rPr>
        <w:t>tensis</w:t>
      </w:r>
      <w:proofErr w:type="spellEnd"/>
      <w:r w:rsidRPr="00C866BC">
        <w:t xml:space="preserve">), leading to death of individual trees </w:t>
      </w:r>
      <w:r w:rsidRPr="00C866BC">
        <w:fldChar w:fldCharType="begin"/>
      </w:r>
      <w:r w:rsidRPr="00C866BC">
        <w:instrText xml:space="preserve"> ADDIN ZOTERO_ITEM CSL_CITATION {"citationID":"1s5smk6fb4","properties":{"formattedCitation":"(Menkhorst 2008)","plainCitation":"(Menkhorst 2008)"},"citationItems":[{"id":5249,"uris":["http://zotero.org/users/634364/items/ENNX426Z"],"uri":["http://zotero.org/users/634364/items/ENNX426Z"],"itemData":{"id":5249,"type":"chapter","title":"Hunted, marooned, re-introduced, contracepted: a history of Koala management in Victoria","container-title":"Too close for comfort: Contentious Issues in Human Wildlife Encounters","publisher":"Royal Zoological Society of NSW","publisher-place":"Mosman, NSW.","event-place":"Mosman, NSW.","author":[{"family":"Menkhorst","given":"Peter"}],"issued":{"date-parts":[["2008"]]}}}],"schema":"https://github.com/citation-style-language/schema/raw/master/csl-citation.json"} </w:instrText>
      </w:r>
      <w:r w:rsidRPr="00C866BC">
        <w:fldChar w:fldCharType="separate"/>
      </w:r>
      <w:r w:rsidRPr="00C866BC">
        <w:t>(Menkhorst 2008)</w:t>
      </w:r>
      <w:r w:rsidRPr="00C866BC">
        <w:fldChar w:fldCharType="end"/>
      </w:r>
      <w:r w:rsidRPr="00C866BC">
        <w:t>.</w:t>
      </w:r>
      <w:r w:rsidR="00285836">
        <w:t xml:space="preserve"> </w:t>
      </w:r>
      <w:r w:rsidR="00717DA0">
        <w:t>To develop</w:t>
      </w:r>
      <w:r w:rsidRPr="00C866BC">
        <w:t xml:space="preserve"> a habitat health trigger </w:t>
      </w:r>
      <w:r w:rsidR="00717DA0">
        <w:t>we need to</w:t>
      </w:r>
      <w:r w:rsidR="00717DA0" w:rsidRPr="00C866BC">
        <w:t xml:space="preserve"> </w:t>
      </w:r>
      <w:r w:rsidRPr="00C866BC">
        <w:t>understand the relationship between canopy folia</w:t>
      </w:r>
      <w:r w:rsidR="00882602">
        <w:t>ge</w:t>
      </w:r>
      <w:r w:rsidRPr="00C866BC">
        <w:t xml:space="preserve"> cover and tree mortality </w:t>
      </w:r>
      <w:r w:rsidR="00717DA0">
        <w:t xml:space="preserve">so as </w:t>
      </w:r>
      <w:r w:rsidRPr="00C866BC">
        <w:t>to determine a potential ‘foliar cover threshold’.</w:t>
      </w:r>
      <w:r w:rsidR="00285836">
        <w:t xml:space="preserve"> </w:t>
      </w:r>
      <w:r w:rsidRPr="00C866BC">
        <w:t xml:space="preserve">The foliar cover threshold can be described as the amount of foliage on individual trees below which recovery from ongoing browsing may not be possible </w:t>
      </w:r>
      <w:r w:rsidRPr="00C866BC">
        <w:fldChar w:fldCharType="begin"/>
      </w:r>
      <w:r w:rsidRPr="00C866BC">
        <w:instrText xml:space="preserve"> ADDIN ZOTERO_ITEM CSL_CITATION {"citationID":"2ivf6esbhv","properties":{"formattedCitation":"(Holland 2013)","plainCitation":"(Holland 2013)"},"citationItems":[{"id":1079,"uris":["http://zotero.org/users/634364/items/G25UNZH6"],"uri":["http://zotero.org/users/634364/items/G25UNZH6"],"itemData":{"id":1079,"type":"article-journal","title":"Inferring changes in foliar mass and area from foliage cover: A mechanistic model","container-title":"Austral Ecology","page":"121-130","volume":"38","issue":"2","source":"EBSCOhost","abstract":"Measuring foliar area or mass directly is destructive, and precludes long-term, repeated observations of individual trees as they suffer or recover from foliar damage. Instead, foliage cover indices are often used as a proxy for foliar mass. Patterns of fluctuations in foliage cover indices can be used to infer qualitative changes in canopy health. However, foliage cover is not necessarily linearly related to foliar area or mass, and this may confound the detection of significant foliar damage, and comparisons of herbivore browse impacts between individual trees, tree species or sites. I derived a mechanistic model to quantify the relationship between foliar area or mass and foliage cover measured as the proportion of sky occluded by leaves. This one parameter model is close to linear for single-tiered trees, but increasingly non-linear for multi-tiered trees. I compared the non-linear model to a linear model using foliage cover data from an artificial defoliation experiment on two single-tiered, sub-canopy species and from simulated photographic images of single- and multi-tiered canopies. The non-linear model had lower errors than the linear model, and errors did not increase with foliage density (leaf area per unit area), variation (of leaf sizes within and between canopies) or leaf geometry. The non-linear model can be easily parameterized from relatively low-cost observations of foliage cover, independently of empirical measurements of foliar area or mass, and is applicable to a wide range of tree species. It should therefore help managers quantify how changes in foliage cover due to natural fluctuations or foliar damage affect foliar area and mass, and can be used to quantify parameters for models of browse impacts in mixed forest.","DOI":"10.1111/j.1442-9993.2012.02384.x","ISSN":"14429985","shortTitle":"Inferring changes in foliar mass and area from foliage cover","journalAbbreviation":"Austral Ecology","author":[{"family":"Holland","given":"E. Penelope"}],"issued":{"date-parts":[["2013",4]]}}}],"schema":"https://github.com/citation-style-language/schema/raw/master/csl-citation.json"} </w:instrText>
      </w:r>
      <w:r w:rsidRPr="00C866BC">
        <w:fldChar w:fldCharType="separate"/>
      </w:r>
      <w:r w:rsidRPr="00C866BC">
        <w:t>(Holland 2013)</w:t>
      </w:r>
      <w:r w:rsidRPr="00C866BC">
        <w:fldChar w:fldCharType="end"/>
      </w:r>
      <w:r w:rsidRPr="00C866BC">
        <w:t>.</w:t>
      </w:r>
      <w:r w:rsidR="00285836">
        <w:t xml:space="preserve"> </w:t>
      </w:r>
      <w:r w:rsidRPr="00C866BC">
        <w:t xml:space="preserve">The central idea here is that if the foliar cover </w:t>
      </w:r>
      <w:r w:rsidR="00717DA0">
        <w:t xml:space="preserve">drops below the </w:t>
      </w:r>
      <w:r w:rsidRPr="00C866BC">
        <w:t xml:space="preserve">threshold, even a substantial reduction in </w:t>
      </w:r>
      <w:r w:rsidR="005574FB">
        <w:t>Koala</w:t>
      </w:r>
      <w:r w:rsidRPr="00C866BC">
        <w:t xml:space="preserve"> abundance may be insufficient to reverse continued canopy decline and </w:t>
      </w:r>
      <w:r w:rsidR="00FE6918">
        <w:t xml:space="preserve">to </w:t>
      </w:r>
      <w:r w:rsidRPr="00C866BC">
        <w:t>avoid subsequent tree death.</w:t>
      </w:r>
    </w:p>
    <w:p w:rsidR="00C866BC" w:rsidRPr="00C866BC" w:rsidRDefault="00C866BC" w:rsidP="00F6205D">
      <w:pPr>
        <w:pStyle w:val="ARIERBody"/>
      </w:pPr>
      <w:r w:rsidRPr="00C866BC">
        <w:t xml:space="preserve">Estimates of the relationship between </w:t>
      </w:r>
      <w:r w:rsidR="00882602">
        <w:t xml:space="preserve">canopy </w:t>
      </w:r>
      <w:r w:rsidRPr="00C866BC">
        <w:t>folia</w:t>
      </w:r>
      <w:r w:rsidR="00882602">
        <w:t>ge</w:t>
      </w:r>
      <w:r w:rsidRPr="00C866BC">
        <w:t xml:space="preserve"> cover and tree mortality require data from individual trees over a long enough period to observe individual tree deaths.</w:t>
      </w:r>
      <w:r w:rsidR="00285836">
        <w:t xml:space="preserve"> </w:t>
      </w:r>
      <w:r w:rsidRPr="00C866BC">
        <w:t xml:space="preserve">Suitable data for estimating a foliar cover threshold for </w:t>
      </w:r>
      <w:r w:rsidR="00FF1DB9">
        <w:t>Manna Gum</w:t>
      </w:r>
      <w:r w:rsidRPr="00C866BC">
        <w:t xml:space="preserve"> exist for M</w:t>
      </w:r>
      <w:r w:rsidR="00F66002">
        <w:t>oun</w:t>
      </w:r>
      <w:r w:rsidRPr="00C866BC">
        <w:t>t Eccles National Park</w:t>
      </w:r>
      <w:r w:rsidR="00F66002">
        <w:t xml:space="preserve"> (MENP)</w:t>
      </w:r>
      <w:r w:rsidR="00D04FAA">
        <w:t>,</w:t>
      </w:r>
      <w:r w:rsidRPr="00C866BC">
        <w:t xml:space="preserve"> where folia</w:t>
      </w:r>
      <w:r w:rsidR="00882602">
        <w:t>ge</w:t>
      </w:r>
      <w:r w:rsidRPr="00C866BC">
        <w:t xml:space="preserve"> cover and subsequent tree mortality </w:t>
      </w:r>
      <w:r w:rsidR="00D04FAA">
        <w:t>has been</w:t>
      </w:r>
      <w:r w:rsidR="00D04FAA" w:rsidRPr="00C866BC">
        <w:t xml:space="preserve"> </w:t>
      </w:r>
      <w:r w:rsidRPr="00C866BC">
        <w:t xml:space="preserve">collected biannually </w:t>
      </w:r>
      <w:r w:rsidR="00D04FAA">
        <w:t>for</w:t>
      </w:r>
      <w:r w:rsidRPr="00C866BC">
        <w:t xml:space="preserve"> individually tagged </w:t>
      </w:r>
      <w:r w:rsidR="00FF1DB9">
        <w:t>Manna Gum</w:t>
      </w:r>
      <w:r w:rsidRPr="00C866BC">
        <w:t xml:space="preserve"> trees </w:t>
      </w:r>
      <w:r w:rsidR="00D04FAA">
        <w:t xml:space="preserve">for </w:t>
      </w:r>
      <w:r w:rsidRPr="00C866BC">
        <w:t xml:space="preserve">over 10 years </w:t>
      </w:r>
      <w:r w:rsidR="00D04FAA">
        <w:t>(</w:t>
      </w:r>
      <w:r w:rsidRPr="00C866BC">
        <w:t>2004</w:t>
      </w:r>
      <w:r w:rsidR="00D04FAA">
        <w:t>–</w:t>
      </w:r>
      <w:r w:rsidRPr="00C866BC">
        <w:t>2014</w:t>
      </w:r>
      <w:r w:rsidR="00D04FAA">
        <w:t>)</w:t>
      </w:r>
      <w:r w:rsidRPr="00C866BC">
        <w:t xml:space="preserve"> </w:t>
      </w:r>
      <w:r w:rsidRPr="001F252D">
        <w:fldChar w:fldCharType="begin"/>
      </w:r>
      <w:r w:rsidRPr="008C4522">
        <w:instrText xml:space="preserve"> ADDIN ZOTERO_ITEM CSL_CITATION {"citationID":"2ee9njhsni","properties":{"formattedCitation":"{\\rtf (Wood 2008; Ramsey {\\i{}et al.} 2010)}","plainCitation":"(Wood 2008; Ramsey et al. 2010)"},"citationItems":[{"id":1112,"uris":["http://zotero.org/users/634364/items/KT346PBG"],"uri":["http://zotero.org/users/634364/items/KT346PBG"],"itemData":{"id":1112,"type":"report","title":"Mount Eccles National Park Manna Gum Condition Assessment August 2008","publisher":"Australian Ecological Research Services","publisher-place":"Portland, Victoria","page":"49","event-place":"Portland, Victoria","number":"Unpublished report to Parks Victoria","author":[{"family":"Wood","given":"M"}],"issued":{"date-parts":[["2008"]]}}},{"id":1075,"uris":["http://zotero.org/users/634364/items/674S3J95"],"uri":["http://zotero.org/users/634364/items/674S3J95"],"itemData":{"id":1075,"type":"report","title":"Population dynamics of koalas at Mt Eccles National Park","publisher":"Arthur Rylah Institute for Environmental Research","page":"29","number":"Technical report series 212","author":[{"family":"Ramsey","given":"D. S. L."},{"family":"Todd","given":"Charles R"},{"family":"Forsyth","given":"D. M."}],"issued":{"date-parts":[["2010"]]}}}],"schema":"https://github.com/citation-style-language/schema/raw/master/csl-citation.json"} </w:instrText>
      </w:r>
      <w:r w:rsidRPr="001F252D">
        <w:fldChar w:fldCharType="separate"/>
      </w:r>
      <w:r w:rsidRPr="008C4522">
        <w:t xml:space="preserve">(Wood 2008; Ramsey </w:t>
      </w:r>
      <w:r w:rsidRPr="006850F1">
        <w:rPr>
          <w:iCs/>
        </w:rPr>
        <w:t>et al.</w:t>
      </w:r>
      <w:r w:rsidRPr="008C4522">
        <w:t xml:space="preserve"> 2010)</w:t>
      </w:r>
      <w:r w:rsidRPr="001F252D">
        <w:fldChar w:fldCharType="end"/>
      </w:r>
      <w:r w:rsidRPr="008C4522">
        <w:t>.</w:t>
      </w:r>
      <w:r w:rsidR="00285836" w:rsidRPr="008C4522">
        <w:t xml:space="preserve"> </w:t>
      </w:r>
      <w:r w:rsidRPr="008C4522">
        <w:t>For each tree, measurements were taken of height, circumference at</w:t>
      </w:r>
      <w:r w:rsidRPr="00C866BC">
        <w:t xml:space="preserve"> breast height, canopy area, </w:t>
      </w:r>
      <w:r w:rsidR="00D04FAA">
        <w:t>projected</w:t>
      </w:r>
      <w:r w:rsidR="00D04FAA" w:rsidRPr="00C866BC">
        <w:t xml:space="preserve"> </w:t>
      </w:r>
      <w:r w:rsidRPr="00C866BC">
        <w:t xml:space="preserve">foliage cover (PFC), </w:t>
      </w:r>
      <w:r w:rsidR="00B46CCB">
        <w:t>and</w:t>
      </w:r>
      <w:r w:rsidRPr="00C866BC">
        <w:t xml:space="preserve"> an index of defoliation (browsing)</w:t>
      </w:r>
      <w:r w:rsidR="00B46CCB">
        <w:t xml:space="preserve"> was calculated</w:t>
      </w:r>
      <w:r w:rsidRPr="00C866BC">
        <w:t xml:space="preserve">. For a more complete description of the data collected on Manna Gum condition, see Wood </w:t>
      </w:r>
      <w:r w:rsidRPr="00C866BC">
        <w:fldChar w:fldCharType="begin"/>
      </w:r>
      <w:r w:rsidRPr="00C866BC">
        <w:instrText xml:space="preserve"> ADDIN ZOTERO_ITEM CSL_CITATION {"citationID":"k1i2ghsvp","properties":{"formattedCitation":"(2008)","plainCitation":"(2008)"},"citationItems":[{"id":1112,"uris":["http://zotero.org/users/634364/items/KT346PBG"],"uri":["http://zotero.org/users/634364/items/KT346PBG"],"itemData":{"id":1112,"type":"report","title":"Mount Eccles National Park Manna Gum Condition Assessment August 2008","publisher":"Australian Ecological Research Services","publisher-place":"Portland, Victoria","page":"49","event-place":"Portland, Victoria","number":"Unpublished report to Parks Victoria","author":[{"family":"Wood","given":"M"}],"issued":{"date-parts":[["2008"]]}},"suppress-author":true}],"schema":"https://github.com/citation-style-language/schema/raw/master/csl-citation.json"} </w:instrText>
      </w:r>
      <w:r w:rsidRPr="00C866BC">
        <w:fldChar w:fldCharType="separate"/>
      </w:r>
      <w:r w:rsidRPr="00C866BC">
        <w:t>(2008)</w:t>
      </w:r>
      <w:r w:rsidRPr="00C866BC">
        <w:fldChar w:fldCharType="end"/>
      </w:r>
      <w:r w:rsidRPr="00C866BC">
        <w:t>.</w:t>
      </w:r>
    </w:p>
    <w:p w:rsidR="00606707" w:rsidRDefault="00C866BC" w:rsidP="00F6205D">
      <w:pPr>
        <w:pStyle w:val="ARIERBody"/>
      </w:pPr>
      <w:r w:rsidRPr="00C866BC">
        <w:t>The PFC is an estimate of the foliar area of the tree canopy and is defined as the proportion of the sky occluded by foliage when looking vertically from beneath the tree.</w:t>
      </w:r>
      <w:r w:rsidR="00285836">
        <w:t xml:space="preserve"> </w:t>
      </w:r>
      <w:r w:rsidRPr="00C866BC">
        <w:t>The pattern</w:t>
      </w:r>
      <w:r w:rsidR="00D04FAA">
        <w:t>s</w:t>
      </w:r>
      <w:r w:rsidRPr="00C866BC">
        <w:t xml:space="preserve"> of foliage cover observed </w:t>
      </w:r>
      <w:r w:rsidR="00D04FAA" w:rsidRPr="00C866BC">
        <w:t>w</w:t>
      </w:r>
      <w:r w:rsidR="00D04FAA">
        <w:t>ere</w:t>
      </w:r>
      <w:r w:rsidR="00D04FAA" w:rsidRPr="00C866BC">
        <w:t xml:space="preserve"> </w:t>
      </w:r>
      <w:r w:rsidRPr="00C866BC">
        <w:t>compared against a series of photographic standards to obtain the PFC estimate</w:t>
      </w:r>
      <w:r w:rsidR="00D04FAA">
        <w:t>s</w:t>
      </w:r>
      <w:r w:rsidRPr="00C866BC">
        <w:t>, which ranged from 0</w:t>
      </w:r>
      <w:r w:rsidR="00D04FAA">
        <w:t xml:space="preserve"> to </w:t>
      </w:r>
      <w:r w:rsidRPr="00C866BC">
        <w:t>1</w:t>
      </w:r>
      <w:r w:rsidR="000F56FA">
        <w:t>00%</w:t>
      </w:r>
      <w:r w:rsidRPr="00C866BC">
        <w:t>.</w:t>
      </w:r>
      <w:r w:rsidR="00285836">
        <w:t xml:space="preserve"> </w:t>
      </w:r>
      <w:r w:rsidRPr="00C866BC">
        <w:t xml:space="preserve">The defoliation index (DI) measured the level of defoliation of the tree canopy and was an estimate of the percentage of the potential canopy </w:t>
      </w:r>
      <w:r w:rsidR="00B46CCB">
        <w:t>lost</w:t>
      </w:r>
      <w:r w:rsidRPr="00C866BC">
        <w:t>.</w:t>
      </w:r>
      <w:r w:rsidR="00285836">
        <w:t xml:space="preserve"> </w:t>
      </w:r>
      <w:r w:rsidRPr="00C866BC">
        <w:t xml:space="preserve">The DI was </w:t>
      </w:r>
      <w:r w:rsidR="00D04FAA">
        <w:t>expressed</w:t>
      </w:r>
      <w:r w:rsidR="00D04FAA" w:rsidRPr="00C866BC">
        <w:t xml:space="preserve"> </w:t>
      </w:r>
      <w:r w:rsidRPr="00C866BC">
        <w:t xml:space="preserve">using a scoring system with </w:t>
      </w:r>
      <w:r w:rsidR="00D04FAA">
        <w:t>s</w:t>
      </w:r>
      <w:r w:rsidR="00B374CE">
        <w:t>ix</w:t>
      </w:r>
      <w:r w:rsidR="00D04FAA" w:rsidRPr="00C866BC">
        <w:t xml:space="preserve"> </w:t>
      </w:r>
      <w:r w:rsidR="00D04FAA">
        <w:t>categorie</w:t>
      </w:r>
      <w:r w:rsidR="00D04FAA" w:rsidRPr="00C866BC">
        <w:t xml:space="preserve">s </w:t>
      </w:r>
      <w:r w:rsidRPr="00C866BC">
        <w:t xml:space="preserve">(Table </w:t>
      </w:r>
      <w:r w:rsidR="00294F19">
        <w:t>1</w:t>
      </w:r>
      <w:r w:rsidRPr="00C866BC">
        <w:t>)</w:t>
      </w:r>
      <w:r w:rsidR="00D04FAA">
        <w:t>,</w:t>
      </w:r>
      <w:r w:rsidRPr="00C866BC">
        <w:t xml:space="preserve"> </w:t>
      </w:r>
      <w:r w:rsidR="00D04FAA">
        <w:t>and</w:t>
      </w:r>
      <w:r w:rsidR="00D04FAA" w:rsidRPr="00C866BC">
        <w:t xml:space="preserve"> </w:t>
      </w:r>
      <w:r w:rsidRPr="00C866BC">
        <w:t xml:space="preserve">photographic standards </w:t>
      </w:r>
      <w:r w:rsidR="00D04FAA">
        <w:t xml:space="preserve">were </w:t>
      </w:r>
      <w:r w:rsidRPr="00C866BC">
        <w:t xml:space="preserve">again used to assist with </w:t>
      </w:r>
      <w:r w:rsidR="00D04FAA">
        <w:t>scoring</w:t>
      </w:r>
      <w:r w:rsidRPr="00C866BC">
        <w:t>.</w:t>
      </w:r>
    </w:p>
    <w:p w:rsidR="00C866BC" w:rsidRDefault="00C866BC" w:rsidP="00606707">
      <w:pPr>
        <w:pStyle w:val="ARIERBody"/>
      </w:pPr>
    </w:p>
    <w:p w:rsidR="00C866BC" w:rsidRPr="00B75952" w:rsidRDefault="00C866BC" w:rsidP="006850F1">
      <w:pPr>
        <w:pStyle w:val="ARIERCaption-Table"/>
      </w:pPr>
      <w:bookmarkStart w:id="27" w:name="_Toc454803937"/>
      <w:r w:rsidRPr="00B75952">
        <w:t xml:space="preserve">Table </w:t>
      </w:r>
      <w:r w:rsidR="00294F19">
        <w:t>1</w:t>
      </w:r>
      <w:r w:rsidRPr="00B75952">
        <w:t xml:space="preserve">. </w:t>
      </w:r>
      <w:r w:rsidR="00D04FAA">
        <w:t>C</w:t>
      </w:r>
      <w:r>
        <w:t xml:space="preserve">lasses used </w:t>
      </w:r>
      <w:r w:rsidR="00D04FAA">
        <w:t xml:space="preserve">to score </w:t>
      </w:r>
      <w:r>
        <w:t xml:space="preserve">tree </w:t>
      </w:r>
      <w:r w:rsidR="00D04FAA">
        <w:t xml:space="preserve">canopy defoliation </w:t>
      </w:r>
      <w:r>
        <w:t>(modified from Wood 200</w:t>
      </w:r>
      <w:r w:rsidR="00F02F54">
        <w:t>8</w:t>
      </w:r>
      <w:r>
        <w:t>)</w:t>
      </w:r>
      <w:r w:rsidR="00D04FAA">
        <w:t>.</w:t>
      </w:r>
      <w:bookmarkEnd w:id="27"/>
    </w:p>
    <w:tbl>
      <w:tblPr>
        <w:tblW w:w="0" w:type="auto"/>
        <w:tblInd w:w="108" w:type="dxa"/>
        <w:tblBorders>
          <w:bottom w:val="single" w:sz="4" w:space="0" w:color="228591"/>
          <w:insideH w:val="single" w:sz="4" w:space="0" w:color="228591"/>
        </w:tblBorders>
        <w:tblLook w:val="01E0" w:firstRow="1" w:lastRow="1" w:firstColumn="1" w:lastColumn="1" w:noHBand="0" w:noVBand="0"/>
      </w:tblPr>
      <w:tblGrid>
        <w:gridCol w:w="1702"/>
        <w:gridCol w:w="2977"/>
      </w:tblGrid>
      <w:tr w:rsidR="00C866BC" w:rsidRPr="00B75952" w:rsidTr="006850F1">
        <w:tc>
          <w:tcPr>
            <w:tcW w:w="1702" w:type="dxa"/>
            <w:shd w:val="clear" w:color="auto" w:fill="228591"/>
          </w:tcPr>
          <w:p w:rsidR="00C866BC" w:rsidRPr="00B75952" w:rsidRDefault="00C866BC" w:rsidP="009D2684">
            <w:pPr>
              <w:pStyle w:val="TblHd"/>
              <w:jc w:val="center"/>
              <w:rPr>
                <w:rFonts w:asciiTheme="minorHAnsi" w:hAnsiTheme="minorHAnsi"/>
                <w:b w:val="0"/>
                <w:color w:val="FFFFFF" w:themeColor="background1"/>
              </w:rPr>
            </w:pPr>
            <w:r>
              <w:rPr>
                <w:rFonts w:asciiTheme="minorHAnsi" w:hAnsiTheme="minorHAnsi"/>
                <w:b w:val="0"/>
                <w:color w:val="FFFFFF" w:themeColor="background1"/>
              </w:rPr>
              <w:t>Score</w:t>
            </w:r>
          </w:p>
        </w:tc>
        <w:tc>
          <w:tcPr>
            <w:tcW w:w="2977" w:type="dxa"/>
            <w:shd w:val="clear" w:color="auto" w:fill="228591"/>
          </w:tcPr>
          <w:p w:rsidR="00C866BC" w:rsidRPr="00B75952" w:rsidRDefault="00C866BC" w:rsidP="009D2684">
            <w:pPr>
              <w:pStyle w:val="TblHd"/>
              <w:jc w:val="center"/>
              <w:rPr>
                <w:rFonts w:asciiTheme="minorHAnsi" w:hAnsiTheme="minorHAnsi"/>
                <w:b w:val="0"/>
                <w:color w:val="FFFFFF" w:themeColor="background1"/>
              </w:rPr>
            </w:pPr>
            <w:r>
              <w:rPr>
                <w:rFonts w:asciiTheme="minorHAnsi" w:hAnsiTheme="minorHAnsi"/>
                <w:b w:val="0"/>
                <w:color w:val="FFFFFF" w:themeColor="background1"/>
              </w:rPr>
              <w:t>Defoliation class</w:t>
            </w:r>
          </w:p>
        </w:tc>
      </w:tr>
      <w:tr w:rsidR="00C866BC" w:rsidRPr="00B75952" w:rsidTr="006850F1">
        <w:tc>
          <w:tcPr>
            <w:tcW w:w="1702" w:type="dxa"/>
            <w:tcBorders>
              <w:bottom w:val="nil"/>
            </w:tcBorders>
            <w:vAlign w:val="center"/>
          </w:tcPr>
          <w:p w:rsidR="00C866BC" w:rsidRPr="00B75952" w:rsidRDefault="00C866BC" w:rsidP="009D2684">
            <w:pPr>
              <w:pStyle w:val="ARIERTblBdy"/>
              <w:jc w:val="center"/>
            </w:pPr>
            <w:r>
              <w:t>1</w:t>
            </w:r>
          </w:p>
        </w:tc>
        <w:tc>
          <w:tcPr>
            <w:tcW w:w="2977" w:type="dxa"/>
            <w:tcBorders>
              <w:bottom w:val="nil"/>
            </w:tcBorders>
            <w:vAlign w:val="center"/>
          </w:tcPr>
          <w:p w:rsidR="00C866BC" w:rsidRPr="00B75952" w:rsidRDefault="00C866BC" w:rsidP="009D2684">
            <w:pPr>
              <w:pStyle w:val="ARIERTblBdy"/>
              <w:jc w:val="center"/>
            </w:pPr>
            <w:r>
              <w:t>0–12.5%</w:t>
            </w:r>
          </w:p>
        </w:tc>
      </w:tr>
      <w:tr w:rsidR="00C866BC" w:rsidRPr="00B75952" w:rsidTr="006850F1">
        <w:tc>
          <w:tcPr>
            <w:tcW w:w="1702" w:type="dxa"/>
            <w:tcBorders>
              <w:top w:val="nil"/>
              <w:bottom w:val="nil"/>
            </w:tcBorders>
            <w:vAlign w:val="center"/>
          </w:tcPr>
          <w:p w:rsidR="00C866BC" w:rsidRPr="00B75952" w:rsidRDefault="00C866BC" w:rsidP="009D2684">
            <w:pPr>
              <w:pStyle w:val="TblBdy"/>
              <w:jc w:val="center"/>
              <w:rPr>
                <w:rFonts w:asciiTheme="minorHAnsi" w:hAnsiTheme="minorHAnsi"/>
              </w:rPr>
            </w:pPr>
            <w:r>
              <w:t>2</w:t>
            </w:r>
          </w:p>
        </w:tc>
        <w:tc>
          <w:tcPr>
            <w:tcW w:w="2977" w:type="dxa"/>
            <w:tcBorders>
              <w:top w:val="nil"/>
              <w:bottom w:val="nil"/>
            </w:tcBorders>
            <w:vAlign w:val="center"/>
          </w:tcPr>
          <w:p w:rsidR="00C866BC" w:rsidRPr="00B75952" w:rsidRDefault="00C866BC" w:rsidP="00F66002">
            <w:pPr>
              <w:pStyle w:val="ARIERTblBdy"/>
              <w:jc w:val="center"/>
            </w:pPr>
            <w:r>
              <w:t>12.</w:t>
            </w:r>
            <w:r w:rsidR="00F66002">
              <w:t>6</w:t>
            </w:r>
            <w:r>
              <w:t>–25%</w:t>
            </w:r>
          </w:p>
        </w:tc>
      </w:tr>
      <w:tr w:rsidR="00C866BC" w:rsidRPr="00B75952" w:rsidTr="006850F1">
        <w:tc>
          <w:tcPr>
            <w:tcW w:w="1702" w:type="dxa"/>
            <w:tcBorders>
              <w:top w:val="nil"/>
              <w:bottom w:val="nil"/>
            </w:tcBorders>
            <w:vAlign w:val="center"/>
          </w:tcPr>
          <w:p w:rsidR="00C866BC" w:rsidRPr="00B75952" w:rsidRDefault="00C866BC" w:rsidP="009D2684">
            <w:pPr>
              <w:pStyle w:val="ARIERTblBdy"/>
              <w:jc w:val="center"/>
            </w:pPr>
            <w:r>
              <w:t>3</w:t>
            </w:r>
          </w:p>
        </w:tc>
        <w:tc>
          <w:tcPr>
            <w:tcW w:w="2977" w:type="dxa"/>
            <w:tcBorders>
              <w:top w:val="nil"/>
              <w:bottom w:val="nil"/>
            </w:tcBorders>
            <w:vAlign w:val="center"/>
          </w:tcPr>
          <w:p w:rsidR="00C866BC" w:rsidRPr="00B75952" w:rsidRDefault="00C866BC" w:rsidP="00F66002">
            <w:pPr>
              <w:pStyle w:val="ARIERTblBdy"/>
              <w:jc w:val="center"/>
            </w:pPr>
            <w:r>
              <w:t>2</w:t>
            </w:r>
            <w:r w:rsidR="00F66002">
              <w:t>6</w:t>
            </w:r>
            <w:r>
              <w:t>–37.5%</w:t>
            </w:r>
          </w:p>
        </w:tc>
      </w:tr>
      <w:tr w:rsidR="00C866BC" w:rsidRPr="00B75952" w:rsidTr="006850F1">
        <w:tc>
          <w:tcPr>
            <w:tcW w:w="1702" w:type="dxa"/>
            <w:tcBorders>
              <w:top w:val="nil"/>
              <w:bottom w:val="nil"/>
            </w:tcBorders>
            <w:vAlign w:val="center"/>
          </w:tcPr>
          <w:p w:rsidR="00C866BC" w:rsidRPr="00B75952" w:rsidRDefault="00C866BC" w:rsidP="009D2684">
            <w:pPr>
              <w:pStyle w:val="TblBdy"/>
              <w:jc w:val="center"/>
              <w:rPr>
                <w:rFonts w:asciiTheme="minorHAnsi" w:hAnsiTheme="minorHAnsi"/>
              </w:rPr>
            </w:pPr>
            <w:r>
              <w:t>4</w:t>
            </w:r>
          </w:p>
        </w:tc>
        <w:tc>
          <w:tcPr>
            <w:tcW w:w="2977" w:type="dxa"/>
            <w:tcBorders>
              <w:top w:val="nil"/>
              <w:bottom w:val="nil"/>
            </w:tcBorders>
            <w:vAlign w:val="center"/>
          </w:tcPr>
          <w:p w:rsidR="00C866BC" w:rsidRPr="00B75952" w:rsidRDefault="00C866BC" w:rsidP="009D2684">
            <w:pPr>
              <w:pStyle w:val="ARIERTblBdy"/>
              <w:jc w:val="center"/>
            </w:pPr>
            <w:r>
              <w:t>37.5–50%</w:t>
            </w:r>
          </w:p>
        </w:tc>
      </w:tr>
      <w:tr w:rsidR="00C866BC" w:rsidRPr="00B75952" w:rsidTr="006850F1">
        <w:tc>
          <w:tcPr>
            <w:tcW w:w="1702" w:type="dxa"/>
            <w:tcBorders>
              <w:top w:val="nil"/>
              <w:bottom w:val="nil"/>
            </w:tcBorders>
            <w:vAlign w:val="center"/>
          </w:tcPr>
          <w:p w:rsidR="00C866BC" w:rsidRPr="00B75952" w:rsidRDefault="00C866BC" w:rsidP="009D2684">
            <w:pPr>
              <w:pStyle w:val="TblBdy"/>
              <w:jc w:val="center"/>
              <w:rPr>
                <w:rFonts w:asciiTheme="minorHAnsi" w:hAnsiTheme="minorHAnsi"/>
              </w:rPr>
            </w:pPr>
            <w:r>
              <w:t>5</w:t>
            </w:r>
          </w:p>
        </w:tc>
        <w:tc>
          <w:tcPr>
            <w:tcW w:w="2977" w:type="dxa"/>
            <w:tcBorders>
              <w:top w:val="nil"/>
              <w:bottom w:val="nil"/>
            </w:tcBorders>
            <w:vAlign w:val="center"/>
          </w:tcPr>
          <w:p w:rsidR="00C866BC" w:rsidRPr="00B75952" w:rsidRDefault="00C866BC" w:rsidP="009D2684">
            <w:pPr>
              <w:pStyle w:val="ARIERTblBdy"/>
              <w:jc w:val="center"/>
            </w:pPr>
            <w:r>
              <w:t>50</w:t>
            </w:r>
            <w:r w:rsidR="00F66002">
              <w:t>.5</w:t>
            </w:r>
            <w:r>
              <w:t>–62.5%</w:t>
            </w:r>
          </w:p>
        </w:tc>
      </w:tr>
      <w:tr w:rsidR="00C866BC" w:rsidRPr="00B75952" w:rsidTr="006850F1">
        <w:tc>
          <w:tcPr>
            <w:tcW w:w="1702" w:type="dxa"/>
            <w:tcBorders>
              <w:top w:val="nil"/>
            </w:tcBorders>
            <w:vAlign w:val="center"/>
          </w:tcPr>
          <w:p w:rsidR="00C866BC" w:rsidRPr="00B75952" w:rsidRDefault="00C866BC" w:rsidP="009D2684">
            <w:pPr>
              <w:pStyle w:val="ARIERTblBdy"/>
              <w:jc w:val="center"/>
            </w:pPr>
            <w:r>
              <w:t>6</w:t>
            </w:r>
          </w:p>
        </w:tc>
        <w:tc>
          <w:tcPr>
            <w:tcW w:w="2977" w:type="dxa"/>
            <w:tcBorders>
              <w:top w:val="nil"/>
            </w:tcBorders>
            <w:vAlign w:val="center"/>
          </w:tcPr>
          <w:p w:rsidR="00C866BC" w:rsidRPr="00B75952" w:rsidRDefault="00C866BC" w:rsidP="009D2684">
            <w:pPr>
              <w:pStyle w:val="ARIERTblBdy"/>
              <w:jc w:val="center"/>
            </w:pPr>
            <w:r>
              <w:t>62.5–75%</w:t>
            </w:r>
          </w:p>
        </w:tc>
      </w:tr>
    </w:tbl>
    <w:p w:rsidR="00C866BC" w:rsidRDefault="00C866BC" w:rsidP="00C866BC"/>
    <w:p w:rsidR="00882602" w:rsidRDefault="00882602" w:rsidP="00C866BC"/>
    <w:p w:rsidR="00C866BC" w:rsidRDefault="00C866BC" w:rsidP="00F6205D">
      <w:pPr>
        <w:pStyle w:val="ARIERBody"/>
      </w:pPr>
      <w:r>
        <w:t>In addition to the above measurements, the state of each tree (alive/dead) was also recorded</w:t>
      </w:r>
      <w:r w:rsidRPr="008B6F1C">
        <w:t>.</w:t>
      </w:r>
      <w:r w:rsidR="00285836">
        <w:t xml:space="preserve"> </w:t>
      </w:r>
      <w:r w:rsidR="00D04FAA">
        <w:t>T</w:t>
      </w:r>
      <w:r w:rsidRPr="008B6F1C">
        <w:t xml:space="preserve">rees were classified </w:t>
      </w:r>
      <w:r w:rsidR="00D04FAA">
        <w:t>as ‘dead’ when</w:t>
      </w:r>
      <w:r w:rsidRPr="008B6F1C">
        <w:t xml:space="preserve"> no </w:t>
      </w:r>
      <w:r>
        <w:t xml:space="preserve">live </w:t>
      </w:r>
      <w:r w:rsidRPr="008B6F1C">
        <w:t xml:space="preserve">foliage </w:t>
      </w:r>
      <w:r w:rsidR="00D04FAA">
        <w:t xml:space="preserve">was observed </w:t>
      </w:r>
      <w:r w:rsidRPr="008B6F1C">
        <w:t xml:space="preserve">in the canopy and bark </w:t>
      </w:r>
      <w:r w:rsidR="00D04FAA">
        <w:t xml:space="preserve">was </w:t>
      </w:r>
      <w:r w:rsidRPr="008B6F1C">
        <w:t>falling off the trunk</w:t>
      </w:r>
      <w:r w:rsidR="00D04FAA">
        <w:t>,</w:t>
      </w:r>
      <w:r>
        <w:t xml:space="preserve"> and were scored as either </w:t>
      </w:r>
      <w:r w:rsidR="00D04FAA">
        <w:t>‘</w:t>
      </w:r>
      <w:r>
        <w:t>0</w:t>
      </w:r>
      <w:r w:rsidR="00D04FAA">
        <w:t>’</w:t>
      </w:r>
      <w:r>
        <w:t xml:space="preserve"> </w:t>
      </w:r>
      <w:r w:rsidR="00D04FAA">
        <w:t>if they</w:t>
      </w:r>
      <w:r>
        <w:t xml:space="preserve"> appeared to have died </w:t>
      </w:r>
      <w:r w:rsidR="00D04FAA">
        <w:t xml:space="preserve">recently </w:t>
      </w:r>
      <w:r>
        <w:t>(</w:t>
      </w:r>
      <w:r w:rsidR="00D04FAA">
        <w:t xml:space="preserve">had </w:t>
      </w:r>
      <w:r>
        <w:t xml:space="preserve">dead leaves and/or small </w:t>
      </w:r>
      <w:proofErr w:type="spellStart"/>
      <w:r>
        <w:t>branchlets</w:t>
      </w:r>
      <w:proofErr w:type="spellEnd"/>
      <w:r>
        <w:t xml:space="preserve"> present) or </w:t>
      </w:r>
      <w:r w:rsidR="00D04FAA">
        <w:t>‘</w:t>
      </w:r>
      <w:r>
        <w:t>−1</w:t>
      </w:r>
      <w:r w:rsidR="00D04FAA">
        <w:t>’</w:t>
      </w:r>
      <w:r w:rsidRPr="008B6F1C">
        <w:t xml:space="preserve"> </w:t>
      </w:r>
      <w:r w:rsidR="00D04FAA">
        <w:t>if they</w:t>
      </w:r>
      <w:r>
        <w:t xml:space="preserve"> appeared to have been dead for a longer period (</w:t>
      </w:r>
      <w:r w:rsidR="00D04FAA">
        <w:t xml:space="preserve">had </w:t>
      </w:r>
      <w:r>
        <w:t>los</w:t>
      </w:r>
      <w:r w:rsidR="00D04FAA">
        <w:t>t</w:t>
      </w:r>
      <w:r>
        <w:t xml:space="preserve"> </w:t>
      </w:r>
      <w:r w:rsidR="00D04FAA">
        <w:t xml:space="preserve">all </w:t>
      </w:r>
      <w:r>
        <w:t xml:space="preserve">leaves and </w:t>
      </w:r>
      <w:proofErr w:type="spellStart"/>
      <w:r>
        <w:t>branchlets</w:t>
      </w:r>
      <w:proofErr w:type="spellEnd"/>
      <w:r>
        <w:t xml:space="preserve">) </w:t>
      </w:r>
      <w:r w:rsidRPr="008B6F1C">
        <w:fldChar w:fldCharType="begin"/>
      </w:r>
      <w:r w:rsidRPr="008B6F1C">
        <w:instrText xml:space="preserve"> ADDIN ZOTERO_ITEM CSL_CITATION {"citationID":"1hobmdn3pr","properties":{"formattedCitation":"(Wood 2008)","plainCitation":"(Wood 2008)"},"citationItems":[{"id":1112,"uris":["http://zotero.org/users/634364/items/KT346PBG"],"uri":["http://zotero.org/users/634364/items/KT346PBG"],"itemData":{"id":1112,"type":"report","title":"Mount Eccles National Park Manna Gum Condition Assessment August 2008","publisher":"Australian Ecological Research Services","publisher-place":"Portland, Victoria","page":"49","event-place":"Portland, Victoria","number":"Unpublished report to Parks Victoria","author":[{"family":"Wood","given":"M"}],"issued":{"date-parts":[["2008"]]}}}],"schema":"https://github.com/citation-style-language/schema/raw/master/csl-citation.json"} </w:instrText>
      </w:r>
      <w:r w:rsidRPr="008B6F1C">
        <w:fldChar w:fldCharType="separate"/>
      </w:r>
      <w:r w:rsidRPr="008B6F1C">
        <w:t>(Wood 2008)</w:t>
      </w:r>
      <w:r w:rsidRPr="008B6F1C">
        <w:fldChar w:fldCharType="end"/>
      </w:r>
      <w:r w:rsidRPr="008B6F1C">
        <w:t>.</w:t>
      </w:r>
    </w:p>
    <w:p w:rsidR="00C866BC" w:rsidRDefault="00C866BC" w:rsidP="00F6205D">
      <w:pPr>
        <w:pStyle w:val="ARIERBody"/>
      </w:pPr>
      <w:r>
        <w:t>W</w:t>
      </w:r>
      <w:r w:rsidRPr="008B6F1C">
        <w:t xml:space="preserve">e used observations of </w:t>
      </w:r>
      <w:r>
        <w:t xml:space="preserve">the </w:t>
      </w:r>
      <w:r w:rsidR="00D04FAA">
        <w:t xml:space="preserve">alive/dead status </w:t>
      </w:r>
      <w:r>
        <w:t xml:space="preserve">of individual tagged </w:t>
      </w:r>
      <w:r w:rsidR="00FF1DB9">
        <w:t>Manna Gum</w:t>
      </w:r>
      <w:r>
        <w:t>s at M</w:t>
      </w:r>
      <w:r w:rsidR="00F66002">
        <w:t>ENP</w:t>
      </w:r>
      <w:r w:rsidRPr="008B6F1C">
        <w:t xml:space="preserve"> to model tree mortality as a function of the </w:t>
      </w:r>
      <w:r>
        <w:t>PFC</w:t>
      </w:r>
      <w:r w:rsidRPr="008B6F1C">
        <w:t>.</w:t>
      </w:r>
      <w:r w:rsidR="00285836">
        <w:t xml:space="preserve"> </w:t>
      </w:r>
      <w:r w:rsidRPr="008B6F1C">
        <w:t xml:space="preserve">A discrete-time survival model was fitted to the data </w:t>
      </w:r>
      <w:r w:rsidR="00D04FAA">
        <w:t>for</w:t>
      </w:r>
      <w:r w:rsidR="00D04FAA" w:rsidRPr="008B6F1C">
        <w:t xml:space="preserve"> </w:t>
      </w:r>
      <w:r w:rsidRPr="008B6F1C">
        <w:t>tree mortality using a proportion</w:t>
      </w:r>
      <w:r>
        <w:t>al</w:t>
      </w:r>
      <w:r w:rsidRPr="008B6F1C">
        <w:t xml:space="preserve"> hazard representation</w:t>
      </w:r>
      <w:r>
        <w:t xml:space="preserve">, </w:t>
      </w:r>
      <w:r w:rsidRPr="008B6F1C">
        <w:t xml:space="preserve">which is equivalent to specifying an exponential survival model </w:t>
      </w:r>
      <w:r w:rsidRPr="008B6F1C">
        <w:lastRenderedPageBreak/>
        <w:t>in continuous time</w:t>
      </w:r>
      <w:r>
        <w:t xml:space="preserve"> </w:t>
      </w:r>
      <w:r>
        <w:fldChar w:fldCharType="begin"/>
      </w:r>
      <w:r>
        <w:instrText xml:space="preserve"> ADDIN ZOTERO_ITEM CSL_CITATION {"citationID":"2ovfpe41gs","properties":{"formattedCitation":"(Allison 1982)","plainCitation":"(Allison 1982)"},"citationItems":[{"id":613,"uris":["http://zotero.org/users/634364/items/BM3QFUB4"],"uri":["http://zotero.org/users/634364/items/BM3QFUB4"],"itemData":{"id":613,"type":"article-journal","title":"Discrete-time methods for the analysis of event histories.","container-title":"Sociological Methodology","page":"61-98","volume":"13","author":[{"family":"Allison","given":"P.D."}],"issued":{"date-parts":[["1982"]]}}}],"schema":"https://github.com/citation-style-language/schema/raw/master/csl-citation.json"} </w:instrText>
      </w:r>
      <w:r>
        <w:fldChar w:fldCharType="separate"/>
      </w:r>
      <w:r w:rsidRPr="004E5E54">
        <w:t>(Allison 1982)</w:t>
      </w:r>
      <w:r>
        <w:fldChar w:fldCharType="end"/>
      </w:r>
      <w:r w:rsidRPr="008B6F1C">
        <w:t>.</w:t>
      </w:r>
      <w:r>
        <w:t xml:space="preserve"> Further technical details about tree mortality models are provided in Appendix 1.</w:t>
      </w:r>
      <w:r w:rsidR="00285836">
        <w:t xml:space="preserve"> </w:t>
      </w:r>
      <w:r>
        <w:t>In addition to PFC, the tree mortality model also included other covariates that could potentially explain the observed mortality rate</w:t>
      </w:r>
      <w:r w:rsidR="00324E0E">
        <w:t>,</w:t>
      </w:r>
      <w:r w:rsidRPr="008B6F1C">
        <w:t xml:space="preserve"> </w:t>
      </w:r>
      <w:r>
        <w:t xml:space="preserve">including </w:t>
      </w:r>
      <w:r w:rsidRPr="008B6F1C">
        <w:t xml:space="preserve">tree </w:t>
      </w:r>
      <w:r>
        <w:t>Diameter Breast Height Over Bark (DBH)</w:t>
      </w:r>
      <w:r w:rsidRPr="008B6F1C">
        <w:t xml:space="preserve"> (cm</w:t>
      </w:r>
      <w:r>
        <w:t xml:space="preserve">) and </w:t>
      </w:r>
      <w:r w:rsidRPr="008B6F1C">
        <w:t>annual rainfall (</w:t>
      </w:r>
      <w:r>
        <w:t>millimetres</w:t>
      </w:r>
      <w:r w:rsidRPr="008B6F1C">
        <w:t xml:space="preserve">) falling in the previous </w:t>
      </w:r>
      <w:r>
        <w:t xml:space="preserve">24 months </w:t>
      </w:r>
      <w:r w:rsidRPr="008B6F1C">
        <w:t xml:space="preserve">at Portland airport (40 km from </w:t>
      </w:r>
      <w:r>
        <w:t>Mt Eccles National Park</w:t>
      </w:r>
      <w:r w:rsidRPr="008B6F1C">
        <w:t>)</w:t>
      </w:r>
      <w:r>
        <w:t>.</w:t>
      </w:r>
    </w:p>
    <w:p w:rsidR="00C866BC" w:rsidRDefault="00C866BC" w:rsidP="00F6205D">
      <w:pPr>
        <w:pStyle w:val="ARIERBody"/>
      </w:pPr>
      <w:r>
        <w:t xml:space="preserve">Using the relationship between the PFC and tree mortality </w:t>
      </w:r>
      <w:r w:rsidR="00F66002">
        <w:t>determined</w:t>
      </w:r>
      <w:r>
        <w:t xml:space="preserve"> above, we estimated the foliar cover threshold as the point on the resulting mortality curve where the annual mortality probability increased above 10%.</w:t>
      </w:r>
      <w:r w:rsidR="00285836">
        <w:t xml:space="preserve"> </w:t>
      </w:r>
      <w:r w:rsidR="00E66626">
        <w:t xml:space="preserve">A </w:t>
      </w:r>
      <w:r>
        <w:t xml:space="preserve">10% annual mortality rate was considered the best estimate of an ‘elevated’ mortality rate </w:t>
      </w:r>
      <w:r w:rsidRPr="006850F1">
        <w:t xml:space="preserve">(i.e. significantly higher than the ‘background’ mortality rate) for eucalypts (~3%) </w:t>
      </w:r>
      <w:r w:rsidRPr="006850F1">
        <w:fldChar w:fldCharType="begin"/>
      </w:r>
      <w:r w:rsidRPr="006850F1">
        <w:instrText xml:space="preserve"> ADDIN ZOTERO_ITEM CSL_CITATION {"citationID":"gl94d61b9","properties":{"formattedCitation":"{\\rtf (Prior {\\i{}et al.} 2009)}","plainCitation":"(Prior et al. 2009)"},"citationItems":[{"id":1448,"uris":["http://zotero.org/users/634364/items/V9BZIGVE"],"uri":["http://zotero.org/users/634364/items/V9BZIGVE"],"itemData":{"id":1448,"type":"article-journal","title":"Environmental and demographic correlates of tree recruitment and mortality in north Australian savannas","container-title":"Forest Ecology and Management","page":"66-74","volume":"257","issue":"1","source":"ScienceDirect","abstract":"Tropical savannas cover approximately 20% of the earth’s land area, and therefore represent an important carbon store. Under scenarios of future climate change it is thus important to understand the demographic processes determining tree cover, namely tree recruitment, growth and mortality. This study measured tree recruitment and mortality in 123 (0.08 h) plots in Kakadu, Nitmiluk and Litchfield National Parks, in the Australian monsoonal tropics, over two consecutive 5-year intervals. Plots were located in two important habitats, both dominated by eucalyptus—lowland savanna and savanna growing on sandstone plateaux. All trees with diameter at breast height (DBH) ≥5 cm were tagged and identified. Recruitment was calculated as the proportion of tagged trees present at the end of an interval that were not present at the beginning. There were a total of 6666 and 6571 tree-intervals for mortality and recruitment, respectively. We used Akaike Information Criterion (AIC)-based model selection and multi-model inference to relate tree mortality and recruitment to fire frequency, mean annual rainfall (MAR), stand basal area, tree density and eco-taxonomic group. Recruitment decreased with tree density in both savanna types, and in lowland savanna, with the frequency of fires. In sandstone savanna, recruitment increased with MAR. Effects of fire on recruitment were better explained by season than severity of fire, while fire severity had a stronger influence on mortality. Mortality decreased with tree size up to about 25 cm DBH, but increased sharply when DBH exceeded 50 cm. Mortality increased with stand basal area, and increased with the frequency of late dry season fires in lowland savanna only. There was little evidence that mortality was affected by the frequency of early dry season fires or MAR. Both recruitment and mortality rates were higher for Acacia and Proteaceae species than for pantropical or Myrtaceae (including Eucalyptus) species. We identified several negative feedbacks, mediated by changes in tree density and stand basal area that help confer long-term stability to savanna tree cover. Nonetheless, changes such as a long-term increase in MAR or an increase in frequency or severity of fires are likely to result in changes in tree density, stand basal area and therefore carbon storage potential of savannas.","DOI":"10.1016/j.foreco.2008.08.015","ISSN":"0378-1127","journalAbbreviation":"Forest Ecology and Management","author":[{"family":"Prior","given":"Lynda D."},{"family":"Murphy","given":"Brett P."},{"family":"Russell-Smith","given":"Jeremy"}],"issued":{"date-parts":[["2009",1,20]]}}}],"schema":"https://github.com/citation-style-language/schema/raw/master/csl-citation.json"} </w:instrText>
      </w:r>
      <w:r w:rsidRPr="006850F1">
        <w:fldChar w:fldCharType="separate"/>
      </w:r>
      <w:r w:rsidRPr="006850F1">
        <w:t xml:space="preserve">(Prior </w:t>
      </w:r>
      <w:r w:rsidRPr="006850F1">
        <w:rPr>
          <w:iCs/>
        </w:rPr>
        <w:t>et al.</w:t>
      </w:r>
      <w:r w:rsidRPr="006850F1">
        <w:t xml:space="preserve"> 2009)</w:t>
      </w:r>
      <w:r w:rsidRPr="006850F1">
        <w:fldChar w:fldCharType="end"/>
      </w:r>
      <w:r w:rsidRPr="006850F1">
        <w:t xml:space="preserve"> and,</w:t>
      </w:r>
      <w:r>
        <w:t xml:space="preserve"> hence, </w:t>
      </w:r>
      <w:r w:rsidR="00E66626">
        <w:t xml:space="preserve">to </w:t>
      </w:r>
      <w:r>
        <w:t>indicate the point beyond which the tree was considered to have suffered excessive defoliation.</w:t>
      </w:r>
    </w:p>
    <w:p w:rsidR="00C866BC" w:rsidRDefault="00576C1D" w:rsidP="00576C1D">
      <w:pPr>
        <w:pStyle w:val="ARIERHC"/>
      </w:pPr>
      <w:bookmarkStart w:id="28" w:name="_Toc455406124"/>
      <w:r>
        <w:t>2.</w:t>
      </w:r>
      <w:r w:rsidR="0027068A">
        <w:t>1</w:t>
      </w:r>
      <w:r>
        <w:t>.</w:t>
      </w:r>
      <w:r w:rsidR="000A5A22">
        <w:t>2</w:t>
      </w:r>
      <w:r w:rsidR="000A5A22">
        <w:tab/>
      </w:r>
      <w:r w:rsidR="00652CF3">
        <w:t>Canopy</w:t>
      </w:r>
      <w:r w:rsidR="00A4659C">
        <w:t xml:space="preserve"> </w:t>
      </w:r>
      <w:r w:rsidR="00C866BC">
        <w:t xml:space="preserve">defoliation levels and </w:t>
      </w:r>
      <w:r w:rsidR="005574FB">
        <w:t>Koala</w:t>
      </w:r>
      <w:r w:rsidR="00C866BC">
        <w:t xml:space="preserve"> density</w:t>
      </w:r>
      <w:bookmarkEnd w:id="28"/>
    </w:p>
    <w:p w:rsidR="00285836" w:rsidRDefault="00C866BC" w:rsidP="00F6205D">
      <w:pPr>
        <w:pStyle w:val="ARIERBody"/>
      </w:pPr>
      <w:r>
        <w:t xml:space="preserve">Estimates of the effects of reduced PFC on the mortality rates of </w:t>
      </w:r>
      <w:r w:rsidR="00FF1DB9">
        <w:t>Manna Gum</w:t>
      </w:r>
      <w:r>
        <w:t xml:space="preserve"> provide an objective basis for classifying individual trees as being at significant risk of death due to browsing pressure.</w:t>
      </w:r>
      <w:r w:rsidR="00285836">
        <w:t xml:space="preserve"> </w:t>
      </w:r>
      <w:r>
        <w:t xml:space="preserve">However, the issue still remains of how to classify a forest as being subject to significant levels of defoliation due to </w:t>
      </w:r>
      <w:r w:rsidR="005574FB">
        <w:t>Koala</w:t>
      </w:r>
      <w:r>
        <w:t xml:space="preserve"> browsing.</w:t>
      </w:r>
      <w:r w:rsidR="00285836">
        <w:t xml:space="preserve"> </w:t>
      </w:r>
      <w:r>
        <w:t xml:space="preserve">Intuitively, if only a small proportion of </w:t>
      </w:r>
      <w:r w:rsidR="00A96C0F">
        <w:t>trees</w:t>
      </w:r>
      <w:r>
        <w:t xml:space="preserve"> in a forest are classified as defoliated</w:t>
      </w:r>
      <w:r w:rsidR="005D282D">
        <w:t>,</w:t>
      </w:r>
      <w:r>
        <w:t xml:space="preserve"> then there may not </w:t>
      </w:r>
      <w:r w:rsidR="005D282D">
        <w:t xml:space="preserve">have </w:t>
      </w:r>
      <w:r>
        <w:t>be</w:t>
      </w:r>
      <w:r w:rsidR="005D282D">
        <w:t>en</w:t>
      </w:r>
      <w:r>
        <w:t xml:space="preserve"> any effect on forest integrity (i.e. long-term viability) </w:t>
      </w:r>
      <w:r w:rsidR="005D282D">
        <w:t xml:space="preserve">and </w:t>
      </w:r>
      <w:r>
        <w:t xml:space="preserve">overall mortality rates </w:t>
      </w:r>
      <w:r w:rsidR="005D282D">
        <w:t xml:space="preserve">may </w:t>
      </w:r>
      <w:r>
        <w:t xml:space="preserve">not </w:t>
      </w:r>
      <w:r w:rsidR="005D282D">
        <w:t xml:space="preserve">be </w:t>
      </w:r>
      <w:r>
        <w:t>much changed from the background rate.</w:t>
      </w:r>
      <w:r w:rsidR="00285836">
        <w:t xml:space="preserve"> </w:t>
      </w:r>
      <w:r>
        <w:t xml:space="preserve">On the other hand, there is likely to be some point at which an increasing proportion of defoliated </w:t>
      </w:r>
      <w:r w:rsidR="00A96C0F">
        <w:t>trees</w:t>
      </w:r>
      <w:r>
        <w:t xml:space="preserve"> will have a negative impact on forest integrity due to significant changes in forest structure.</w:t>
      </w:r>
    </w:p>
    <w:p w:rsidR="00285836" w:rsidRDefault="00C866BC" w:rsidP="00F6205D">
      <w:pPr>
        <w:pStyle w:val="ARIERBody"/>
      </w:pPr>
      <w:r>
        <w:t xml:space="preserve">Effects of herbivores on the long-term dynamics of forests are notoriously difficult to estimate, requiring </w:t>
      </w:r>
      <w:r w:rsidRPr="006850F1">
        <w:t xml:space="preserve">careful experimentation using long-term studies </w:t>
      </w:r>
      <w:r w:rsidRPr="006850F1">
        <w:fldChar w:fldCharType="begin"/>
      </w:r>
      <w:r w:rsidRPr="006850F1">
        <w:instrText xml:space="preserve"> ADDIN ZOTERO_ITEM CSL_CITATION {"citationID":"2d8kmnq6ua","properties":{"formattedCitation":"{\\rtf (e.g. Forsyth {\\i{}et al.} 2015)}","plainCitation":"(e.g. Forsyth et al. 2015)"},"citationItems":[{"id":1451,"uris":["http://zotero.org/users/634364/items/5TK6EQD6"],"uri":["http://zotero.org/users/634364/items/5TK6EQD6"],"itemData":{"id":1451,"type":"article-journal","title":"Century-scale effects of invasive deer and rodents on the dynamics of forests growing on soils of contrasting fertility","container-title":"Ecological Monographs","page":"157-180","volume":"85","issue":"2","source":"CrossRef","DOI":"10.1890/14-0389.1","ISSN":"0012-9615","language":"en","author":[{"family":"Forsyth","given":"David M."},{"family":"Wilson","given":"Deborah J."},{"family":"Easdale","given":"Tomás A."},{"family":"Kunstler","given":"Georges"},{"family":"Canham","given":"Charles D."},{"family":"Ruscoe","given":"Wendy A."},{"family":"Wright","given":"Elaine F."},{"family":"Murphy","given":"Lora"},{"family":"Gormley","given":"Andrew M."},{"family":"Gaxiola","given":"Aurora"},{"family":"Coomes","given":"David A."}],"issued":{"date-parts":[["2015",5]]}},"prefix":"e.g. "}],"schema":"https://github.com/citation-style-language/schema/raw/master/csl-citation.json"} </w:instrText>
      </w:r>
      <w:r w:rsidRPr="006850F1">
        <w:fldChar w:fldCharType="separate"/>
      </w:r>
      <w:r w:rsidRPr="006850F1">
        <w:t xml:space="preserve">(e.g. Forsyth </w:t>
      </w:r>
      <w:r w:rsidRPr="006850F1">
        <w:rPr>
          <w:iCs/>
        </w:rPr>
        <w:t>et al.</w:t>
      </w:r>
      <w:r w:rsidRPr="006850F1">
        <w:t xml:space="preserve"> 2015)</w:t>
      </w:r>
      <w:r w:rsidRPr="006850F1">
        <w:fldChar w:fldCharType="end"/>
      </w:r>
      <w:r w:rsidRPr="006850F1">
        <w:t>.</w:t>
      </w:r>
      <w:r w:rsidR="00285836" w:rsidRPr="006850F1">
        <w:t xml:space="preserve"> </w:t>
      </w:r>
      <w:r w:rsidRPr="006850F1">
        <w:t>Alternatively, observations of</w:t>
      </w:r>
      <w:r>
        <w:t xml:space="preserve"> browsing pressure in a forest undergoing canopy collapse (wide-scale tree death) </w:t>
      </w:r>
      <w:r w:rsidR="005D282D">
        <w:t xml:space="preserve">can </w:t>
      </w:r>
      <w:r>
        <w:t xml:space="preserve">provide some indication of the proportion of defoliated </w:t>
      </w:r>
      <w:r w:rsidR="00A96C0F">
        <w:t>trees</w:t>
      </w:r>
      <w:r>
        <w:t xml:space="preserve"> in a forest both prior to, and following canopy collapse.</w:t>
      </w:r>
      <w:r w:rsidR="00285836">
        <w:t xml:space="preserve"> </w:t>
      </w:r>
      <w:r>
        <w:t xml:space="preserve">Here, we attempt to assess levels of defoliation in forests (i.e. proportion of defoliated </w:t>
      </w:r>
      <w:r w:rsidR="00A96C0F">
        <w:t>trees</w:t>
      </w:r>
      <w:r>
        <w:t xml:space="preserve">) </w:t>
      </w:r>
      <w:r w:rsidR="005D282D">
        <w:t xml:space="preserve">at </w:t>
      </w:r>
      <w:r>
        <w:t xml:space="preserve">a number of sites </w:t>
      </w:r>
      <w:r w:rsidR="005D282D">
        <w:t xml:space="preserve">at which </w:t>
      </w:r>
      <w:r>
        <w:t xml:space="preserve">we have measured both eucalypt foliage cover </w:t>
      </w:r>
      <w:r w:rsidR="005D282D">
        <w:t>and</w:t>
      </w:r>
      <w:r>
        <w:t xml:space="preserve"> </w:t>
      </w:r>
      <w:r w:rsidR="005574FB">
        <w:t>Koala</w:t>
      </w:r>
      <w:r>
        <w:t xml:space="preserve"> densities.</w:t>
      </w:r>
      <w:r w:rsidR="00285836">
        <w:t xml:space="preserve"> </w:t>
      </w:r>
      <w:r>
        <w:t>As all individually measured trees were tagged, the opportunity exists for revisiting these trees over time to assess mortality.</w:t>
      </w:r>
      <w:r w:rsidR="00285836">
        <w:t xml:space="preserve"> </w:t>
      </w:r>
      <w:r>
        <w:t xml:space="preserve">Supplementing </w:t>
      </w:r>
      <w:r w:rsidR="005D282D">
        <w:t xml:space="preserve">our </w:t>
      </w:r>
      <w:r>
        <w:t xml:space="preserve">data are other survey data </w:t>
      </w:r>
      <w:r w:rsidR="005D282D">
        <w:t>obtained using</w:t>
      </w:r>
      <w:r>
        <w:t xml:space="preserve"> the same methodology </w:t>
      </w:r>
      <w:r>
        <w:fldChar w:fldCharType="begin"/>
      </w:r>
      <w:r>
        <w:instrText xml:space="preserve"> ADDIN ZOTERO_ITEM CSL_CITATION {"citationID":"17tr0k8e3s","properties":{"formattedCitation":"(Gibson and Thomas 2012; Wood 2013a)","plainCitation":"(Gibson and Thomas 2012; Wood 2013a)"},"citationItems":[{"id":5243,"uris":["http://zotero.org/users/634364/items/NW7RDBVG"],"uri":["http://zotero.org/users/634364/items/NW7RDBVG"],"itemData":{"id":5243,"type":"report","title":"Great Otway National Park Pilot Koala and Tree Condition Survey","publisher":"BIOSIS Research Pty. Ltd.","publisher-place":"Ballarat","page":"48","event-place":"Ballarat","number":"Report to Parks Victoria","author":[{"family":"Gibson","given":"M"},{"family":"Thomas","given":"G"}],"issued":{"date-parts":[["2012"]]}}},{"id":5241,"uris":["http://zotero.org/users/634364/items/KMM5V5SC"],"uri":["http://zotero.org/users/634364/items/KMM5V5SC"],"itemData":{"id":5241,"type":"report","title":"Manna Gum Condition and Koala Density Within Gunditj Mirring Indigenous Protected Areas, South West Victoria","publisher":"Austalian Ecological Research Services","publisher-place":"Portland, Victoria","page":"32","event-place":"Portland, Victoria","number":"Report to Gunditj Mirring Traditional Owners Aboriginal Corporation and Parks Victoria","author":[{"family":"Wood","given":"M"}],"issued":{"date-parts":[["2013"]]}}}],"schema":"https://github.com/citation-style-language/schema/raw/master/csl-citation.json"} </w:instrText>
      </w:r>
      <w:r>
        <w:fldChar w:fldCharType="separate"/>
      </w:r>
      <w:r w:rsidRPr="004E5E54">
        <w:t>(Gibson and Thomas 2012; Wood 2013a)</w:t>
      </w:r>
      <w:r>
        <w:fldChar w:fldCharType="end"/>
      </w:r>
      <w:r>
        <w:t>.</w:t>
      </w:r>
      <w:r w:rsidR="00285836">
        <w:t xml:space="preserve"> </w:t>
      </w:r>
      <w:r>
        <w:t xml:space="preserve">Moreover, we also have data </w:t>
      </w:r>
      <w:r w:rsidR="005D282D">
        <w:t xml:space="preserve">for </w:t>
      </w:r>
      <w:r>
        <w:t xml:space="preserve">a number of high-density </w:t>
      </w:r>
      <w:r w:rsidR="005574FB">
        <w:t>Koala</w:t>
      </w:r>
      <w:r>
        <w:t xml:space="preserve"> sites from the Cape Otway region that have undergone, or are on the verge of, high levels of tree mortality (forest collapse) </w:t>
      </w:r>
      <w:r>
        <w:fldChar w:fldCharType="begin"/>
      </w:r>
      <w:r>
        <w:instrText xml:space="preserve"> ADDIN ZOTERO_ITEM CSL_CITATION {"citationID":"2nuigosov6","properties":{"formattedCitation":"{\\rtf (Whisson {\\i{}et al.} 2016)}","plainCitation":"(Whisson et al. 2016)"},"citationItems":[{"id":1423,"uris":["http://zotero.org/users/634364/items/SFNS2XS4"],"uri":["http://zotero.org/users/634364/items/SFNS2XS4"],"itemData":{"id":1423,"type":"article-journal","title":"Failure to Respond to Food Resource Decline Has Catastrophic Consequences for Koalas in a High-Density Population in Southern Australia","container-title":"PLOS ONE","page":"e0144348","volume":"11","issue":"1","source":"PLoS Journals","abstract":"Understanding the ability of koalas to respond to changes in their environment is critical for conservation of the species and their habitat. We monitored the behavioural response of koalas to declining food resources in manna gum ( Eucalyptus viminalis ) woodland at Cape Otway, Victoria, Australia, from September 2011 to November 2013. Over this period, koala population density increased from 10.1 to 18.4 koalas.ha -1 . As a result of the high browsing pressure of this population, manna gum canopy condition declined with 71.4% manna gum being completely or highly defoliated in September 2013. Despite declining food resources, radio collared koalas (N = 30) exhibited high fidelity to small ranges (0.4–1.2 ha). When trees became severely defoliated in September 2013, koalas moved relatively short distances from their former ranges (mean predicted change in range centroid = 144 m) and remained in areas of 0.9 to 1.0 ha. This was despite the high connectivity of most manna gum woodland, and close proximity of the study site (&amp;lt; 3 km) to the contiguous mixed forest of the Great Otway National Park. Limited movement had catastrophic consequences for koalas with 71% (15/21) of radio collared koalas dying from starvation or being euthanased due to their poor condition between September and November 2013.","DOI":"10.1371/journal.pone.0144348","ISSN":"1932-6203","journalAbbreviation":"PLOS ONE","author":[{"family":"Whisson","given":"Desley A."},{"family":"Dixon","given":"Victoria"},{"family":"Taylor","given":"Megan L."},{"family":"Melzer","given":"Alistair"}],"issued":{"date-parts":[["2016",1,6]]}}}],"schema":"https://github.com/citation-style-language/schema/raw/master/csl-citation.json"} </w:instrText>
      </w:r>
      <w:r>
        <w:fldChar w:fldCharType="separate"/>
      </w:r>
      <w:r w:rsidRPr="00FB15BE">
        <w:t xml:space="preserve">(Whisson </w:t>
      </w:r>
      <w:r w:rsidR="008C4522" w:rsidRPr="006850F1">
        <w:rPr>
          <w:iCs/>
        </w:rPr>
        <w:t>et al.</w:t>
      </w:r>
      <w:r w:rsidRPr="00FB15BE">
        <w:t xml:space="preserve"> 2016)</w:t>
      </w:r>
      <w:r>
        <w:fldChar w:fldCharType="end"/>
      </w:r>
      <w:r>
        <w:t>.</w:t>
      </w:r>
    </w:p>
    <w:p w:rsidR="00C866BC" w:rsidRPr="00B75952" w:rsidRDefault="00C866BC" w:rsidP="00576C1D">
      <w:pPr>
        <w:pStyle w:val="ARIERHD"/>
      </w:pPr>
      <w:r>
        <w:t>Site selection</w:t>
      </w:r>
      <w:r w:rsidR="00A144B6">
        <w:t>—</w:t>
      </w:r>
      <w:r>
        <w:t>additional sites</w:t>
      </w:r>
    </w:p>
    <w:p w:rsidR="00C866BC" w:rsidRPr="004634A8" w:rsidRDefault="00C866BC" w:rsidP="00F6205D">
      <w:pPr>
        <w:pStyle w:val="ARIERBody"/>
      </w:pPr>
      <w:r w:rsidRPr="004634A8">
        <w:t>Suitable areas for one-of</w:t>
      </w:r>
      <w:r w:rsidR="005D282D">
        <w:t>f</w:t>
      </w:r>
      <w:r w:rsidRPr="004634A8">
        <w:t xml:space="preserve"> surveys of </w:t>
      </w:r>
      <w:r w:rsidR="005574FB">
        <w:t>Koala</w:t>
      </w:r>
      <w:r w:rsidRPr="004634A8">
        <w:t xml:space="preserve"> density and canopy condition were selected </w:t>
      </w:r>
      <w:r>
        <w:t>using</w:t>
      </w:r>
      <w:r w:rsidRPr="004634A8">
        <w:t xml:space="preserve"> GIS.</w:t>
      </w:r>
      <w:r w:rsidR="00285836">
        <w:t xml:space="preserve"> </w:t>
      </w:r>
      <w:r w:rsidRPr="004634A8">
        <w:t xml:space="preserve">The aim was to select relatively homogenous landscapes of </w:t>
      </w:r>
      <w:r w:rsidR="008604AB">
        <w:t>~</w:t>
      </w:r>
      <w:r w:rsidRPr="004634A8">
        <w:t>1</w:t>
      </w:r>
      <w:r w:rsidR="008604AB">
        <w:t>–</w:t>
      </w:r>
      <w:r w:rsidRPr="004634A8">
        <w:t>2 km</w:t>
      </w:r>
      <w:r w:rsidRPr="004634A8">
        <w:rPr>
          <w:vertAlign w:val="superscript"/>
        </w:rPr>
        <w:t>2</w:t>
      </w:r>
      <w:r w:rsidR="000A483D">
        <w:t>,</w:t>
      </w:r>
      <w:r>
        <w:t xml:space="preserve"> large enough to contain</w:t>
      </w:r>
      <w:r w:rsidRPr="004634A8">
        <w:t xml:space="preserve"> </w:t>
      </w:r>
      <w:r>
        <w:t xml:space="preserve">three or </w:t>
      </w:r>
      <w:r w:rsidRPr="004634A8">
        <w:t xml:space="preserve">four replicate transects with a minimum separation of </w:t>
      </w:r>
      <w:r w:rsidR="0028488D">
        <w:t>~</w:t>
      </w:r>
      <w:r w:rsidRPr="004634A8">
        <w:t>500 m.</w:t>
      </w:r>
      <w:r w:rsidR="00285836">
        <w:t xml:space="preserve"> </w:t>
      </w:r>
      <w:r w:rsidRPr="004634A8">
        <w:t xml:space="preserve">This would ensure that transects were independent of </w:t>
      </w:r>
      <w:r w:rsidR="0028488D">
        <w:t>one</w:t>
      </w:r>
      <w:r w:rsidR="0028488D" w:rsidRPr="004634A8">
        <w:t xml:space="preserve"> </w:t>
      </w:r>
      <w:r w:rsidR="0028488D">
        <w:t>an</w:t>
      </w:r>
      <w:r w:rsidRPr="004634A8">
        <w:t xml:space="preserve">other and unlikely to be utilised regularly by the same </w:t>
      </w:r>
      <w:r w:rsidR="005574FB">
        <w:t>Koala</w:t>
      </w:r>
      <w:r w:rsidRPr="004634A8">
        <w:t>s.</w:t>
      </w:r>
      <w:r w:rsidR="00285836">
        <w:t xml:space="preserve"> </w:t>
      </w:r>
      <w:r w:rsidRPr="004634A8">
        <w:t xml:space="preserve">Various spatial layers were consulted in GIS to ensure that </w:t>
      </w:r>
      <w:r w:rsidR="0028488D">
        <w:t xml:space="preserve">the </w:t>
      </w:r>
      <w:r w:rsidRPr="004634A8">
        <w:t>sites spanned a range of habitats from Lorne to the South Australian border, and that transects within individual sites could be considered reasonable replicates.</w:t>
      </w:r>
      <w:r w:rsidR="00285836">
        <w:t xml:space="preserve"> </w:t>
      </w:r>
      <w:r w:rsidRPr="004634A8">
        <w:t>Spatial layers included:</w:t>
      </w:r>
    </w:p>
    <w:p w:rsidR="00C866BC" w:rsidRPr="00F75C69" w:rsidRDefault="00C866BC" w:rsidP="006850F1">
      <w:pPr>
        <w:pStyle w:val="ARIERBody"/>
        <w:numPr>
          <w:ilvl w:val="0"/>
          <w:numId w:val="41"/>
        </w:numPr>
        <w:ind w:left="426" w:hanging="412"/>
      </w:pPr>
      <w:r w:rsidRPr="00F75C69">
        <w:t xml:space="preserve">Habitat suitability model (Arthur </w:t>
      </w:r>
      <w:proofErr w:type="spellStart"/>
      <w:r w:rsidRPr="00F75C69">
        <w:t>Rylah</w:t>
      </w:r>
      <w:proofErr w:type="spellEnd"/>
      <w:r w:rsidRPr="00F75C69">
        <w:t xml:space="preserve"> Institute</w:t>
      </w:r>
      <w:r w:rsidR="0028488D">
        <w:t xml:space="preserve"> for Environmental Research</w:t>
      </w:r>
      <w:r w:rsidRPr="00F75C69">
        <w:t xml:space="preserve">, </w:t>
      </w:r>
      <w:proofErr w:type="spellStart"/>
      <w:r w:rsidR="0028488D" w:rsidRPr="00F75C69">
        <w:t>unpubl</w:t>
      </w:r>
      <w:proofErr w:type="spellEnd"/>
      <w:r w:rsidR="0028488D">
        <w:t>.</w:t>
      </w:r>
      <w:r w:rsidR="0028488D" w:rsidRPr="00F75C69">
        <w:t xml:space="preserve"> </w:t>
      </w:r>
      <w:r w:rsidRPr="00F75C69">
        <w:t>data).</w:t>
      </w:r>
      <w:r w:rsidR="00285836">
        <w:t xml:space="preserve"> </w:t>
      </w:r>
      <w:r w:rsidRPr="00F75C69">
        <w:t xml:space="preserve">This model (essentially a continuous ‘surface of suitability’) estimated the suitability of potential </w:t>
      </w:r>
      <w:r w:rsidR="005574FB">
        <w:t>Koala</w:t>
      </w:r>
      <w:r w:rsidRPr="00F75C69">
        <w:t xml:space="preserve"> habitat across southern Victoria</w:t>
      </w:r>
      <w:r w:rsidR="000017D2">
        <w:t>,</w:t>
      </w:r>
      <w:r w:rsidRPr="00F75C69">
        <w:t xml:space="preserve"> based mostly on a species distribution model (circa 2014) for </w:t>
      </w:r>
      <w:r w:rsidR="005574FB">
        <w:t>Koala</w:t>
      </w:r>
      <w:r w:rsidRPr="00F75C69">
        <w:t>s, and species distribution models (circa 2015) for four main food tree species (</w:t>
      </w:r>
      <w:r w:rsidRPr="00F75C69">
        <w:rPr>
          <w:i/>
        </w:rPr>
        <w:t xml:space="preserve">Eucalyptus </w:t>
      </w:r>
      <w:proofErr w:type="spellStart"/>
      <w:r w:rsidRPr="00F75C69">
        <w:rPr>
          <w:i/>
        </w:rPr>
        <w:t>globulus</w:t>
      </w:r>
      <w:proofErr w:type="spellEnd"/>
      <w:r w:rsidRPr="00F75C69">
        <w:t xml:space="preserve">, </w:t>
      </w:r>
      <w:r w:rsidR="000017D2" w:rsidRPr="00F75C69">
        <w:rPr>
          <w:i/>
        </w:rPr>
        <w:t>E</w:t>
      </w:r>
      <w:r w:rsidR="000017D2">
        <w:rPr>
          <w:i/>
        </w:rPr>
        <w:t>. </w:t>
      </w:r>
      <w:proofErr w:type="spellStart"/>
      <w:r w:rsidRPr="00F75C69">
        <w:rPr>
          <w:i/>
        </w:rPr>
        <w:t>viminalis</w:t>
      </w:r>
      <w:proofErr w:type="spellEnd"/>
      <w:r w:rsidRPr="00F75C69">
        <w:t xml:space="preserve">, </w:t>
      </w:r>
      <w:r w:rsidR="000017D2" w:rsidRPr="00F75C69">
        <w:rPr>
          <w:i/>
        </w:rPr>
        <w:t>E</w:t>
      </w:r>
      <w:r w:rsidR="000017D2">
        <w:rPr>
          <w:i/>
        </w:rPr>
        <w:t>.</w:t>
      </w:r>
      <w:r w:rsidR="000017D2" w:rsidRPr="00F75C69">
        <w:rPr>
          <w:i/>
        </w:rPr>
        <w:t xml:space="preserve"> </w:t>
      </w:r>
      <w:proofErr w:type="spellStart"/>
      <w:r w:rsidRPr="00F75C69">
        <w:rPr>
          <w:i/>
        </w:rPr>
        <w:t>camaldulensis</w:t>
      </w:r>
      <w:proofErr w:type="spellEnd"/>
      <w:r w:rsidRPr="00F75C69">
        <w:t xml:space="preserve"> and </w:t>
      </w:r>
      <w:r w:rsidRPr="00F75C69">
        <w:rPr>
          <w:i/>
        </w:rPr>
        <w:t>E</w:t>
      </w:r>
      <w:r w:rsidR="000017D2">
        <w:rPr>
          <w:i/>
        </w:rPr>
        <w:t>.</w:t>
      </w:r>
      <w:r w:rsidRPr="00F75C69">
        <w:rPr>
          <w:i/>
        </w:rPr>
        <w:t xml:space="preserve"> ovata</w:t>
      </w:r>
      <w:r w:rsidRPr="00F75C69">
        <w:t>).</w:t>
      </w:r>
      <w:r w:rsidR="00285836">
        <w:t xml:space="preserve"> </w:t>
      </w:r>
      <w:r w:rsidRPr="00F75C69">
        <w:t xml:space="preserve">The model also considered the extent of ‘neighbourhood’ native woody vegetation cover, </w:t>
      </w:r>
      <w:r w:rsidR="000017D2">
        <w:t xml:space="preserve">the </w:t>
      </w:r>
      <w:r w:rsidRPr="00F75C69">
        <w:t xml:space="preserve">presence of roads and rail lines, and proximity to </w:t>
      </w:r>
      <w:r w:rsidR="000017D2" w:rsidRPr="00F75C69">
        <w:t>Blue</w:t>
      </w:r>
      <w:r w:rsidR="000017D2">
        <w:t xml:space="preserve"> G</w:t>
      </w:r>
      <w:r w:rsidR="000017D2" w:rsidRPr="00F75C69">
        <w:t xml:space="preserve">um </w:t>
      </w:r>
      <w:r w:rsidR="000017D2">
        <w:t>(</w:t>
      </w:r>
      <w:r w:rsidR="000017D2">
        <w:rPr>
          <w:i/>
        </w:rPr>
        <w:t>E. </w:t>
      </w:r>
      <w:proofErr w:type="spellStart"/>
      <w:r w:rsidR="000017D2">
        <w:rPr>
          <w:i/>
        </w:rPr>
        <w:t>globulus</w:t>
      </w:r>
      <w:proofErr w:type="spellEnd"/>
      <w:r w:rsidR="000017D2">
        <w:t xml:space="preserve">) </w:t>
      </w:r>
      <w:r w:rsidRPr="00F75C69">
        <w:t>plantations.</w:t>
      </w:r>
      <w:r w:rsidR="00285836">
        <w:t xml:space="preserve"> </w:t>
      </w:r>
      <w:r w:rsidRPr="00F75C69">
        <w:t xml:space="preserve">The resultant ‘suitability index’ allowed us to identify </w:t>
      </w:r>
      <w:r w:rsidR="000017D2">
        <w:t xml:space="preserve">some </w:t>
      </w:r>
      <w:r w:rsidRPr="00F75C69">
        <w:t>large sites relatively free of influence from transport infrastructure and plantations, ranging from moderate habitat quality (with a low proportion of preferred eucalypt species</w:t>
      </w:r>
      <w:r w:rsidR="000017D2">
        <w:t>,</w:t>
      </w:r>
      <w:r w:rsidRPr="00F75C69">
        <w:t xml:space="preserve"> but some </w:t>
      </w:r>
      <w:r w:rsidR="005574FB">
        <w:t>Koala</w:t>
      </w:r>
      <w:r w:rsidRPr="00F75C69">
        <w:t xml:space="preserve">s nonetheless expected to be present) to high habitat quality (high proportion of preferred eucalypt species and high numbers of </w:t>
      </w:r>
      <w:r w:rsidR="005574FB">
        <w:t>Koala</w:t>
      </w:r>
      <w:r w:rsidRPr="00F75C69">
        <w:t>s potentially present).</w:t>
      </w:r>
    </w:p>
    <w:p w:rsidR="00C866BC" w:rsidRPr="00F75C69" w:rsidRDefault="00C866BC" w:rsidP="006850F1">
      <w:pPr>
        <w:pStyle w:val="ARIERBody"/>
        <w:numPr>
          <w:ilvl w:val="0"/>
          <w:numId w:val="41"/>
        </w:numPr>
        <w:ind w:left="426" w:hanging="412"/>
      </w:pPr>
      <w:r w:rsidRPr="00F75C69">
        <w:lastRenderedPageBreak/>
        <w:t xml:space="preserve">Public land layer. </w:t>
      </w:r>
      <w:r>
        <w:t>A number of existing translocation donor sites on private land at Cape Otway were included in the surveys. However, for logistic purposes, additional sites</w:t>
      </w:r>
      <w:r w:rsidRPr="00F75C69">
        <w:t xml:space="preserve"> were restricted to public parks and reserves.</w:t>
      </w:r>
      <w:r w:rsidR="00285836">
        <w:t xml:space="preserve"> </w:t>
      </w:r>
      <w:r w:rsidRPr="00F75C69">
        <w:t>Freehold land, eucalypt plantations and areas of production forest were avoided.</w:t>
      </w:r>
    </w:p>
    <w:p w:rsidR="00C866BC" w:rsidRPr="00F75C69" w:rsidRDefault="00C866BC" w:rsidP="006850F1">
      <w:pPr>
        <w:pStyle w:val="ARIERBody"/>
        <w:numPr>
          <w:ilvl w:val="0"/>
          <w:numId w:val="41"/>
        </w:numPr>
        <w:ind w:left="426" w:hanging="412"/>
      </w:pPr>
      <w:r w:rsidRPr="00F75C69">
        <w:t>Fire mapping.</w:t>
      </w:r>
      <w:r w:rsidR="00285836">
        <w:t xml:space="preserve"> </w:t>
      </w:r>
      <w:r w:rsidRPr="00F75C69">
        <w:t>For reasons of safety, and to facilitate future surveys at the same sites if desired, areas within or close to scheduled burns were avoided.</w:t>
      </w:r>
      <w:r w:rsidR="00285836">
        <w:t xml:space="preserve"> </w:t>
      </w:r>
      <w:r w:rsidRPr="00F75C69">
        <w:t>Sites that had been burnt within the previous three years were also excluded.</w:t>
      </w:r>
    </w:p>
    <w:p w:rsidR="00C866BC" w:rsidRPr="00F75C69" w:rsidRDefault="00C866BC" w:rsidP="006850F1">
      <w:pPr>
        <w:pStyle w:val="ARIERBody"/>
        <w:numPr>
          <w:ilvl w:val="0"/>
          <w:numId w:val="41"/>
        </w:numPr>
        <w:ind w:left="426" w:hanging="412"/>
      </w:pPr>
      <w:r w:rsidRPr="00F75C69">
        <w:t>Ecological Vegetation Class (EVC) layer.</w:t>
      </w:r>
      <w:r w:rsidR="00285836">
        <w:t xml:space="preserve"> </w:t>
      </w:r>
      <w:r w:rsidRPr="00F75C69">
        <w:t>Sites were selected such that the four replicate transects at any site would remain within the same mapped EVC.</w:t>
      </w:r>
    </w:p>
    <w:p w:rsidR="00C866BC" w:rsidRPr="00F75C69" w:rsidRDefault="00C866BC" w:rsidP="006850F1">
      <w:pPr>
        <w:pStyle w:val="ARIERBody"/>
        <w:numPr>
          <w:ilvl w:val="0"/>
          <w:numId w:val="41"/>
        </w:numPr>
        <w:ind w:left="426" w:hanging="412"/>
      </w:pPr>
      <w:r w:rsidRPr="00F75C69">
        <w:t>Aerial photography.</w:t>
      </w:r>
      <w:r w:rsidR="00285836">
        <w:t xml:space="preserve"> </w:t>
      </w:r>
      <w:r w:rsidRPr="00F75C69">
        <w:t>Sites were selected so that the four replicate transects at any site were placed in vegetation that appeared visually homogenous in aerial images.</w:t>
      </w:r>
    </w:p>
    <w:p w:rsidR="00C866BC" w:rsidRDefault="00C866BC" w:rsidP="006850F1">
      <w:pPr>
        <w:pStyle w:val="ARIERBody"/>
        <w:numPr>
          <w:ilvl w:val="0"/>
          <w:numId w:val="41"/>
        </w:numPr>
        <w:ind w:left="426" w:hanging="412"/>
      </w:pPr>
      <w:r w:rsidRPr="00F75C69">
        <w:t>Topographic layer.</w:t>
      </w:r>
      <w:r w:rsidR="00285836">
        <w:t xml:space="preserve"> </w:t>
      </w:r>
      <w:r w:rsidRPr="00F75C69">
        <w:t>Transects within individual sites were oriented in a way that avoided large between-transect differences in slope and aspect.</w:t>
      </w:r>
      <w:r w:rsidR="00285836">
        <w:t xml:space="preserve"> </w:t>
      </w:r>
      <w:r w:rsidRPr="00F75C69">
        <w:t xml:space="preserve">Individual transects were aligned </w:t>
      </w:r>
      <w:r w:rsidRPr="00F75C69">
        <w:rPr>
          <w:i/>
        </w:rPr>
        <w:t>a priori</w:t>
      </w:r>
      <w:r w:rsidRPr="00F75C69">
        <w:t xml:space="preserve"> approximately perpendicular to the slope.</w:t>
      </w:r>
    </w:p>
    <w:p w:rsidR="00C866BC" w:rsidRPr="00F75C69" w:rsidRDefault="00C866BC" w:rsidP="006850F1">
      <w:pPr>
        <w:pStyle w:val="ListParagraph"/>
        <w:ind w:left="426" w:hanging="412"/>
      </w:pPr>
    </w:p>
    <w:p w:rsidR="00C866BC" w:rsidRDefault="00C866BC" w:rsidP="00F6205D">
      <w:pPr>
        <w:pStyle w:val="ARIERBody"/>
      </w:pPr>
      <w:r>
        <w:t xml:space="preserve">Many of the sites initially proposed proved to be unsuitable, with an inappropriate species mix or difficulty </w:t>
      </w:r>
      <w:r w:rsidR="00B13C38">
        <w:t xml:space="preserve">of </w:t>
      </w:r>
      <w:r>
        <w:t>access, and these were discarded.</w:t>
      </w:r>
      <w:r w:rsidR="00285836">
        <w:t xml:space="preserve"> </w:t>
      </w:r>
      <w:r w:rsidRPr="004634A8">
        <w:t xml:space="preserve">A total of </w:t>
      </w:r>
      <w:r>
        <w:t>15</w:t>
      </w:r>
      <w:r w:rsidRPr="004634A8">
        <w:t xml:space="preserve"> sites were </w:t>
      </w:r>
      <w:r>
        <w:t xml:space="preserve">surveyed (Table </w:t>
      </w:r>
      <w:r w:rsidR="00294F19">
        <w:t>2</w:t>
      </w:r>
      <w:r>
        <w:t>).</w:t>
      </w:r>
    </w:p>
    <w:p w:rsidR="000E297D" w:rsidRDefault="000E297D" w:rsidP="006850F1">
      <w:pPr>
        <w:pStyle w:val="ARIERCaption-Table"/>
      </w:pPr>
    </w:p>
    <w:p w:rsidR="00C866BC" w:rsidRPr="00853162" w:rsidRDefault="00C866BC" w:rsidP="006850F1">
      <w:pPr>
        <w:pStyle w:val="ARIERCaption-Table"/>
      </w:pPr>
      <w:bookmarkStart w:id="29" w:name="_Toc454803938"/>
      <w:r w:rsidRPr="00853162">
        <w:t xml:space="preserve">Table </w:t>
      </w:r>
      <w:r w:rsidR="00294F19" w:rsidRPr="00853162">
        <w:t>2</w:t>
      </w:r>
      <w:r w:rsidR="00FF1DB9" w:rsidRPr="00853162">
        <w:t>.</w:t>
      </w:r>
      <w:r w:rsidRPr="00853162">
        <w:t xml:space="preserve"> List of sites surveyed to estimate levels of canopy defoliation and </w:t>
      </w:r>
      <w:r w:rsidR="005574FB" w:rsidRPr="00853162">
        <w:t>Koala</w:t>
      </w:r>
      <w:r w:rsidRPr="00853162">
        <w:t xml:space="preserve"> density</w:t>
      </w:r>
      <w:r w:rsidR="000E297D" w:rsidRPr="00853162">
        <w:t>.</w:t>
      </w:r>
      <w:r w:rsidR="001D05DD">
        <w:t xml:space="preserve"> SP = State Park, NP = National Park, FR = Flora Reserve, </w:t>
      </w:r>
      <w:r w:rsidR="00B13C38">
        <w:t xml:space="preserve">CEC = </w:t>
      </w:r>
      <w:r w:rsidR="00B13C38" w:rsidRPr="00C866BC">
        <w:t>Conservation Ecology Cent</w:t>
      </w:r>
      <w:r w:rsidR="00B13C38">
        <w:t xml:space="preserve">re, </w:t>
      </w:r>
      <w:r w:rsidR="001D05DD">
        <w:t>IPA = Indigenous Protected Area.</w:t>
      </w:r>
      <w:bookmarkEnd w:id="29"/>
    </w:p>
    <w:tbl>
      <w:tblPr>
        <w:tblW w:w="5000" w:type="pct"/>
        <w:tblLook w:val="04A0" w:firstRow="1" w:lastRow="0" w:firstColumn="1" w:lastColumn="0" w:noHBand="0" w:noVBand="1"/>
      </w:tblPr>
      <w:tblGrid>
        <w:gridCol w:w="1244"/>
        <w:gridCol w:w="3544"/>
        <w:gridCol w:w="1157"/>
        <w:gridCol w:w="3910"/>
      </w:tblGrid>
      <w:tr w:rsidR="00C866BC" w:rsidRPr="004661D1" w:rsidTr="006850F1">
        <w:trPr>
          <w:cantSplit/>
          <w:trHeight w:val="397"/>
        </w:trPr>
        <w:tc>
          <w:tcPr>
            <w:tcW w:w="631" w:type="pct"/>
            <w:shd w:val="clear" w:color="000000" w:fill="228591"/>
            <w:noWrap/>
            <w:vAlign w:val="center"/>
            <w:hideMark/>
          </w:tcPr>
          <w:p w:rsidR="00C866BC" w:rsidRPr="006850F1" w:rsidRDefault="00C866BC" w:rsidP="006850F1">
            <w:pPr>
              <w:jc w:val="center"/>
              <w:rPr>
                <w:color w:val="FFFFFF" w:themeColor="background1"/>
                <w:lang w:eastAsia="en-AU"/>
              </w:rPr>
            </w:pPr>
            <w:r w:rsidRPr="006850F1">
              <w:rPr>
                <w:color w:val="FFFFFF" w:themeColor="background1"/>
                <w:lang w:eastAsia="en-AU"/>
              </w:rPr>
              <w:t>Site ID</w:t>
            </w:r>
          </w:p>
        </w:tc>
        <w:tc>
          <w:tcPr>
            <w:tcW w:w="1798" w:type="pct"/>
            <w:shd w:val="clear" w:color="000000" w:fill="228591"/>
            <w:noWrap/>
            <w:vAlign w:val="center"/>
            <w:hideMark/>
          </w:tcPr>
          <w:p w:rsidR="00C866BC" w:rsidRPr="006850F1" w:rsidRDefault="00C866BC" w:rsidP="006850F1">
            <w:pPr>
              <w:jc w:val="center"/>
              <w:rPr>
                <w:color w:val="FFFFFF" w:themeColor="background1"/>
                <w:lang w:eastAsia="en-AU"/>
              </w:rPr>
            </w:pPr>
            <w:r w:rsidRPr="006850F1">
              <w:rPr>
                <w:color w:val="FFFFFF" w:themeColor="background1"/>
                <w:lang w:eastAsia="en-AU"/>
              </w:rPr>
              <w:t>Location</w:t>
            </w:r>
          </w:p>
        </w:tc>
        <w:tc>
          <w:tcPr>
            <w:tcW w:w="587" w:type="pct"/>
            <w:shd w:val="clear" w:color="000000" w:fill="228591"/>
            <w:noWrap/>
            <w:vAlign w:val="center"/>
            <w:hideMark/>
          </w:tcPr>
          <w:p w:rsidR="00C866BC" w:rsidRPr="006850F1" w:rsidRDefault="00C866BC" w:rsidP="006850F1">
            <w:pPr>
              <w:jc w:val="center"/>
              <w:rPr>
                <w:color w:val="FFFFFF" w:themeColor="background1"/>
                <w:lang w:eastAsia="en-AU"/>
              </w:rPr>
            </w:pPr>
            <w:r w:rsidRPr="006850F1">
              <w:rPr>
                <w:color w:val="FFFFFF" w:themeColor="background1"/>
                <w:lang w:eastAsia="en-AU"/>
              </w:rPr>
              <w:t>EVC No</w:t>
            </w:r>
          </w:p>
        </w:tc>
        <w:tc>
          <w:tcPr>
            <w:tcW w:w="1985" w:type="pct"/>
            <w:shd w:val="clear" w:color="000000" w:fill="228591"/>
            <w:noWrap/>
            <w:vAlign w:val="center"/>
            <w:hideMark/>
          </w:tcPr>
          <w:p w:rsidR="00C866BC" w:rsidRPr="006850F1" w:rsidRDefault="00C866BC" w:rsidP="006850F1">
            <w:pPr>
              <w:jc w:val="center"/>
              <w:rPr>
                <w:color w:val="FFFFFF" w:themeColor="background1"/>
                <w:lang w:eastAsia="en-AU"/>
              </w:rPr>
            </w:pPr>
            <w:r w:rsidRPr="006850F1">
              <w:rPr>
                <w:color w:val="FFFFFF" w:themeColor="background1"/>
                <w:lang w:eastAsia="en-AU"/>
              </w:rPr>
              <w:t>EVC name</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12</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Mount Napier SP</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203</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Stony Rises Woodland</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25</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Great Otway NP (Cape Otway)</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30</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Wet Forest</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26</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Great Otway NP (Cape Otway)</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45</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Shrubby Foothill Forest</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27</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Great Otway NP (Cape Otway)</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45</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Shrubby Foothill Forest</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39</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Great Otway NP (Cape Otway)</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45</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Shrubby Foothill Forest</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40</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Mt Richmond NP</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3</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 xml:space="preserve">Damp Sands </w:t>
            </w:r>
            <w:r w:rsidR="00AC6C49">
              <w:rPr>
                <w:color w:val="000000"/>
                <w:lang w:eastAsia="en-AU"/>
              </w:rPr>
              <w:t>H</w:t>
            </w:r>
            <w:r w:rsidRPr="003E3A8D">
              <w:rPr>
                <w:color w:val="000000"/>
                <w:lang w:eastAsia="en-AU"/>
              </w:rPr>
              <w:t>erb-rich Woodland</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42</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Tyrendarra FR</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203</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Stony Rises Woodland</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50</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CEC private</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3</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 xml:space="preserve">Damp Sands </w:t>
            </w:r>
            <w:r w:rsidR="000E297D">
              <w:rPr>
                <w:color w:val="000000"/>
                <w:lang w:eastAsia="en-AU"/>
              </w:rPr>
              <w:t>H</w:t>
            </w:r>
            <w:r w:rsidR="000E297D" w:rsidRPr="003E3A8D">
              <w:rPr>
                <w:color w:val="000000"/>
                <w:lang w:eastAsia="en-AU"/>
              </w:rPr>
              <w:t>erb</w:t>
            </w:r>
            <w:r w:rsidRPr="003E3A8D">
              <w:rPr>
                <w:color w:val="000000"/>
                <w:lang w:eastAsia="en-AU"/>
              </w:rPr>
              <w:t>-rich Woodland</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51</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 xml:space="preserve">Woodcock &amp; A </w:t>
            </w:r>
            <w:proofErr w:type="spellStart"/>
            <w:r w:rsidRPr="003E3A8D">
              <w:rPr>
                <w:color w:val="000000"/>
                <w:lang w:eastAsia="en-AU"/>
              </w:rPr>
              <w:t>Marriner</w:t>
            </w:r>
            <w:proofErr w:type="spellEnd"/>
            <w:r w:rsidRPr="003E3A8D">
              <w:rPr>
                <w:color w:val="000000"/>
                <w:lang w:eastAsia="en-AU"/>
              </w:rPr>
              <w:t xml:space="preserve"> private</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3</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 xml:space="preserve">Damp Sands </w:t>
            </w:r>
            <w:r w:rsidR="000E297D">
              <w:rPr>
                <w:color w:val="000000"/>
                <w:lang w:eastAsia="en-AU"/>
              </w:rPr>
              <w:t>H</w:t>
            </w:r>
            <w:r w:rsidR="000E297D" w:rsidRPr="003E3A8D">
              <w:rPr>
                <w:color w:val="000000"/>
                <w:lang w:eastAsia="en-AU"/>
              </w:rPr>
              <w:t>erb</w:t>
            </w:r>
            <w:r w:rsidRPr="003E3A8D">
              <w:rPr>
                <w:color w:val="000000"/>
                <w:lang w:eastAsia="en-AU"/>
              </w:rPr>
              <w:t>-rich Woodland</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52</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 xml:space="preserve">Sutton &amp; </w:t>
            </w:r>
            <w:proofErr w:type="spellStart"/>
            <w:r w:rsidRPr="003E3A8D">
              <w:rPr>
                <w:color w:val="000000"/>
                <w:lang w:eastAsia="en-AU"/>
              </w:rPr>
              <w:t>Suar</w:t>
            </w:r>
            <w:proofErr w:type="spellEnd"/>
            <w:r w:rsidRPr="003E3A8D">
              <w:rPr>
                <w:color w:val="000000"/>
                <w:lang w:eastAsia="en-AU"/>
              </w:rPr>
              <w:t xml:space="preserve"> private</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3</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 xml:space="preserve">Damp Sands </w:t>
            </w:r>
            <w:r w:rsidR="000E297D">
              <w:rPr>
                <w:color w:val="000000"/>
                <w:lang w:eastAsia="en-AU"/>
              </w:rPr>
              <w:t>H</w:t>
            </w:r>
            <w:r w:rsidR="000E297D" w:rsidRPr="003E3A8D">
              <w:rPr>
                <w:color w:val="000000"/>
                <w:lang w:eastAsia="en-AU"/>
              </w:rPr>
              <w:t>erb</w:t>
            </w:r>
            <w:r w:rsidRPr="003E3A8D">
              <w:rPr>
                <w:color w:val="000000"/>
                <w:lang w:eastAsia="en-AU"/>
              </w:rPr>
              <w:t>-rich Woodland</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53</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 xml:space="preserve">C </w:t>
            </w:r>
            <w:proofErr w:type="spellStart"/>
            <w:r w:rsidRPr="003E3A8D">
              <w:rPr>
                <w:color w:val="000000"/>
                <w:lang w:eastAsia="en-AU"/>
              </w:rPr>
              <w:t>Marriner</w:t>
            </w:r>
            <w:proofErr w:type="spellEnd"/>
            <w:r w:rsidRPr="003E3A8D">
              <w:rPr>
                <w:color w:val="000000"/>
                <w:lang w:eastAsia="en-AU"/>
              </w:rPr>
              <w:t xml:space="preserve"> private</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45</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Shrubby Foothill Forest</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54</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Great Otway NP (Bambra Rd)</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16</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Lowland Forest (in mosaic)</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55</w:t>
            </w:r>
          </w:p>
        </w:tc>
        <w:tc>
          <w:tcPr>
            <w:tcW w:w="1798" w:type="pct"/>
            <w:shd w:val="clear" w:color="auto" w:fill="auto"/>
            <w:noWrap/>
            <w:vAlign w:val="center"/>
            <w:hideMark/>
          </w:tcPr>
          <w:p w:rsidR="00C866BC" w:rsidRPr="003E3A8D" w:rsidRDefault="00C866BC">
            <w:pPr>
              <w:rPr>
                <w:color w:val="000000"/>
                <w:lang w:eastAsia="en-AU"/>
              </w:rPr>
            </w:pPr>
            <w:r w:rsidRPr="003E3A8D">
              <w:rPr>
                <w:color w:val="000000"/>
                <w:lang w:eastAsia="en-AU"/>
              </w:rPr>
              <w:t>Great Otway NP (Release area)</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45</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Shrubby Foothill Forest</w:t>
            </w:r>
          </w:p>
        </w:tc>
      </w:tr>
      <w:tr w:rsidR="00C866BC" w:rsidRPr="003E3A8D" w:rsidTr="006850F1">
        <w:trPr>
          <w:cantSplit/>
          <w:trHeight w:val="397"/>
        </w:trPr>
        <w:tc>
          <w:tcPr>
            <w:tcW w:w="631"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56</w:t>
            </w:r>
          </w:p>
        </w:tc>
        <w:tc>
          <w:tcPr>
            <w:tcW w:w="1798" w:type="pct"/>
            <w:shd w:val="clear" w:color="auto" w:fill="auto"/>
            <w:noWrap/>
            <w:vAlign w:val="center"/>
            <w:hideMark/>
          </w:tcPr>
          <w:p w:rsidR="00C866BC" w:rsidRPr="003E3A8D" w:rsidRDefault="00C866BC">
            <w:pPr>
              <w:rPr>
                <w:color w:val="000000"/>
                <w:lang w:eastAsia="en-AU"/>
              </w:rPr>
            </w:pPr>
            <w:proofErr w:type="spellStart"/>
            <w:r w:rsidRPr="003E3A8D">
              <w:rPr>
                <w:color w:val="000000"/>
                <w:lang w:eastAsia="en-AU"/>
              </w:rPr>
              <w:t>Kurtonitj</w:t>
            </w:r>
            <w:proofErr w:type="spellEnd"/>
            <w:r w:rsidRPr="003E3A8D">
              <w:rPr>
                <w:color w:val="000000"/>
                <w:lang w:eastAsia="en-AU"/>
              </w:rPr>
              <w:t xml:space="preserve"> IPA</w:t>
            </w:r>
          </w:p>
        </w:tc>
        <w:tc>
          <w:tcPr>
            <w:tcW w:w="587" w:type="pct"/>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203</w:t>
            </w:r>
          </w:p>
        </w:tc>
        <w:tc>
          <w:tcPr>
            <w:tcW w:w="1985" w:type="pct"/>
            <w:shd w:val="clear" w:color="auto" w:fill="auto"/>
            <w:noWrap/>
            <w:vAlign w:val="center"/>
            <w:hideMark/>
          </w:tcPr>
          <w:p w:rsidR="00C866BC" w:rsidRPr="003E3A8D" w:rsidRDefault="00C866BC">
            <w:pPr>
              <w:rPr>
                <w:color w:val="000000"/>
                <w:lang w:eastAsia="en-AU"/>
              </w:rPr>
            </w:pPr>
            <w:r w:rsidRPr="003E3A8D">
              <w:rPr>
                <w:color w:val="000000"/>
                <w:lang w:eastAsia="en-AU"/>
              </w:rPr>
              <w:t>Stony Rises Woodland</w:t>
            </w:r>
          </w:p>
        </w:tc>
      </w:tr>
      <w:tr w:rsidR="00C866BC" w:rsidRPr="003E3A8D" w:rsidTr="006850F1">
        <w:trPr>
          <w:cantSplit/>
          <w:trHeight w:val="397"/>
        </w:trPr>
        <w:tc>
          <w:tcPr>
            <w:tcW w:w="631" w:type="pct"/>
            <w:tcBorders>
              <w:bottom w:val="single" w:sz="4" w:space="0" w:color="228591"/>
            </w:tcBorders>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57</w:t>
            </w:r>
          </w:p>
        </w:tc>
        <w:tc>
          <w:tcPr>
            <w:tcW w:w="1798" w:type="pct"/>
            <w:tcBorders>
              <w:bottom w:val="single" w:sz="4" w:space="0" w:color="228591"/>
            </w:tcBorders>
            <w:shd w:val="clear" w:color="auto" w:fill="auto"/>
            <w:noWrap/>
            <w:vAlign w:val="center"/>
            <w:hideMark/>
          </w:tcPr>
          <w:p w:rsidR="00C866BC" w:rsidRPr="003E3A8D" w:rsidRDefault="00C866BC">
            <w:pPr>
              <w:rPr>
                <w:color w:val="000000"/>
                <w:lang w:eastAsia="en-AU"/>
              </w:rPr>
            </w:pPr>
            <w:proofErr w:type="spellStart"/>
            <w:r w:rsidRPr="003E3A8D">
              <w:rPr>
                <w:color w:val="000000"/>
                <w:lang w:eastAsia="en-AU"/>
              </w:rPr>
              <w:t>Cobboboonee</w:t>
            </w:r>
            <w:proofErr w:type="spellEnd"/>
            <w:r w:rsidRPr="003E3A8D">
              <w:rPr>
                <w:color w:val="000000"/>
                <w:lang w:eastAsia="en-AU"/>
              </w:rPr>
              <w:t xml:space="preserve"> NP</w:t>
            </w:r>
          </w:p>
        </w:tc>
        <w:tc>
          <w:tcPr>
            <w:tcW w:w="587" w:type="pct"/>
            <w:tcBorders>
              <w:bottom w:val="single" w:sz="4" w:space="0" w:color="228591"/>
            </w:tcBorders>
            <w:shd w:val="clear" w:color="auto" w:fill="auto"/>
            <w:noWrap/>
            <w:vAlign w:val="center"/>
            <w:hideMark/>
          </w:tcPr>
          <w:p w:rsidR="00C866BC" w:rsidRPr="003E3A8D" w:rsidRDefault="00C866BC" w:rsidP="006850F1">
            <w:pPr>
              <w:jc w:val="center"/>
              <w:rPr>
                <w:b/>
                <w:bCs/>
                <w:color w:val="000000"/>
                <w:szCs w:val="28"/>
                <w:lang w:eastAsia="en-AU"/>
              </w:rPr>
            </w:pPr>
            <w:r w:rsidRPr="003E3A8D">
              <w:rPr>
                <w:color w:val="000000"/>
                <w:lang w:eastAsia="en-AU"/>
              </w:rPr>
              <w:t>16</w:t>
            </w:r>
          </w:p>
        </w:tc>
        <w:tc>
          <w:tcPr>
            <w:tcW w:w="1985" w:type="pct"/>
            <w:tcBorders>
              <w:bottom w:val="single" w:sz="4" w:space="0" w:color="228591"/>
            </w:tcBorders>
            <w:shd w:val="clear" w:color="auto" w:fill="auto"/>
            <w:noWrap/>
            <w:vAlign w:val="center"/>
            <w:hideMark/>
          </w:tcPr>
          <w:p w:rsidR="00C866BC" w:rsidRPr="003E3A8D" w:rsidRDefault="00C866BC">
            <w:pPr>
              <w:rPr>
                <w:color w:val="000000"/>
                <w:lang w:eastAsia="en-AU"/>
              </w:rPr>
            </w:pPr>
            <w:r w:rsidRPr="003E3A8D">
              <w:rPr>
                <w:color w:val="000000"/>
                <w:lang w:eastAsia="en-AU"/>
              </w:rPr>
              <w:t>Lowland Forest (in mosaic)</w:t>
            </w:r>
          </w:p>
        </w:tc>
      </w:tr>
    </w:tbl>
    <w:p w:rsidR="00C866BC" w:rsidRDefault="00C866BC" w:rsidP="00C866BC"/>
    <w:p w:rsidR="00C866BC" w:rsidRPr="00B75952" w:rsidRDefault="00C866BC" w:rsidP="00576C1D">
      <w:pPr>
        <w:pStyle w:val="ARIERHD"/>
      </w:pPr>
      <w:r w:rsidRPr="00881BF9">
        <w:t>Koala surveys</w:t>
      </w:r>
      <w:r w:rsidR="00A144B6">
        <w:t>—</w:t>
      </w:r>
      <w:r w:rsidRPr="00881BF9">
        <w:t>additional sites</w:t>
      </w:r>
    </w:p>
    <w:p w:rsidR="00C866BC" w:rsidRPr="004634A8" w:rsidRDefault="00C866BC" w:rsidP="00F6205D">
      <w:pPr>
        <w:pStyle w:val="ARIERBody"/>
      </w:pPr>
      <w:r w:rsidRPr="004634A8">
        <w:t xml:space="preserve">Surveys for </w:t>
      </w:r>
      <w:r w:rsidR="005574FB">
        <w:t>Koala</w:t>
      </w:r>
      <w:r w:rsidRPr="004634A8">
        <w:t xml:space="preserve">s </w:t>
      </w:r>
      <w:r>
        <w:t>followed</w:t>
      </w:r>
      <w:r w:rsidRPr="004634A8">
        <w:t xml:space="preserve"> the double-count method used at Mount Eccles National Park </w:t>
      </w:r>
      <w:r w:rsidRPr="004634A8">
        <w:fldChar w:fldCharType="begin"/>
      </w:r>
      <w:r w:rsidRPr="004634A8">
        <w:instrText xml:space="preserve"> ADDIN EN.CITE &lt;EndNote&gt;&lt;Cite&gt;&lt;Author&gt;Wood&lt;/Author&gt;&lt;Year&gt;2013&lt;/Year&gt;&lt;RecNum&gt;2167&lt;/RecNum&gt;&lt;DisplayText&gt;(Wood 2013)&lt;/DisplayText&gt;&lt;record&gt;&lt;rec-number&gt;2167&lt;/rec-number&gt;&lt;foreign-keys&gt;&lt;key app="EN" db-id="xeztefva5ww22sezaeapxv5s5xw2tsvv2p9p"&gt;2167&lt;/key&gt;&lt;/foreign-keys&gt;&lt;ref-type name="Report"&gt;27&lt;/ref-type&gt;&lt;contributors&gt;&lt;authors&gt;&lt;author&gt;Wood, M.&lt;/author&gt;&lt;/authors&gt;&lt;/contributors&gt;&lt;titles&gt;&lt;title&gt;Mount Eccles National Park Koala Population Survey August 2013&lt;/title&gt;&lt;/titles&gt;&lt;dates&gt;&lt;year&gt;2013&lt;/year&gt;&lt;/dates&gt;&lt;publisher&gt;Report to Parks Victoria, Australian Ecological Research Services&lt;/publisher&gt;&lt;urls&gt;&lt;/urls&gt;&lt;/record&gt;&lt;/Cite&gt;&lt;/EndNote&gt;</w:instrText>
      </w:r>
      <w:r w:rsidRPr="004634A8">
        <w:fldChar w:fldCharType="separate"/>
      </w:r>
      <w:r w:rsidRPr="004634A8">
        <w:t>(</w:t>
      </w:r>
      <w:hyperlink w:anchor="_ENREF_18" w:tooltip="Wood, 2013 #2167" w:history="1">
        <w:r w:rsidRPr="004634A8">
          <w:t>Wood 2013</w:t>
        </w:r>
      </w:hyperlink>
      <w:r w:rsidR="00F66002">
        <w:t>b</w:t>
      </w:r>
      <w:r w:rsidRPr="004634A8">
        <w:t>)</w:t>
      </w:r>
      <w:r w:rsidRPr="004634A8">
        <w:fldChar w:fldCharType="end"/>
      </w:r>
      <w:r w:rsidRPr="004634A8">
        <w:t xml:space="preserve"> and other locations, to ensure that the resultant data were compatible with previous surveys.</w:t>
      </w:r>
    </w:p>
    <w:p w:rsidR="00C866BC" w:rsidRPr="004634A8" w:rsidRDefault="00C866BC" w:rsidP="00F6205D">
      <w:pPr>
        <w:pStyle w:val="ARIERBody"/>
      </w:pPr>
      <w:r w:rsidRPr="004634A8">
        <w:t>Each transect, 300 m long, was established using the predetermined GPS waypoint and orientation.</w:t>
      </w:r>
      <w:r w:rsidR="00285836">
        <w:t xml:space="preserve"> </w:t>
      </w:r>
      <w:r w:rsidRPr="004634A8">
        <w:t xml:space="preserve">The centre line was navigated using a compass, and temporarily marked </w:t>
      </w:r>
      <w:r w:rsidR="00B13C38">
        <w:t>with</w:t>
      </w:r>
      <w:r w:rsidR="00B13C38" w:rsidRPr="004634A8">
        <w:t xml:space="preserve"> </w:t>
      </w:r>
      <w:r w:rsidRPr="004634A8">
        <w:t>measuring tapes (3 x 100 m long).</w:t>
      </w:r>
      <w:r w:rsidR="00285836">
        <w:t xml:space="preserve"> </w:t>
      </w:r>
      <w:r w:rsidRPr="004634A8">
        <w:lastRenderedPageBreak/>
        <w:t xml:space="preserve">Koalas were surveyed </w:t>
      </w:r>
      <w:r w:rsidR="00B13C38">
        <w:t>(</w:t>
      </w:r>
      <w:r w:rsidRPr="004634A8">
        <w:t xml:space="preserve">using the </w:t>
      </w:r>
      <w:r w:rsidR="00B13C38" w:rsidRPr="004634A8">
        <w:t>double</w:t>
      </w:r>
      <w:r w:rsidR="00B13C38">
        <w:t>-</w:t>
      </w:r>
      <w:r w:rsidRPr="004634A8">
        <w:t>count technique</w:t>
      </w:r>
      <w:r w:rsidR="00B13C38">
        <w:t>)</w:t>
      </w:r>
      <w:r w:rsidR="00B13C38" w:rsidRPr="004634A8">
        <w:t xml:space="preserve"> </w:t>
      </w:r>
      <w:r w:rsidRPr="004634A8">
        <w:t xml:space="preserve">by two independent observers commencing </w:t>
      </w:r>
      <w:r w:rsidR="00B13C38" w:rsidRPr="004634A8">
        <w:t>10</w:t>
      </w:r>
      <w:r w:rsidR="00B13C38">
        <w:t> </w:t>
      </w:r>
      <w:r w:rsidRPr="004634A8">
        <w:t>min apart</w:t>
      </w:r>
      <w:r>
        <w:t xml:space="preserve"> </w:t>
      </w:r>
      <w:r>
        <w:fldChar w:fldCharType="begin"/>
      </w:r>
      <w:r>
        <w:instrText xml:space="preserve"> ADDIN ZOTERO_ITEM CSL_CITATION {"citationID":"j7eqt5f40","properties":{"formattedCitation":"(Caughley and Sinclair 1994)","plainCitation":"(Caughley and Sinclair 1994)"},"citationItems":[{"id":2756,"uris":["http://zotero.org/users/634364/items/JK9V66F9"],"uri":["http://zotero.org/users/634364/items/JK9V66F9"],"itemData":{"id":2756,"type":"book","title":"Wildlife ecology and management","publisher":"Blackwell Scientific Publications","publisher-place":"Cambridge, MS","event-place":"Cambridge, MS","author":[{"family":"Caughley","given":"G."},{"family":"Sinclair","given":"A. R. E."}],"issued":{"date-parts":[["1994"]]}}}],"schema":"https://github.com/citation-style-language/schema/raw/master/csl-citation.json"} </w:instrText>
      </w:r>
      <w:r>
        <w:fldChar w:fldCharType="separate"/>
      </w:r>
      <w:r w:rsidRPr="00FB15BE">
        <w:t>(Caughley and Sinclair 1994)</w:t>
      </w:r>
      <w:r>
        <w:fldChar w:fldCharType="end"/>
      </w:r>
      <w:r w:rsidRPr="004634A8">
        <w:t>.</w:t>
      </w:r>
      <w:r w:rsidR="00285836">
        <w:t xml:space="preserve"> </w:t>
      </w:r>
      <w:r w:rsidRPr="004634A8">
        <w:t xml:space="preserve">Walking along the transect, each observer recorded all </w:t>
      </w:r>
      <w:r w:rsidR="005574FB">
        <w:t>Koala</w:t>
      </w:r>
      <w:r w:rsidRPr="004634A8">
        <w:t>s seen within 25 m either side of the transect line (</w:t>
      </w:r>
      <w:r>
        <w:t>see field data sheet, Appendix 3</w:t>
      </w:r>
      <w:r w:rsidRPr="004634A8">
        <w:t>).</w:t>
      </w:r>
      <w:r w:rsidR="00285836">
        <w:t xml:space="preserve"> </w:t>
      </w:r>
      <w:r w:rsidRPr="004634A8">
        <w:t xml:space="preserve">If </w:t>
      </w:r>
      <w:r w:rsidR="005574FB">
        <w:t>Koala</w:t>
      </w:r>
      <w:r w:rsidRPr="004634A8">
        <w:t>s were scarce, but individuals were seen further from (and perpendicular to) the transect, they were included in the count data.</w:t>
      </w:r>
      <w:r w:rsidR="00285836">
        <w:t xml:space="preserve"> </w:t>
      </w:r>
      <w:r w:rsidRPr="004634A8">
        <w:t xml:space="preserve">The perpendicular distance from the transect centre line to the tree containing the </w:t>
      </w:r>
      <w:r w:rsidR="005574FB">
        <w:t>Koala</w:t>
      </w:r>
      <w:r w:rsidRPr="004634A8">
        <w:t xml:space="preserve"> was confirmed using a laser rangefinder (Bushnell 500 or Bushnell 1000), and notes were made of the distance along the transect, side of transect (left or right), tree species being used, approximate height of </w:t>
      </w:r>
      <w:r w:rsidR="005574FB">
        <w:t>Koala</w:t>
      </w:r>
      <w:r w:rsidRPr="004634A8">
        <w:t xml:space="preserve"> in tree, and presence of </w:t>
      </w:r>
      <w:r w:rsidR="00911655" w:rsidRPr="004634A8">
        <w:t>back</w:t>
      </w:r>
      <w:r w:rsidR="00911655">
        <w:t>-</w:t>
      </w:r>
      <w:r w:rsidRPr="004634A8">
        <w:t>young.</w:t>
      </w:r>
      <w:r w:rsidR="00285836">
        <w:t xml:space="preserve"> </w:t>
      </w:r>
      <w:r w:rsidRPr="004634A8">
        <w:t xml:space="preserve">When </w:t>
      </w:r>
      <w:r w:rsidR="005574FB">
        <w:t>Koala</w:t>
      </w:r>
      <w:r w:rsidRPr="004634A8">
        <w:t xml:space="preserve">s were further than 25 m from the transect, </w:t>
      </w:r>
      <w:r w:rsidR="00911655" w:rsidRPr="004634A8">
        <w:t>th</w:t>
      </w:r>
      <w:r w:rsidR="00911655">
        <w:t>at was</w:t>
      </w:r>
      <w:r w:rsidRPr="004634A8">
        <w:t xml:space="preserve"> clearly indicated by a </w:t>
      </w:r>
      <w:r w:rsidR="00911655">
        <w:t>‘</w:t>
      </w:r>
      <w:r w:rsidRPr="004634A8">
        <w:t>Y</w:t>
      </w:r>
      <w:r w:rsidR="00911655">
        <w:t>’</w:t>
      </w:r>
      <w:r w:rsidRPr="004634A8">
        <w:t xml:space="preserve"> in the appropriate column of the field data sheet.</w:t>
      </w:r>
    </w:p>
    <w:p w:rsidR="00C866BC" w:rsidRPr="004634A8" w:rsidRDefault="00C866BC" w:rsidP="00F6205D">
      <w:pPr>
        <w:pStyle w:val="ARIERBody"/>
      </w:pPr>
      <w:r w:rsidRPr="004634A8">
        <w:t xml:space="preserve">Upon completion of </w:t>
      </w:r>
      <w:r>
        <w:t>each</w:t>
      </w:r>
      <w:r w:rsidRPr="004634A8">
        <w:t xml:space="preserve"> survey</w:t>
      </w:r>
      <w:r w:rsidR="004F066F">
        <w:t>,</w:t>
      </w:r>
      <w:r w:rsidRPr="004634A8">
        <w:t xml:space="preserve"> the observers compared their data to determine </w:t>
      </w:r>
      <w:r w:rsidR="005574FB">
        <w:t>Koala</w:t>
      </w:r>
      <w:r w:rsidRPr="004634A8">
        <w:t>s missed by either observer (noting this on the data sheet), and observations were double-checked as necessary.</w:t>
      </w:r>
      <w:r w:rsidR="00285836">
        <w:t xml:space="preserve"> </w:t>
      </w:r>
      <w:r w:rsidRPr="004634A8">
        <w:t>All data were entered into an Access™ database.</w:t>
      </w:r>
      <w:r w:rsidR="00285836">
        <w:t xml:space="preserve"> </w:t>
      </w:r>
      <w:r w:rsidRPr="004634A8">
        <w:t xml:space="preserve">The number of </w:t>
      </w:r>
      <w:r w:rsidR="005574FB">
        <w:t>Koala</w:t>
      </w:r>
      <w:r w:rsidRPr="004634A8">
        <w:t xml:space="preserve">s in each replicate plot and the resultant </w:t>
      </w:r>
      <w:r w:rsidR="005574FB">
        <w:t>Koala</w:t>
      </w:r>
      <w:r w:rsidRPr="004634A8">
        <w:t xml:space="preserve"> population density were later calculated using the </w:t>
      </w:r>
      <w:r>
        <w:t>estimator</w:t>
      </w:r>
      <w:r w:rsidRPr="004634A8">
        <w:t xml:space="preserve"> </w:t>
      </w:r>
      <w:r w:rsidR="004F066F">
        <w:t xml:space="preserve">described </w:t>
      </w:r>
      <w:r w:rsidRPr="004634A8">
        <w:t xml:space="preserve">in </w:t>
      </w:r>
      <w:proofErr w:type="spellStart"/>
      <w:r w:rsidRPr="004634A8">
        <w:t>Caughley</w:t>
      </w:r>
      <w:proofErr w:type="spellEnd"/>
      <w:r w:rsidRPr="004634A8">
        <w:t xml:space="preserve"> and Sinclair (1994).</w:t>
      </w:r>
    </w:p>
    <w:p w:rsidR="00C866BC" w:rsidRPr="00B75952" w:rsidRDefault="00C866BC" w:rsidP="00576C1D">
      <w:pPr>
        <w:pStyle w:val="ARIERHD"/>
      </w:pPr>
      <w:r w:rsidRPr="00881BF9">
        <w:t>Tree condition assessment</w:t>
      </w:r>
      <w:r w:rsidR="00A144B6">
        <w:t>—</w:t>
      </w:r>
      <w:r w:rsidRPr="00881BF9">
        <w:t>additional sites</w:t>
      </w:r>
    </w:p>
    <w:p w:rsidR="00C866BC" w:rsidRPr="004634A8" w:rsidRDefault="00C866BC" w:rsidP="00F6205D">
      <w:pPr>
        <w:pStyle w:val="ARIERBody"/>
      </w:pPr>
      <w:r w:rsidRPr="004634A8">
        <w:t xml:space="preserve">Surveys for canopy condition were undertaken as per the point centre quarter sampling </w:t>
      </w:r>
      <w:r w:rsidR="004F066F">
        <w:t xml:space="preserve">technique </w:t>
      </w:r>
      <w:r w:rsidRPr="004634A8">
        <w:t xml:space="preserve">used at Mt Eccles National Park </w:t>
      </w:r>
      <w:r>
        <w:fldChar w:fldCharType="begin"/>
      </w:r>
      <w:r>
        <w:instrText xml:space="preserve"> ADDIN ZOTERO_ITEM CSL_CITATION {"citationID":"332atak13","properties":{"formattedCitation":"(Wood 2008)","plainCitation":"(Wood 2008)"},"citationItems":[{"id":1112,"uris":["http://zotero.org/users/634364/items/KT346PBG"],"uri":["http://zotero.org/users/634364/items/KT346PBG"],"itemData":{"id":1112,"type":"report","title":"Mount Eccles National Park Manna Gum Condition Assessment August 2008","publisher":"Australian Ecological Research Services","publisher-place":"Portland, Victoria","page":"49","event-place":"Portland, Victoria","number":"Unpublished report to Parks Victoria","author":[{"family":"Wood","given":"M"}],"issued":{"date-parts":[["2008"]]}}}],"schema":"https://github.com/citation-style-language/schema/raw/master/csl-citation.json"} </w:instrText>
      </w:r>
      <w:r>
        <w:fldChar w:fldCharType="separate"/>
      </w:r>
      <w:r w:rsidRPr="008D760C">
        <w:t>(Wood 2008)</w:t>
      </w:r>
      <w:r>
        <w:fldChar w:fldCharType="end"/>
      </w:r>
      <w:r w:rsidRPr="004634A8">
        <w:t xml:space="preserve"> and other locations, to ensure that the resultant data were compatible with previous surveys.</w:t>
      </w:r>
    </w:p>
    <w:p w:rsidR="00C866BC" w:rsidRDefault="00C866BC" w:rsidP="00F6205D">
      <w:pPr>
        <w:pStyle w:val="ARIERBody"/>
      </w:pPr>
      <w:r w:rsidRPr="004634A8">
        <w:t xml:space="preserve">At each 50 m </w:t>
      </w:r>
      <w:r>
        <w:t>interval</w:t>
      </w:r>
      <w:r w:rsidRPr="004634A8">
        <w:t xml:space="preserve"> along the 300 m transect (</w:t>
      </w:r>
      <w:r w:rsidR="00A74DB0" w:rsidRPr="00985524">
        <w:rPr>
          <w:i/>
        </w:rPr>
        <w:t>n</w:t>
      </w:r>
      <w:r w:rsidR="00A74DB0" w:rsidRPr="004634A8">
        <w:t xml:space="preserve"> = 7 survey points</w:t>
      </w:r>
      <w:r w:rsidR="00A74DB0">
        <w:t>, including the start point</w:t>
      </w:r>
      <w:r w:rsidRPr="004634A8">
        <w:t>), the closest mature and live eucalypt (DBH ≥10 cm) within each of the four compass quadrants (north-east, south-east, south-west</w:t>
      </w:r>
      <w:r w:rsidR="00A74DB0">
        <w:t xml:space="preserve"> and</w:t>
      </w:r>
      <w:r w:rsidR="00A74DB0" w:rsidRPr="004634A8">
        <w:t xml:space="preserve"> </w:t>
      </w:r>
      <w:r w:rsidRPr="004634A8">
        <w:t>north-west) was selected (</w:t>
      </w:r>
      <w:r w:rsidR="00A74DB0">
        <w:t>i.e.</w:t>
      </w:r>
      <w:r w:rsidR="00A74DB0" w:rsidRPr="004634A8">
        <w:t xml:space="preserve"> </w:t>
      </w:r>
      <w:r w:rsidRPr="004634A8">
        <w:t>28 trees per transect).</w:t>
      </w:r>
      <w:r w:rsidR="00285836">
        <w:t xml:space="preserve"> </w:t>
      </w:r>
      <w:r w:rsidRPr="004634A8">
        <w:t xml:space="preserve">For each tree, </w:t>
      </w:r>
      <w:r w:rsidR="00A74DB0">
        <w:t xml:space="preserve">the </w:t>
      </w:r>
      <w:r w:rsidRPr="004634A8">
        <w:t>observers recorded the species of eucalypt, distance from the transect survey point, DBH of each stem ≥10 cm, and canopy radius (average of four directions) (see field data sheet, Appendix 2).</w:t>
      </w:r>
      <w:r w:rsidR="00285836">
        <w:t xml:space="preserve"> </w:t>
      </w:r>
      <w:r w:rsidRPr="004634A8">
        <w:t xml:space="preserve">The </w:t>
      </w:r>
      <w:r w:rsidR="00D57DAF">
        <w:t>PFC</w:t>
      </w:r>
      <w:r w:rsidRPr="004634A8">
        <w:t xml:space="preserve"> of the canopy was estimated to </w:t>
      </w:r>
      <w:r w:rsidRPr="006850F1">
        <w:t xml:space="preserve">the nearest 5% using reference photographs </w:t>
      </w:r>
      <w:r w:rsidRPr="006850F1">
        <w:fldChar w:fldCharType="begin"/>
      </w:r>
      <w:r w:rsidRPr="006850F1">
        <w:instrText xml:space="preserve"> ADDIN EN.CITE &lt;EndNote&gt;&lt;Cite&gt;&lt;Author&gt;McDonald&lt;/Author&gt;&lt;Year&gt;1984&lt;/Year&gt;&lt;RecNum&gt;1636&lt;/RecNum&gt;&lt;DisplayText&gt;(McDonald&lt;style face="italic"&gt; et al.&lt;/style&gt; 1984)&lt;/DisplayText&gt;&lt;record&gt;&lt;rec-number&gt;1636&lt;/rec-number&gt;&lt;foreign-keys&gt;&lt;key app="EN" db-id="xeztefva5ww22sezaeapxv5s5xw2tsvv2p9p"&gt;1636&lt;/key&gt;&lt;/foreign-keys&gt;&lt;ref-type name="Book"&gt;6&lt;/ref-type&gt;&lt;contributors&gt;&lt;authors&gt;&lt;author&gt;McDonald, R. C.&lt;/author&gt;&lt;author&gt;Isbell, R. F.&lt;/author&gt;&lt;author&gt;Speight, J. G.&lt;/author&gt;&lt;author&gt;Walker, J.&lt;/author&gt;&lt;author&gt;Hopkins, M. S.&lt;/author&gt;&lt;/authors&gt;&lt;/contributors&gt;&lt;titles&gt;&lt;title&gt;Australian Soil and Land Survey Field Handbook&lt;/title&gt;&lt;/titles&gt;&lt;dates&gt;&lt;year&gt;1984&lt;/year&gt;&lt;/dates&gt;&lt;pub-location&gt;Melbourne&lt;/pub-location&gt;&lt;publisher&gt;Inkata Press&lt;/publisher&gt;&lt;urls&gt;&lt;/urls&gt;&lt;/record&gt;&lt;/Cite&gt;&lt;/EndNote&gt;</w:instrText>
      </w:r>
      <w:r w:rsidRPr="006850F1">
        <w:fldChar w:fldCharType="separate"/>
      </w:r>
      <w:r w:rsidRPr="006850F1">
        <w:rPr>
          <w:noProof/>
        </w:rPr>
        <w:t>(</w:t>
      </w:r>
      <w:hyperlink w:anchor="_ENREF_11" w:tooltip="McDonald, 1984 #1636" w:history="1">
        <w:r w:rsidRPr="006850F1">
          <w:rPr>
            <w:noProof/>
          </w:rPr>
          <w:t>McDonald et al. 1984</w:t>
        </w:r>
      </w:hyperlink>
      <w:r w:rsidRPr="006850F1">
        <w:rPr>
          <w:noProof/>
        </w:rPr>
        <w:t>)</w:t>
      </w:r>
      <w:r w:rsidRPr="006850F1">
        <w:fldChar w:fldCharType="end"/>
      </w:r>
      <w:r w:rsidRPr="006850F1">
        <w:t>, and the defoliation class (</w:t>
      </w:r>
      <w:r w:rsidR="00A74DB0">
        <w:t>nine</w:t>
      </w:r>
      <w:r w:rsidR="00A74DB0" w:rsidRPr="006850F1">
        <w:t xml:space="preserve"> </w:t>
      </w:r>
      <w:r w:rsidRPr="006850F1">
        <w:t xml:space="preserve">classes, </w:t>
      </w:r>
      <w:r w:rsidR="00A74DB0">
        <w:t>–</w:t>
      </w:r>
      <w:r w:rsidRPr="006850F1">
        <w:t>1</w:t>
      </w:r>
      <w:r w:rsidRPr="004634A8">
        <w:t xml:space="preserve"> to 7) was also estimated using reference photographs (Kelly 2000, cited in Wood 2</w:t>
      </w:r>
      <w:r>
        <w:t>008).</w:t>
      </w:r>
      <w:r w:rsidR="00285836">
        <w:t xml:space="preserve"> </w:t>
      </w:r>
      <w:r>
        <w:t>For private land sites (translocation trial donor sites), t</w:t>
      </w:r>
      <w:r w:rsidRPr="004634A8">
        <w:t xml:space="preserve">he GPS location (GDA94, Zone 54) of each survey point was recorded to facilitate future </w:t>
      </w:r>
      <w:r>
        <w:t>monitoring</w:t>
      </w:r>
      <w:r w:rsidRPr="004634A8">
        <w:t>.</w:t>
      </w:r>
      <w:r w:rsidR="00285836">
        <w:t xml:space="preserve"> </w:t>
      </w:r>
      <w:r w:rsidRPr="004634A8">
        <w:t>All data were entered into an Access™ database, and estimates of live tree density and leaf area per hectare for each tree species were later calculated as per Wood (200</w:t>
      </w:r>
      <w:r>
        <w:t>8</w:t>
      </w:r>
      <w:r w:rsidRPr="004634A8">
        <w:t>).</w:t>
      </w:r>
    </w:p>
    <w:p w:rsidR="00285836" w:rsidRDefault="00C866BC" w:rsidP="00576C1D">
      <w:pPr>
        <w:pStyle w:val="ARIERHD"/>
      </w:pPr>
      <w:r>
        <w:t>Other survey data</w:t>
      </w:r>
    </w:p>
    <w:p w:rsidR="00285836" w:rsidRDefault="00C866BC" w:rsidP="00F6205D">
      <w:pPr>
        <w:pStyle w:val="ARIERBody"/>
      </w:pPr>
      <w:r>
        <w:t xml:space="preserve">In addition to the 15 sites surveyed above, we </w:t>
      </w:r>
      <w:r w:rsidR="00A74DB0">
        <w:t xml:space="preserve">included </w:t>
      </w:r>
      <w:r>
        <w:t xml:space="preserve">data from three other sources </w:t>
      </w:r>
      <w:r w:rsidR="00A74DB0">
        <w:t>(</w:t>
      </w:r>
      <w:r>
        <w:t xml:space="preserve">collected </w:t>
      </w:r>
      <w:r w:rsidR="00A74DB0">
        <w:t xml:space="preserve">using </w:t>
      </w:r>
      <w:r>
        <w:t xml:space="preserve">similar </w:t>
      </w:r>
      <w:r w:rsidR="00A74DB0">
        <w:t>techniques)</w:t>
      </w:r>
      <w:r>
        <w:t>.</w:t>
      </w:r>
      <w:r w:rsidR="00285836">
        <w:t xml:space="preserve"> </w:t>
      </w:r>
      <w:r>
        <w:t>These data sources were</w:t>
      </w:r>
      <w:r w:rsidR="00A74DB0">
        <w:t>:</w:t>
      </w:r>
    </w:p>
    <w:p w:rsidR="00C866BC" w:rsidRDefault="00F6205D" w:rsidP="00AA27C1">
      <w:pPr>
        <w:pStyle w:val="ARIERBody"/>
        <w:ind w:left="426" w:hanging="426"/>
      </w:pPr>
      <w:r>
        <w:t>1.</w:t>
      </w:r>
      <w:r w:rsidR="00AA27C1">
        <w:tab/>
      </w:r>
      <w:proofErr w:type="spellStart"/>
      <w:r w:rsidR="00C866BC">
        <w:t>Gunditj</w:t>
      </w:r>
      <w:proofErr w:type="spellEnd"/>
      <w:r w:rsidR="00C866BC">
        <w:t xml:space="preserve"> </w:t>
      </w:r>
      <w:proofErr w:type="spellStart"/>
      <w:r w:rsidR="00C866BC">
        <w:t>Mirring</w:t>
      </w:r>
      <w:proofErr w:type="spellEnd"/>
      <w:r w:rsidR="00C866BC">
        <w:t xml:space="preserve"> Indigenous Protected Areas near Mt Eccles </w:t>
      </w:r>
      <w:r w:rsidR="00C866BC" w:rsidRPr="009636E2">
        <w:fldChar w:fldCharType="begin"/>
      </w:r>
      <w:r w:rsidR="00C866BC" w:rsidRPr="009636E2">
        <w:instrText xml:space="preserve"> ADDIN EN.CITE &lt;EndNote&gt;&lt;Cite&gt;&lt;Author&gt;AERS&lt;/Author&gt;&lt;Year&gt;2013&lt;/Year&gt;&lt;RecNum&gt;2097&lt;/RecNum&gt;&lt;DisplayText&gt;(AERS 2013)&lt;/DisplayText&gt;&lt;record&gt;&lt;rec-number&gt;2097&lt;/rec-number&gt;&lt;foreign-keys&gt;&lt;key app="EN" db-id="xeztefva5ww22sezaeapxv5s5xw2tsvv2p9p"&gt;2097&lt;/key&gt;&lt;/foreign-keys&gt;&lt;ref-type name="Report"&gt;27&lt;/ref-type&gt;&lt;contributors&gt;&lt;authors&gt;&lt;author&gt;AERS&lt;/author&gt;&lt;/authors&gt;&lt;/contributors&gt;&lt;titles&gt;&lt;title&gt;Manna Gum Condition and Koala Density Within Gunditj Mirring Indigenous Protected Areas, South West Victoria&lt;/title&gt;&lt;/titles&gt;&lt;dates&gt;&lt;year&gt;2013&lt;/year&gt;&lt;/dates&gt;&lt;publisher&gt;Report to Gunditj Mirring Traditional Owners Aboriginal Corporation and Parks Victoria by Australian Ecological Research Services&lt;/publisher&gt;&lt;urls&gt;&lt;/urls&gt;&lt;/record&gt;&lt;/Cite&gt;&lt;/EndNote&gt;</w:instrText>
      </w:r>
      <w:r w:rsidR="00C866BC" w:rsidRPr="009636E2">
        <w:fldChar w:fldCharType="separate"/>
      </w:r>
      <w:r w:rsidR="00C866BC" w:rsidRPr="009636E2">
        <w:t>(</w:t>
      </w:r>
      <w:r w:rsidR="00C866BC">
        <w:t>Wood</w:t>
      </w:r>
      <w:r w:rsidR="00C866BC" w:rsidRPr="009636E2">
        <w:fldChar w:fldCharType="end"/>
      </w:r>
      <w:r w:rsidR="00C866BC">
        <w:t xml:space="preserve"> 2013</w:t>
      </w:r>
      <w:r w:rsidR="00712027">
        <w:t>a</w:t>
      </w:r>
      <w:r w:rsidR="00C866BC">
        <w:t>)</w:t>
      </w:r>
      <w:r w:rsidR="00A74DB0">
        <w:t xml:space="preserve"> – f</w:t>
      </w:r>
      <w:r w:rsidR="00C866BC">
        <w:t>our freehold properties containing a total of 18 plots</w:t>
      </w:r>
      <w:r w:rsidR="00A74DB0">
        <w:t>,</w:t>
      </w:r>
      <w:r w:rsidR="00C866BC">
        <w:t xml:space="preserve"> with </w:t>
      </w:r>
      <w:r w:rsidR="005574FB">
        <w:t>Koala</w:t>
      </w:r>
      <w:r w:rsidR="00C866BC">
        <w:t xml:space="preserve"> densities ranging from 0.5 to 3.0 </w:t>
      </w:r>
      <w:r w:rsidR="005574FB">
        <w:t>Koala</w:t>
      </w:r>
      <w:r w:rsidR="00C866BC">
        <w:t xml:space="preserve">s/ha, </w:t>
      </w:r>
      <w:r w:rsidR="00C866BC" w:rsidRPr="009636E2">
        <w:t>monitored by Australian Ecological Services</w:t>
      </w:r>
      <w:r w:rsidR="00C866BC">
        <w:t>.</w:t>
      </w:r>
    </w:p>
    <w:p w:rsidR="00C866BC" w:rsidRDefault="00F6205D" w:rsidP="00AA27C1">
      <w:pPr>
        <w:pStyle w:val="ARIERBody"/>
        <w:ind w:left="426" w:hanging="426"/>
      </w:pPr>
      <w:r>
        <w:t>2.</w:t>
      </w:r>
      <w:r w:rsidR="00AA27C1">
        <w:tab/>
      </w:r>
      <w:r w:rsidR="00C866BC">
        <w:t xml:space="preserve">Cape Otway National Park </w:t>
      </w:r>
      <w:r w:rsidR="00C866BC">
        <w:fldChar w:fldCharType="begin"/>
      </w:r>
      <w:r w:rsidR="00C866BC">
        <w:instrText xml:space="preserve"> ADDIN ZOTERO_ITEM CSL_CITATION {"citationID":"1e5oi07qdc","properties":{"formattedCitation":"(Gibson and Thomas 2012)","plainCitation":"(Gibson and Thomas 2012)"},"citationItems":[{"id":5243,"uris":["http://zotero.org/users/634364/items/NW7RDBVG"],"uri":["http://zotero.org/users/634364/items/NW7RDBVG"],"itemData":{"id":5243,"type":"report","title":"Great Otway National Park Pilot Koala and Tree Condition Survey","publisher":"BIOSIS Research Pty. Ltd.","publisher-place":"Ballarat","page":"48","event-place":"Ballarat","number":"Report to Parks Victoria","author":[{"family":"Gibson","given":"M"},{"family":"Thomas","given":"G"}],"issued":{"date-parts":[["2012"]]}}}],"schema":"https://github.com/citation-style-language/schema/raw/master/csl-citation.json"} </w:instrText>
      </w:r>
      <w:r w:rsidR="00C866BC">
        <w:fldChar w:fldCharType="separate"/>
      </w:r>
      <w:r w:rsidR="00C866BC" w:rsidRPr="0016394C">
        <w:t>(Gibson and Thomas 2012)</w:t>
      </w:r>
      <w:r w:rsidR="00C866BC">
        <w:fldChar w:fldCharType="end"/>
      </w:r>
      <w:r w:rsidR="00A74DB0">
        <w:t xml:space="preserve"> – f</w:t>
      </w:r>
      <w:r w:rsidR="00C866BC">
        <w:t xml:space="preserve">our sites containing a total of 13 plots, each 1.5 ha, assessed by </w:t>
      </w:r>
      <w:proofErr w:type="spellStart"/>
      <w:r w:rsidR="00C866BC">
        <w:t>Biosis</w:t>
      </w:r>
      <w:proofErr w:type="spellEnd"/>
      <w:r w:rsidR="00C866BC">
        <w:t xml:space="preserve"> Research.</w:t>
      </w:r>
      <w:r w:rsidR="00285836">
        <w:t xml:space="preserve"> </w:t>
      </w:r>
      <w:r w:rsidR="00C866BC">
        <w:t xml:space="preserve">Koala densities ranged from 0.5 to 8 </w:t>
      </w:r>
      <w:r w:rsidR="005574FB">
        <w:t>Koala</w:t>
      </w:r>
      <w:r w:rsidR="00C866BC">
        <w:t>s/ha</w:t>
      </w:r>
      <w:r w:rsidR="00A74DB0">
        <w:t>.</w:t>
      </w:r>
    </w:p>
    <w:p w:rsidR="00285836" w:rsidRDefault="00F6205D" w:rsidP="00AA27C1">
      <w:pPr>
        <w:pStyle w:val="ARIERBody"/>
        <w:ind w:left="426" w:hanging="426"/>
      </w:pPr>
      <w:r>
        <w:t>3.</w:t>
      </w:r>
      <w:r w:rsidR="00AA27C1">
        <w:tab/>
      </w:r>
      <w:r w:rsidR="00C866BC">
        <w:t>Cape Otway Private land (</w:t>
      </w:r>
      <w:proofErr w:type="spellStart"/>
      <w:r w:rsidR="00C866BC">
        <w:t>Whisson</w:t>
      </w:r>
      <w:proofErr w:type="spellEnd"/>
      <w:r w:rsidR="00C866BC">
        <w:t xml:space="preserve"> </w:t>
      </w:r>
      <w:r w:rsidR="00E11C2B">
        <w:t xml:space="preserve">et al. </w:t>
      </w:r>
      <w:r w:rsidR="00C866BC">
        <w:t>2016)</w:t>
      </w:r>
      <w:r w:rsidR="00A74DB0">
        <w:t xml:space="preserve"> – d</w:t>
      </w:r>
      <w:r w:rsidR="00C866BC">
        <w:t xml:space="preserve">ata from several sites in two areas (Bimbi Park and Lighthouse) collected by </w:t>
      </w:r>
      <w:proofErr w:type="spellStart"/>
      <w:r w:rsidR="00C866BC">
        <w:t>Desley</w:t>
      </w:r>
      <w:proofErr w:type="spellEnd"/>
      <w:r w:rsidR="00C866BC">
        <w:t xml:space="preserve"> </w:t>
      </w:r>
      <w:proofErr w:type="spellStart"/>
      <w:r w:rsidR="00C866BC">
        <w:t>Whisson</w:t>
      </w:r>
      <w:proofErr w:type="spellEnd"/>
      <w:r w:rsidR="00C866BC">
        <w:t xml:space="preserve"> (Deakin University) and Alistair Melzer (Central Queensland University) with support from the </w:t>
      </w:r>
      <w:proofErr w:type="spellStart"/>
      <w:r w:rsidR="00C866BC">
        <w:t>Earthwatch</w:t>
      </w:r>
      <w:proofErr w:type="spellEnd"/>
      <w:r w:rsidR="00C866BC">
        <w:t xml:space="preserve"> </w:t>
      </w:r>
      <w:r w:rsidR="00A74DB0">
        <w:t xml:space="preserve">Institute </w:t>
      </w:r>
      <w:r w:rsidR="00C866BC">
        <w:t>during 2008</w:t>
      </w:r>
      <w:r w:rsidR="00F051B7">
        <w:t>–</w:t>
      </w:r>
      <w:r w:rsidR="00C866BC">
        <w:t>2015.</w:t>
      </w:r>
      <w:r w:rsidR="00285836">
        <w:t xml:space="preserve"> </w:t>
      </w:r>
      <w:r w:rsidR="00C866BC">
        <w:t xml:space="preserve">Koala densities ranged from 0.0 to 20 </w:t>
      </w:r>
      <w:r w:rsidR="005574FB">
        <w:t>Koala</w:t>
      </w:r>
      <w:r w:rsidR="00C866BC">
        <w:t>s/ha.</w:t>
      </w:r>
    </w:p>
    <w:p w:rsidR="00C866BC" w:rsidRDefault="00F6205D" w:rsidP="00AA27C1">
      <w:pPr>
        <w:pStyle w:val="ARIERBody"/>
        <w:ind w:left="426" w:hanging="426"/>
      </w:pPr>
      <w:r>
        <w:t>4.</w:t>
      </w:r>
      <w:r w:rsidR="00AA27C1">
        <w:tab/>
      </w:r>
      <w:r w:rsidR="00C866BC">
        <w:t>Cape Otway Private land</w:t>
      </w:r>
      <w:r w:rsidR="00A74DB0">
        <w:t xml:space="preserve"> – d</w:t>
      </w:r>
      <w:r w:rsidR="00C866BC">
        <w:t xml:space="preserve">ata collected in 2015 by the Conservation Ecology Centre (J. Pascoe </w:t>
      </w:r>
      <w:proofErr w:type="spellStart"/>
      <w:r w:rsidR="00A74DB0">
        <w:t>unpubl</w:t>
      </w:r>
      <w:proofErr w:type="spellEnd"/>
      <w:r w:rsidR="00A74DB0">
        <w:t>. data</w:t>
      </w:r>
      <w:r w:rsidR="00C866BC">
        <w:t xml:space="preserve">) from 13 sites in the </w:t>
      </w:r>
      <w:r w:rsidR="00A4160B">
        <w:t>Manna Gum</w:t>
      </w:r>
      <w:r w:rsidR="00C866BC">
        <w:t xml:space="preserve"> woodlands that were heavily impacted by </w:t>
      </w:r>
      <w:r w:rsidR="005574FB">
        <w:t>Koala</w:t>
      </w:r>
      <w:r w:rsidR="00C866BC">
        <w:t>s.</w:t>
      </w:r>
    </w:p>
    <w:p w:rsidR="00C866BC" w:rsidRDefault="00C866BC" w:rsidP="00F6205D">
      <w:pPr>
        <w:pStyle w:val="ARIERBody"/>
      </w:pPr>
      <w:r>
        <w:t xml:space="preserve">Data </w:t>
      </w:r>
      <w:r w:rsidR="00A74DB0">
        <w:t xml:space="preserve">sources 1 and 2 used the same data </w:t>
      </w:r>
      <w:r>
        <w:t xml:space="preserve">collection procedures for canopy measurements and </w:t>
      </w:r>
      <w:r w:rsidR="005574FB">
        <w:t>Koala</w:t>
      </w:r>
      <w:r>
        <w:t xml:space="preserve"> surveys as </w:t>
      </w:r>
      <w:r w:rsidR="00A74DB0">
        <w:t>described above</w:t>
      </w:r>
      <w:r>
        <w:t>.</w:t>
      </w:r>
      <w:r w:rsidR="00285836">
        <w:t xml:space="preserve"> </w:t>
      </w:r>
      <w:r>
        <w:t>Data source 3 used slightly different methods</w:t>
      </w:r>
      <w:r w:rsidR="00A74DB0">
        <w:t>;</w:t>
      </w:r>
      <w:r>
        <w:t xml:space="preserve"> hence, </w:t>
      </w:r>
      <w:r w:rsidR="00A74DB0">
        <w:t xml:space="preserve">those </w:t>
      </w:r>
      <w:r>
        <w:t>data are not strictly comparable</w:t>
      </w:r>
      <w:r w:rsidR="00A74DB0">
        <w:t>. However,</w:t>
      </w:r>
      <w:r>
        <w:t xml:space="preserve"> </w:t>
      </w:r>
      <w:r w:rsidR="00A74DB0">
        <w:t xml:space="preserve">they </w:t>
      </w:r>
      <w:r>
        <w:t xml:space="preserve">are particularly important </w:t>
      </w:r>
      <w:r w:rsidR="00A74DB0">
        <w:t xml:space="preserve">because </w:t>
      </w:r>
      <w:r>
        <w:t xml:space="preserve">they document the status of </w:t>
      </w:r>
      <w:r w:rsidR="005574FB">
        <w:t>Koala</w:t>
      </w:r>
      <w:r>
        <w:t xml:space="preserve"> populations and canopy cover both leading up to and following a collapse in the forest canopy and </w:t>
      </w:r>
      <w:r w:rsidR="00A74DB0">
        <w:t xml:space="preserve">the </w:t>
      </w:r>
      <w:r>
        <w:t xml:space="preserve">subsequent collapse of the </w:t>
      </w:r>
      <w:r w:rsidR="005574FB">
        <w:t>Koala</w:t>
      </w:r>
      <w:r>
        <w:t xml:space="preserve"> population.</w:t>
      </w:r>
      <w:r w:rsidR="00285836">
        <w:t xml:space="preserve"> </w:t>
      </w:r>
      <w:r>
        <w:t xml:space="preserve">Data from source 4 was also not used in the analysis </w:t>
      </w:r>
      <w:r w:rsidR="00A74DB0">
        <w:t xml:space="preserve">because </w:t>
      </w:r>
      <w:r>
        <w:t>individual trees were not assessed</w:t>
      </w:r>
      <w:r w:rsidR="00A74DB0">
        <w:t>;</w:t>
      </w:r>
      <w:r>
        <w:t xml:space="preserve"> hence, the data were not comparable with the other data sources used here.</w:t>
      </w:r>
    </w:p>
    <w:p w:rsidR="00C866BC" w:rsidRDefault="00C866BC" w:rsidP="006850F1">
      <w:pPr>
        <w:pStyle w:val="ARIERHD"/>
        <w:keepNext/>
      </w:pPr>
      <w:r>
        <w:lastRenderedPageBreak/>
        <w:t xml:space="preserve">Canopy defoliation levels in coastal forests subject to </w:t>
      </w:r>
      <w:r w:rsidR="005574FB">
        <w:t>Koala</w:t>
      </w:r>
      <w:r>
        <w:t xml:space="preserve"> browsing</w:t>
      </w:r>
    </w:p>
    <w:p w:rsidR="00C866BC" w:rsidRDefault="00C866BC" w:rsidP="00F6205D">
      <w:pPr>
        <w:pStyle w:val="ARIERBody"/>
      </w:pPr>
      <w:r>
        <w:t xml:space="preserve">We estimated the levels of canopy defoliation for </w:t>
      </w:r>
      <w:r w:rsidR="00A74DB0">
        <w:t xml:space="preserve">various </w:t>
      </w:r>
      <w:r>
        <w:t xml:space="preserve">eucalypt species </w:t>
      </w:r>
      <w:r w:rsidR="00A74DB0">
        <w:t xml:space="preserve">at </w:t>
      </w:r>
      <w:r>
        <w:t>the 15 sites sampled in Table</w:t>
      </w:r>
      <w:r w:rsidR="00294F19">
        <w:t> </w:t>
      </w:r>
      <w:r w:rsidR="00A74DB0">
        <w:t>2,</w:t>
      </w:r>
      <w:r>
        <w:t xml:space="preserve"> as well as from the data in sources 1 &amp; 2 above</w:t>
      </w:r>
      <w:r w:rsidR="00A74DB0">
        <w:t>,</w:t>
      </w:r>
      <w:r>
        <w:t xml:space="preserve"> by calculating the proportion of </w:t>
      </w:r>
      <w:r w:rsidR="00A96C0F">
        <w:t>trees</w:t>
      </w:r>
      <w:r>
        <w:t xml:space="preserve"> categorised as below the foliar cover threshold (as determined above).</w:t>
      </w:r>
      <w:r w:rsidR="00285836">
        <w:t xml:space="preserve"> </w:t>
      </w:r>
      <w:r>
        <w:t xml:space="preserve">Each site was also classified according to whether it was dominated by </w:t>
      </w:r>
      <w:r w:rsidR="00A4160B">
        <w:t>Manna Gum</w:t>
      </w:r>
      <w:r>
        <w:t xml:space="preserve">, without </w:t>
      </w:r>
      <w:r w:rsidR="00A4160B">
        <w:t>Manna Gum</w:t>
      </w:r>
      <w:r w:rsidR="00A74DB0">
        <w:t>,</w:t>
      </w:r>
      <w:r>
        <w:t xml:space="preserve"> or had </w:t>
      </w:r>
      <w:r w:rsidR="00A96C0F">
        <w:t>some</w:t>
      </w:r>
      <w:r>
        <w:t xml:space="preserve"> </w:t>
      </w:r>
      <w:r w:rsidR="00A4160B">
        <w:t>Manna Gum</w:t>
      </w:r>
      <w:r>
        <w:t xml:space="preserve"> </w:t>
      </w:r>
      <w:r w:rsidR="00A96C0F">
        <w:t xml:space="preserve">as well as </w:t>
      </w:r>
      <w:r>
        <w:t>other eucalypts.</w:t>
      </w:r>
      <w:r w:rsidR="00285836">
        <w:t xml:space="preserve"> </w:t>
      </w:r>
      <w:r>
        <w:t xml:space="preserve">We then attempted to determine relationships between levels of canopy defoliation for </w:t>
      </w:r>
      <w:r w:rsidR="00A74DB0">
        <w:t xml:space="preserve">the various </w:t>
      </w:r>
      <w:r>
        <w:t xml:space="preserve">eucalypt species and </w:t>
      </w:r>
      <w:r w:rsidR="005574FB">
        <w:t>Koala</w:t>
      </w:r>
      <w:r>
        <w:t xml:space="preserve"> density by fitting logistic regressions to the proportion of defoliated </w:t>
      </w:r>
      <w:r w:rsidR="00A96C0F">
        <w:t>trees</w:t>
      </w:r>
      <w:r>
        <w:t xml:space="preserve"> for each species at each site and </w:t>
      </w:r>
      <w:r w:rsidR="00A74DB0">
        <w:t xml:space="preserve">to </w:t>
      </w:r>
      <w:r w:rsidR="005574FB">
        <w:t>Koala</w:t>
      </w:r>
      <w:r>
        <w:t xml:space="preserve"> density.</w:t>
      </w:r>
      <w:r w:rsidR="00285836">
        <w:t xml:space="preserve"> </w:t>
      </w:r>
      <w:r>
        <w:t xml:space="preserve">We then used these relationships to estimate </w:t>
      </w:r>
      <w:r w:rsidR="00A74DB0">
        <w:t xml:space="preserve">the </w:t>
      </w:r>
      <w:r>
        <w:t xml:space="preserve">levels of </w:t>
      </w:r>
      <w:r w:rsidR="00A96C0F">
        <w:t>canopy</w:t>
      </w:r>
      <w:r>
        <w:t xml:space="preserve"> defoliation that could be expected at low (or zero) </w:t>
      </w:r>
      <w:r w:rsidR="005574FB">
        <w:t>Koala</w:t>
      </w:r>
      <w:r>
        <w:t xml:space="preserve"> densities</w:t>
      </w:r>
      <w:r w:rsidR="00A74DB0">
        <w:t>,</w:t>
      </w:r>
      <w:r>
        <w:t xml:space="preserve"> as well as estimating a threshold level of canopy defoliation and </w:t>
      </w:r>
      <w:r w:rsidR="005574FB">
        <w:t>Koala</w:t>
      </w:r>
      <w:r>
        <w:t xml:space="preserve"> density for </w:t>
      </w:r>
      <w:r w:rsidR="00A4160B">
        <w:t>Manna Gum</w:t>
      </w:r>
      <w:r>
        <w:t xml:space="preserve"> forests that could be used to define a prototype habitat health trigger.</w:t>
      </w:r>
    </w:p>
    <w:p w:rsidR="00285836" w:rsidRDefault="0027068A" w:rsidP="006850F1">
      <w:pPr>
        <w:pStyle w:val="ARIERHB"/>
      </w:pPr>
      <w:bookmarkStart w:id="30" w:name="_Toc455406125"/>
      <w:r>
        <w:t>2.</w:t>
      </w:r>
      <w:r w:rsidR="00C42D27">
        <w:t>2</w:t>
      </w:r>
      <w:r>
        <w:tab/>
      </w:r>
      <w:r w:rsidR="00E21680">
        <w:t>Carrying capacity of Koala habitat</w:t>
      </w:r>
      <w:r w:rsidR="00C866BC">
        <w:t xml:space="preserve"> at Cape Otway</w:t>
      </w:r>
      <w:bookmarkEnd w:id="30"/>
    </w:p>
    <w:p w:rsidR="00C866BC" w:rsidRDefault="00C866BC" w:rsidP="00F6205D">
      <w:pPr>
        <w:pStyle w:val="ARIERBody"/>
      </w:pPr>
      <w:r>
        <w:t xml:space="preserve">A central challenge in population ecology is to explain the persistence of populations </w:t>
      </w:r>
      <w:r>
        <w:fldChar w:fldCharType="begin"/>
      </w:r>
      <w:r>
        <w:instrText xml:space="preserve"> ADDIN ZOTERO_ITEM CSL_CITATION {"citationID":"1ggjlkvl8u","properties":{"formattedCitation":"{\\rtf (Murdoch {\\i{}et al.} 2003)}","plainCitation":"(Murdoch et al. 2003)"},"citationItems":[{"id":5248,"uris":["http://zotero.org/users/634364/items/HCFUNF6Q"],"uri":["http://zotero.org/users/634364/items/HCFUNF6Q"],"itemData":{"id":5248,"type":"book","title":"Consumer-resource dynamics","publisher":"Princeton University Press","volume":"Monographs in Population Biology 36","author":[{"family":"Murdoch","given":"W.W."},{"family":"Briggs","given":"C. J."},{"family":"Nisbet","given":"R. M."}],"issued":{"date-parts":[["2003"]]}}}],"schema":"https://github.com/citation-style-language/schema/raw/master/csl-citation.json"} </w:instrText>
      </w:r>
      <w:r>
        <w:fldChar w:fldCharType="separate"/>
      </w:r>
      <w:r w:rsidRPr="00FB15BE">
        <w:t xml:space="preserve">(Murdoch </w:t>
      </w:r>
      <w:r w:rsidR="008C4522" w:rsidRPr="006850F1">
        <w:rPr>
          <w:iCs/>
        </w:rPr>
        <w:t>et al.</w:t>
      </w:r>
      <w:r w:rsidRPr="00FB15BE">
        <w:t xml:space="preserve"> 2003)</w:t>
      </w:r>
      <w:r>
        <w:fldChar w:fldCharType="end"/>
      </w:r>
      <w:r>
        <w:t>.</w:t>
      </w:r>
      <w:r w:rsidR="00285836">
        <w:t xml:space="preserve"> </w:t>
      </w:r>
      <w:r>
        <w:t xml:space="preserve">In the natural world, the extinction of species or populations is usually rare, </w:t>
      </w:r>
      <w:r w:rsidR="00503A83">
        <w:t xml:space="preserve">because </w:t>
      </w:r>
      <w:r>
        <w:t>most natural populations are subject to regulation over some particular spatial scale.</w:t>
      </w:r>
      <w:r w:rsidR="00285836">
        <w:t xml:space="preserve"> </w:t>
      </w:r>
      <w:r>
        <w:t xml:space="preserve">Here we define regulation as factors or mechanisms that act to return a population to its </w:t>
      </w:r>
      <w:r w:rsidRPr="00721106">
        <w:rPr>
          <w:i/>
        </w:rPr>
        <w:t>equilibrium</w:t>
      </w:r>
      <w:r>
        <w:t xml:space="preserve"> </w:t>
      </w:r>
      <w:r w:rsidRPr="00825314">
        <w:rPr>
          <w:i/>
        </w:rPr>
        <w:t>density</w:t>
      </w:r>
      <w:r>
        <w:t xml:space="preserve"> (also termed </w:t>
      </w:r>
      <w:r w:rsidRPr="00560E65">
        <w:rPr>
          <w:i/>
        </w:rPr>
        <w:t>carrying capacity</w:t>
      </w:r>
      <w:r>
        <w:t xml:space="preserve"> or </w:t>
      </w:r>
      <w:r w:rsidRPr="00F02F54">
        <w:rPr>
          <w:i/>
        </w:rPr>
        <w:t>K</w:t>
      </w:r>
      <w:r>
        <w:t>).</w:t>
      </w:r>
      <w:r w:rsidR="00285836">
        <w:t xml:space="preserve"> </w:t>
      </w:r>
      <w:r>
        <w:t>Regulated population</w:t>
      </w:r>
      <w:r w:rsidR="00503A83">
        <w:t>s</w:t>
      </w:r>
      <w:r>
        <w:t xml:space="preserve"> can exhibit a range of dynamics from relative stability</w:t>
      </w:r>
      <w:r w:rsidR="00503A83">
        <w:t xml:space="preserve"> (</w:t>
      </w:r>
      <w:r>
        <w:t xml:space="preserve">with </w:t>
      </w:r>
      <w:r w:rsidR="00503A83">
        <w:t xml:space="preserve">small </w:t>
      </w:r>
      <w:r>
        <w:t>fluctuations around equilibrium density</w:t>
      </w:r>
      <w:r w:rsidR="00503A83">
        <w:t>)</w:t>
      </w:r>
      <w:r>
        <w:t xml:space="preserve"> to relative instability </w:t>
      </w:r>
      <w:r w:rsidR="00503A83">
        <w:t>(</w:t>
      </w:r>
      <w:r>
        <w:t>characterised by high fluctuations around equilibrium density</w:t>
      </w:r>
      <w:r w:rsidR="00503A83">
        <w:t>)</w:t>
      </w:r>
      <w:r>
        <w:t>.</w:t>
      </w:r>
      <w:r w:rsidR="00285836">
        <w:t xml:space="preserve"> </w:t>
      </w:r>
      <w:r>
        <w:t xml:space="preserve">The principle mechanism by which populations are regulated is known as </w:t>
      </w:r>
      <w:r w:rsidRPr="0052047B">
        <w:rPr>
          <w:i/>
        </w:rPr>
        <w:t>density</w:t>
      </w:r>
      <w:r w:rsidR="009535D5">
        <w:rPr>
          <w:i/>
        </w:rPr>
        <w:t xml:space="preserve"> </w:t>
      </w:r>
      <w:r w:rsidRPr="0052047B">
        <w:rPr>
          <w:i/>
        </w:rPr>
        <w:t>dependence</w:t>
      </w:r>
      <w:r>
        <w:t>.</w:t>
      </w:r>
      <w:r w:rsidR="00285836">
        <w:t xml:space="preserve"> </w:t>
      </w:r>
      <w:r>
        <w:t xml:space="preserve">If either the birth rate or the death rate of individuals in a population changes as the population density changes, then we characterise these changes as being </w:t>
      </w:r>
      <w:r w:rsidR="009535D5">
        <w:t>‘</w:t>
      </w:r>
      <w:r>
        <w:t>density</w:t>
      </w:r>
      <w:r w:rsidR="009535D5">
        <w:t xml:space="preserve"> </w:t>
      </w:r>
      <w:r>
        <w:t>dependent</w:t>
      </w:r>
      <w:r w:rsidR="009535D5">
        <w:t>’,</w:t>
      </w:r>
      <w:r>
        <w:t xml:space="preserve"> with the underlying causes for the changes being due to density-dependent factors </w:t>
      </w:r>
      <w:r>
        <w:fldChar w:fldCharType="begin"/>
      </w:r>
      <w:r>
        <w:instrText xml:space="preserve"> ADDIN ZOTERO_ITEM CSL_CITATION {"citationID":"1nbumg06j5","properties":{"formattedCitation":"(Caughley and Sinclair 1994)","plainCitation":"(Caughley and Sinclair 1994)"},"citationItems":[{"id":2756,"uris":["http://zotero.org/users/634364/items/JK9V66F9"],"uri":["http://zotero.org/users/634364/items/JK9V66F9"],"itemData":{"id":2756,"type":"book","title":"Wildlife ecology and management","publisher":"Blackwell Scientific Publications","publisher-place":"Cambridge, MS","event-place":"Cambridge, MS","author":[{"family":"Caughley","given":"G."},{"family":"Sinclair","given":"A. R. E."}],"issued":{"date-parts":[["1994"]]}}}],"schema":"https://github.com/citation-style-language/schema/raw/master/csl-citation.json"} </w:instrText>
      </w:r>
      <w:r>
        <w:fldChar w:fldCharType="separate"/>
      </w:r>
      <w:r w:rsidRPr="00FB15BE">
        <w:t>(Caughley and Sinclair 1994)</w:t>
      </w:r>
      <w:r>
        <w:fldChar w:fldCharType="end"/>
      </w:r>
      <w:r>
        <w:t>.</w:t>
      </w:r>
      <w:r w:rsidR="00285836">
        <w:t xml:space="preserve"> </w:t>
      </w:r>
      <w:r>
        <w:t>If a population is disturbed from its equilibrium density, then density</w:t>
      </w:r>
      <w:r w:rsidR="009535D5">
        <w:t xml:space="preserve"> </w:t>
      </w:r>
      <w:r>
        <w:t xml:space="preserve">dependence acts to return the population to </w:t>
      </w:r>
      <w:r w:rsidRPr="00A96C0F">
        <w:rPr>
          <w:i/>
        </w:rPr>
        <w:t>K</w:t>
      </w:r>
      <w:r>
        <w:t>.</w:t>
      </w:r>
      <w:r w:rsidR="00285836">
        <w:t xml:space="preserve"> </w:t>
      </w:r>
      <w:r>
        <w:t xml:space="preserve">Whether a population actually returns to </w:t>
      </w:r>
      <w:r w:rsidRPr="00A96C0F">
        <w:rPr>
          <w:i/>
        </w:rPr>
        <w:t>K</w:t>
      </w:r>
      <w:r>
        <w:t xml:space="preserve"> will depend on the nature of the disturbances affecting it.</w:t>
      </w:r>
      <w:r w:rsidR="00285836">
        <w:t xml:space="preserve"> </w:t>
      </w:r>
      <w:r>
        <w:t xml:space="preserve">In some populations, continual disturbances result in the appearance of cycles, sometimes with </w:t>
      </w:r>
      <w:r w:rsidR="009535D5">
        <w:t xml:space="preserve">a </w:t>
      </w:r>
      <w:r>
        <w:t xml:space="preserve">high amplitude </w:t>
      </w:r>
      <w:r w:rsidR="00F84D69">
        <w:t>[</w:t>
      </w:r>
      <w:r>
        <w:t xml:space="preserve">e.g. </w:t>
      </w:r>
      <w:r w:rsidR="009535D5">
        <w:t>Arctic Voles</w:t>
      </w:r>
      <w:r w:rsidR="00F84D69">
        <w:t xml:space="preserve"> (</w:t>
      </w:r>
      <w:proofErr w:type="spellStart"/>
      <w:r w:rsidR="00F84D69">
        <w:rPr>
          <w:i/>
        </w:rPr>
        <w:t>Microtus</w:t>
      </w:r>
      <w:proofErr w:type="spellEnd"/>
      <w:r w:rsidR="00F84D69">
        <w:rPr>
          <w:i/>
        </w:rPr>
        <w:t xml:space="preserve"> </w:t>
      </w:r>
      <w:proofErr w:type="spellStart"/>
      <w:r w:rsidR="00F84D69">
        <w:rPr>
          <w:i/>
        </w:rPr>
        <w:t>oeconomus</w:t>
      </w:r>
      <w:proofErr w:type="spellEnd"/>
      <w:r w:rsidR="00F84D69">
        <w:t>)</w:t>
      </w:r>
      <w:r>
        <w:t xml:space="preserve">, </w:t>
      </w:r>
      <w:r w:rsidR="009535D5">
        <w:t>Snowshoe Hares</w:t>
      </w:r>
      <w:r w:rsidR="00F84D69">
        <w:t xml:space="preserve"> (</w:t>
      </w:r>
      <w:r w:rsidR="00F84D69">
        <w:rPr>
          <w:i/>
        </w:rPr>
        <w:t xml:space="preserve">Lepus </w:t>
      </w:r>
      <w:proofErr w:type="spellStart"/>
      <w:r w:rsidR="00F84D69">
        <w:rPr>
          <w:i/>
        </w:rPr>
        <w:t>americanus</w:t>
      </w:r>
      <w:proofErr w:type="spellEnd"/>
      <w:r w:rsidR="00F84D69">
        <w:t xml:space="preserve">)], </w:t>
      </w:r>
      <w:r>
        <w:t xml:space="preserve">and the population may never </w:t>
      </w:r>
      <w:r w:rsidR="00F84D69">
        <w:t xml:space="preserve">actually </w:t>
      </w:r>
      <w:r>
        <w:t>be observed near carrying capacity.</w:t>
      </w:r>
      <w:r w:rsidR="00285836">
        <w:t xml:space="preserve"> </w:t>
      </w:r>
      <w:r>
        <w:t>Although to all appearances these populations seem unregulated, this is not the case</w:t>
      </w:r>
      <w:r w:rsidR="00F84D69">
        <w:t>,</w:t>
      </w:r>
      <w:r>
        <w:t xml:space="preserve"> </w:t>
      </w:r>
      <w:r w:rsidR="00F84D69">
        <w:t xml:space="preserve">because </w:t>
      </w:r>
      <w:r>
        <w:t xml:space="preserve">regulation </w:t>
      </w:r>
      <w:r w:rsidR="00F84D69">
        <w:t xml:space="preserve">is </w:t>
      </w:r>
      <w:r>
        <w:t xml:space="preserve">still </w:t>
      </w:r>
      <w:r w:rsidR="00F84D69">
        <w:t xml:space="preserve">acting </w:t>
      </w:r>
      <w:r>
        <w:t xml:space="preserve">to restrict the population within certain bounds, termed a </w:t>
      </w:r>
      <w:r w:rsidRPr="00356BA6">
        <w:rPr>
          <w:i/>
        </w:rPr>
        <w:t>stable limit cycle</w:t>
      </w:r>
      <w:r>
        <w:t>.</w:t>
      </w:r>
      <w:r w:rsidR="00285836">
        <w:t xml:space="preserve"> </w:t>
      </w:r>
      <w:r>
        <w:t>Hence, instability does not necessarily lead to extinction of the population.</w:t>
      </w:r>
    </w:p>
    <w:p w:rsidR="00285836" w:rsidRDefault="00C866BC" w:rsidP="00F6205D">
      <w:pPr>
        <w:pStyle w:val="ARIERBody"/>
      </w:pPr>
      <w:r>
        <w:t>However, in some cases local populations do go extinct.</w:t>
      </w:r>
      <w:r w:rsidR="00285836">
        <w:t xml:space="preserve"> </w:t>
      </w:r>
      <w:r>
        <w:t xml:space="preserve">This occurs due to </w:t>
      </w:r>
      <w:r w:rsidR="00F84D69">
        <w:t xml:space="preserve">a </w:t>
      </w:r>
      <w:r>
        <w:t>breakdown in the regulatory mechanisms in the population</w:t>
      </w:r>
      <w:r w:rsidR="00F84D69">
        <w:t>,</w:t>
      </w:r>
      <w:r>
        <w:t xml:space="preserve"> leading to instability that results in eventual extinction </w:t>
      </w:r>
      <w:r>
        <w:fldChar w:fldCharType="begin"/>
      </w:r>
      <w:r>
        <w:instrText xml:space="preserve"> ADDIN ZOTERO_ITEM CSL_CITATION {"citationID":"olls378s8","properties":{"formattedCitation":"{\\rtf (Murdoch {\\i{}et al.} 2003)}","plainCitation":"(Murdoch et al. 2003)"},"citationItems":[{"id":5248,"uris":["http://zotero.org/users/634364/items/HCFUNF6Q"],"uri":["http://zotero.org/users/634364/items/HCFUNF6Q"],"itemData":{"id":5248,"type":"book","title":"Consumer-resource dynamics","publisher":"Princeton University Press","volume":"Monographs in Population Biology 36","author":[{"family":"Murdoch","given":"W.W."},{"family":"Briggs","given":"C. J."},{"family":"Nisbet","given":"R. M."}],"issued":{"date-parts":[["2003"]]}}}],"schema":"https://github.com/citation-style-language/schema/raw/master/csl-citation.json"} </w:instrText>
      </w:r>
      <w:r>
        <w:fldChar w:fldCharType="separate"/>
      </w:r>
      <w:r w:rsidRPr="00FB15BE">
        <w:t xml:space="preserve">(Murdoch </w:t>
      </w:r>
      <w:r w:rsidR="008C4522" w:rsidRPr="006850F1">
        <w:rPr>
          <w:iCs/>
        </w:rPr>
        <w:t>et al.</w:t>
      </w:r>
      <w:r w:rsidRPr="00FB15BE">
        <w:t xml:space="preserve"> 2003)</w:t>
      </w:r>
      <w:r>
        <w:fldChar w:fldCharType="end"/>
      </w:r>
      <w:r>
        <w:t>.</w:t>
      </w:r>
      <w:r w:rsidR="00285836">
        <w:t xml:space="preserve"> </w:t>
      </w:r>
      <w:r>
        <w:t>In some cases, instability will lead to changes in the equilibrium density of the species</w:t>
      </w:r>
      <w:r w:rsidR="00F84D69">
        <w:t>,</w:t>
      </w:r>
      <w:r>
        <w:t xml:space="preserve"> and the system </w:t>
      </w:r>
      <w:r w:rsidR="00F84D69">
        <w:t xml:space="preserve">will </w:t>
      </w:r>
      <w:r>
        <w:t>undergo a radical shift to an alternative state (new equilibrium).</w:t>
      </w:r>
      <w:r w:rsidR="00285836">
        <w:t xml:space="preserve"> </w:t>
      </w:r>
      <w:r>
        <w:t xml:space="preserve">Instability can also be caused by overcompensation, </w:t>
      </w:r>
      <w:r w:rsidR="00F84D69">
        <w:t xml:space="preserve">in which </w:t>
      </w:r>
      <w:r>
        <w:t>the species overshoots its carrying capacity only to then be subject to strong density-dependent regulation</w:t>
      </w:r>
      <w:r w:rsidR="00F84D69">
        <w:t>,</w:t>
      </w:r>
      <w:r>
        <w:t xml:space="preserve"> resulting in density </w:t>
      </w:r>
      <w:r w:rsidR="00F84D69">
        <w:t xml:space="preserve">overcorrection </w:t>
      </w:r>
      <w:r>
        <w:t xml:space="preserve">and </w:t>
      </w:r>
      <w:r w:rsidR="00F84D69">
        <w:t xml:space="preserve">reduction </w:t>
      </w:r>
      <w:r>
        <w:t xml:space="preserve">to levels far below </w:t>
      </w:r>
      <w:r w:rsidRPr="00A96C0F">
        <w:rPr>
          <w:i/>
        </w:rPr>
        <w:t>K</w:t>
      </w:r>
      <w:r>
        <w:t>.</w:t>
      </w:r>
      <w:r w:rsidR="00285836">
        <w:t xml:space="preserve"> </w:t>
      </w:r>
      <w:r>
        <w:t xml:space="preserve">Small populations are then at a higher risk of extinction due to factors such as environmental and demographic </w:t>
      </w:r>
      <w:proofErr w:type="spellStart"/>
      <w:r>
        <w:t>stochasticity</w:t>
      </w:r>
      <w:proofErr w:type="spellEnd"/>
      <w:r>
        <w:t>.</w:t>
      </w:r>
      <w:r w:rsidR="00285836">
        <w:t xml:space="preserve"> </w:t>
      </w:r>
      <w:r>
        <w:t xml:space="preserve">One mechanism that can lead to </w:t>
      </w:r>
      <w:proofErr w:type="spellStart"/>
      <w:r>
        <w:t>overcompensatory</w:t>
      </w:r>
      <w:proofErr w:type="spellEnd"/>
      <w:r>
        <w:t xml:space="preserve"> dynamics is the phenomenon known as the </w:t>
      </w:r>
      <w:r w:rsidR="00F84D69">
        <w:t>‘</w:t>
      </w:r>
      <w:r>
        <w:t>paradox of enrichment</w:t>
      </w:r>
      <w:r w:rsidR="00F84D69">
        <w:t xml:space="preserve">’ </w:t>
      </w:r>
      <w:r>
        <w:fldChar w:fldCharType="begin"/>
      </w:r>
      <w:r>
        <w:instrText xml:space="preserve"> ADDIN ZOTERO_ITEM CSL_CITATION {"citationID":"ah1uqi82q","properties":{"formattedCitation":"(Rosenzweig 1971)","plainCitation":"(Rosenzweig 1971)"},"citationItems":[{"id":5247,"uris":["http://zotero.org/users/634364/items/4TEIGHDZ"],"uri":["http://zotero.org/users/634364/items/4TEIGHDZ"],"itemData":{"id":5247,"type":"article-journal","title":"The paradox of enrichment","container-title":"Science","page":"385-387","volume":"171","author":[{"family":"Rosenzweig","given":"M"}],"issued":{"date-parts":[["1971"]]}}}],"schema":"https://github.com/citation-style-language/schema/raw/master/csl-citation.json"} </w:instrText>
      </w:r>
      <w:r>
        <w:fldChar w:fldCharType="separate"/>
      </w:r>
      <w:r w:rsidRPr="00FB15BE">
        <w:t>(Rosenzweig 1971)</w:t>
      </w:r>
      <w:r>
        <w:fldChar w:fldCharType="end"/>
      </w:r>
      <w:r>
        <w:t>.</w:t>
      </w:r>
      <w:r w:rsidR="00285836">
        <w:t xml:space="preserve"> </w:t>
      </w:r>
      <w:r>
        <w:t>Under the paradox of enrichment</w:t>
      </w:r>
      <w:r w:rsidR="00F84D69">
        <w:t>,</w:t>
      </w:r>
      <w:r>
        <w:t xml:space="preserve"> increasing resource abundance can destabilise populations by causing them to increase well above carrying capacity</w:t>
      </w:r>
      <w:r w:rsidR="00F84D69">
        <w:t>,</w:t>
      </w:r>
      <w:r>
        <w:t xml:space="preserve"> inducing an </w:t>
      </w:r>
      <w:proofErr w:type="spellStart"/>
      <w:r>
        <w:t>overcompensatory</w:t>
      </w:r>
      <w:proofErr w:type="spellEnd"/>
      <w:r>
        <w:t xml:space="preserve"> response.</w:t>
      </w:r>
    </w:p>
    <w:p w:rsidR="00A96C0F" w:rsidRDefault="00C866BC" w:rsidP="00A96C0F">
      <w:pPr>
        <w:pStyle w:val="ARIERBody"/>
        <w:tabs>
          <w:tab w:val="center" w:pos="5103"/>
        </w:tabs>
      </w:pPr>
      <w:r>
        <w:t xml:space="preserve">Qualitatively, the observed trajectories of </w:t>
      </w:r>
      <w:r w:rsidR="005574FB">
        <w:t>Koala</w:t>
      </w:r>
      <w:r>
        <w:t xml:space="preserve">s and </w:t>
      </w:r>
      <w:r w:rsidR="00FF1DB9">
        <w:t>Manna Gum</w:t>
      </w:r>
      <w:r>
        <w:t xml:space="preserve"> canopy foliage at some sites at Cape Otway appear to be consistent with an </w:t>
      </w:r>
      <w:proofErr w:type="spellStart"/>
      <w:r>
        <w:t>overcompensatory</w:t>
      </w:r>
      <w:proofErr w:type="spellEnd"/>
      <w:r>
        <w:t>, density-dependent response.</w:t>
      </w:r>
      <w:r w:rsidR="00285836">
        <w:t xml:space="preserve"> </w:t>
      </w:r>
      <w:r>
        <w:t xml:space="preserve">Avoiding such an </w:t>
      </w:r>
      <w:proofErr w:type="spellStart"/>
      <w:r>
        <w:t>overcompensatory</w:t>
      </w:r>
      <w:proofErr w:type="spellEnd"/>
      <w:r>
        <w:t xml:space="preserve"> response requires the identification of the (stable) equilibrium density of both </w:t>
      </w:r>
      <w:r w:rsidR="005574FB">
        <w:t>Koala</w:t>
      </w:r>
      <w:r>
        <w:t>s</w:t>
      </w:r>
      <w:r w:rsidR="00F84D69">
        <w:t>,</w:t>
      </w:r>
      <w:r>
        <w:t xml:space="preserve"> and canopy foliage cover.</w:t>
      </w:r>
      <w:r w:rsidR="00285836">
        <w:t xml:space="preserve"> </w:t>
      </w:r>
      <w:r>
        <w:t xml:space="preserve">Hence, </w:t>
      </w:r>
      <w:r w:rsidR="00F84D69">
        <w:t xml:space="preserve">one </w:t>
      </w:r>
      <w:r>
        <w:t xml:space="preserve">objective of </w:t>
      </w:r>
      <w:r w:rsidR="00F84D69">
        <w:t>this</w:t>
      </w:r>
      <w:r>
        <w:t xml:space="preserve"> research</w:t>
      </w:r>
      <w:r w:rsidR="00F84D69">
        <w:t xml:space="preserve"> wa</w:t>
      </w:r>
      <w:r>
        <w:t xml:space="preserve">s to identify the most likely equilibrium density (carrying capacity) of </w:t>
      </w:r>
      <w:r w:rsidR="005574FB">
        <w:t>Koala</w:t>
      </w:r>
      <w:r>
        <w:t xml:space="preserve">s </w:t>
      </w:r>
      <w:r w:rsidR="00F84D69">
        <w:t xml:space="preserve">in </w:t>
      </w:r>
      <w:r w:rsidR="00FF1DB9">
        <w:t>Manna Gum</w:t>
      </w:r>
      <w:r>
        <w:t xml:space="preserve"> forests at Cape Otway.</w:t>
      </w:r>
      <w:r w:rsidR="00285836">
        <w:t xml:space="preserve"> </w:t>
      </w:r>
      <w:r>
        <w:t xml:space="preserve">Identification of the carrying capacity of </w:t>
      </w:r>
      <w:r w:rsidR="005574FB">
        <w:t>Koala</w:t>
      </w:r>
      <w:r w:rsidR="00F84D69">
        <w:t xml:space="preserve"> habitat</w:t>
      </w:r>
      <w:r>
        <w:t xml:space="preserve"> at Cape Otway would thus represent the best estimate </w:t>
      </w:r>
      <w:r w:rsidR="00F84D69">
        <w:t xml:space="preserve">of </w:t>
      </w:r>
      <w:r>
        <w:t xml:space="preserve">the management target required to achieve long-term sustainable populations of </w:t>
      </w:r>
      <w:r w:rsidR="005574FB">
        <w:t>Koala</w:t>
      </w:r>
      <w:r>
        <w:t>s.</w:t>
      </w:r>
      <w:r w:rsidR="00285836">
        <w:t xml:space="preserve"> </w:t>
      </w:r>
      <w:r>
        <w:t>As part of this analysis, we also investigate</w:t>
      </w:r>
      <w:r w:rsidR="00F84D69">
        <w:t>d</w:t>
      </w:r>
      <w:r>
        <w:t xml:space="preserve"> evidence that </w:t>
      </w:r>
      <w:r w:rsidR="005574FB">
        <w:t>Koala</w:t>
      </w:r>
      <w:r>
        <w:t xml:space="preserve"> dynamics in </w:t>
      </w:r>
      <w:r w:rsidR="00F84D69">
        <w:t xml:space="preserve">the study </w:t>
      </w:r>
      <w:r>
        <w:t xml:space="preserve">areas are consistent with </w:t>
      </w:r>
      <w:proofErr w:type="spellStart"/>
      <w:r>
        <w:t>overcompensatory</w:t>
      </w:r>
      <w:proofErr w:type="spellEnd"/>
      <w:r>
        <w:t xml:space="preserve"> dynamics.</w:t>
      </w:r>
    </w:p>
    <w:p w:rsidR="00C866BC" w:rsidRDefault="00C866BC" w:rsidP="00A96C0F">
      <w:pPr>
        <w:pStyle w:val="ARIERBody"/>
        <w:tabs>
          <w:tab w:val="center" w:pos="5103"/>
        </w:tabs>
      </w:pPr>
      <w:r>
        <w:lastRenderedPageBreak/>
        <w:t xml:space="preserve">Estimation of the equilibrium density or </w:t>
      </w:r>
      <w:r w:rsidR="009714A8">
        <w:t>‘</w:t>
      </w:r>
      <w:r>
        <w:t>carrying capacity</w:t>
      </w:r>
      <w:r w:rsidR="009714A8">
        <w:t xml:space="preserve">’ </w:t>
      </w:r>
      <w:r>
        <w:t>in a consumer</w:t>
      </w:r>
      <w:r w:rsidR="009714A8">
        <w:t>–</w:t>
      </w:r>
      <w:r>
        <w:t xml:space="preserve">resource system requires both a suitable model of the population dynamics of the consumer and </w:t>
      </w:r>
      <w:r w:rsidR="009714A8">
        <w:t xml:space="preserve">the </w:t>
      </w:r>
      <w:r>
        <w:t>resource (i.e. that has carrying capacity as a parameter) as well as suitable data with which to fit the model (i.e. time series of abundance estimates).</w:t>
      </w:r>
      <w:r w:rsidR="00285836">
        <w:t xml:space="preserve"> </w:t>
      </w:r>
      <w:r>
        <w:t>To our knowledge</w:t>
      </w:r>
      <w:r w:rsidR="009714A8">
        <w:t>,</w:t>
      </w:r>
      <w:r>
        <w:t xml:space="preserve"> there are only two long-term time series data that have measured both </w:t>
      </w:r>
      <w:r w:rsidR="005574FB">
        <w:t>Koala</w:t>
      </w:r>
      <w:r>
        <w:t xml:space="preserve"> abundances and </w:t>
      </w:r>
      <w:r w:rsidR="00FF1DB9">
        <w:t>Manna Gum</w:t>
      </w:r>
      <w:r>
        <w:t xml:space="preserve"> canopy foliage in southern Australia, these being the 10-year study at Mt Eccles </w:t>
      </w:r>
      <w:r w:rsidR="00712027">
        <w:t xml:space="preserve">National Park </w:t>
      </w:r>
      <w:r>
        <w:t>and the 15</w:t>
      </w:r>
      <w:r w:rsidR="009714A8">
        <w:t>+-</w:t>
      </w:r>
      <w:r>
        <w:t>year study on Kangaroo Island.</w:t>
      </w:r>
      <w:r w:rsidR="00285836">
        <w:t xml:space="preserve"> </w:t>
      </w:r>
      <w:r>
        <w:t xml:space="preserve">Unfortunately, neither of these are suitable for estimating </w:t>
      </w:r>
      <w:r w:rsidR="005574FB">
        <w:t>Koala</w:t>
      </w:r>
      <w:r w:rsidR="001E2563">
        <w:t>-</w:t>
      </w:r>
      <w:r>
        <w:t xml:space="preserve">carrying capacity </w:t>
      </w:r>
      <w:r w:rsidR="001E2563">
        <w:t xml:space="preserve">because </w:t>
      </w:r>
      <w:r>
        <w:t>both of these populations are subject to ongoing intensive management (i.e. intervention to reduce abundances).</w:t>
      </w:r>
      <w:r w:rsidR="00285836">
        <w:t xml:space="preserve"> </w:t>
      </w:r>
      <w:r>
        <w:t xml:space="preserve">As </w:t>
      </w:r>
      <w:r w:rsidR="005574FB">
        <w:t>Koala</w:t>
      </w:r>
      <w:r>
        <w:t xml:space="preserve">s have been artificially reduced at both these sites, it is not possible to estimate the effect of canopy foliage abundance on the rate of increase of </w:t>
      </w:r>
      <w:r w:rsidR="005574FB">
        <w:t>Koala</w:t>
      </w:r>
      <w:r>
        <w:t>s using these data.</w:t>
      </w:r>
    </w:p>
    <w:p w:rsidR="00C866BC" w:rsidRDefault="00C866BC" w:rsidP="00F6205D">
      <w:pPr>
        <w:pStyle w:val="ARIERBody"/>
      </w:pPr>
      <w:r>
        <w:t xml:space="preserve">However, suitable data do exist from a long-term study </w:t>
      </w:r>
      <w:r w:rsidR="001E2563">
        <w:t xml:space="preserve">at </w:t>
      </w:r>
      <w:r>
        <w:t xml:space="preserve">a number of sites at Cape Otway </w:t>
      </w:r>
      <w:r>
        <w:fldChar w:fldCharType="begin"/>
      </w:r>
      <w:r>
        <w:instrText xml:space="preserve"> ADDIN ZOTERO_ITEM CSL_CITATION {"citationID":"t6DYHig5","properties":{"formattedCitation":"{\\rtf (Whisson {\\i{}et al.} 2016; Whisson and Melzer unpublished)}","plainCitation":"(Whisson et al. 2016; Whisson and Melzer unpublished)"},"citationItems":[{"id":1423,"uris":["http://zotero.org/users/634364/items/SFNS2XS4"],"uri":["http://zotero.org/users/634364/items/SFNS2XS4"],"itemData":{"id":1423,"type":"article-journal","title":"Failure to Respond to Food Resource Decline Has Catastrophic Consequences for Koalas in a High-Density Population in Southern Australia","container-title":"PLOS ONE","page":"e0144348","volume":"11","issue":"1","source":"PLoS Journals","abstract":"Understanding the ability of koalas to respond to changes in their environment is critical for conservation of the species and their habitat. We monitored the behavioural response of koalas to declining food resources in manna gum ( Eucalyptus viminalis ) woodland at Cape Otway, Victoria, Australia, from September 2011 to November 2013. Over this period, koala population density increased from 10.1 to 18.4 koalas.ha -1 . As a result of the high browsing pressure of this population, manna gum canopy condition declined with 71.4% manna gum being completely or highly defoliated in September 2013. Despite declining food resources, radio collared koalas (N = 30) exhibited high fidelity to small ranges (0.4–1.2 ha). When trees became severely defoliated in September 2013, koalas moved relatively short distances from their former ranges (mean predicted change in range centroid = 144 m) and remained in areas of 0.9 to 1.0 ha. This was despite the high connectivity of most manna gum woodland, and close proximity of the study site (&amp;lt; 3 km) to the contiguous mixed forest of the Great Otway National Park. Limited movement had catastrophic consequences for koalas with 71% (15/21) of radio collared koalas dying from starvation or being euthanased due to their poor condition between September and November 2013.","DOI":"10.1371/journal.pone.0144348","ISSN":"1932-6203","journalAbbreviation":"PLOS ONE","author":[{"family":"Whisson","given":"Desley A."},{"family":"Dixon","given":"Victoria"},{"family":"Taylor","given":"Megan L."},{"family":"Melzer","given":"Alistair"}],"issued":{"date-parts":[["2016",1,6]]}},"suffix":"; Whisson and Melzer unpublished"}],"schema":"https://github.com/citation-style-language/schema/raw/master/csl-citation.json"} </w:instrText>
      </w:r>
      <w:r>
        <w:fldChar w:fldCharType="separate"/>
      </w:r>
      <w:r w:rsidRPr="00930C6A">
        <w:t xml:space="preserve">(Whisson </w:t>
      </w:r>
      <w:r w:rsidR="008C4522" w:rsidRPr="006850F1">
        <w:rPr>
          <w:iCs/>
        </w:rPr>
        <w:t>et al.</w:t>
      </w:r>
      <w:r w:rsidRPr="00930C6A">
        <w:t xml:space="preserve"> 2016; Whisson and Melzer </w:t>
      </w:r>
      <w:r w:rsidR="00E11C2B" w:rsidRPr="00930C6A">
        <w:t>unpubl</w:t>
      </w:r>
      <w:r w:rsidR="00E11C2B">
        <w:t>.</w:t>
      </w:r>
      <w:r w:rsidR="001E2563">
        <w:t xml:space="preserve"> data</w:t>
      </w:r>
      <w:r w:rsidRPr="00930C6A">
        <w:t>)</w:t>
      </w:r>
      <w:r>
        <w:fldChar w:fldCharType="end"/>
      </w:r>
      <w:r>
        <w:t>.</w:t>
      </w:r>
      <w:r w:rsidR="00285836">
        <w:t xml:space="preserve"> </w:t>
      </w:r>
      <w:r>
        <w:t>Although there are some limitations to these data</w:t>
      </w:r>
      <w:r w:rsidR="001E2563">
        <w:t>,</w:t>
      </w:r>
      <w:r>
        <w:t xml:space="preserve"> we used this source to fit a multivariate state</w:t>
      </w:r>
      <w:r w:rsidR="001E2563">
        <w:t>–</w:t>
      </w:r>
      <w:r>
        <w:t xml:space="preserve">space model of </w:t>
      </w:r>
      <w:r w:rsidR="001E2563">
        <w:t xml:space="preserve">both </w:t>
      </w:r>
      <w:r>
        <w:t xml:space="preserve">the population dynamics of </w:t>
      </w:r>
      <w:r w:rsidR="005574FB">
        <w:t>Koala</w:t>
      </w:r>
      <w:r>
        <w:t xml:space="preserve">s and </w:t>
      </w:r>
      <w:r w:rsidR="00FF1DB9">
        <w:t>Manna Gum</w:t>
      </w:r>
      <w:r>
        <w:t xml:space="preserve"> canopy foliage cover.</w:t>
      </w:r>
    </w:p>
    <w:p w:rsidR="00C866BC" w:rsidRDefault="00C866BC" w:rsidP="006850F1">
      <w:pPr>
        <w:pStyle w:val="ARIERHD"/>
      </w:pPr>
      <w:r>
        <w:t>Population dynamics model</w:t>
      </w:r>
    </w:p>
    <w:p w:rsidR="00C866BC" w:rsidRDefault="00C866BC" w:rsidP="00F6205D">
      <w:pPr>
        <w:pStyle w:val="ARIERBody"/>
      </w:pPr>
      <w:r>
        <w:t xml:space="preserve">The population model consists of a multivariate version of the discrete-time, stochastic, </w:t>
      </w:r>
      <w:proofErr w:type="spellStart"/>
      <w:r>
        <w:t>Gompertz</w:t>
      </w:r>
      <w:proofErr w:type="spellEnd"/>
      <w:r>
        <w:t xml:space="preserve"> model of density-dependent population regulation </w:t>
      </w:r>
      <w:r>
        <w:fldChar w:fldCharType="begin"/>
      </w:r>
      <w:r>
        <w:instrText xml:space="preserve"> ADDIN ZOTERO_ITEM CSL_CITATION {"citationID":"224sb898if","properties":{"formattedCitation":"{\\rtf (Dennis {\\i{}et al.} 2006)}","plainCitation":"(Dennis et al. 2006)"},"citationItems":[{"id":5083,"uris":["http://zotero.org/users/634364/items/UNHTR6TA"],"uri":["http://zotero.org/users/634364/items/UNHTR6TA"],"itemData":{"id":5083,"type":"article-journal","title":"Estimating density dependence, process noise, and observation error","container-title":"Ecological Monographs","page":"323-341","volume":"76","issue":"3","source":"Scopus","abstract":"We describe a discrete-time, stochastic population model with density dependence, environmental-type process noise, and lognormal observation or sampling error. The model, a stochastic version of the Gompertz model, can be transformed into a linear Gaussian state-space model (Kalman filter) for convenient fitting to time series data. The model has a multivariate normal likelihood function and is simple enough for a variety of uses ranging from theoretical study of parameter estimation issues to routine data analyses in population monitoring. A special case of the model is the discrete-time, stochastic exponential growth model (density independence) with environmental-type process error and lognormal observation error. We describe two methods for estimating parameters in the Gompertz state-space model, and we compare the statistical qualities of the methods with computer simulations. The methods are maximum likelihood based on observations and restricted maximum likelihood based on first differences. Both offer adequate statistical properties. Because the likelihood function is identical to a repeated-measures analysis of variance model with a random time effect, parameter estimates can be calculated using PROC MIXED of SAS. We use the model to analyze a data set from the Breeding Bird Survey. The fitted model suggests that over 70% of the noise in the population's growth rate is due to observation error. The model describes the autocovariance properties of the data especially well. While observation error and process noise variance parameters can both be estimated from one time series, multimodal likelihood functions can and do occur. For data arising from the model, the statistically consistent parameter estimates do not necessarily correspond to the global maximum in the likelihood function. Maximization, simulation, and bootstrapping programs must accommodate the phenomenon of multimodal likelihood functions to produce statistically valid results. © 2006 by the the Ecological Society of America.","author":[{"family":"Dennis","given":"B."},{"family":"Ponciano","given":"J.M."},{"family":"Lele","given":"S.R."},{"family":"Taper","given":"M.L."},{"family":"Staples","given":"D.F."}],"issued":{"date-parts":[["2006"]]}}}],"schema":"https://github.com/citation-style-language/schema/raw/master/csl-citation.json"} </w:instrText>
      </w:r>
      <w:r>
        <w:fldChar w:fldCharType="separate"/>
      </w:r>
      <w:r w:rsidRPr="00FB15BE">
        <w:t xml:space="preserve">(Dennis </w:t>
      </w:r>
      <w:r w:rsidR="008C4522" w:rsidRPr="006850F1">
        <w:rPr>
          <w:iCs/>
        </w:rPr>
        <w:t>et al.</w:t>
      </w:r>
      <w:r w:rsidRPr="00FB15BE">
        <w:t xml:space="preserve"> 2006)</w:t>
      </w:r>
      <w:r>
        <w:fldChar w:fldCharType="end"/>
      </w:r>
      <w:r>
        <w:t>.</w:t>
      </w:r>
      <w:r w:rsidR="00285836">
        <w:t xml:space="preserve"> </w:t>
      </w:r>
      <w:r>
        <w:t xml:space="preserve">For a single species, the </w:t>
      </w:r>
      <w:proofErr w:type="spellStart"/>
      <w:r>
        <w:t>Gompertz</w:t>
      </w:r>
      <w:proofErr w:type="spellEnd"/>
      <w:r>
        <w:t xml:space="preserve"> model has the form</w:t>
      </w:r>
      <w:r w:rsidR="001E2563">
        <w:t>:</w:t>
      </w:r>
    </w:p>
    <w:p w:rsidR="00C866BC" w:rsidRDefault="00AA27C1" w:rsidP="006850F1">
      <w:pPr>
        <w:pStyle w:val="ARIERBody"/>
        <w:tabs>
          <w:tab w:val="center" w:pos="5103"/>
          <w:tab w:val="right" w:pos="9639"/>
        </w:tabs>
        <w:rPr>
          <w:rFonts w:eastAsiaTheme="minorEastAsia"/>
        </w:rPr>
      </w:pPr>
      <w:r>
        <w:tab/>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t-1</m:t>
            </m:r>
          </m:sub>
        </m:sSub>
        <m:r>
          <m:rPr>
            <m:nor/>
          </m:rPr>
          <w:rPr>
            <w:rFonts w:ascii="Cambria Math" w:hAnsi="Cambria Math"/>
          </w:rPr>
          <m:t xml:space="preserve"> exp</m:t>
        </m:r>
        <m:d>
          <m:dPr>
            <m:ctrlPr>
              <w:rPr>
                <w:rFonts w:ascii="Cambria Math" w:hAnsi="Cambria Math"/>
                <w:i/>
              </w:rPr>
            </m:ctrlPr>
          </m:dPr>
          <m:e>
            <m:r>
              <w:rPr>
                <w:rFonts w:ascii="Cambria Math" w:hAnsi="Cambria Math"/>
              </w:rPr>
              <m:t xml:space="preserve">a+b </m:t>
            </m:r>
            <m:r>
              <m:rPr>
                <m:nor/>
              </m:rPr>
              <w:rPr>
                <w:rFonts w:ascii="Cambria Math" w:hAnsi="Cambria Math"/>
              </w:rPr>
              <m:t>ln</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e>
        </m:d>
      </m:oMath>
      <w:r w:rsidR="00C866BC">
        <w:rPr>
          <w:rFonts w:eastAsiaTheme="minorEastAsia"/>
        </w:rPr>
        <w:t>,</w:t>
      </w:r>
      <w:r w:rsidR="00C866BC">
        <w:rPr>
          <w:rFonts w:eastAsiaTheme="minorEastAsia"/>
        </w:rPr>
        <w:tab/>
        <w:t>Eq</w:t>
      </w:r>
      <w:r>
        <w:rPr>
          <w:rFonts w:eastAsiaTheme="minorEastAsia"/>
        </w:rPr>
        <w:t>.</w:t>
      </w:r>
      <w:r w:rsidR="00C866BC">
        <w:rPr>
          <w:rFonts w:eastAsiaTheme="minorEastAsia"/>
        </w:rPr>
        <w:t xml:space="preserve"> 1</w:t>
      </w:r>
    </w:p>
    <w:p w:rsidR="00C866BC" w:rsidRDefault="00AA27C1" w:rsidP="00F6205D">
      <w:pPr>
        <w:pStyle w:val="ARIERBody"/>
        <w:rPr>
          <w:rFonts w:eastAsiaTheme="minorEastAsia"/>
        </w:rPr>
      </w:pPr>
      <w:r>
        <w:rPr>
          <w:rFonts w:eastAsiaTheme="minorEastAsia"/>
        </w:rPr>
        <w:t xml:space="preserve">where </w:t>
      </w:r>
      <w:proofErr w:type="spellStart"/>
      <w:r w:rsidR="00C866BC" w:rsidRPr="00BE3713">
        <w:rPr>
          <w:rFonts w:eastAsiaTheme="minorEastAsia"/>
          <w:i/>
        </w:rPr>
        <w:t>N</w:t>
      </w:r>
      <w:r w:rsidR="00C866BC" w:rsidRPr="00BE3713">
        <w:rPr>
          <w:rFonts w:eastAsiaTheme="minorEastAsia"/>
          <w:i/>
          <w:vertAlign w:val="subscript"/>
        </w:rPr>
        <w:t>t</w:t>
      </w:r>
      <w:proofErr w:type="spellEnd"/>
      <w:r w:rsidR="00C866BC">
        <w:rPr>
          <w:rFonts w:eastAsiaTheme="minorEastAsia"/>
        </w:rPr>
        <w:t xml:space="preserve"> is the population abundance at time </w:t>
      </w:r>
      <w:r w:rsidR="00C866BC" w:rsidRPr="00BE3713">
        <w:rPr>
          <w:rFonts w:eastAsiaTheme="minorEastAsia"/>
          <w:i/>
        </w:rPr>
        <w:t>t</w:t>
      </w:r>
      <w:r w:rsidR="00C866BC">
        <w:rPr>
          <w:rFonts w:eastAsiaTheme="minorEastAsia"/>
        </w:rPr>
        <w:t xml:space="preserve">, </w:t>
      </w:r>
      <w:r w:rsidR="00C866BC" w:rsidRPr="00BE3713">
        <w:rPr>
          <w:rFonts w:eastAsiaTheme="minorEastAsia"/>
          <w:i/>
        </w:rPr>
        <w:t>a</w:t>
      </w:r>
      <w:r w:rsidR="00C866BC">
        <w:rPr>
          <w:rFonts w:eastAsiaTheme="minorEastAsia"/>
        </w:rPr>
        <w:t xml:space="preserve"> is the intrinsic rate of increase, </w:t>
      </w:r>
      <w:r w:rsidR="00C866BC" w:rsidRPr="00BE3713">
        <w:rPr>
          <w:rFonts w:eastAsiaTheme="minorEastAsia"/>
          <w:i/>
        </w:rPr>
        <w:t>b</w:t>
      </w:r>
      <w:r w:rsidR="00C866BC">
        <w:rPr>
          <w:rFonts w:eastAsiaTheme="minorEastAsia"/>
        </w:rPr>
        <w:t xml:space="preserve"> governs the strength of </w:t>
      </w:r>
      <w:r w:rsidR="001E2563">
        <w:rPr>
          <w:rFonts w:eastAsiaTheme="minorEastAsia"/>
        </w:rPr>
        <w:t xml:space="preserve">the </w:t>
      </w:r>
      <w:r w:rsidR="00C866BC">
        <w:rPr>
          <w:rFonts w:eastAsiaTheme="minorEastAsia"/>
        </w:rPr>
        <w:t>density</w:t>
      </w:r>
      <w:r w:rsidR="001E2563">
        <w:rPr>
          <w:rFonts w:eastAsiaTheme="minorEastAsia"/>
        </w:rPr>
        <w:t xml:space="preserve"> </w:t>
      </w:r>
      <w:r w:rsidR="00C866BC">
        <w:rPr>
          <w:rFonts w:eastAsiaTheme="minorEastAsia"/>
        </w:rPr>
        <w:t>dependence</w:t>
      </w:r>
      <w:r w:rsidR="001E2563">
        <w:rPr>
          <w:rFonts w:eastAsiaTheme="minorEastAsia"/>
        </w:rPr>
        <w:t>,</w:t>
      </w:r>
      <w:r w:rsidR="00C866BC">
        <w:rPr>
          <w:rFonts w:eastAsiaTheme="minorEastAsia"/>
        </w:rPr>
        <w:t xml:space="preserve"> and </w:t>
      </w:r>
      <w:r w:rsidR="00C866BC" w:rsidRPr="00BE3713">
        <w:rPr>
          <w:rFonts w:eastAsiaTheme="minorEastAsia"/>
          <w:i/>
        </w:rPr>
        <w:t>E</w:t>
      </w:r>
      <w:r w:rsidR="00C866BC" w:rsidRPr="00BE3713">
        <w:rPr>
          <w:rFonts w:eastAsiaTheme="minorEastAsia"/>
          <w:i/>
          <w:vertAlign w:val="subscript"/>
        </w:rPr>
        <w:t>t</w:t>
      </w:r>
      <w:r w:rsidR="00C866BC">
        <w:rPr>
          <w:rFonts w:eastAsiaTheme="minorEastAsia"/>
        </w:rPr>
        <w:t xml:space="preserve"> is the stochastic process error at time </w:t>
      </w:r>
      <w:r w:rsidR="00C866BC" w:rsidRPr="00BE3713">
        <w:rPr>
          <w:rFonts w:eastAsiaTheme="minorEastAsia"/>
          <w:i/>
        </w:rPr>
        <w:t>t</w:t>
      </w:r>
      <w:r w:rsidR="00C866BC">
        <w:rPr>
          <w:rFonts w:eastAsiaTheme="minorEastAsia"/>
        </w:rPr>
        <w:t>, which is assumed to be normally distributed with variance σ</w:t>
      </w:r>
      <w:r w:rsidR="00C866BC" w:rsidRPr="00BE3713">
        <w:rPr>
          <w:rFonts w:eastAsiaTheme="minorEastAsia"/>
          <w:vertAlign w:val="superscript"/>
        </w:rPr>
        <w:t>2</w:t>
      </w:r>
      <w:r w:rsidR="00C866BC">
        <w:rPr>
          <w:rFonts w:eastAsiaTheme="minorEastAsia"/>
        </w:rPr>
        <w:t>.</w:t>
      </w:r>
      <w:r w:rsidR="00285836">
        <w:rPr>
          <w:rFonts w:eastAsiaTheme="minorEastAsia"/>
        </w:rPr>
        <w:t xml:space="preserve"> </w:t>
      </w:r>
      <w:r w:rsidR="00C866BC">
        <w:rPr>
          <w:rFonts w:eastAsiaTheme="minorEastAsia"/>
        </w:rPr>
        <w:t xml:space="preserve">On the log scale, </w:t>
      </w:r>
      <w:r w:rsidR="00123A86">
        <w:rPr>
          <w:rFonts w:eastAsiaTheme="minorEastAsia"/>
        </w:rPr>
        <w:t>Equation</w:t>
      </w:r>
      <w:r w:rsidR="00C866BC">
        <w:rPr>
          <w:rFonts w:eastAsiaTheme="minorEastAsia"/>
        </w:rPr>
        <w:t xml:space="preserve"> 1 can be rewritten as a simple difference equation</w:t>
      </w:r>
      <w:r>
        <w:rPr>
          <w:rFonts w:eastAsiaTheme="minorEastAsia"/>
        </w:rPr>
        <w:t>:</w:t>
      </w:r>
    </w:p>
    <w:p w:rsidR="00C866BC" w:rsidRDefault="00AA27C1" w:rsidP="006850F1">
      <w:pPr>
        <w:pStyle w:val="ARIERBody"/>
        <w:tabs>
          <w:tab w:val="center" w:pos="5103"/>
          <w:tab w:val="right" w:pos="9639"/>
        </w:tabs>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m:t>
            </m:r>
          </m:sub>
        </m:sSub>
        <m:r>
          <w:rPr>
            <w:rFonts w:ascii="Cambria Math" w:eastAsiaTheme="minorEastAsia" w:hAnsi="Cambria Math"/>
          </w:rPr>
          <m:t>=a+c</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m:t>
            </m:r>
          </m:sub>
        </m:sSub>
      </m:oMath>
      <w:r w:rsidR="00C866BC">
        <w:rPr>
          <w:rFonts w:eastAsiaTheme="minorEastAsia"/>
        </w:rPr>
        <w:t>,</w:t>
      </w:r>
      <w:r w:rsidR="00C866BC">
        <w:rPr>
          <w:rFonts w:eastAsiaTheme="minorEastAsia"/>
        </w:rPr>
        <w:tab/>
        <w:t>Eq</w:t>
      </w:r>
      <w:r>
        <w:rPr>
          <w:rFonts w:eastAsiaTheme="minorEastAsia"/>
        </w:rPr>
        <w:t>.</w:t>
      </w:r>
      <w:r w:rsidR="00C866BC">
        <w:rPr>
          <w:rFonts w:eastAsiaTheme="minorEastAsia"/>
        </w:rPr>
        <w:t xml:space="preserve"> 2</w:t>
      </w:r>
    </w:p>
    <w:p w:rsidR="00942570" w:rsidRDefault="001E2563" w:rsidP="00942570">
      <w:pPr>
        <w:pStyle w:val="ARIERBody"/>
        <w:rPr>
          <w:rFonts w:eastAsiaTheme="minorEastAsia"/>
        </w:rPr>
      </w:pPr>
      <w:r>
        <w:rPr>
          <w:rFonts w:eastAsiaTheme="minorEastAsia"/>
        </w:rPr>
        <w:t xml:space="preserve">where </w:t>
      </w:r>
      <w:proofErr w:type="spellStart"/>
      <w:r w:rsidR="00C866BC" w:rsidRPr="008F056C">
        <w:rPr>
          <w:rFonts w:eastAsiaTheme="minorEastAsia"/>
          <w:i/>
        </w:rPr>
        <w:t>X</w:t>
      </w:r>
      <w:r w:rsidR="00C866BC" w:rsidRPr="008F056C">
        <w:rPr>
          <w:rFonts w:eastAsiaTheme="minorEastAsia"/>
          <w:vertAlign w:val="subscript"/>
        </w:rPr>
        <w:t>t</w:t>
      </w:r>
      <w:proofErr w:type="spellEnd"/>
      <w:r w:rsidR="00C866BC">
        <w:rPr>
          <w:rFonts w:eastAsiaTheme="minorEastAsia"/>
        </w:rPr>
        <w:t xml:space="preserve"> = log(</w:t>
      </w:r>
      <w:proofErr w:type="spellStart"/>
      <w:r w:rsidR="00C866BC" w:rsidRPr="008F056C">
        <w:rPr>
          <w:rFonts w:eastAsiaTheme="minorEastAsia"/>
          <w:i/>
        </w:rPr>
        <w:t>N</w:t>
      </w:r>
      <w:r w:rsidR="00C866BC" w:rsidRPr="008F056C">
        <w:rPr>
          <w:rFonts w:eastAsiaTheme="minorEastAsia"/>
          <w:vertAlign w:val="subscript"/>
        </w:rPr>
        <w:t>t</w:t>
      </w:r>
      <w:proofErr w:type="spellEnd"/>
      <w:r w:rsidR="00C866BC">
        <w:rPr>
          <w:rFonts w:eastAsiaTheme="minorEastAsia"/>
        </w:rPr>
        <w:t xml:space="preserve">) and </w:t>
      </w:r>
      <w:r w:rsidR="00C866BC" w:rsidRPr="008F056C">
        <w:rPr>
          <w:rFonts w:eastAsiaTheme="minorEastAsia"/>
          <w:i/>
        </w:rPr>
        <w:t>c</w:t>
      </w:r>
      <w:r w:rsidR="00C866BC">
        <w:rPr>
          <w:rFonts w:eastAsiaTheme="minorEastAsia"/>
        </w:rPr>
        <w:t xml:space="preserve"> = </w:t>
      </w:r>
      <w:r w:rsidR="00C866BC" w:rsidRPr="008F056C">
        <w:rPr>
          <w:rFonts w:eastAsiaTheme="minorEastAsia"/>
          <w:i/>
        </w:rPr>
        <w:t>b</w:t>
      </w:r>
      <w:r w:rsidR="00C866BC">
        <w:rPr>
          <w:rFonts w:eastAsiaTheme="minorEastAsia"/>
        </w:rPr>
        <w:t xml:space="preserve"> + 1.</w:t>
      </w:r>
      <w:r w:rsidR="00285836">
        <w:rPr>
          <w:rFonts w:eastAsiaTheme="minorEastAsia"/>
        </w:rPr>
        <w:t xml:space="preserve"> </w:t>
      </w:r>
      <w:r w:rsidR="00C866BC">
        <w:rPr>
          <w:rFonts w:eastAsiaTheme="minorEastAsia"/>
        </w:rPr>
        <w:t>Equation 2 has an equilibrium point (equilibrium density</w:t>
      </w:r>
      <w:r w:rsidR="00A144B6">
        <w:rPr>
          <w:rFonts w:eastAsiaTheme="minorEastAsia"/>
        </w:rPr>
        <w:t>—</w:t>
      </w:r>
      <w:r w:rsidR="00C866BC">
        <w:rPr>
          <w:rFonts w:eastAsiaTheme="minorEastAsia"/>
        </w:rPr>
        <w:t>carrying capacity) given by</w:t>
      </w:r>
    </w:p>
    <w:p w:rsidR="00C866BC" w:rsidRPr="007E59D2" w:rsidRDefault="00942570" w:rsidP="00942570">
      <w:pPr>
        <w:pStyle w:val="ARIERBody"/>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a</m:t>
            </m:r>
          </m:num>
          <m:den>
            <m:d>
              <m:dPr>
                <m:ctrlPr>
                  <w:rPr>
                    <w:rFonts w:ascii="Cambria Math" w:eastAsiaTheme="minorEastAsia" w:hAnsi="Cambria Math"/>
                    <w:i/>
                  </w:rPr>
                </m:ctrlPr>
              </m:dPr>
              <m:e>
                <m:r>
                  <w:rPr>
                    <w:rFonts w:ascii="Cambria Math" w:eastAsiaTheme="minorEastAsia" w:hAnsi="Cambria Math"/>
                  </w:rPr>
                  <m:t>1-c</m:t>
                </m:r>
              </m:e>
            </m:d>
          </m:den>
        </m:f>
      </m:oMath>
      <w:r w:rsidR="00A96C0F">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t xml:space="preserve">           E</w:t>
      </w:r>
      <w:r w:rsidR="00A96C0F">
        <w:rPr>
          <w:rFonts w:eastAsiaTheme="minorEastAsia"/>
        </w:rPr>
        <w:t>q. 3</w:t>
      </w:r>
    </w:p>
    <w:p w:rsidR="00C866BC" w:rsidRDefault="001E2563" w:rsidP="00F6205D">
      <w:pPr>
        <w:pStyle w:val="ARIERBody"/>
        <w:rPr>
          <w:rFonts w:eastAsiaTheme="minorEastAsia"/>
        </w:rPr>
      </w:pPr>
      <w:r>
        <w:rPr>
          <w:rFonts w:eastAsiaTheme="minorEastAsia"/>
        </w:rPr>
        <w:t xml:space="preserve">Providing </w:t>
      </w:r>
      <m:oMath>
        <m:d>
          <m:dPr>
            <m:begChr m:val="|"/>
            <m:endChr m:val="|"/>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&lt;1,</m:t>
        </m:r>
      </m:oMath>
      <w:r w:rsidR="00C866BC">
        <w:rPr>
          <w:rFonts w:eastAsiaTheme="minorEastAsia"/>
        </w:rPr>
        <w:t xml:space="preserve"> the estimated equilibrium density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t>
            </m:r>
          </m:sub>
        </m:sSub>
      </m:oMath>
      <w:r w:rsidR="00C866BC">
        <w:rPr>
          <w:rFonts w:eastAsiaTheme="minorEastAsia"/>
        </w:rPr>
        <w:t>will be stable.</w:t>
      </w:r>
      <w:r w:rsidR="00285836">
        <w:rPr>
          <w:rFonts w:eastAsiaTheme="minorEastAsia"/>
        </w:rPr>
        <w:t xml:space="preserve"> </w:t>
      </w:r>
      <w:r w:rsidR="00C866BC">
        <w:rPr>
          <w:rFonts w:eastAsiaTheme="minorEastAsia"/>
        </w:rPr>
        <w:t xml:space="preserve">We can generalise this model to </w:t>
      </w:r>
      <w:r w:rsidR="00C866BC" w:rsidRPr="0095542A">
        <w:rPr>
          <w:rFonts w:eastAsiaTheme="minorEastAsia"/>
          <w:i/>
        </w:rPr>
        <w:t>n</w:t>
      </w:r>
      <w:r w:rsidR="00C866BC">
        <w:rPr>
          <w:rFonts w:eastAsiaTheme="minorEastAsia"/>
        </w:rPr>
        <w:t xml:space="preserve"> interacting species by using a multivariate version of </w:t>
      </w:r>
      <w:r w:rsidR="00123A86">
        <w:rPr>
          <w:rFonts w:eastAsiaTheme="minorEastAsia"/>
        </w:rPr>
        <w:t>Equation</w:t>
      </w:r>
      <w:r w:rsidR="00C866BC">
        <w:rPr>
          <w:rFonts w:eastAsiaTheme="minorEastAsia"/>
        </w:rPr>
        <w:t xml:space="preserve"> 2</w:t>
      </w:r>
      <w:r w:rsidR="00AA27C1">
        <w:rPr>
          <w:rFonts w:eastAsiaTheme="minorEastAsia"/>
        </w:rPr>
        <w:t>:</w:t>
      </w:r>
    </w:p>
    <w:p w:rsidR="00C866BC" w:rsidRPr="001E2563" w:rsidRDefault="00AA27C1" w:rsidP="006850F1">
      <w:pPr>
        <w:pStyle w:val="ARIERBody"/>
        <w:tabs>
          <w:tab w:val="center" w:pos="5103"/>
          <w:tab w:val="right" w:pos="9639"/>
        </w:tabs>
        <w:rPr>
          <w:rFonts w:eastAsiaTheme="minorEastAsia"/>
        </w:rPr>
      </w:pPr>
      <w:r w:rsidRPr="001E2563">
        <w:rPr>
          <w:rFonts w:eastAsiaTheme="minorEastAsia"/>
        </w:rPr>
        <w:tab/>
      </w:r>
      <m:oMath>
        <m:sSub>
          <m:sSubPr>
            <m:ctrlPr>
              <w:rPr>
                <w:rFonts w:ascii="Cambria Math" w:eastAsiaTheme="minorEastAsia" w:hAnsi="Cambria Math"/>
                <w:i/>
              </w:rPr>
            </m:ctrlPr>
          </m:sSubPr>
          <m:e>
            <m:r>
              <m:rPr>
                <m:sty m:val="b"/>
              </m:rPr>
              <w:rPr>
                <w:rFonts w:ascii="Cambria Math" w:eastAsiaTheme="minorEastAsia" w:hAnsi="Cambria Math" w:hint="eastAsia"/>
              </w:rPr>
              <m:t>X</m:t>
            </m:r>
          </m:e>
          <m:sub>
            <m:r>
              <w:rPr>
                <w:rFonts w:ascii="Cambria Math" w:eastAsiaTheme="minorEastAsia" w:hAnsi="Cambria Math"/>
              </w:rPr>
              <m:t>t</m:t>
            </m:r>
          </m:sub>
        </m:sSub>
        <m:r>
          <w:rPr>
            <w:rFonts w:ascii="Cambria Math" w:eastAsiaTheme="minorEastAsia" w:hAnsi="Cambria Math" w:hint="eastAsia"/>
          </w:rPr>
          <m:t>=</m:t>
        </m:r>
        <m:r>
          <m:rPr>
            <m:sty m:val="b"/>
          </m:rPr>
          <w:rPr>
            <w:rFonts w:ascii="Cambria Math" w:eastAsiaTheme="minorEastAsia" w:hAnsi="Cambria Math" w:hint="eastAsia"/>
          </w:rPr>
          <m:t>A</m:t>
        </m:r>
        <m:r>
          <w:rPr>
            <w:rFonts w:ascii="Cambria Math" w:eastAsiaTheme="minorEastAsia" w:hAnsi="Cambria Math"/>
          </w:rPr>
          <m:t>+</m:t>
        </m:r>
        <m:r>
          <m:rPr>
            <m:sty m:val="b"/>
          </m:rPr>
          <w:rPr>
            <w:rFonts w:ascii="Cambria Math" w:eastAsiaTheme="minorEastAsia" w:hAnsi="Cambria Math"/>
          </w:rPr>
          <m:t>C</m:t>
        </m:r>
        <m:sSub>
          <m:sSubPr>
            <m:ctrlPr>
              <w:rPr>
                <w:rFonts w:ascii="Cambria Math" w:eastAsiaTheme="minorEastAsia" w:hAnsi="Cambria Math"/>
                <w:i/>
              </w:rPr>
            </m:ctrlPr>
          </m:sSubPr>
          <m:e>
            <m:r>
              <m:rPr>
                <m:sty m:val="p"/>
              </m:rPr>
              <w:rPr>
                <w:rFonts w:ascii="Cambria Math" w:eastAsiaTheme="minorEastAsia" w:hAnsi="Cambria Math" w:hint="eastAsia"/>
              </w:rPr>
              <m:t xml:space="preserve"> </m:t>
            </m:r>
            <m:r>
              <m:rPr>
                <m:sty m:val="b"/>
              </m:rPr>
              <w:rPr>
                <w:rFonts w:ascii="Cambria Math" w:eastAsiaTheme="minorEastAsia" w:hAnsi="Cambria Math" w:hint="eastAsia"/>
              </w:rPr>
              <m:t>X</m:t>
            </m:r>
          </m:e>
          <m:sub>
            <m:r>
              <w:rPr>
                <w:rFonts w:ascii="Cambria Math" w:eastAsiaTheme="minorEastAsia" w:hAnsi="Cambria Math"/>
              </w:rPr>
              <m:t>t-1</m:t>
            </m:r>
          </m:sub>
        </m:sSub>
        <m:r>
          <w:rPr>
            <w:rFonts w:ascii="Cambria Math" w:eastAsiaTheme="minorEastAsia" w:hAnsi="Cambria Math" w:hint="eastAsia"/>
          </w:rPr>
          <m:t>+</m:t>
        </m:r>
        <m:sSub>
          <m:sSubPr>
            <m:ctrlPr>
              <w:rPr>
                <w:rFonts w:ascii="Cambria Math" w:eastAsiaTheme="minorEastAsia" w:hAnsi="Cambria Math"/>
                <w:i/>
              </w:rPr>
            </m:ctrlPr>
          </m:sSubPr>
          <m:e>
            <m:r>
              <m:rPr>
                <m:sty m:val="b"/>
              </m:rPr>
              <w:rPr>
                <w:rFonts w:ascii="Cambria Math" w:eastAsiaTheme="minorEastAsia" w:hAnsi="Cambria Math" w:hint="eastAsia"/>
              </w:rPr>
              <m:t>E</m:t>
            </m:r>
          </m:e>
          <m:sub>
            <m:r>
              <w:rPr>
                <w:rFonts w:ascii="Cambria Math" w:eastAsiaTheme="minorEastAsia" w:hAnsi="Cambria Math"/>
              </w:rPr>
              <m:t>t</m:t>
            </m:r>
          </m:sub>
        </m:sSub>
      </m:oMath>
      <w:r w:rsidR="00C866BC" w:rsidRPr="001E2563">
        <w:rPr>
          <w:rFonts w:eastAsiaTheme="minorEastAsia"/>
        </w:rPr>
        <w:t xml:space="preserve">, </w:t>
      </w:r>
      <w:r w:rsidR="00C866BC" w:rsidRPr="001E2563">
        <w:rPr>
          <w:rFonts w:eastAsiaTheme="minorEastAsia"/>
        </w:rPr>
        <w:tab/>
        <w:t>Eq</w:t>
      </w:r>
      <w:r w:rsidRPr="001E2563">
        <w:rPr>
          <w:rFonts w:eastAsiaTheme="minorEastAsia"/>
        </w:rPr>
        <w:t>.</w:t>
      </w:r>
      <w:r w:rsidR="00C866BC" w:rsidRPr="001E2563">
        <w:rPr>
          <w:rFonts w:eastAsiaTheme="minorEastAsia"/>
        </w:rPr>
        <w:t xml:space="preserve"> </w:t>
      </w:r>
      <w:r w:rsidR="00942570">
        <w:rPr>
          <w:rFonts w:eastAsiaTheme="minorEastAsia"/>
        </w:rPr>
        <w:t>4</w:t>
      </w:r>
    </w:p>
    <w:p w:rsidR="00C866BC" w:rsidRPr="001E2563" w:rsidRDefault="00AA27C1" w:rsidP="00F6205D">
      <w:pPr>
        <w:pStyle w:val="ARIERBody"/>
        <w:rPr>
          <w:rFonts w:eastAsiaTheme="minorEastAsia"/>
        </w:rPr>
      </w:pPr>
      <w:r w:rsidRPr="001E2563">
        <w:rPr>
          <w:rFonts w:eastAsiaTheme="minorEastAsia"/>
        </w:rPr>
        <w:t xml:space="preserve">where </w:t>
      </w:r>
      <w:r w:rsidR="00C866BC" w:rsidRPr="006850F1">
        <w:rPr>
          <w:rFonts w:eastAsiaTheme="minorEastAsia"/>
        </w:rPr>
        <w:t>X</w:t>
      </w:r>
      <w:r w:rsidR="00C866BC" w:rsidRPr="001E2563">
        <w:rPr>
          <w:rFonts w:eastAsiaTheme="minorEastAsia"/>
        </w:rPr>
        <w:t xml:space="preserve"> and A are now a vector of size </w:t>
      </w:r>
      <w:r w:rsidR="00C866BC" w:rsidRPr="001E2563">
        <w:rPr>
          <w:rFonts w:eastAsiaTheme="minorEastAsia"/>
          <w:i/>
        </w:rPr>
        <w:t>n</w:t>
      </w:r>
      <w:r w:rsidR="00C866BC" w:rsidRPr="001E2563">
        <w:rPr>
          <w:rFonts w:eastAsiaTheme="minorEastAsia"/>
        </w:rPr>
        <w:t xml:space="preserve"> of </w:t>
      </w:r>
      <w:r w:rsidR="001E2563" w:rsidRPr="001E2563">
        <w:rPr>
          <w:rFonts w:eastAsiaTheme="minorEastAsia"/>
        </w:rPr>
        <w:t>log</w:t>
      </w:r>
      <w:r w:rsidR="001E2563">
        <w:rPr>
          <w:rFonts w:eastAsiaTheme="minorEastAsia"/>
        </w:rPr>
        <w:t>-</w:t>
      </w:r>
      <w:r w:rsidR="00C866BC" w:rsidRPr="001E2563">
        <w:rPr>
          <w:rFonts w:eastAsiaTheme="minorEastAsia"/>
        </w:rPr>
        <w:t>transformed abundances and rate of increase</w:t>
      </w:r>
      <w:r w:rsidR="001E2563">
        <w:rPr>
          <w:rFonts w:eastAsiaTheme="minorEastAsia"/>
        </w:rPr>
        <w:t>,</w:t>
      </w:r>
      <w:r w:rsidR="00C866BC" w:rsidRPr="001E2563">
        <w:rPr>
          <w:rFonts w:eastAsiaTheme="minorEastAsia"/>
        </w:rPr>
        <w:t xml:space="preserve"> respectively</w:t>
      </w:r>
      <w:r w:rsidR="001E2563">
        <w:rPr>
          <w:rFonts w:eastAsiaTheme="minorEastAsia"/>
        </w:rPr>
        <w:t>,</w:t>
      </w:r>
      <w:r w:rsidR="00C866BC" w:rsidRPr="001E2563">
        <w:rPr>
          <w:rFonts w:eastAsiaTheme="minorEastAsia"/>
        </w:rPr>
        <w:t xml:space="preserve"> and C is now a matrix whose elements give the effect of species </w:t>
      </w:r>
      <w:r w:rsidR="00C866BC" w:rsidRPr="001E2563">
        <w:rPr>
          <w:rFonts w:eastAsiaTheme="minorEastAsia"/>
          <w:i/>
        </w:rPr>
        <w:t>j</w:t>
      </w:r>
      <w:r w:rsidR="00C866BC" w:rsidRPr="001E2563">
        <w:rPr>
          <w:rFonts w:eastAsiaTheme="minorEastAsia"/>
        </w:rPr>
        <w:t xml:space="preserve"> on the rate of increase of species </w:t>
      </w:r>
      <w:proofErr w:type="spellStart"/>
      <w:r w:rsidR="00C866BC" w:rsidRPr="001E2563">
        <w:rPr>
          <w:rFonts w:eastAsiaTheme="minorEastAsia"/>
          <w:i/>
        </w:rPr>
        <w:t>i</w:t>
      </w:r>
      <w:proofErr w:type="spellEnd"/>
      <w:r w:rsidR="00C866BC" w:rsidRPr="001E2563">
        <w:rPr>
          <w:rFonts w:eastAsiaTheme="minorEastAsia"/>
        </w:rPr>
        <w:t>.</w:t>
      </w:r>
      <w:r w:rsidR="00285836" w:rsidRPr="001E2563">
        <w:rPr>
          <w:rFonts w:eastAsiaTheme="minorEastAsia"/>
        </w:rPr>
        <w:t xml:space="preserve"> </w:t>
      </w:r>
      <w:r w:rsidR="00C866BC" w:rsidRPr="001E2563">
        <w:rPr>
          <w:rFonts w:eastAsiaTheme="minorEastAsia"/>
        </w:rPr>
        <w:t xml:space="preserve">Equation 3 thus represents a multivariate autoregressive process of order 1 </w:t>
      </w:r>
      <w:r w:rsidR="00C866BC" w:rsidRPr="00480B19">
        <w:rPr>
          <w:rFonts w:eastAsiaTheme="minorEastAsia"/>
        </w:rPr>
        <w:fldChar w:fldCharType="begin"/>
      </w:r>
      <w:r w:rsidR="00C866BC" w:rsidRPr="001E2563">
        <w:rPr>
          <w:rFonts w:eastAsiaTheme="minorEastAsia"/>
        </w:rPr>
        <w:instrText xml:space="preserve"> ADDIN ZOTERO_ITEM CSL_CITATION {"citationID":"1j27vagtfv","properties":{"formattedCitation":"{\\rtf (Ives {\\i{}et al.} 2003)}","plainCitation":"(Ives et al. 2003)"},"citationItems":[{"id":5056,"uris":["http://zotero.org/users/634364/items/8IQ6ZZ9M"],"uri":["http://zotero.org/users/634364/items/8IQ6ZZ9M"],"itemData":{"id":5056,"type":"article-journal","title":"Estimating community stability and ecological interactions from time-series data","container-title":"Ecological Monographs","page":"301-330","volume":"73","issue":"2","source":"Scopus","abstract":"Natural ecological communities are continuously buffeted by a varying environment, often making it difficult to measure the stability of communities using concepts requiring the existence of an equilibrium point. Instead of an equilibrium point, the equilibrial state of communities subject to environmental stochasticity is a stationary distribution, which is characterized by means, variances, and other statistical moments. Here, we derive three properties of stochastic multispecies communities that measure different characteristics associated with community stability. These properties can be estimated from multispecies time-series data using first-order multivariate autoregressive (MAR(1)) models. We demonstrate how to estimate the parameters of MAR(1) models and obtain confidence intervals for both parameters and the measures of stability. We also address the problem of estimation when there is observation (measurement) error. To illustrate these methods, we compare the stability of the planktonic communities in three lakes in which nutrient loading and planktivorous fish abundance were experimentally manipulated. MAR(1) models and the statistical methods we present can be used to identify dynamically important interactions between species and to test hypotheses about stability and other dynamical properties of naturally varying ecological communities. Thus, they can be used to integrate theoretical and empirical studies of community dynamics.","author":[{"family":"Ives","given":"A.R."},{"family":"Dennis","given":"B."},{"family":"Cottingham","given":"K.L."},{"family":"Carpenter","given":"S.R."}],"issued":{"date-parts":[["2003"]]}}}],"schema":"https://github.com/citation-style-language/schema/raw/master/csl-citation.json"} </w:instrText>
      </w:r>
      <w:r w:rsidR="00C866BC" w:rsidRPr="00480B19">
        <w:rPr>
          <w:rFonts w:eastAsiaTheme="minorEastAsia"/>
        </w:rPr>
        <w:fldChar w:fldCharType="separate"/>
      </w:r>
      <w:r w:rsidR="00C866BC" w:rsidRPr="001E2563">
        <w:t xml:space="preserve">(Ives </w:t>
      </w:r>
      <w:r w:rsidR="008C4522" w:rsidRPr="006850F1">
        <w:rPr>
          <w:iCs/>
        </w:rPr>
        <w:t>et al.</w:t>
      </w:r>
      <w:r w:rsidR="00C866BC" w:rsidRPr="001E2563">
        <w:t xml:space="preserve"> 2003)</w:t>
      </w:r>
      <w:r w:rsidR="00C866BC" w:rsidRPr="00480B19">
        <w:rPr>
          <w:rFonts w:eastAsiaTheme="minorEastAsia"/>
        </w:rPr>
        <w:fldChar w:fldCharType="end"/>
      </w:r>
      <w:r w:rsidR="00C866BC" w:rsidRPr="001E2563">
        <w:rPr>
          <w:rFonts w:eastAsiaTheme="minorEastAsia"/>
        </w:rPr>
        <w:t>.</w:t>
      </w:r>
      <w:r w:rsidR="00285836" w:rsidRPr="001E2563">
        <w:rPr>
          <w:rFonts w:eastAsiaTheme="minorEastAsia"/>
        </w:rPr>
        <w:t xml:space="preserve"> </w:t>
      </w:r>
      <w:r w:rsidR="00C866BC" w:rsidRPr="001E2563">
        <w:rPr>
          <w:rFonts w:eastAsiaTheme="minorEastAsia"/>
        </w:rPr>
        <w:t xml:space="preserve">The estimate of the equilibrium </w:t>
      </w:r>
      <w:r w:rsidR="001E2563" w:rsidRPr="001E2563">
        <w:rPr>
          <w:rFonts w:eastAsiaTheme="minorEastAsia"/>
        </w:rPr>
        <w:t>densit</w:t>
      </w:r>
      <w:r w:rsidR="001E2563">
        <w:rPr>
          <w:rFonts w:eastAsiaTheme="minorEastAsia"/>
        </w:rPr>
        <w:t>y</w:t>
      </w:r>
      <w:r w:rsidR="001E2563" w:rsidRPr="001E2563">
        <w:rPr>
          <w:rFonts w:eastAsiaTheme="minorEastAsia"/>
        </w:rPr>
        <w:t xml:space="preserve"> </w:t>
      </w:r>
      <w:r w:rsidR="00C866BC" w:rsidRPr="001E2563">
        <w:rPr>
          <w:rFonts w:eastAsiaTheme="minorEastAsia"/>
        </w:rPr>
        <w:t>for each species is now given by</w:t>
      </w:r>
      <w:r w:rsidRPr="001E2563">
        <w:rPr>
          <w:rFonts w:eastAsiaTheme="minorEastAsia"/>
        </w:rPr>
        <w:t>:</w:t>
      </w:r>
    </w:p>
    <w:p w:rsidR="00C866BC" w:rsidRPr="001E2563" w:rsidRDefault="00AA27C1" w:rsidP="006850F1">
      <w:pPr>
        <w:pStyle w:val="ARIERBody"/>
        <w:tabs>
          <w:tab w:val="center" w:pos="5103"/>
        </w:tabs>
        <w:rPr>
          <w:rFonts w:eastAsiaTheme="minorEastAsia"/>
        </w:rPr>
      </w:pPr>
      <w:r w:rsidRPr="001E2563">
        <w:rPr>
          <w:rFonts w:eastAsiaTheme="minorEastAsia"/>
        </w:rPr>
        <w:tab/>
      </w:r>
      <m:oMath>
        <m:sSub>
          <m:sSubPr>
            <m:ctrlPr>
              <w:rPr>
                <w:rFonts w:ascii="Cambria Math" w:eastAsiaTheme="minorEastAsia" w:hAnsi="Cambria Math"/>
                <w:i/>
              </w:rPr>
            </m:ctrlPr>
          </m:sSubPr>
          <m:e>
            <m:r>
              <m:rPr>
                <m:sty m:val="b"/>
              </m:rPr>
              <w:rPr>
                <w:rFonts w:ascii="Cambria Math" w:eastAsiaTheme="minorEastAsia" w:hAnsi="Cambria Math" w:hint="eastAsia"/>
              </w:rPr>
              <m:t>X</m:t>
            </m:r>
          </m:e>
          <m:sub>
            <m:r>
              <w:rPr>
                <w:rFonts w:ascii="Cambria Math" w:eastAsiaTheme="minorEastAsia" w:hAnsi="Cambria Math" w:hint="eastAsia"/>
              </w:rPr>
              <m:t>∞</m:t>
            </m:r>
          </m:sub>
        </m:sSub>
        <m:r>
          <w:rPr>
            <w:rFonts w:ascii="Cambria Math" w:eastAsiaTheme="minorEastAsia" w:hAnsi="Cambria Math" w:hint="eastAsia"/>
          </w:rPr>
          <m:t>=</m:t>
        </m:r>
        <m:sSup>
          <m:sSupPr>
            <m:ctrlPr>
              <w:rPr>
                <w:rFonts w:ascii="Cambria Math" w:eastAsiaTheme="minorEastAsia" w:hAnsi="Cambria Math"/>
                <w:i/>
              </w:rPr>
            </m:ctrlPr>
          </m:sSupPr>
          <m:e>
            <m:d>
              <m:dPr>
                <m:ctrlPr>
                  <w:rPr>
                    <w:rFonts w:ascii="Cambria Math" w:eastAsiaTheme="minorEastAsia" w:hAnsi="Cambria Math"/>
                    <w:i/>
                  </w:rPr>
                </m:ctrlPr>
              </m:dPr>
              <m:e>
                <m:r>
                  <m:rPr>
                    <m:sty m:val="b"/>
                  </m:rPr>
                  <w:rPr>
                    <w:rFonts w:ascii="Cambria Math" w:eastAsiaTheme="minorEastAsia" w:hAnsi="Cambria Math" w:hint="eastAsia"/>
                  </w:rPr>
                  <m:t>I</m:t>
                </m:r>
                <m:r>
                  <w:rPr>
                    <w:rFonts w:ascii="Cambria Math" w:eastAsiaTheme="minorEastAsia" w:hAnsi="Cambria Math"/>
                  </w:rPr>
                  <m:t>-</m:t>
                </m:r>
                <m:r>
                  <m:rPr>
                    <m:sty m:val="b"/>
                  </m:rPr>
                  <w:rPr>
                    <w:rFonts w:ascii="Cambria Math" w:eastAsiaTheme="minorEastAsia" w:hAnsi="Cambria Math"/>
                  </w:rPr>
                  <m:t>C</m:t>
                </m:r>
              </m:e>
            </m:d>
          </m:e>
          <m:sup>
            <m:r>
              <w:rPr>
                <w:rFonts w:ascii="Cambria Math" w:eastAsiaTheme="minorEastAsia" w:hAnsi="Cambria Math"/>
              </w:rPr>
              <m:t>-1</m:t>
            </m:r>
          </m:sup>
        </m:sSup>
        <m:r>
          <m:rPr>
            <m:sty m:val="b"/>
          </m:rPr>
          <w:rPr>
            <w:rFonts w:ascii="Cambria Math" w:eastAsiaTheme="minorEastAsia" w:hAnsi="Cambria Math" w:hint="eastAsia"/>
          </w:rPr>
          <m:t>A</m:t>
        </m:r>
      </m:oMath>
      <w:r w:rsidRPr="006850F1">
        <w:rPr>
          <w:rFonts w:eastAsiaTheme="minorEastAsia"/>
        </w:rPr>
        <w:t>,</w:t>
      </w:r>
      <w:r w:rsidR="00942570">
        <w:rPr>
          <w:rFonts w:eastAsiaTheme="minorEastAsia"/>
        </w:rPr>
        <w:tab/>
      </w:r>
      <w:r w:rsidR="00942570">
        <w:rPr>
          <w:rFonts w:eastAsiaTheme="minorEastAsia"/>
        </w:rPr>
        <w:tab/>
      </w:r>
      <w:r w:rsidR="00942570">
        <w:rPr>
          <w:rFonts w:eastAsiaTheme="minorEastAsia"/>
        </w:rPr>
        <w:tab/>
      </w:r>
      <w:r w:rsidR="00942570">
        <w:rPr>
          <w:rFonts w:eastAsiaTheme="minorEastAsia"/>
        </w:rPr>
        <w:tab/>
        <w:t xml:space="preserve">           Eq. 5</w:t>
      </w:r>
    </w:p>
    <w:p w:rsidR="00C866BC" w:rsidRDefault="00AA27C1" w:rsidP="00F6205D">
      <w:pPr>
        <w:pStyle w:val="ARIERBody"/>
        <w:rPr>
          <w:rFonts w:eastAsiaTheme="minorEastAsia"/>
        </w:rPr>
      </w:pPr>
      <w:r w:rsidRPr="001E2563">
        <w:rPr>
          <w:rFonts w:eastAsiaTheme="minorEastAsia"/>
        </w:rPr>
        <w:t xml:space="preserve">where </w:t>
      </w:r>
      <w:r w:rsidR="00C866BC" w:rsidRPr="006850F1">
        <w:rPr>
          <w:rFonts w:ascii="Times New Roman" w:eastAsiaTheme="minorEastAsia" w:hAnsi="Times New Roman"/>
        </w:rPr>
        <w:t>I</w:t>
      </w:r>
      <w:r w:rsidR="00C866BC" w:rsidRPr="001E2563">
        <w:rPr>
          <w:rFonts w:eastAsiaTheme="minorEastAsia"/>
        </w:rPr>
        <w:t xml:space="preserve"> is the </w:t>
      </w:r>
      <w:r w:rsidR="00C866BC" w:rsidRPr="001E2563">
        <w:rPr>
          <w:rFonts w:eastAsiaTheme="minorEastAsia"/>
          <w:i/>
        </w:rPr>
        <w:t>n</w:t>
      </w:r>
      <w:r w:rsidR="00C866BC" w:rsidRPr="001E2563">
        <w:rPr>
          <w:rFonts w:eastAsiaTheme="minorEastAsia"/>
        </w:rPr>
        <w:t xml:space="preserve"> × </w:t>
      </w:r>
      <w:r w:rsidR="00C866BC" w:rsidRPr="001E2563">
        <w:rPr>
          <w:rFonts w:eastAsiaTheme="minorEastAsia"/>
          <w:i/>
        </w:rPr>
        <w:t>n</w:t>
      </w:r>
      <w:r w:rsidR="00C866BC" w:rsidRPr="001E2563">
        <w:rPr>
          <w:rFonts w:eastAsiaTheme="minorEastAsia"/>
        </w:rPr>
        <w:t xml:space="preserve"> identity matrix.</w:t>
      </w:r>
      <w:r w:rsidR="00285836" w:rsidRPr="001E2563">
        <w:rPr>
          <w:rFonts w:eastAsiaTheme="minorEastAsia"/>
        </w:rPr>
        <w:t xml:space="preserve"> </w:t>
      </w:r>
      <w:r w:rsidR="00C866BC" w:rsidRPr="001E2563">
        <w:rPr>
          <w:rFonts w:eastAsiaTheme="minorEastAsia"/>
        </w:rPr>
        <w:t xml:space="preserve">We fitted </w:t>
      </w:r>
      <w:r w:rsidR="00123A86" w:rsidRPr="001E2563">
        <w:rPr>
          <w:rFonts w:eastAsiaTheme="minorEastAsia"/>
        </w:rPr>
        <w:t>Equation</w:t>
      </w:r>
      <w:r w:rsidR="00C866BC" w:rsidRPr="001E2563">
        <w:rPr>
          <w:rFonts w:eastAsiaTheme="minorEastAsia"/>
        </w:rPr>
        <w:t xml:space="preserve"> </w:t>
      </w:r>
      <w:r w:rsidR="00942570">
        <w:rPr>
          <w:rFonts w:eastAsiaTheme="minorEastAsia"/>
        </w:rPr>
        <w:t>4</w:t>
      </w:r>
      <w:r w:rsidR="00C866BC" w:rsidRPr="001E2563">
        <w:rPr>
          <w:rFonts w:eastAsiaTheme="minorEastAsia"/>
        </w:rPr>
        <w:t xml:space="preserve"> to the time series of </w:t>
      </w:r>
      <w:r w:rsidR="005574FB" w:rsidRPr="001E2563">
        <w:rPr>
          <w:rFonts w:eastAsiaTheme="minorEastAsia"/>
        </w:rPr>
        <w:t>Koala</w:t>
      </w:r>
      <w:r w:rsidR="00C866BC" w:rsidRPr="001E2563">
        <w:rPr>
          <w:rFonts w:eastAsiaTheme="minorEastAsia"/>
        </w:rPr>
        <w:t xml:space="preserve"> densities and average</w:t>
      </w:r>
      <w:r w:rsidR="00C866BC">
        <w:rPr>
          <w:rFonts w:eastAsiaTheme="minorEastAsia"/>
        </w:rPr>
        <w:t xml:space="preserve"> </w:t>
      </w:r>
      <w:r w:rsidR="00D57DAF">
        <w:rPr>
          <w:rFonts w:eastAsiaTheme="minorEastAsia"/>
        </w:rPr>
        <w:t>PFC</w:t>
      </w:r>
      <w:r w:rsidR="00C866BC">
        <w:rPr>
          <w:rFonts w:eastAsiaTheme="minorEastAsia"/>
        </w:rPr>
        <w:t xml:space="preserve"> estimates for </w:t>
      </w:r>
      <w:r w:rsidR="00A4160B">
        <w:rPr>
          <w:rFonts w:eastAsiaTheme="minorEastAsia"/>
        </w:rPr>
        <w:t>Manna Gum</w:t>
      </w:r>
      <w:r w:rsidR="00C866BC">
        <w:rPr>
          <w:rFonts w:eastAsiaTheme="minorEastAsia"/>
        </w:rPr>
        <w:t xml:space="preserve"> from five sites around Bimbi Park, Cape Otway</w:t>
      </w:r>
      <w:r w:rsidR="001E2563">
        <w:rPr>
          <w:rFonts w:eastAsiaTheme="minorEastAsia"/>
        </w:rPr>
        <w:t>,</w:t>
      </w:r>
      <w:r w:rsidR="00C866BC">
        <w:rPr>
          <w:rFonts w:eastAsiaTheme="minorEastAsia"/>
        </w:rPr>
        <w:t xml:space="preserve"> collected </w:t>
      </w:r>
      <w:r w:rsidR="001E2563">
        <w:rPr>
          <w:rFonts w:eastAsiaTheme="minorEastAsia"/>
        </w:rPr>
        <w:t xml:space="preserve">in </w:t>
      </w:r>
      <w:r w:rsidR="00C866BC">
        <w:rPr>
          <w:rFonts w:eastAsiaTheme="minorEastAsia"/>
        </w:rPr>
        <w:t>2008</w:t>
      </w:r>
      <w:r w:rsidR="00F051B7">
        <w:rPr>
          <w:rFonts w:eastAsiaTheme="minorEastAsia"/>
        </w:rPr>
        <w:t>–</w:t>
      </w:r>
      <w:r w:rsidR="00C866BC">
        <w:rPr>
          <w:rFonts w:eastAsiaTheme="minorEastAsia"/>
        </w:rPr>
        <w:t xml:space="preserve">2015 </w:t>
      </w:r>
      <w:r w:rsidR="00C866BC">
        <w:rPr>
          <w:rFonts w:eastAsiaTheme="minorEastAsia"/>
        </w:rPr>
        <w:fldChar w:fldCharType="begin"/>
      </w:r>
      <w:r w:rsidR="00C866BC">
        <w:rPr>
          <w:rFonts w:eastAsiaTheme="minorEastAsia"/>
        </w:rPr>
        <w:instrText xml:space="preserve"> ADDIN ZOTERO_ITEM CSL_CITATION {"citationID":"PR2K4HCO","properties":{"formattedCitation":"{\\rtf (Whisson {\\i{}et al.} 2016; Whisson and Melzer unpublished)}","plainCitation":"(Whisson et al. 2016; Whisson and Melzer unpublished)"},"citationItems":[{"id":1423,"uris":["http://zotero.org/users/634364/items/SFNS2XS4"],"uri":["http://zotero.org/users/634364/items/SFNS2XS4"],"itemData":{"id":1423,"type":"article-journal","title":"Failure to Respond to Food Resource Decline Has Catastrophic Consequences for Koalas in a High-Density Population in Southern Australia","container-title":"PLOS ONE","page":"e0144348","volume":"11","issue":"1","source":"PLoS Journals","abstract":"Understanding the ability of koalas to respond to changes in their environment is critical for conservation of the species and their habitat. We monitored the behavioural response of koalas to declining food resources in manna gum ( Eucalyptus viminalis ) woodland at Cape Otway, Victoria, Australia, from September 2011 to November 2013. Over this period, koala population density increased from 10.1 to 18.4 koalas.ha -1 . As a result of the high browsing pressure of this population, manna gum canopy condition declined with 71.4% manna gum being completely or highly defoliated in September 2013. Despite declining food resources, radio collared koalas (N = 30) exhibited high fidelity to small ranges (0.4–1.2 ha). When trees became severely defoliated in September 2013, koalas moved relatively short distances from their former ranges (mean predicted change in range centroid = 144 m) and remained in areas of 0.9 to 1.0 ha. This was despite the high connectivity of most manna gum woodland, and close proximity of the study site (&amp;lt; 3 km) to the contiguous mixed forest of the Great Otway National Park. Limited movement had catastrophic consequences for koalas with 71% (15/21) of radio collared koalas dying from starvation or being euthanased due to their poor condition between September and November 2013.","DOI":"10.1371/journal.pone.0144348","ISSN":"1932-6203","journalAbbreviation":"PLOS ONE","author":[{"family":"Whisson","given":"Desley A."},{"family":"Dixon","given":"Victoria"},{"family":"Taylor","given":"Megan L."},{"family":"Melzer","given":"Alistair"}],"issued":{"date-parts":[["2016",1,6]]}},"suffix":"; Whisson and Melzer unpublished"}],"schema":"https://github.com/citation-style-language/schema/raw/master/csl-citation.json"} </w:instrText>
      </w:r>
      <w:r w:rsidR="00C866BC">
        <w:rPr>
          <w:rFonts w:eastAsiaTheme="minorEastAsia"/>
        </w:rPr>
        <w:fldChar w:fldCharType="separate"/>
      </w:r>
      <w:r w:rsidR="00C866BC" w:rsidRPr="00930C6A">
        <w:t xml:space="preserve">(Whisson </w:t>
      </w:r>
      <w:r w:rsidR="008C4522" w:rsidRPr="006850F1">
        <w:rPr>
          <w:iCs/>
        </w:rPr>
        <w:t>et al.</w:t>
      </w:r>
      <w:r w:rsidR="00C866BC" w:rsidRPr="00930C6A">
        <w:t xml:space="preserve"> 2016; Whisson and Melzer </w:t>
      </w:r>
      <w:r w:rsidR="00E11C2B" w:rsidRPr="00930C6A">
        <w:t>unpubl</w:t>
      </w:r>
      <w:r w:rsidR="00E11C2B">
        <w:t>.</w:t>
      </w:r>
      <w:r w:rsidR="001E2563">
        <w:t xml:space="preserve"> data</w:t>
      </w:r>
      <w:r w:rsidR="00C866BC" w:rsidRPr="00930C6A">
        <w:t>)</w:t>
      </w:r>
      <w:r w:rsidR="00C866BC">
        <w:rPr>
          <w:rFonts w:eastAsiaTheme="minorEastAsia"/>
        </w:rPr>
        <w:fldChar w:fldCharType="end"/>
      </w:r>
      <w:r w:rsidR="00C866BC">
        <w:rPr>
          <w:rFonts w:eastAsiaTheme="minorEastAsia"/>
        </w:rPr>
        <w:t xml:space="preserve">. These data were used </w:t>
      </w:r>
      <w:r w:rsidR="001E2563">
        <w:rPr>
          <w:rFonts w:eastAsiaTheme="minorEastAsia"/>
        </w:rPr>
        <w:t xml:space="preserve">because </w:t>
      </w:r>
      <w:r w:rsidR="00C866BC">
        <w:rPr>
          <w:rFonts w:eastAsiaTheme="minorEastAsia"/>
        </w:rPr>
        <w:t xml:space="preserve">they are the most comprehensive record of </w:t>
      </w:r>
      <w:r w:rsidR="005574FB">
        <w:rPr>
          <w:rFonts w:eastAsiaTheme="minorEastAsia"/>
        </w:rPr>
        <w:t>Koala</w:t>
      </w:r>
      <w:r w:rsidR="00C866BC">
        <w:rPr>
          <w:rFonts w:eastAsiaTheme="minorEastAsia"/>
        </w:rPr>
        <w:t xml:space="preserve"> populations covering the period between 2011</w:t>
      </w:r>
      <w:r w:rsidR="001E2563">
        <w:rPr>
          <w:rFonts w:eastAsiaTheme="minorEastAsia"/>
        </w:rPr>
        <w:t xml:space="preserve"> and </w:t>
      </w:r>
      <w:r w:rsidR="00C866BC">
        <w:rPr>
          <w:rFonts w:eastAsiaTheme="minorEastAsia"/>
        </w:rPr>
        <w:t>2015</w:t>
      </w:r>
      <w:r w:rsidR="001E2563">
        <w:rPr>
          <w:rFonts w:eastAsiaTheme="minorEastAsia"/>
        </w:rPr>
        <w:t>,</w:t>
      </w:r>
      <w:r w:rsidR="00C866BC">
        <w:rPr>
          <w:rFonts w:eastAsiaTheme="minorEastAsia"/>
        </w:rPr>
        <w:t xml:space="preserve"> when populations reached very high densities before subsequently collapsing.</w:t>
      </w:r>
      <w:r w:rsidR="00285836">
        <w:rPr>
          <w:rFonts w:eastAsiaTheme="minorEastAsia"/>
        </w:rPr>
        <w:t xml:space="preserve"> </w:t>
      </w:r>
      <w:r w:rsidR="00C866BC">
        <w:rPr>
          <w:rFonts w:eastAsiaTheme="minorEastAsia"/>
        </w:rPr>
        <w:t>Each site was monitored during September of each year</w:t>
      </w:r>
      <w:r w:rsidR="001E2563">
        <w:rPr>
          <w:rFonts w:eastAsiaTheme="minorEastAsia"/>
        </w:rPr>
        <w:t>,</w:t>
      </w:r>
      <w:r w:rsidR="00C866BC">
        <w:rPr>
          <w:rFonts w:eastAsiaTheme="minorEastAsia"/>
        </w:rPr>
        <w:t xml:space="preserve"> with up to </w:t>
      </w:r>
      <w:r w:rsidR="001E2563">
        <w:rPr>
          <w:rFonts w:eastAsiaTheme="minorEastAsia"/>
        </w:rPr>
        <w:t xml:space="preserve">eight </w:t>
      </w:r>
      <w:r w:rsidR="00C866BC">
        <w:rPr>
          <w:rFonts w:eastAsiaTheme="minorEastAsia"/>
        </w:rPr>
        <w:t xml:space="preserve">observers systematically searching trees in each area for </w:t>
      </w:r>
      <w:r w:rsidR="005574FB">
        <w:rPr>
          <w:rFonts w:eastAsiaTheme="minorEastAsia"/>
        </w:rPr>
        <w:t>Koala</w:t>
      </w:r>
      <w:r w:rsidR="00C866BC">
        <w:rPr>
          <w:rFonts w:eastAsiaTheme="minorEastAsia"/>
        </w:rPr>
        <w:t>s.</w:t>
      </w:r>
      <w:r w:rsidR="00285836">
        <w:rPr>
          <w:rFonts w:eastAsiaTheme="minorEastAsia"/>
        </w:rPr>
        <w:t xml:space="preserve"> </w:t>
      </w:r>
      <w:r w:rsidR="00C866BC">
        <w:rPr>
          <w:rFonts w:eastAsiaTheme="minorEastAsia"/>
        </w:rPr>
        <w:t>Since every tree at each site was subject to searching</w:t>
      </w:r>
      <w:r w:rsidR="001E2563">
        <w:rPr>
          <w:rFonts w:eastAsiaTheme="minorEastAsia"/>
        </w:rPr>
        <w:t>,</w:t>
      </w:r>
      <w:r w:rsidR="00C866BC">
        <w:rPr>
          <w:rFonts w:eastAsiaTheme="minorEastAsia"/>
        </w:rPr>
        <w:t xml:space="preserve"> the count of the number of </w:t>
      </w:r>
      <w:r w:rsidR="005574FB">
        <w:rPr>
          <w:rFonts w:eastAsiaTheme="minorEastAsia"/>
        </w:rPr>
        <w:t>Koala</w:t>
      </w:r>
      <w:r w:rsidR="00C866BC">
        <w:rPr>
          <w:rFonts w:eastAsiaTheme="minorEastAsia"/>
        </w:rPr>
        <w:t xml:space="preserve">s seen divided by the area searched constituted a complete census and </w:t>
      </w:r>
      <w:r w:rsidR="001E2563">
        <w:rPr>
          <w:rFonts w:eastAsiaTheme="minorEastAsia"/>
        </w:rPr>
        <w:t xml:space="preserve">was </w:t>
      </w:r>
      <w:r w:rsidR="00C866BC">
        <w:rPr>
          <w:rFonts w:eastAsiaTheme="minorEastAsia"/>
        </w:rPr>
        <w:t xml:space="preserve">used as the estimate of </w:t>
      </w:r>
      <w:r w:rsidR="005574FB">
        <w:rPr>
          <w:rFonts w:eastAsiaTheme="minorEastAsia"/>
        </w:rPr>
        <w:t>Koala</w:t>
      </w:r>
      <w:r w:rsidR="00C866BC">
        <w:rPr>
          <w:rFonts w:eastAsiaTheme="minorEastAsia"/>
        </w:rPr>
        <w:t xml:space="preserve"> density.</w:t>
      </w:r>
      <w:r w:rsidR="00285836">
        <w:rPr>
          <w:rFonts w:eastAsiaTheme="minorEastAsia"/>
        </w:rPr>
        <w:t xml:space="preserve"> </w:t>
      </w:r>
      <w:r w:rsidR="00C866BC">
        <w:rPr>
          <w:rFonts w:eastAsiaTheme="minorEastAsia"/>
        </w:rPr>
        <w:t>At the same time, the canopies of 20</w:t>
      </w:r>
      <w:r w:rsidR="001E2563">
        <w:rPr>
          <w:rFonts w:eastAsiaTheme="minorEastAsia"/>
        </w:rPr>
        <w:t>–</w:t>
      </w:r>
      <w:r w:rsidR="00C866BC">
        <w:rPr>
          <w:rFonts w:eastAsiaTheme="minorEastAsia"/>
        </w:rPr>
        <w:t xml:space="preserve">40 randomly selected </w:t>
      </w:r>
      <w:r w:rsidR="00FF1DB9">
        <w:rPr>
          <w:rFonts w:eastAsiaTheme="minorEastAsia"/>
        </w:rPr>
        <w:t>Manna Gum</w:t>
      </w:r>
      <w:r w:rsidR="00C866BC">
        <w:rPr>
          <w:rFonts w:eastAsiaTheme="minorEastAsia"/>
        </w:rPr>
        <w:t xml:space="preserve"> trees were assessed</w:t>
      </w:r>
      <w:r w:rsidR="001E2563">
        <w:rPr>
          <w:rFonts w:eastAsiaTheme="minorEastAsia"/>
        </w:rPr>
        <w:t>,</w:t>
      </w:r>
      <w:r w:rsidR="00C866BC">
        <w:rPr>
          <w:rFonts w:eastAsiaTheme="minorEastAsia"/>
        </w:rPr>
        <w:t xml:space="preserve"> and an estimate </w:t>
      </w:r>
      <w:r w:rsidR="001E2563">
        <w:rPr>
          <w:rFonts w:eastAsiaTheme="minorEastAsia"/>
        </w:rPr>
        <w:t xml:space="preserve">was </w:t>
      </w:r>
      <w:r w:rsidR="00C866BC">
        <w:rPr>
          <w:rFonts w:eastAsiaTheme="minorEastAsia"/>
        </w:rPr>
        <w:t xml:space="preserve">obtained of the </w:t>
      </w:r>
      <w:r w:rsidR="001E2563">
        <w:rPr>
          <w:rFonts w:eastAsiaTheme="minorEastAsia"/>
        </w:rPr>
        <w:t>PFC</w:t>
      </w:r>
      <w:r w:rsidR="00C866BC">
        <w:rPr>
          <w:rFonts w:eastAsiaTheme="minorEastAsia"/>
        </w:rPr>
        <w:t xml:space="preserve"> as well as an index of canopy defoliation ranging from 1 (complete defoliation) to 5 (little defoliation).</w:t>
      </w:r>
      <w:r w:rsidR="00285836">
        <w:rPr>
          <w:rFonts w:eastAsiaTheme="minorEastAsia"/>
        </w:rPr>
        <w:t xml:space="preserve"> </w:t>
      </w:r>
      <w:r w:rsidR="00C866BC">
        <w:rPr>
          <w:rFonts w:eastAsiaTheme="minorEastAsia"/>
        </w:rPr>
        <w:t xml:space="preserve">A more complete description of the data collection at these sites is given in </w:t>
      </w:r>
      <w:proofErr w:type="spellStart"/>
      <w:r w:rsidR="00C866BC">
        <w:rPr>
          <w:rFonts w:eastAsiaTheme="minorEastAsia"/>
        </w:rPr>
        <w:t>Whisson</w:t>
      </w:r>
      <w:proofErr w:type="spellEnd"/>
      <w:r w:rsidR="00C866BC">
        <w:rPr>
          <w:rFonts w:eastAsiaTheme="minorEastAsia"/>
        </w:rPr>
        <w:t xml:space="preserve"> </w:t>
      </w:r>
      <w:r w:rsidR="00C866BC" w:rsidRPr="006850F1">
        <w:rPr>
          <w:rFonts w:eastAsiaTheme="minorEastAsia"/>
        </w:rPr>
        <w:t xml:space="preserve">et al. </w:t>
      </w:r>
      <w:r w:rsidR="00C866BC">
        <w:rPr>
          <w:rFonts w:eastAsiaTheme="minorEastAsia"/>
        </w:rPr>
        <w:t>(2016).</w:t>
      </w:r>
      <w:r w:rsidR="00285836">
        <w:rPr>
          <w:rFonts w:eastAsiaTheme="minorEastAsia"/>
        </w:rPr>
        <w:t xml:space="preserve"> </w:t>
      </w:r>
      <w:r w:rsidR="00C866BC">
        <w:rPr>
          <w:rFonts w:eastAsiaTheme="minorEastAsia"/>
        </w:rPr>
        <w:t xml:space="preserve">Missing data for canopy </w:t>
      </w:r>
      <w:r w:rsidR="001E2563">
        <w:rPr>
          <w:rFonts w:eastAsiaTheme="minorEastAsia"/>
        </w:rPr>
        <w:t>PFC</w:t>
      </w:r>
      <w:r w:rsidR="00C866BC">
        <w:rPr>
          <w:rFonts w:eastAsiaTheme="minorEastAsia"/>
        </w:rPr>
        <w:t xml:space="preserve"> for some of these sites in 2010 were imputed by calibrating canopy cover estimates with concurrent estimates of defoliation class (</w:t>
      </w:r>
      <w:r w:rsidR="001E2563">
        <w:rPr>
          <w:rFonts w:eastAsiaTheme="minorEastAsia"/>
        </w:rPr>
        <w:t xml:space="preserve">five </w:t>
      </w:r>
      <w:r w:rsidR="00C866BC">
        <w:rPr>
          <w:rFonts w:eastAsiaTheme="minorEastAsia"/>
        </w:rPr>
        <w:t>classes).</w:t>
      </w:r>
      <w:r w:rsidR="00285836">
        <w:rPr>
          <w:rFonts w:eastAsiaTheme="minorEastAsia"/>
        </w:rPr>
        <w:t xml:space="preserve"> </w:t>
      </w:r>
      <w:r w:rsidR="00C866BC">
        <w:rPr>
          <w:rFonts w:eastAsiaTheme="minorEastAsia"/>
        </w:rPr>
        <w:t xml:space="preserve">We predicted the missing data </w:t>
      </w:r>
      <w:r w:rsidR="00C866BC">
        <w:rPr>
          <w:rFonts w:eastAsiaTheme="minorEastAsia"/>
        </w:rPr>
        <w:lastRenderedPageBreak/>
        <w:t xml:space="preserve">for canopy cover for all individual </w:t>
      </w:r>
      <w:r w:rsidR="00FF1DB9">
        <w:rPr>
          <w:rFonts w:eastAsiaTheme="minorEastAsia"/>
        </w:rPr>
        <w:t>Manna Gum</w:t>
      </w:r>
      <w:r w:rsidR="00C866BC">
        <w:rPr>
          <w:rFonts w:eastAsiaTheme="minorEastAsia"/>
        </w:rPr>
        <w:t xml:space="preserve">s that had concurrent defoliation class estimates by fitting an ordinal regression to the defoliation classifications using </w:t>
      </w:r>
      <w:r w:rsidR="00D57DAF">
        <w:rPr>
          <w:rFonts w:eastAsiaTheme="minorEastAsia"/>
        </w:rPr>
        <w:t>PFC</w:t>
      </w:r>
      <w:r w:rsidR="00C866BC">
        <w:rPr>
          <w:rFonts w:eastAsiaTheme="minorEastAsia"/>
        </w:rPr>
        <w:t xml:space="preserve"> as the single predictor.</w:t>
      </w:r>
    </w:p>
    <w:p w:rsidR="00285836" w:rsidRDefault="00C866BC" w:rsidP="00F6205D">
      <w:pPr>
        <w:pStyle w:val="ARIERBody"/>
        <w:rPr>
          <w:rFonts w:eastAsiaTheme="minorEastAsia"/>
        </w:rPr>
      </w:pPr>
      <w:r>
        <w:rPr>
          <w:rFonts w:eastAsiaTheme="minorEastAsia"/>
        </w:rPr>
        <w:t xml:space="preserve">We took the natural log of </w:t>
      </w:r>
      <w:r w:rsidR="005574FB">
        <w:rPr>
          <w:rFonts w:eastAsiaTheme="minorEastAsia"/>
        </w:rPr>
        <w:t>Koala</w:t>
      </w:r>
      <w:r>
        <w:rPr>
          <w:rFonts w:eastAsiaTheme="minorEastAsia"/>
        </w:rPr>
        <w:t xml:space="preserve"> density at each site as the estimate of log abundance used in </w:t>
      </w:r>
      <w:r w:rsidR="00123A86">
        <w:rPr>
          <w:rFonts w:eastAsiaTheme="minorEastAsia"/>
        </w:rPr>
        <w:t>Equation</w:t>
      </w:r>
      <w:r w:rsidR="00942570">
        <w:rPr>
          <w:rFonts w:eastAsiaTheme="minorEastAsia"/>
        </w:rPr>
        <w:t xml:space="preserve"> 4</w:t>
      </w:r>
      <w:r>
        <w:rPr>
          <w:rFonts w:eastAsiaTheme="minorEastAsia"/>
        </w:rPr>
        <w:t>.</w:t>
      </w:r>
      <w:r w:rsidR="00285836">
        <w:rPr>
          <w:rFonts w:eastAsiaTheme="minorEastAsia"/>
        </w:rPr>
        <w:t xml:space="preserve"> </w:t>
      </w:r>
      <w:r>
        <w:rPr>
          <w:rFonts w:eastAsiaTheme="minorEastAsia"/>
        </w:rPr>
        <w:t>We also calculated the mean canopy cover from the random sample of trees and made the following transformation</w:t>
      </w:r>
      <w:r w:rsidR="00AA27C1">
        <w:rPr>
          <w:rFonts w:eastAsiaTheme="minorEastAsia"/>
        </w:rPr>
        <w:t>:</w:t>
      </w:r>
    </w:p>
    <w:p w:rsidR="00C866BC" w:rsidRPr="00AA27C1" w:rsidRDefault="00AA27C1" w:rsidP="006850F1">
      <w:pPr>
        <w:pStyle w:val="ARIERBody"/>
        <w:tabs>
          <w:tab w:val="center" w:pos="5103"/>
        </w:tabs>
        <w:rPr>
          <w:rFonts w:eastAsiaTheme="minorEastAsia"/>
        </w:rPr>
      </w:pPr>
      <w:r>
        <w:rPr>
          <w:rFonts w:eastAsiaTheme="minorEastAsia"/>
        </w:rPr>
        <w:tab/>
      </w:r>
      <m:oMath>
        <m:r>
          <m:rPr>
            <m:sty m:val="p"/>
          </m:rPr>
          <w:rPr>
            <w:rFonts w:ascii="Cambria Math" w:eastAsiaTheme="minorEastAsia" w:hAnsi="Cambria Math"/>
          </w:rPr>
          <m:t>LAI</m:t>
        </m:r>
        <m:r>
          <w:rPr>
            <w:rFonts w:ascii="Cambria Math" w:eastAsiaTheme="minorEastAsia" w:hAnsi="Cambria Math"/>
          </w:rPr>
          <m:t>= -</m:t>
        </m:r>
        <m:func>
          <m:funcPr>
            <m:ctrlPr>
              <w:rPr>
                <w:rFonts w:ascii="Cambria Math" w:eastAsiaTheme="minorEastAsia" w:hAnsi="Cambria Math"/>
                <w:i/>
              </w:rPr>
            </m:ctrlPr>
          </m:funcPr>
          <m:fName>
            <m:r>
              <m:rPr>
                <m:sty m:val="p"/>
              </m:rPr>
              <w:rPr>
                <w:rFonts w:ascii="Cambria Math" w:hAnsi="Cambria Math"/>
              </w:rPr>
              <m:t>ln</m:t>
            </m:r>
          </m:fName>
          <m:e>
            <m:d>
              <m:dPr>
                <m:ctrlPr>
                  <w:rPr>
                    <w:rFonts w:ascii="Cambria Math" w:eastAsiaTheme="minorEastAsia" w:hAnsi="Cambria Math"/>
                    <w:i/>
                  </w:rPr>
                </m:ctrlPr>
              </m:dPr>
              <m:e>
                <m:r>
                  <w:rPr>
                    <w:rFonts w:ascii="Cambria Math" w:eastAsiaTheme="minorEastAsia" w:hAnsi="Cambria Math"/>
                  </w:rPr>
                  <m:t>1-</m:t>
                </m:r>
                <m:r>
                  <m:rPr>
                    <m:sty m:val="p"/>
                  </m:rPr>
                  <w:rPr>
                    <w:rFonts w:ascii="Cambria Math" w:eastAsiaTheme="minorEastAsia" w:hAnsi="Cambria Math"/>
                  </w:rPr>
                  <m:t>PFC</m:t>
                </m:r>
              </m:e>
            </m:d>
          </m:e>
        </m:func>
      </m:oMath>
      <w:r w:rsidR="001E2563">
        <w:rPr>
          <w:rFonts w:eastAsiaTheme="minorEastAsia"/>
        </w:rPr>
        <w:t>,</w:t>
      </w:r>
    </w:p>
    <w:p w:rsidR="00606707" w:rsidRDefault="001E2563" w:rsidP="006850F1">
      <w:pPr>
        <w:pStyle w:val="ARIERBody"/>
      </w:pPr>
      <w:r>
        <w:rPr>
          <w:rFonts w:eastAsiaTheme="minorEastAsia"/>
        </w:rPr>
        <w:t xml:space="preserve">where </w:t>
      </w:r>
      <w:r w:rsidR="00C866BC">
        <w:rPr>
          <w:rFonts w:eastAsiaTheme="minorEastAsia"/>
        </w:rPr>
        <w:t xml:space="preserve">LAI is the leaf area index </w:t>
      </w:r>
      <w:r w:rsidR="00C866BC">
        <w:rPr>
          <w:rFonts w:eastAsiaTheme="minorEastAsia"/>
        </w:rPr>
        <w:fldChar w:fldCharType="begin"/>
      </w:r>
      <w:r w:rsidR="00C866BC">
        <w:rPr>
          <w:rFonts w:eastAsiaTheme="minorEastAsia"/>
        </w:rPr>
        <w:instrText xml:space="preserve"> ADDIN ZOTERO_ITEM CSL_CITATION {"citationID":"2ls0r65cfv","properties":{"formattedCitation":"(Holland 2013)","plainCitation":"(Holland 2013)"},"citationItems":[{"id":1079,"uris":["http://zotero.org/users/634364/items/G25UNZH6"],"uri":["http://zotero.org/users/634364/items/G25UNZH6"],"itemData":{"id":1079,"type":"article-journal","title":"Inferring changes in foliar mass and area from foliage cover: A mechanistic model","container-title":"Austral Ecology","page":"121-130","volume":"38","issue":"2","source":"EBSCOhost","abstract":"Measuring foliar area or mass directly is destructive, and precludes long-term, repeated observations of individual trees as they suffer or recover from foliar damage. Instead, foliage cover indices are often used as a proxy for foliar mass. Patterns of fluctuations in foliage cover indices can be used to infer qualitative changes in canopy health. However, foliage cover is not necessarily linearly related to foliar area or mass, and this may confound the detection of significant foliar damage, and comparisons of herbivore browse impacts between individual trees, tree species or sites. I derived a mechanistic model to quantify the relationship between foliar area or mass and foliage cover measured as the proportion of sky occluded by leaves. This one parameter model is close to linear for single-tiered trees, but increasingly non-linear for multi-tiered trees. I compared the non-linear model to a linear model using foliage cover data from an artificial defoliation experiment on two single-tiered, sub-canopy species and from simulated photographic images of single- and multi-tiered canopies. The non-linear model had lower errors than the linear model, and errors did not increase with foliage density (leaf area per unit area), variation (of leaf sizes within and between canopies) or leaf geometry. The non-linear model can be easily parameterized from relatively low-cost observations of foliage cover, independently of empirical measurements of foliar area or mass, and is applicable to a wide range of tree species. It should therefore help managers quantify how changes in foliage cover due to natural fluctuations or foliar damage affect foliar area and mass, and can be used to quantify parameters for models of browse impacts in mixed forest.","DOI":"10.1111/j.1442-9993.2012.02384.x","ISSN":"14429985","shortTitle":"Inferring changes in foliar mass and area from foliage cover","journalAbbreviation":"Austral Ecology","author":[{"family":"Holland","given":"E. Penelope"}],"issued":{"date-parts":[["2013",4]]}}}],"schema":"https://github.com/citation-style-language/schema/raw/master/csl-citation.json"} </w:instrText>
      </w:r>
      <w:r w:rsidR="00C866BC">
        <w:rPr>
          <w:rFonts w:eastAsiaTheme="minorEastAsia"/>
        </w:rPr>
        <w:fldChar w:fldCharType="separate"/>
      </w:r>
      <w:r w:rsidR="00C866BC" w:rsidRPr="00FB15BE">
        <w:t>(Holland 2013)</w:t>
      </w:r>
      <w:r w:rsidR="00C866BC">
        <w:rPr>
          <w:rFonts w:eastAsiaTheme="minorEastAsia"/>
        </w:rPr>
        <w:fldChar w:fldCharType="end"/>
      </w:r>
      <w:r w:rsidR="00C866BC">
        <w:rPr>
          <w:rFonts w:eastAsiaTheme="minorEastAsia"/>
        </w:rPr>
        <w:t>.</w:t>
      </w:r>
      <w:r w:rsidR="00285836">
        <w:rPr>
          <w:rFonts w:eastAsiaTheme="minorEastAsia"/>
        </w:rPr>
        <w:t xml:space="preserve"> </w:t>
      </w:r>
      <w:r w:rsidR="00C866BC">
        <w:rPr>
          <w:rFonts w:eastAsiaTheme="minorEastAsia"/>
        </w:rPr>
        <w:t xml:space="preserve">We took the natural log of LAI as the estimate of the abundance of canopy foliage for use in </w:t>
      </w:r>
      <w:r w:rsidR="00123A86">
        <w:rPr>
          <w:rFonts w:eastAsiaTheme="minorEastAsia"/>
        </w:rPr>
        <w:t>Equation</w:t>
      </w:r>
      <w:r w:rsidR="00C866BC">
        <w:rPr>
          <w:rFonts w:eastAsiaTheme="minorEastAsia"/>
        </w:rPr>
        <w:t xml:space="preserve"> 3.</w:t>
      </w:r>
      <w:r w:rsidR="00285836">
        <w:rPr>
          <w:rFonts w:eastAsiaTheme="minorEastAsia"/>
        </w:rPr>
        <w:t xml:space="preserve"> </w:t>
      </w:r>
      <w:r w:rsidR="00C866BC">
        <w:rPr>
          <w:rFonts w:eastAsiaTheme="minorEastAsia"/>
        </w:rPr>
        <w:t>We also allowed canopy foliage abundance to be influenced by annual rainfall (</w:t>
      </w:r>
      <w:r>
        <w:rPr>
          <w:rFonts w:eastAsiaTheme="minorEastAsia"/>
        </w:rPr>
        <w:t>millimetres</w:t>
      </w:r>
      <w:r w:rsidR="00C866BC">
        <w:rPr>
          <w:rFonts w:eastAsiaTheme="minorEastAsia"/>
        </w:rPr>
        <w:t>) falling in the previous year</w:t>
      </w:r>
      <w:r>
        <w:rPr>
          <w:rFonts w:eastAsiaTheme="minorEastAsia"/>
        </w:rPr>
        <w:t>,</w:t>
      </w:r>
      <w:r w:rsidR="00C866BC">
        <w:rPr>
          <w:rFonts w:eastAsiaTheme="minorEastAsia"/>
        </w:rPr>
        <w:t xml:space="preserve"> as measured by the meteorological station at Cape Otway Lighthouse.</w:t>
      </w:r>
      <w:r w:rsidR="00285836">
        <w:rPr>
          <w:rFonts w:eastAsiaTheme="minorEastAsia"/>
        </w:rPr>
        <w:t xml:space="preserve"> </w:t>
      </w:r>
      <w:r w:rsidR="00C866BC">
        <w:rPr>
          <w:rFonts w:eastAsiaTheme="minorEastAsia"/>
        </w:rPr>
        <w:t xml:space="preserve">These modifications were included by adding an extra term </w:t>
      </w:r>
      <w:r>
        <w:rPr>
          <w:rFonts w:eastAsiaTheme="minorEastAsia"/>
        </w:rPr>
        <w:t>in</w:t>
      </w:r>
      <w:r w:rsidR="00C866BC">
        <w:rPr>
          <w:rFonts w:eastAsiaTheme="minorEastAsia"/>
        </w:rPr>
        <w:t xml:space="preserve">to the linear model in </w:t>
      </w:r>
      <w:r w:rsidR="00123A86">
        <w:rPr>
          <w:rFonts w:eastAsiaTheme="minorEastAsia"/>
        </w:rPr>
        <w:t>Equation</w:t>
      </w:r>
      <w:r w:rsidR="00C866BC">
        <w:rPr>
          <w:rFonts w:eastAsiaTheme="minorEastAsia"/>
        </w:rPr>
        <w:t xml:space="preserve"> 3.</w:t>
      </w:r>
      <w:r w:rsidR="00285836">
        <w:rPr>
          <w:rFonts w:eastAsiaTheme="minorEastAsia"/>
        </w:rPr>
        <w:t xml:space="preserve"> </w:t>
      </w:r>
      <w:r w:rsidR="00C866BC">
        <w:rPr>
          <w:rFonts w:eastAsiaTheme="minorEastAsia"/>
        </w:rPr>
        <w:t>The multivariate state</w:t>
      </w:r>
      <w:r>
        <w:rPr>
          <w:rFonts w:eastAsiaTheme="minorEastAsia"/>
        </w:rPr>
        <w:t>–</w:t>
      </w:r>
      <w:r w:rsidR="00C866BC">
        <w:rPr>
          <w:rFonts w:eastAsiaTheme="minorEastAsia"/>
        </w:rPr>
        <w:t>space model was fitted in JAGS version 4.0</w:t>
      </w:r>
      <w:r w:rsidR="00942570">
        <w:rPr>
          <w:rFonts w:eastAsiaTheme="minorEastAsia"/>
        </w:rPr>
        <w:t xml:space="preserve"> and the resulting estimates of the parameters </w:t>
      </w:r>
      <w:r w:rsidR="00942570" w:rsidRPr="00942570">
        <w:rPr>
          <w:rFonts w:ascii="Times New Roman" w:eastAsiaTheme="minorEastAsia" w:hAnsi="Times New Roman" w:cs="Times New Roman"/>
          <w:b/>
        </w:rPr>
        <w:t>A</w:t>
      </w:r>
      <w:r w:rsidR="00942570">
        <w:rPr>
          <w:rFonts w:eastAsiaTheme="minorEastAsia"/>
        </w:rPr>
        <w:t xml:space="preserve"> and </w:t>
      </w:r>
      <w:r w:rsidR="00942570" w:rsidRPr="00942570">
        <w:rPr>
          <w:rFonts w:ascii="Times New Roman" w:eastAsiaTheme="minorEastAsia" w:hAnsi="Times New Roman" w:cs="Times New Roman"/>
          <w:b/>
        </w:rPr>
        <w:t>C</w:t>
      </w:r>
      <w:r w:rsidR="00942570">
        <w:rPr>
          <w:rFonts w:eastAsiaTheme="minorEastAsia"/>
        </w:rPr>
        <w:t xml:space="preserve"> used to estimate the equilibrium densities of koalas and Manna Gum PFC using Equation 5.</w:t>
      </w:r>
    </w:p>
    <w:p w:rsidR="00606707" w:rsidRPr="00B75952" w:rsidRDefault="00606707" w:rsidP="003B1492">
      <w:pPr>
        <w:pStyle w:val="ARIERHA"/>
        <w:spacing w:after="480"/>
      </w:pPr>
      <w:r w:rsidRPr="00B75952">
        <w:br w:type="page"/>
      </w:r>
      <w:bookmarkStart w:id="31" w:name="_Toc286018770"/>
      <w:bookmarkStart w:id="32" w:name="_Toc455406126"/>
      <w:r w:rsidRPr="00B75952">
        <w:lastRenderedPageBreak/>
        <w:t>3</w:t>
      </w:r>
      <w:r w:rsidRPr="00B75952">
        <w:tab/>
      </w:r>
      <w:bookmarkStart w:id="33" w:name="_Toc409798427"/>
      <w:r w:rsidRPr="00B75952">
        <w:t>Results</w:t>
      </w:r>
      <w:bookmarkEnd w:id="31"/>
      <w:bookmarkEnd w:id="32"/>
      <w:bookmarkEnd w:id="33"/>
    </w:p>
    <w:p w:rsidR="00606707" w:rsidRPr="00B75952" w:rsidRDefault="00606707" w:rsidP="00606707">
      <w:pPr>
        <w:pStyle w:val="ARIERHB"/>
      </w:pPr>
      <w:bookmarkStart w:id="34" w:name="_Toc286018771"/>
      <w:bookmarkStart w:id="35" w:name="_Toc455406127"/>
      <w:r w:rsidRPr="00B75952">
        <w:t>3.1</w:t>
      </w:r>
      <w:r w:rsidRPr="00B75952">
        <w:rPr>
          <w:rFonts w:cs="Times New Roman"/>
          <w:lang w:val="en-US"/>
        </w:rPr>
        <w:tab/>
      </w:r>
      <w:bookmarkEnd w:id="34"/>
      <w:r w:rsidR="00C866BC">
        <w:t xml:space="preserve">Development of a </w:t>
      </w:r>
      <w:r w:rsidR="008B1E21">
        <w:t xml:space="preserve">eucalypt </w:t>
      </w:r>
      <w:r w:rsidR="00C866BC">
        <w:t>‘habitat health trigger’</w:t>
      </w:r>
      <w:bookmarkEnd w:id="35"/>
    </w:p>
    <w:p w:rsidR="00606707" w:rsidRPr="00B75952" w:rsidRDefault="00606707" w:rsidP="00606707">
      <w:pPr>
        <w:pStyle w:val="ARIERHC"/>
      </w:pPr>
      <w:bookmarkStart w:id="36" w:name="_Toc409798430"/>
      <w:bookmarkStart w:id="37" w:name="_Toc455406128"/>
      <w:r w:rsidRPr="00B75952">
        <w:t>3.</w:t>
      </w:r>
      <w:r w:rsidR="0010306B">
        <w:t>1</w:t>
      </w:r>
      <w:r w:rsidRPr="00B75952">
        <w:t>.1</w:t>
      </w:r>
      <w:r w:rsidRPr="00B75952">
        <w:rPr>
          <w:rFonts w:cs="Times New Roman"/>
          <w:lang w:val="en-US"/>
        </w:rPr>
        <w:tab/>
      </w:r>
      <w:bookmarkEnd w:id="36"/>
      <w:r w:rsidR="00C866BC">
        <w:t xml:space="preserve">Canopy </w:t>
      </w:r>
      <w:r w:rsidR="001774A6">
        <w:t>cover</w:t>
      </w:r>
      <w:r w:rsidR="00C866BC">
        <w:t xml:space="preserve"> and tree mortality for </w:t>
      </w:r>
      <w:r w:rsidR="00FF1DB9">
        <w:t>Manna Gum</w:t>
      </w:r>
      <w:r w:rsidR="00C866BC">
        <w:t>s</w:t>
      </w:r>
      <w:bookmarkEnd w:id="37"/>
    </w:p>
    <w:p w:rsidR="00C866BC" w:rsidRDefault="00C866BC" w:rsidP="00F6205D">
      <w:pPr>
        <w:pStyle w:val="ARIERBody"/>
      </w:pPr>
      <w:bookmarkStart w:id="38" w:name="_Toc196540910"/>
      <w:r>
        <w:t xml:space="preserve">The PFC and status (alive/dead) of 865 tagged </w:t>
      </w:r>
      <w:r w:rsidR="00FF1DB9">
        <w:t>Manna Gum</w:t>
      </w:r>
      <w:r>
        <w:t xml:space="preserve"> trees were used in the analysis of tree survival.</w:t>
      </w:r>
      <w:r w:rsidR="00285836">
        <w:t xml:space="preserve"> </w:t>
      </w:r>
      <w:r>
        <w:t xml:space="preserve">Estimates from the discrete-time survival model indicated that tree mortality was strongly related to PFC, but not to either DBH or annual rainfall falling in the previous year (Table </w:t>
      </w:r>
      <w:r w:rsidR="00294F19">
        <w:t>3</w:t>
      </w:r>
      <w:r>
        <w:t>).</w:t>
      </w:r>
      <w:r w:rsidR="00285836">
        <w:t xml:space="preserve"> </w:t>
      </w:r>
      <w:r>
        <w:t xml:space="preserve">The estimated mortality rate of trees showed very low mortality when canopy cover was </w:t>
      </w:r>
      <w:r w:rsidR="00B76E0F">
        <w:t>&gt;</w:t>
      </w:r>
      <w:r>
        <w:t>50%</w:t>
      </w:r>
      <w:r w:rsidR="00B76E0F">
        <w:t>, and</w:t>
      </w:r>
      <w:r>
        <w:t xml:space="preserve"> a 10% rate of annual mortality estimated when canopy cover dropped to </w:t>
      </w:r>
      <w:r w:rsidR="00B76E0F">
        <w:t>~</w:t>
      </w:r>
      <w:r>
        <w:t>27%.</w:t>
      </w:r>
      <w:r w:rsidR="00285836">
        <w:t xml:space="preserve"> </w:t>
      </w:r>
      <w:r>
        <w:t xml:space="preserve">Very low levels of canopy cover (&lt;10%) resulted in annual mortality estimates </w:t>
      </w:r>
      <w:r w:rsidR="00B76E0F">
        <w:t xml:space="preserve">of </w:t>
      </w:r>
      <w:r>
        <w:t>between 30</w:t>
      </w:r>
      <w:r w:rsidR="00B76E0F">
        <w:t xml:space="preserve"> and </w:t>
      </w:r>
      <w:r>
        <w:t>50% (</w:t>
      </w:r>
      <w:r w:rsidR="007B0211">
        <w:t>Fig. </w:t>
      </w:r>
      <w:r w:rsidR="00FC1164">
        <w:t>1</w:t>
      </w:r>
      <w:r>
        <w:t>).</w:t>
      </w:r>
    </w:p>
    <w:p w:rsidR="00C866BC" w:rsidRDefault="00C866BC" w:rsidP="006850F1">
      <w:pPr>
        <w:pStyle w:val="ARIERCaption-Table"/>
      </w:pPr>
      <w:bookmarkStart w:id="39" w:name="_Toc454803939"/>
      <w:r>
        <w:t xml:space="preserve">Table </w:t>
      </w:r>
      <w:r w:rsidR="00294F19">
        <w:t>3</w:t>
      </w:r>
      <w:r>
        <w:t>.</w:t>
      </w:r>
      <w:r w:rsidR="00285836">
        <w:t xml:space="preserve"> </w:t>
      </w:r>
      <w:r>
        <w:t>Parameter estimates (complementary log</w:t>
      </w:r>
      <w:r w:rsidR="00B76E0F">
        <w:t>–</w:t>
      </w:r>
      <w:r>
        <w:t xml:space="preserve">log scale) from the Bayesian discrete-time survival model fitted to observations of </w:t>
      </w:r>
      <w:r w:rsidR="00FF1DB9">
        <w:t>Manna Gum</w:t>
      </w:r>
      <w:r>
        <w:t xml:space="preserve"> tree deaths between 2004</w:t>
      </w:r>
      <w:r w:rsidR="00B76E0F">
        <w:t xml:space="preserve"> and </w:t>
      </w:r>
      <w:r>
        <w:t>2014.</w:t>
      </w:r>
      <w:r w:rsidR="00285836">
        <w:t xml:space="preserve"> </w:t>
      </w:r>
      <w:r>
        <w:t xml:space="preserve">SD </w:t>
      </w:r>
      <w:r w:rsidR="00B76E0F">
        <w:t xml:space="preserve">= </w:t>
      </w:r>
      <w:r>
        <w:t xml:space="preserve">standard deviation, LCL </w:t>
      </w:r>
      <w:r w:rsidR="00B76E0F">
        <w:t xml:space="preserve">= </w:t>
      </w:r>
      <w:r>
        <w:t xml:space="preserve">2.5% quantile, UCL </w:t>
      </w:r>
      <w:r w:rsidR="00B76E0F">
        <w:t xml:space="preserve">= </w:t>
      </w:r>
      <w:r>
        <w:t>97.5% quantile.</w:t>
      </w:r>
      <w:bookmarkEnd w:id="39"/>
    </w:p>
    <w:tbl>
      <w:tblPr>
        <w:tblStyle w:val="ListTable21"/>
        <w:tblW w:w="5000" w:type="pct"/>
        <w:tblLook w:val="0620" w:firstRow="1" w:lastRow="0" w:firstColumn="0" w:lastColumn="0" w:noHBand="1" w:noVBand="1"/>
      </w:tblPr>
      <w:tblGrid>
        <w:gridCol w:w="2368"/>
        <w:gridCol w:w="2031"/>
        <w:gridCol w:w="1436"/>
        <w:gridCol w:w="2010"/>
        <w:gridCol w:w="2010"/>
      </w:tblGrid>
      <w:tr w:rsidR="00C866BC" w:rsidRPr="00865C1F" w:rsidTr="006850F1">
        <w:trPr>
          <w:cnfStyle w:val="100000000000" w:firstRow="1" w:lastRow="0" w:firstColumn="0" w:lastColumn="0" w:oddVBand="0" w:evenVBand="0" w:oddHBand="0" w:evenHBand="0" w:firstRowFirstColumn="0" w:firstRowLastColumn="0" w:lastRowFirstColumn="0" w:lastRowLastColumn="0"/>
          <w:cantSplit/>
          <w:trHeight w:val="397"/>
        </w:trPr>
        <w:tc>
          <w:tcPr>
            <w:tcW w:w="1201" w:type="pct"/>
            <w:tcBorders>
              <w:top w:val="single" w:sz="4" w:space="0" w:color="228591"/>
              <w:bottom w:val="single" w:sz="4" w:space="0" w:color="228591"/>
            </w:tcBorders>
            <w:shd w:val="clear" w:color="auto" w:fill="228591"/>
            <w:vAlign w:val="center"/>
          </w:tcPr>
          <w:p w:rsidR="00C866BC" w:rsidRPr="006850F1" w:rsidRDefault="00C866BC" w:rsidP="006850F1">
            <w:pPr>
              <w:jc w:val="center"/>
              <w:rPr>
                <w:b w:val="0"/>
                <w:color w:val="FFFFFF" w:themeColor="background1"/>
              </w:rPr>
            </w:pPr>
            <w:r w:rsidRPr="006850F1">
              <w:rPr>
                <w:color w:val="FFFFFF" w:themeColor="background1"/>
              </w:rPr>
              <w:t>Parameter</w:t>
            </w:r>
          </w:p>
        </w:tc>
        <w:tc>
          <w:tcPr>
            <w:tcW w:w="1030" w:type="pct"/>
            <w:tcBorders>
              <w:top w:val="single" w:sz="4" w:space="0" w:color="228591"/>
              <w:bottom w:val="single" w:sz="4" w:space="0" w:color="228591"/>
            </w:tcBorders>
            <w:shd w:val="clear" w:color="auto" w:fill="228591"/>
            <w:vAlign w:val="center"/>
          </w:tcPr>
          <w:p w:rsidR="00C866BC" w:rsidRPr="006850F1" w:rsidRDefault="00C866BC" w:rsidP="006850F1">
            <w:pPr>
              <w:jc w:val="center"/>
              <w:rPr>
                <w:b w:val="0"/>
                <w:color w:val="FFFFFF" w:themeColor="background1"/>
              </w:rPr>
            </w:pPr>
            <w:r w:rsidRPr="006850F1">
              <w:rPr>
                <w:color w:val="FFFFFF" w:themeColor="background1"/>
              </w:rPr>
              <w:t>Estimate</w:t>
            </w:r>
          </w:p>
        </w:tc>
        <w:tc>
          <w:tcPr>
            <w:tcW w:w="728" w:type="pct"/>
            <w:tcBorders>
              <w:top w:val="single" w:sz="4" w:space="0" w:color="228591"/>
              <w:bottom w:val="single" w:sz="4" w:space="0" w:color="228591"/>
            </w:tcBorders>
            <w:shd w:val="clear" w:color="auto" w:fill="228591"/>
            <w:vAlign w:val="center"/>
          </w:tcPr>
          <w:p w:rsidR="00C866BC" w:rsidRPr="006850F1" w:rsidRDefault="00C866BC" w:rsidP="006850F1">
            <w:pPr>
              <w:jc w:val="center"/>
              <w:rPr>
                <w:b w:val="0"/>
                <w:color w:val="FFFFFF" w:themeColor="background1"/>
              </w:rPr>
            </w:pPr>
            <w:r w:rsidRPr="006850F1">
              <w:rPr>
                <w:color w:val="FFFFFF" w:themeColor="background1"/>
              </w:rPr>
              <w:t>SD</w:t>
            </w:r>
          </w:p>
        </w:tc>
        <w:tc>
          <w:tcPr>
            <w:tcW w:w="1020" w:type="pct"/>
            <w:tcBorders>
              <w:top w:val="single" w:sz="4" w:space="0" w:color="228591"/>
              <w:bottom w:val="single" w:sz="4" w:space="0" w:color="228591"/>
            </w:tcBorders>
            <w:shd w:val="clear" w:color="auto" w:fill="228591"/>
            <w:vAlign w:val="center"/>
          </w:tcPr>
          <w:p w:rsidR="00C866BC" w:rsidRPr="006850F1" w:rsidRDefault="00C866BC" w:rsidP="006850F1">
            <w:pPr>
              <w:jc w:val="center"/>
              <w:rPr>
                <w:b w:val="0"/>
                <w:color w:val="FFFFFF" w:themeColor="background1"/>
              </w:rPr>
            </w:pPr>
            <w:r w:rsidRPr="006850F1">
              <w:rPr>
                <w:color w:val="FFFFFF" w:themeColor="background1"/>
              </w:rPr>
              <w:t>LCL</w:t>
            </w:r>
          </w:p>
        </w:tc>
        <w:tc>
          <w:tcPr>
            <w:tcW w:w="1020" w:type="pct"/>
            <w:tcBorders>
              <w:top w:val="single" w:sz="4" w:space="0" w:color="228591"/>
              <w:bottom w:val="single" w:sz="4" w:space="0" w:color="228591"/>
            </w:tcBorders>
            <w:shd w:val="clear" w:color="auto" w:fill="228591"/>
            <w:vAlign w:val="center"/>
          </w:tcPr>
          <w:p w:rsidR="00C866BC" w:rsidRPr="006850F1" w:rsidRDefault="00C866BC" w:rsidP="006850F1">
            <w:pPr>
              <w:jc w:val="center"/>
              <w:rPr>
                <w:b w:val="0"/>
                <w:color w:val="FFFFFF" w:themeColor="background1"/>
              </w:rPr>
            </w:pPr>
            <w:r w:rsidRPr="006850F1">
              <w:rPr>
                <w:color w:val="FFFFFF" w:themeColor="background1"/>
              </w:rPr>
              <w:t>UCL</w:t>
            </w:r>
          </w:p>
        </w:tc>
      </w:tr>
      <w:tr w:rsidR="00C866BC" w:rsidTr="006850F1">
        <w:trPr>
          <w:cantSplit/>
          <w:trHeight w:val="397"/>
        </w:trPr>
        <w:tc>
          <w:tcPr>
            <w:tcW w:w="1201" w:type="pct"/>
            <w:tcBorders>
              <w:top w:val="single" w:sz="4" w:space="0" w:color="228591"/>
              <w:bottom w:val="nil"/>
            </w:tcBorders>
            <w:vAlign w:val="center"/>
          </w:tcPr>
          <w:p w:rsidR="00C866BC" w:rsidRDefault="00C866BC" w:rsidP="006850F1">
            <w:pPr>
              <w:jc w:val="center"/>
              <w:rPr>
                <w:rFonts w:eastAsia="Times New Roman" w:cs="Times New Roman"/>
                <w:b/>
                <w:bCs/>
                <w:szCs w:val="28"/>
              </w:rPr>
            </w:pPr>
            <w:r>
              <w:t>Intercept</w:t>
            </w:r>
          </w:p>
        </w:tc>
        <w:tc>
          <w:tcPr>
            <w:tcW w:w="1030" w:type="pct"/>
            <w:tcBorders>
              <w:top w:val="single" w:sz="4" w:space="0" w:color="228591"/>
              <w:bottom w:val="nil"/>
            </w:tcBorders>
            <w:vAlign w:val="center"/>
          </w:tcPr>
          <w:p w:rsidR="00C866BC" w:rsidRDefault="00075597">
            <w:pPr>
              <w:jc w:val="center"/>
              <w:rPr>
                <w:rFonts w:eastAsia="Times New Roman" w:cs="Times New Roman"/>
                <w:szCs w:val="24"/>
              </w:rPr>
            </w:pPr>
            <w:r>
              <w:t>–</w:t>
            </w:r>
            <w:r w:rsidR="00C866BC">
              <w:t>0.40</w:t>
            </w:r>
          </w:p>
        </w:tc>
        <w:tc>
          <w:tcPr>
            <w:tcW w:w="728" w:type="pct"/>
            <w:tcBorders>
              <w:top w:val="single" w:sz="4" w:space="0" w:color="228591"/>
              <w:bottom w:val="nil"/>
            </w:tcBorders>
            <w:vAlign w:val="center"/>
          </w:tcPr>
          <w:p w:rsidR="00C866BC" w:rsidRDefault="00C866BC" w:rsidP="006850F1">
            <w:pPr>
              <w:jc w:val="center"/>
              <w:rPr>
                <w:rFonts w:eastAsia="Times New Roman" w:cs="Times New Roman"/>
                <w:b/>
                <w:bCs/>
                <w:szCs w:val="28"/>
              </w:rPr>
            </w:pPr>
            <w:r>
              <w:t>0.118</w:t>
            </w:r>
          </w:p>
        </w:tc>
        <w:tc>
          <w:tcPr>
            <w:tcW w:w="1020" w:type="pct"/>
            <w:tcBorders>
              <w:top w:val="single" w:sz="4" w:space="0" w:color="228591"/>
              <w:bottom w:val="nil"/>
            </w:tcBorders>
            <w:vAlign w:val="center"/>
          </w:tcPr>
          <w:p w:rsidR="00C866BC" w:rsidRDefault="00075597">
            <w:pPr>
              <w:jc w:val="center"/>
              <w:rPr>
                <w:rFonts w:eastAsia="Times New Roman" w:cs="Times New Roman"/>
                <w:szCs w:val="24"/>
              </w:rPr>
            </w:pPr>
            <w:r>
              <w:t>–</w:t>
            </w:r>
            <w:r w:rsidR="00C866BC" w:rsidRPr="0052414F">
              <w:t>0.639</w:t>
            </w:r>
          </w:p>
        </w:tc>
        <w:tc>
          <w:tcPr>
            <w:tcW w:w="1020" w:type="pct"/>
            <w:tcBorders>
              <w:top w:val="single" w:sz="4" w:space="0" w:color="228591"/>
              <w:bottom w:val="nil"/>
            </w:tcBorders>
            <w:vAlign w:val="center"/>
          </w:tcPr>
          <w:p w:rsidR="00C866BC" w:rsidRDefault="00075597">
            <w:pPr>
              <w:jc w:val="center"/>
              <w:rPr>
                <w:rFonts w:eastAsia="Times New Roman" w:cs="Times New Roman"/>
                <w:szCs w:val="24"/>
              </w:rPr>
            </w:pPr>
            <w:r>
              <w:t>–</w:t>
            </w:r>
            <w:r w:rsidR="00C866BC">
              <w:t>0.172</w:t>
            </w:r>
          </w:p>
        </w:tc>
      </w:tr>
      <w:tr w:rsidR="00C866BC" w:rsidTr="006850F1">
        <w:trPr>
          <w:cantSplit/>
          <w:trHeight w:val="397"/>
        </w:trPr>
        <w:tc>
          <w:tcPr>
            <w:tcW w:w="1201" w:type="pct"/>
            <w:tcBorders>
              <w:top w:val="nil"/>
              <w:bottom w:val="nil"/>
            </w:tcBorders>
            <w:vAlign w:val="center"/>
          </w:tcPr>
          <w:p w:rsidR="00C866BC" w:rsidRDefault="00C866BC" w:rsidP="006850F1">
            <w:pPr>
              <w:jc w:val="center"/>
              <w:rPr>
                <w:rFonts w:eastAsia="Times New Roman" w:cs="Times New Roman"/>
                <w:b/>
                <w:bCs/>
                <w:szCs w:val="28"/>
              </w:rPr>
            </w:pPr>
            <w:r>
              <w:t>PFC</w:t>
            </w:r>
          </w:p>
        </w:tc>
        <w:tc>
          <w:tcPr>
            <w:tcW w:w="1030" w:type="pct"/>
            <w:tcBorders>
              <w:top w:val="nil"/>
              <w:bottom w:val="nil"/>
            </w:tcBorders>
            <w:vAlign w:val="center"/>
          </w:tcPr>
          <w:p w:rsidR="00C866BC" w:rsidRDefault="00075597">
            <w:pPr>
              <w:jc w:val="center"/>
              <w:rPr>
                <w:rFonts w:eastAsia="Times New Roman" w:cs="Times New Roman"/>
                <w:szCs w:val="24"/>
              </w:rPr>
            </w:pPr>
            <w:r>
              <w:t>–</w:t>
            </w:r>
            <w:r w:rsidR="00C866BC">
              <w:t>15.4</w:t>
            </w:r>
          </w:p>
        </w:tc>
        <w:tc>
          <w:tcPr>
            <w:tcW w:w="728" w:type="pct"/>
            <w:tcBorders>
              <w:top w:val="nil"/>
              <w:bottom w:val="nil"/>
            </w:tcBorders>
            <w:vAlign w:val="center"/>
          </w:tcPr>
          <w:p w:rsidR="00C866BC" w:rsidRDefault="00C866BC" w:rsidP="006850F1">
            <w:pPr>
              <w:jc w:val="center"/>
              <w:rPr>
                <w:rFonts w:eastAsia="Times New Roman" w:cs="Times New Roman"/>
                <w:b/>
                <w:bCs/>
                <w:szCs w:val="28"/>
              </w:rPr>
            </w:pPr>
            <w:r>
              <w:t>1.034</w:t>
            </w:r>
          </w:p>
        </w:tc>
        <w:tc>
          <w:tcPr>
            <w:tcW w:w="1020" w:type="pct"/>
            <w:tcBorders>
              <w:top w:val="nil"/>
              <w:bottom w:val="nil"/>
            </w:tcBorders>
            <w:vAlign w:val="center"/>
          </w:tcPr>
          <w:p w:rsidR="00C866BC" w:rsidRDefault="00075597">
            <w:pPr>
              <w:jc w:val="center"/>
              <w:rPr>
                <w:rFonts w:eastAsia="Times New Roman" w:cs="Times New Roman"/>
                <w:szCs w:val="24"/>
              </w:rPr>
            </w:pPr>
            <w:r>
              <w:t>–</w:t>
            </w:r>
            <w:r w:rsidR="00C866BC">
              <w:t>17.525</w:t>
            </w:r>
          </w:p>
        </w:tc>
        <w:tc>
          <w:tcPr>
            <w:tcW w:w="1020" w:type="pct"/>
            <w:tcBorders>
              <w:top w:val="nil"/>
              <w:bottom w:val="nil"/>
            </w:tcBorders>
            <w:vAlign w:val="center"/>
          </w:tcPr>
          <w:p w:rsidR="00C866BC" w:rsidRDefault="00075597">
            <w:pPr>
              <w:jc w:val="center"/>
              <w:rPr>
                <w:rFonts w:eastAsia="Times New Roman" w:cs="Times New Roman"/>
                <w:szCs w:val="24"/>
              </w:rPr>
            </w:pPr>
            <w:r>
              <w:t>–</w:t>
            </w:r>
            <w:r w:rsidR="00C866BC" w:rsidRPr="0052414F">
              <w:t>13.476</w:t>
            </w:r>
          </w:p>
        </w:tc>
      </w:tr>
      <w:tr w:rsidR="00C866BC" w:rsidTr="006850F1">
        <w:trPr>
          <w:cantSplit/>
          <w:trHeight w:val="397"/>
        </w:trPr>
        <w:tc>
          <w:tcPr>
            <w:tcW w:w="1201" w:type="pct"/>
            <w:tcBorders>
              <w:top w:val="nil"/>
              <w:bottom w:val="nil"/>
            </w:tcBorders>
            <w:vAlign w:val="center"/>
          </w:tcPr>
          <w:p w:rsidR="00C866BC" w:rsidRDefault="00C866BC" w:rsidP="006850F1">
            <w:pPr>
              <w:jc w:val="center"/>
              <w:rPr>
                <w:rFonts w:eastAsia="Times New Roman" w:cs="Times New Roman"/>
                <w:b/>
                <w:bCs/>
                <w:szCs w:val="28"/>
              </w:rPr>
            </w:pPr>
            <w:r>
              <w:t>DBH</w:t>
            </w:r>
          </w:p>
        </w:tc>
        <w:tc>
          <w:tcPr>
            <w:tcW w:w="1030" w:type="pct"/>
            <w:tcBorders>
              <w:top w:val="nil"/>
              <w:bottom w:val="nil"/>
            </w:tcBorders>
            <w:vAlign w:val="center"/>
          </w:tcPr>
          <w:p w:rsidR="00C866BC" w:rsidRDefault="00C866BC" w:rsidP="006850F1">
            <w:pPr>
              <w:jc w:val="center"/>
              <w:rPr>
                <w:rFonts w:eastAsia="Times New Roman" w:cs="Times New Roman"/>
                <w:b/>
                <w:bCs/>
                <w:szCs w:val="28"/>
              </w:rPr>
            </w:pPr>
            <w:r>
              <w:t>0.03</w:t>
            </w:r>
          </w:p>
        </w:tc>
        <w:tc>
          <w:tcPr>
            <w:tcW w:w="728" w:type="pct"/>
            <w:tcBorders>
              <w:top w:val="nil"/>
              <w:bottom w:val="nil"/>
            </w:tcBorders>
            <w:vAlign w:val="center"/>
          </w:tcPr>
          <w:p w:rsidR="00C866BC" w:rsidRDefault="00C866BC" w:rsidP="006850F1">
            <w:pPr>
              <w:jc w:val="center"/>
              <w:rPr>
                <w:rFonts w:eastAsia="Times New Roman" w:cs="Times New Roman"/>
                <w:b/>
                <w:bCs/>
                <w:szCs w:val="28"/>
              </w:rPr>
            </w:pPr>
            <w:r>
              <w:t>0.088</w:t>
            </w:r>
          </w:p>
        </w:tc>
        <w:tc>
          <w:tcPr>
            <w:tcW w:w="1020" w:type="pct"/>
            <w:tcBorders>
              <w:top w:val="nil"/>
              <w:bottom w:val="nil"/>
            </w:tcBorders>
            <w:vAlign w:val="center"/>
          </w:tcPr>
          <w:p w:rsidR="00C866BC" w:rsidRDefault="00075597">
            <w:pPr>
              <w:jc w:val="center"/>
              <w:rPr>
                <w:rFonts w:eastAsia="Times New Roman" w:cs="Times New Roman"/>
                <w:szCs w:val="24"/>
              </w:rPr>
            </w:pPr>
            <w:r>
              <w:t>–</w:t>
            </w:r>
            <w:r w:rsidR="00C866BC">
              <w:t>0.145</w:t>
            </w:r>
          </w:p>
        </w:tc>
        <w:tc>
          <w:tcPr>
            <w:tcW w:w="1020" w:type="pct"/>
            <w:tcBorders>
              <w:top w:val="nil"/>
              <w:bottom w:val="nil"/>
            </w:tcBorders>
            <w:vAlign w:val="center"/>
          </w:tcPr>
          <w:p w:rsidR="00C866BC" w:rsidRDefault="00C866BC" w:rsidP="006850F1">
            <w:pPr>
              <w:jc w:val="center"/>
              <w:rPr>
                <w:rFonts w:eastAsia="Times New Roman" w:cs="Times New Roman"/>
                <w:b/>
                <w:bCs/>
                <w:szCs w:val="28"/>
              </w:rPr>
            </w:pPr>
            <w:r w:rsidRPr="00E70A47">
              <w:t>0.201</w:t>
            </w:r>
          </w:p>
        </w:tc>
      </w:tr>
      <w:tr w:rsidR="00C866BC" w:rsidTr="006850F1">
        <w:trPr>
          <w:cantSplit/>
          <w:trHeight w:val="397"/>
        </w:trPr>
        <w:tc>
          <w:tcPr>
            <w:tcW w:w="1201" w:type="pct"/>
            <w:tcBorders>
              <w:top w:val="nil"/>
              <w:bottom w:val="single" w:sz="4" w:space="0" w:color="228591"/>
            </w:tcBorders>
            <w:vAlign w:val="center"/>
          </w:tcPr>
          <w:p w:rsidR="00C866BC" w:rsidRDefault="00C866BC" w:rsidP="006850F1">
            <w:pPr>
              <w:jc w:val="center"/>
              <w:rPr>
                <w:rFonts w:eastAsia="Times New Roman" w:cs="Times New Roman"/>
                <w:b/>
                <w:bCs/>
                <w:szCs w:val="28"/>
              </w:rPr>
            </w:pPr>
            <w:r>
              <w:t>Rainfall</w:t>
            </w:r>
          </w:p>
        </w:tc>
        <w:tc>
          <w:tcPr>
            <w:tcW w:w="1030" w:type="pct"/>
            <w:tcBorders>
              <w:top w:val="nil"/>
              <w:bottom w:val="single" w:sz="4" w:space="0" w:color="228591"/>
            </w:tcBorders>
            <w:vAlign w:val="center"/>
          </w:tcPr>
          <w:p w:rsidR="00C866BC" w:rsidRDefault="00075597">
            <w:pPr>
              <w:jc w:val="center"/>
              <w:rPr>
                <w:rFonts w:eastAsia="Times New Roman" w:cs="Times New Roman"/>
                <w:szCs w:val="24"/>
              </w:rPr>
            </w:pPr>
            <w:r>
              <w:t>–</w:t>
            </w:r>
            <w:r w:rsidR="00C866BC">
              <w:t>0.16</w:t>
            </w:r>
          </w:p>
        </w:tc>
        <w:tc>
          <w:tcPr>
            <w:tcW w:w="728" w:type="pct"/>
            <w:tcBorders>
              <w:top w:val="nil"/>
              <w:bottom w:val="single" w:sz="4" w:space="0" w:color="228591"/>
            </w:tcBorders>
            <w:vAlign w:val="center"/>
          </w:tcPr>
          <w:p w:rsidR="00C866BC" w:rsidRDefault="00C866BC" w:rsidP="006850F1">
            <w:pPr>
              <w:jc w:val="center"/>
              <w:rPr>
                <w:rFonts w:eastAsia="Times New Roman" w:cs="Times New Roman"/>
                <w:b/>
                <w:bCs/>
                <w:szCs w:val="28"/>
              </w:rPr>
            </w:pPr>
            <w:r>
              <w:t>0.105</w:t>
            </w:r>
          </w:p>
        </w:tc>
        <w:tc>
          <w:tcPr>
            <w:tcW w:w="1020" w:type="pct"/>
            <w:tcBorders>
              <w:top w:val="nil"/>
              <w:bottom w:val="single" w:sz="4" w:space="0" w:color="228591"/>
            </w:tcBorders>
            <w:vAlign w:val="center"/>
          </w:tcPr>
          <w:p w:rsidR="00C866BC" w:rsidRDefault="00075597">
            <w:pPr>
              <w:jc w:val="center"/>
              <w:rPr>
                <w:rFonts w:eastAsia="Times New Roman" w:cs="Times New Roman"/>
                <w:szCs w:val="24"/>
              </w:rPr>
            </w:pPr>
            <w:r>
              <w:t>–</w:t>
            </w:r>
            <w:r w:rsidR="00C866BC">
              <w:t>0.360</w:t>
            </w:r>
          </w:p>
        </w:tc>
        <w:tc>
          <w:tcPr>
            <w:tcW w:w="1020" w:type="pct"/>
            <w:tcBorders>
              <w:top w:val="nil"/>
              <w:bottom w:val="single" w:sz="4" w:space="0" w:color="228591"/>
            </w:tcBorders>
            <w:vAlign w:val="center"/>
          </w:tcPr>
          <w:p w:rsidR="00C866BC" w:rsidRDefault="00C866BC" w:rsidP="006850F1">
            <w:pPr>
              <w:jc w:val="center"/>
              <w:rPr>
                <w:rFonts w:eastAsia="Times New Roman" w:cs="Times New Roman"/>
                <w:b/>
                <w:bCs/>
                <w:szCs w:val="28"/>
              </w:rPr>
            </w:pPr>
            <w:r w:rsidRPr="00E70A47">
              <w:t>0.051</w:t>
            </w:r>
          </w:p>
        </w:tc>
      </w:tr>
    </w:tbl>
    <w:p w:rsidR="00C866BC" w:rsidRDefault="00C866BC" w:rsidP="00C866BC">
      <w:pPr>
        <w:keepNext/>
      </w:pPr>
    </w:p>
    <w:p w:rsidR="00C866BC" w:rsidRDefault="00650228" w:rsidP="00C866BC">
      <w:pPr>
        <w:keepNext/>
      </w:pPr>
      <w:r>
        <w:rPr>
          <w:noProof/>
          <w:lang w:eastAsia="en-AU"/>
        </w:rPr>
        <w:drawing>
          <wp:inline distT="0" distB="0" distL="0" distR="0" wp14:anchorId="03B3CDDA" wp14:editId="4D1B35B0">
            <wp:extent cx="4801427" cy="432000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0027"/>
                    <a:stretch/>
                  </pic:blipFill>
                  <pic:spPr bwMode="auto">
                    <a:xfrm>
                      <a:off x="0" y="0"/>
                      <a:ext cx="4801427" cy="4320000"/>
                    </a:xfrm>
                    <a:prstGeom prst="rect">
                      <a:avLst/>
                    </a:prstGeom>
                    <a:ln>
                      <a:noFill/>
                    </a:ln>
                    <a:extLst>
                      <a:ext uri="{53640926-AAD7-44D8-BBD7-CCE9431645EC}">
                        <a14:shadowObscured xmlns:a14="http://schemas.microsoft.com/office/drawing/2010/main"/>
                      </a:ext>
                    </a:extLst>
                  </pic:spPr>
                </pic:pic>
              </a:graphicData>
            </a:graphic>
          </wp:inline>
        </w:drawing>
      </w:r>
    </w:p>
    <w:p w:rsidR="00C866BC" w:rsidRDefault="00C866BC">
      <w:pPr>
        <w:pStyle w:val="ARIERCaption-Figure"/>
      </w:pPr>
      <w:bookmarkStart w:id="40" w:name="_Toc328568533"/>
      <w:r>
        <w:t xml:space="preserve">Figure </w:t>
      </w:r>
      <w:r w:rsidR="00FC1164">
        <w:t>1</w:t>
      </w:r>
      <w:r>
        <w:t>.</w:t>
      </w:r>
      <w:r w:rsidR="00285836">
        <w:t xml:space="preserve"> </w:t>
      </w:r>
      <w:r>
        <w:t xml:space="preserve">The relationship between annual tree mortality and projected foliage cover </w:t>
      </w:r>
      <w:r w:rsidR="00233A61">
        <w:t>(</w:t>
      </w:r>
      <w:r w:rsidR="000F7322">
        <w:t>%</w:t>
      </w:r>
      <w:r w:rsidR="00233A61">
        <w:t xml:space="preserve">) </w:t>
      </w:r>
      <w:r>
        <w:t xml:space="preserve">of </w:t>
      </w:r>
      <w:r w:rsidR="00FF1DB9">
        <w:t>Manna Gum</w:t>
      </w:r>
      <w:r>
        <w:t xml:space="preserve">s from </w:t>
      </w:r>
      <w:r w:rsidR="00FE6918">
        <w:t>Mt Eccles National Park</w:t>
      </w:r>
      <w:r>
        <w:t>.</w:t>
      </w:r>
      <w:r w:rsidR="00285836">
        <w:t xml:space="preserve"> </w:t>
      </w:r>
      <w:r>
        <w:t xml:space="preserve">Horizontal dashed line indicates an annual mortality rate of </w:t>
      </w:r>
      <w:r w:rsidR="000F7322">
        <w:t>0.1 (</w:t>
      </w:r>
      <w:r>
        <w:t>10%</w:t>
      </w:r>
      <w:r w:rsidR="000F7322">
        <w:t>)</w:t>
      </w:r>
      <w:r>
        <w:t>.</w:t>
      </w:r>
      <w:bookmarkEnd w:id="40"/>
    </w:p>
    <w:p w:rsidR="00C866BC" w:rsidRDefault="00C866BC" w:rsidP="00C866BC"/>
    <w:p w:rsidR="00C866BC" w:rsidRDefault="00C866BC" w:rsidP="00F6205D">
      <w:pPr>
        <w:pStyle w:val="ARIERBody"/>
      </w:pPr>
      <w:r>
        <w:lastRenderedPageBreak/>
        <w:t>From the estimated relationship between PFC and tree mortality, we selected a 10% annual mortality rate as our estimate of a ‘significantly elevated mortality</w:t>
      </w:r>
      <w:r w:rsidR="00B76E0F">
        <w:t>’</w:t>
      </w:r>
      <w:r>
        <w:t>.</w:t>
      </w:r>
      <w:r w:rsidR="00285836">
        <w:t xml:space="preserve"> </w:t>
      </w:r>
      <w:r>
        <w:t xml:space="preserve">Thus, trees </w:t>
      </w:r>
      <w:r w:rsidR="00B76E0F">
        <w:t xml:space="preserve">for which the </w:t>
      </w:r>
      <w:r>
        <w:t>PFC had dropped to &lt;27% (95% C</w:t>
      </w:r>
      <w:r w:rsidR="00712027">
        <w:t>redible Interval</w:t>
      </w:r>
      <w:r w:rsidR="005B08BB">
        <w:t xml:space="preserve"> (CI)</w:t>
      </w:r>
      <w:r>
        <w:t>; 25</w:t>
      </w:r>
      <w:r w:rsidR="00F051B7">
        <w:t>–</w:t>
      </w:r>
      <w:r>
        <w:t xml:space="preserve">30) were judged to be at a significantly higher risk of death due to defoliation than trees with a PFC </w:t>
      </w:r>
      <w:r w:rsidR="00B76E0F">
        <w:t>≥</w:t>
      </w:r>
      <w:r>
        <w:t>27%.</w:t>
      </w:r>
      <w:r w:rsidR="00285836">
        <w:t xml:space="preserve"> </w:t>
      </w:r>
      <w:r>
        <w:t>Hence</w:t>
      </w:r>
      <w:r w:rsidR="00B76E0F">
        <w:t>,</w:t>
      </w:r>
      <w:r>
        <w:t xml:space="preserve"> we used a 25% PFC (i.e. lower C</w:t>
      </w:r>
      <w:r w:rsidR="00712027">
        <w:t>I</w:t>
      </w:r>
      <w:r>
        <w:t>) as our estimate of the foliar cover threshold in all subsequent analyses.</w:t>
      </w:r>
    </w:p>
    <w:p w:rsidR="00C866BC" w:rsidRDefault="0027068A" w:rsidP="00576C1D">
      <w:pPr>
        <w:pStyle w:val="ARIERHC"/>
      </w:pPr>
      <w:bookmarkStart w:id="41" w:name="_Toc455406129"/>
      <w:r>
        <w:t>3.1.2</w:t>
      </w:r>
      <w:r>
        <w:tab/>
      </w:r>
      <w:r w:rsidR="005A1FD2">
        <w:t>Canopy</w:t>
      </w:r>
      <w:r w:rsidR="00C866BC">
        <w:t xml:space="preserve"> defoliation levels</w:t>
      </w:r>
      <w:r w:rsidR="00C42D27">
        <w:t xml:space="preserve"> and Koala density</w:t>
      </w:r>
      <w:bookmarkEnd w:id="41"/>
    </w:p>
    <w:p w:rsidR="00C866BC" w:rsidRDefault="00C866BC" w:rsidP="00F6205D">
      <w:pPr>
        <w:pStyle w:val="ARIERBody"/>
      </w:pPr>
      <w:r>
        <w:t xml:space="preserve">A total of 23 </w:t>
      </w:r>
      <w:r w:rsidR="00942570">
        <w:t xml:space="preserve">eucalypt forest </w:t>
      </w:r>
      <w:r>
        <w:t>sites</w:t>
      </w:r>
      <w:r w:rsidR="00942570">
        <w:t xml:space="preserve"> </w:t>
      </w:r>
      <w:r>
        <w:t xml:space="preserve">that had a one-off assessment of canopy condition and </w:t>
      </w:r>
      <w:r w:rsidR="005574FB">
        <w:t>Koala</w:t>
      </w:r>
      <w:r>
        <w:t xml:space="preserve"> densit</w:t>
      </w:r>
      <w:r w:rsidR="00712027">
        <w:t>y</w:t>
      </w:r>
      <w:r>
        <w:t xml:space="preserve"> were used for the analysis of </w:t>
      </w:r>
      <w:r w:rsidR="00942570">
        <w:t>canopy</w:t>
      </w:r>
      <w:r>
        <w:t xml:space="preserve"> defoliation levels.</w:t>
      </w:r>
      <w:r w:rsidR="00285836">
        <w:t xml:space="preserve"> </w:t>
      </w:r>
      <w:r>
        <w:t xml:space="preserve">Of these, 9 sites had no </w:t>
      </w:r>
      <w:r w:rsidR="00FF1DB9">
        <w:t>Manna Gum</w:t>
      </w:r>
      <w:r>
        <w:t xml:space="preserve"> present in the sample, </w:t>
      </w:r>
      <w:r w:rsidR="00DA04B1">
        <w:t xml:space="preserve">2 </w:t>
      </w:r>
      <w:r>
        <w:t xml:space="preserve">sites were composed of 16% and 29% </w:t>
      </w:r>
      <w:r w:rsidR="00FF1DB9">
        <w:t>Manna Gum</w:t>
      </w:r>
      <w:r w:rsidR="00DA04B1">
        <w:t>,</w:t>
      </w:r>
      <w:r>
        <w:t xml:space="preserve"> and 12 sites were composed of &gt;90% Manna Gum.</w:t>
      </w:r>
      <w:r w:rsidR="00285836">
        <w:t xml:space="preserve"> </w:t>
      </w:r>
      <w:r>
        <w:t xml:space="preserve">The levels of total canopy defoliation were dependent on the </w:t>
      </w:r>
      <w:r w:rsidR="00FF1DB9">
        <w:t>Manna Gum</w:t>
      </w:r>
      <w:r>
        <w:t xml:space="preserve"> composition of the forest</w:t>
      </w:r>
      <w:r w:rsidR="00DA04B1">
        <w:t>,</w:t>
      </w:r>
      <w:r>
        <w:t xml:space="preserve"> with sites having no </w:t>
      </w:r>
      <w:r w:rsidR="00A4160B">
        <w:t>Manna Gum</w:t>
      </w:r>
      <w:r>
        <w:t xml:space="preserve"> having a mean defoliation level of </w:t>
      </w:r>
      <w:r w:rsidR="000F7322">
        <w:t>0.19</w:t>
      </w:r>
      <w:r w:rsidR="00DA04B1">
        <w:t>,</w:t>
      </w:r>
      <w:r>
        <w:t xml:space="preserve"> and sites having </w:t>
      </w:r>
      <w:r w:rsidR="00DA04B1">
        <w:t>&gt;</w:t>
      </w:r>
      <w:r>
        <w:t xml:space="preserve">90% </w:t>
      </w:r>
      <w:r w:rsidR="00A4160B">
        <w:t>Manna Gum</w:t>
      </w:r>
      <w:r>
        <w:t xml:space="preserve"> composition having an average canopy defoliation level of </w:t>
      </w:r>
      <w:r w:rsidR="000F7322" w:rsidRPr="000F7322">
        <w:t>0.</w:t>
      </w:r>
      <w:r w:rsidRPr="000F7322">
        <w:t>55</w:t>
      </w:r>
      <w:r>
        <w:t>.</w:t>
      </w:r>
      <w:r w:rsidR="00285836">
        <w:t xml:space="preserve"> </w:t>
      </w:r>
      <w:r>
        <w:t xml:space="preserve">The two site with intermediate </w:t>
      </w:r>
      <w:r w:rsidR="00A4160B">
        <w:t>Manna Gum</w:t>
      </w:r>
      <w:r>
        <w:t xml:space="preserve"> composition had a mean canopy defoliation of </w:t>
      </w:r>
      <w:r w:rsidR="000F7322" w:rsidRPr="000F7322">
        <w:t>0.</w:t>
      </w:r>
      <w:r w:rsidRPr="000F7322">
        <w:t>33</w:t>
      </w:r>
      <w:r>
        <w:t xml:space="preserve"> (</w:t>
      </w:r>
      <w:r w:rsidR="007B0211">
        <w:t>Fig. </w:t>
      </w:r>
      <w:r w:rsidR="00FC1164">
        <w:t>2</w:t>
      </w:r>
      <w:r>
        <w:t>).</w:t>
      </w:r>
      <w:r w:rsidR="00285836">
        <w:t xml:space="preserve"> </w:t>
      </w:r>
      <w:r>
        <w:t xml:space="preserve">Koala </w:t>
      </w:r>
      <w:r w:rsidR="00DA04B1">
        <w:t xml:space="preserve">density </w:t>
      </w:r>
      <w:r>
        <w:t xml:space="preserve">also differed according to the </w:t>
      </w:r>
      <w:r w:rsidR="00A4160B">
        <w:t>Manna Gum</w:t>
      </w:r>
      <w:r>
        <w:t xml:space="preserve"> composition of the forest</w:t>
      </w:r>
      <w:r w:rsidR="00DA04B1">
        <w:t>,</w:t>
      </w:r>
      <w:r>
        <w:t xml:space="preserve"> with </w:t>
      </w:r>
      <w:r w:rsidR="00DA04B1">
        <w:t xml:space="preserve">a </w:t>
      </w:r>
      <w:r>
        <w:t xml:space="preserve">mean </w:t>
      </w:r>
      <w:r w:rsidR="00DA04B1">
        <w:t xml:space="preserve">density </w:t>
      </w:r>
      <w:r>
        <w:t xml:space="preserve">of 2.3 </w:t>
      </w:r>
      <w:r w:rsidR="005574FB">
        <w:t>Koala</w:t>
      </w:r>
      <w:r>
        <w:t xml:space="preserve">s/ha in forests with no </w:t>
      </w:r>
      <w:r w:rsidR="00A4160B">
        <w:t>Manna Gum</w:t>
      </w:r>
      <w:r>
        <w:t xml:space="preserve"> present </w:t>
      </w:r>
      <w:r w:rsidR="00DA04B1">
        <w:t xml:space="preserve">and a </w:t>
      </w:r>
      <w:r>
        <w:t xml:space="preserve">mean </w:t>
      </w:r>
      <w:r w:rsidR="00DA04B1">
        <w:t xml:space="preserve">density </w:t>
      </w:r>
      <w:r>
        <w:t xml:space="preserve">of 4 </w:t>
      </w:r>
      <w:r w:rsidR="005574FB">
        <w:t>Koala</w:t>
      </w:r>
      <w:r>
        <w:t xml:space="preserve">s/ha in forests with </w:t>
      </w:r>
      <w:r w:rsidR="00DA04B1">
        <w:t>&gt;</w:t>
      </w:r>
      <w:r>
        <w:t xml:space="preserve">90% </w:t>
      </w:r>
      <w:r w:rsidR="00A4160B">
        <w:t>Manna Gum</w:t>
      </w:r>
      <w:r>
        <w:t xml:space="preserve"> (</w:t>
      </w:r>
      <w:r w:rsidR="007B0211">
        <w:t>Fig. </w:t>
      </w:r>
      <w:r w:rsidR="00FC1164">
        <w:t>2</w:t>
      </w:r>
      <w:r>
        <w:t>).</w:t>
      </w:r>
      <w:r w:rsidR="00285836">
        <w:t xml:space="preserve"> </w:t>
      </w:r>
      <w:r>
        <w:t xml:space="preserve">However, the range of densities in forests composed of &gt;90% </w:t>
      </w:r>
      <w:r w:rsidR="00A4160B">
        <w:t>Manna Gum</w:t>
      </w:r>
      <w:r>
        <w:t xml:space="preserve"> </w:t>
      </w:r>
      <w:r w:rsidR="008F1ED3">
        <w:t xml:space="preserve">(up to 13 Koalas/ha) </w:t>
      </w:r>
      <w:r>
        <w:t xml:space="preserve">varied </w:t>
      </w:r>
      <w:r w:rsidR="00DA04B1">
        <w:t>much more widely</w:t>
      </w:r>
      <w:r>
        <w:t xml:space="preserve"> than </w:t>
      </w:r>
      <w:r w:rsidR="00DA04B1">
        <w:t xml:space="preserve">the range of densities in </w:t>
      </w:r>
      <w:r>
        <w:t xml:space="preserve">forests with no </w:t>
      </w:r>
      <w:r w:rsidR="00A4160B">
        <w:t>Manna Gum</w:t>
      </w:r>
      <w:r>
        <w:t xml:space="preserve"> (</w:t>
      </w:r>
      <w:r w:rsidR="007B0211">
        <w:t>Fig. </w:t>
      </w:r>
      <w:r w:rsidR="00FC1164">
        <w:t>2</w:t>
      </w:r>
      <w:r>
        <w:t>)</w:t>
      </w:r>
    </w:p>
    <w:p w:rsidR="00C866BC" w:rsidRDefault="00C866BC" w:rsidP="00C866BC"/>
    <w:p w:rsidR="00C866BC" w:rsidRDefault="008A2BD0" w:rsidP="00C866BC">
      <w:pPr>
        <w:keepNext/>
      </w:pPr>
      <w:r>
        <w:rPr>
          <w:noProof/>
          <w:lang w:eastAsia="en-AU"/>
        </w:rPr>
        <w:drawing>
          <wp:inline distT="0" distB="0" distL="0" distR="0" wp14:anchorId="134F9D91" wp14:editId="705C8BAE">
            <wp:extent cx="5100407" cy="46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8243"/>
                    <a:stretch/>
                  </pic:blipFill>
                  <pic:spPr bwMode="auto">
                    <a:xfrm>
                      <a:off x="0" y="0"/>
                      <a:ext cx="5100407" cy="4680000"/>
                    </a:xfrm>
                    <a:prstGeom prst="rect">
                      <a:avLst/>
                    </a:prstGeom>
                    <a:noFill/>
                    <a:ln>
                      <a:noFill/>
                    </a:ln>
                    <a:extLst>
                      <a:ext uri="{53640926-AAD7-44D8-BBD7-CCE9431645EC}">
                        <a14:shadowObscured xmlns:a14="http://schemas.microsoft.com/office/drawing/2010/main"/>
                      </a:ext>
                    </a:extLst>
                  </pic:spPr>
                </pic:pic>
              </a:graphicData>
            </a:graphic>
          </wp:inline>
        </w:drawing>
      </w:r>
    </w:p>
    <w:p w:rsidR="00285836" w:rsidRPr="008C4522" w:rsidRDefault="00C866BC">
      <w:pPr>
        <w:pStyle w:val="ARIERCaption-Figure"/>
      </w:pPr>
      <w:bookmarkStart w:id="42" w:name="_Toc328568534"/>
      <w:r w:rsidRPr="008C4522">
        <w:t xml:space="preserve">Figure </w:t>
      </w:r>
      <w:r w:rsidR="00FC1164">
        <w:t>2</w:t>
      </w:r>
      <w:r w:rsidRPr="008C4522">
        <w:t>.</w:t>
      </w:r>
      <w:r w:rsidR="00285836" w:rsidRPr="008C4522">
        <w:t xml:space="preserve"> </w:t>
      </w:r>
      <w:r w:rsidRPr="008C4522">
        <w:t xml:space="preserve">Boxplots of canopy defoliation levels (proportion of total stems below the foliar cover threshold) and </w:t>
      </w:r>
      <w:r w:rsidR="005574FB">
        <w:t>Koala</w:t>
      </w:r>
      <w:r w:rsidRPr="008C4522">
        <w:t xml:space="preserve"> densities for sites containing different </w:t>
      </w:r>
      <w:r w:rsidR="00233A61" w:rsidRPr="008C4522">
        <w:t>p</w:t>
      </w:r>
      <w:r w:rsidR="00233A61">
        <w:t>ercentages</w:t>
      </w:r>
      <w:r w:rsidR="00233A61" w:rsidRPr="008C4522">
        <w:t xml:space="preserve"> </w:t>
      </w:r>
      <w:r w:rsidRPr="008C4522">
        <w:t xml:space="preserve">of </w:t>
      </w:r>
      <w:r w:rsidR="00FF1DB9">
        <w:t>Manna Gum</w:t>
      </w:r>
      <w:r w:rsidRPr="008C4522">
        <w:t>s.</w:t>
      </w:r>
      <w:r w:rsidR="00285836" w:rsidRPr="008C4522">
        <w:t xml:space="preserve"> </w:t>
      </w:r>
      <w:r w:rsidR="00233A61">
        <w:t>The b</w:t>
      </w:r>
      <w:r w:rsidR="00233A61" w:rsidRPr="008C4522">
        <w:t xml:space="preserve">ox </w:t>
      </w:r>
      <w:r w:rsidRPr="008C4522">
        <w:t xml:space="preserve">extent indicates the interquartile range, </w:t>
      </w:r>
      <w:r w:rsidR="00233A61">
        <w:t xml:space="preserve">the </w:t>
      </w:r>
      <w:r w:rsidRPr="008C4522">
        <w:t>horizontal black line indicates the median and the whiskers indicate the range.</w:t>
      </w:r>
      <w:bookmarkEnd w:id="42"/>
    </w:p>
    <w:p w:rsidR="00C866BC" w:rsidRDefault="00C866BC" w:rsidP="00C866BC"/>
    <w:p w:rsidR="00C866BC" w:rsidRDefault="00C866BC" w:rsidP="00F6205D">
      <w:pPr>
        <w:pStyle w:val="ARIERBody"/>
      </w:pPr>
      <w:r>
        <w:t xml:space="preserve">The relationship between levels of canopy defoliation and </w:t>
      </w:r>
      <w:r w:rsidR="005574FB">
        <w:t>Koala</w:t>
      </w:r>
      <w:r>
        <w:t xml:space="preserve"> densities for individual eucalypt species (or species groups) revealed a different relationship for </w:t>
      </w:r>
      <w:r w:rsidR="00A4160B">
        <w:t>Manna Gum</w:t>
      </w:r>
      <w:r>
        <w:t xml:space="preserve"> compared with </w:t>
      </w:r>
      <w:r w:rsidR="008F1ED3">
        <w:t xml:space="preserve">that for </w:t>
      </w:r>
      <w:r>
        <w:t>other eucalypt species (</w:t>
      </w:r>
      <w:r w:rsidR="007B0211">
        <w:t>Fig. </w:t>
      </w:r>
      <w:r w:rsidR="00FC1164">
        <w:t>3</w:t>
      </w:r>
      <w:r>
        <w:t>).</w:t>
      </w:r>
      <w:r w:rsidR="00285836">
        <w:t xml:space="preserve"> </w:t>
      </w:r>
      <w:r>
        <w:t xml:space="preserve">The data on levels of </w:t>
      </w:r>
      <w:r w:rsidR="00A4160B">
        <w:t>Manna Gum</w:t>
      </w:r>
      <w:r>
        <w:t xml:space="preserve"> defoliation and </w:t>
      </w:r>
      <w:r w:rsidR="005574FB">
        <w:t>Koala</w:t>
      </w:r>
      <w:r>
        <w:t xml:space="preserve"> densities at each site showed </w:t>
      </w:r>
      <w:r>
        <w:lastRenderedPageBreak/>
        <w:t xml:space="preserve">evidence of a highly non-linear relationship </w:t>
      </w:r>
      <w:r w:rsidR="008F1ED3">
        <w:t xml:space="preserve">in which </w:t>
      </w:r>
      <w:r>
        <w:t xml:space="preserve">defoliation levels initially increased rapidly with increasing </w:t>
      </w:r>
      <w:r w:rsidR="005574FB">
        <w:t>Koala</w:t>
      </w:r>
      <w:r>
        <w:t xml:space="preserve"> density up to some threshold density level</w:t>
      </w:r>
      <w:r w:rsidR="008F1ED3">
        <w:t>, after which they</w:t>
      </w:r>
      <w:r>
        <w:t xml:space="preserve"> </w:t>
      </w:r>
      <w:r w:rsidR="008F1ED3">
        <w:t xml:space="preserve">increased </w:t>
      </w:r>
      <w:r>
        <w:t xml:space="preserve">more steadily with increase in </w:t>
      </w:r>
      <w:r w:rsidR="005574FB">
        <w:t>Koala</w:t>
      </w:r>
      <w:r>
        <w:t xml:space="preserve"> density (</w:t>
      </w:r>
      <w:r w:rsidR="007B0211">
        <w:t>Fig. </w:t>
      </w:r>
      <w:r w:rsidR="00FC1164">
        <w:t>3</w:t>
      </w:r>
      <w:r>
        <w:t>).</w:t>
      </w:r>
      <w:r w:rsidR="00285836">
        <w:t xml:space="preserve"> </w:t>
      </w:r>
      <w:r>
        <w:t xml:space="preserve">To capture this relationship, we fitted a logistic regression with a ‘threshold’ point (also known as a ‘broken stick’ regression) to the data for </w:t>
      </w:r>
      <w:r w:rsidR="00A4160B">
        <w:t>Manna Gum</w:t>
      </w:r>
      <w:r>
        <w:t>s.</w:t>
      </w:r>
      <w:r w:rsidR="00285836">
        <w:t xml:space="preserve"> </w:t>
      </w:r>
      <w:r>
        <w:t>This relationship estimates two slopes for the regression relationship as well as an estimate of the threshold point that separates the two relationships.</w:t>
      </w:r>
      <w:r w:rsidR="00285836">
        <w:t xml:space="preserve"> </w:t>
      </w:r>
      <w:r>
        <w:t xml:space="preserve">The threshold model fitted to the </w:t>
      </w:r>
      <w:r w:rsidR="00A4160B">
        <w:t>Manna Gum</w:t>
      </w:r>
      <w:r>
        <w:t xml:space="preserve"> data was a much better fit than a single regression relationship (difference in the Deviance Information Criterion (DIC) of 39) and hence was the preferred model for this species.</w:t>
      </w:r>
    </w:p>
    <w:p w:rsidR="00C866BC" w:rsidRDefault="00C866BC" w:rsidP="00F6205D">
      <w:pPr>
        <w:pStyle w:val="ARIERBody"/>
      </w:pPr>
      <w:r>
        <w:t xml:space="preserve">Estimates of the parameters for each of the logistic regression relationships are given in Table </w:t>
      </w:r>
      <w:r w:rsidR="00294F19">
        <w:t>4</w:t>
      </w:r>
      <w:r>
        <w:t>.</w:t>
      </w:r>
      <w:r w:rsidR="00285836">
        <w:t xml:space="preserve"> </w:t>
      </w:r>
      <w:r>
        <w:t>The slope estimates</w:t>
      </w:r>
      <w:r w:rsidR="00942570">
        <w:t xml:space="preserve"> (koalas)</w:t>
      </w:r>
      <w:r>
        <w:t xml:space="preserve"> indicate that levels of canopy defoliation increase faster for </w:t>
      </w:r>
      <w:r w:rsidR="00A4160B">
        <w:t>Manna Gum</w:t>
      </w:r>
      <w:r>
        <w:t xml:space="preserve"> </w:t>
      </w:r>
      <w:r w:rsidR="008F1ED3">
        <w:t>than for</w:t>
      </w:r>
      <w:r>
        <w:t xml:space="preserve"> other species for a given increase in </w:t>
      </w:r>
      <w:r w:rsidR="005574FB">
        <w:t>Koala</w:t>
      </w:r>
      <w:r>
        <w:t xml:space="preserve"> density, up to a threshold of 1.64 </w:t>
      </w:r>
      <w:r w:rsidR="005574FB">
        <w:t>Koala</w:t>
      </w:r>
      <w:r>
        <w:t>s/ha.</w:t>
      </w:r>
      <w:r w:rsidR="00285836">
        <w:t xml:space="preserve"> </w:t>
      </w:r>
      <w:r>
        <w:t xml:space="preserve">The level of canopy defoliation at this density was estimated as </w:t>
      </w:r>
      <w:r w:rsidR="000F7322">
        <w:t>0.</w:t>
      </w:r>
      <w:r>
        <w:t>66.</w:t>
      </w:r>
      <w:r w:rsidR="00285836">
        <w:t xml:space="preserve"> </w:t>
      </w:r>
      <w:r>
        <w:t>Thereafter, canopy defoliation increased at a much slower rate</w:t>
      </w:r>
      <w:r w:rsidR="008F1ED3">
        <w:t>,</w:t>
      </w:r>
      <w:r>
        <w:t xml:space="preserve"> reaching </w:t>
      </w:r>
      <w:r w:rsidR="000F7322">
        <w:t>0.</w:t>
      </w:r>
      <w:r>
        <w:t xml:space="preserve">80 at 15 </w:t>
      </w:r>
      <w:r w:rsidR="005574FB">
        <w:t>Koala</w:t>
      </w:r>
      <w:r>
        <w:t>s/ha (</w:t>
      </w:r>
      <w:r w:rsidR="007B0211">
        <w:t>Fig. </w:t>
      </w:r>
      <w:r w:rsidR="00FC1164">
        <w:t>3</w:t>
      </w:r>
      <w:r>
        <w:t>).</w:t>
      </w:r>
      <w:r w:rsidR="00285836">
        <w:t xml:space="preserve"> </w:t>
      </w:r>
      <w:r w:rsidR="0082052F">
        <w:t xml:space="preserve"> Canopy defoliation levels of less than 0.40 were predicted when Koala densities were less than 0.90 Koalas/ha.  T</w:t>
      </w:r>
      <w:r>
        <w:t xml:space="preserve">he level of canopy defoliation of </w:t>
      </w:r>
      <w:r w:rsidR="00A4160B">
        <w:t>Manna Gum</w:t>
      </w:r>
      <w:r>
        <w:t xml:space="preserve">s at zero </w:t>
      </w:r>
      <w:r w:rsidR="005574FB">
        <w:t>Koala</w:t>
      </w:r>
      <w:r>
        <w:t xml:space="preserve"> density was estimated as </w:t>
      </w:r>
      <w:r w:rsidR="000F7322">
        <w:t>0.</w:t>
      </w:r>
      <w:r>
        <w:t>12</w:t>
      </w:r>
      <w:r w:rsidR="000F7322">
        <w:t xml:space="preserve">.  </w:t>
      </w:r>
      <w:r>
        <w:t xml:space="preserve">This represents the estimate of likely background levels of defoliation in the absence of </w:t>
      </w:r>
      <w:r w:rsidR="005574FB">
        <w:t>Koala</w:t>
      </w:r>
      <w:r>
        <w:t>s.</w:t>
      </w:r>
      <w:r w:rsidR="000F7322">
        <w:t xml:space="preserve">   </w:t>
      </w:r>
    </w:p>
    <w:p w:rsidR="002C0477" w:rsidRDefault="002C0477" w:rsidP="006850F1">
      <w:pPr>
        <w:pStyle w:val="ARIERCaption-Table"/>
      </w:pPr>
    </w:p>
    <w:p w:rsidR="00C866BC" w:rsidRPr="008C4522" w:rsidRDefault="00C866BC" w:rsidP="006850F1">
      <w:pPr>
        <w:pStyle w:val="ARIERCaption-Table"/>
      </w:pPr>
      <w:bookmarkStart w:id="43" w:name="_Toc454803940"/>
      <w:r w:rsidRPr="008C4522">
        <w:t xml:space="preserve">Table </w:t>
      </w:r>
      <w:r w:rsidR="00294F19">
        <w:t>4</w:t>
      </w:r>
      <w:r w:rsidRPr="008C4522">
        <w:t>.</w:t>
      </w:r>
      <w:r w:rsidR="00285836" w:rsidRPr="008C4522">
        <w:t xml:space="preserve"> </w:t>
      </w:r>
      <w:r w:rsidRPr="008C4522">
        <w:t xml:space="preserve">Parameter estimates (on the logit scale) from logistic regressions (intercept and slope for </w:t>
      </w:r>
      <w:r w:rsidR="005574FB">
        <w:t>Koala</w:t>
      </w:r>
      <w:r w:rsidRPr="008C4522">
        <w:t xml:space="preserve"> density) fitted to levels of canopy defoliation for </w:t>
      </w:r>
      <w:r w:rsidR="002B68A9">
        <w:t>various</w:t>
      </w:r>
      <w:r w:rsidR="002B68A9" w:rsidRPr="008C4522">
        <w:t xml:space="preserve"> </w:t>
      </w:r>
      <w:r w:rsidRPr="008C4522">
        <w:t xml:space="preserve">eucalypt species at a site vs </w:t>
      </w:r>
      <w:r w:rsidR="005574FB">
        <w:t>Koala</w:t>
      </w:r>
      <w:r w:rsidRPr="008C4522">
        <w:t xml:space="preserve"> density.</w:t>
      </w:r>
      <w:r w:rsidR="00285836" w:rsidRPr="008C4522">
        <w:t xml:space="preserve"> </w:t>
      </w:r>
      <w:r w:rsidRPr="008C4522">
        <w:t xml:space="preserve">The relationship for </w:t>
      </w:r>
      <w:r w:rsidR="00A4160B">
        <w:t>Manna Gum</w:t>
      </w:r>
      <w:r w:rsidRPr="008C4522">
        <w:t xml:space="preserve"> represents a threshold (TH) regression </w:t>
      </w:r>
      <w:r w:rsidR="00BF6603">
        <w:t>with different</w:t>
      </w:r>
      <w:r w:rsidRPr="008C4522">
        <w:t xml:space="preserve"> slope estimates when </w:t>
      </w:r>
      <w:r w:rsidR="005574FB">
        <w:t>Koala</w:t>
      </w:r>
      <w:r w:rsidRPr="008C4522">
        <w:t xml:space="preserve"> density ≤TH and </w:t>
      </w:r>
      <w:r w:rsidR="005574FB">
        <w:t>Koala</w:t>
      </w:r>
      <w:r w:rsidRPr="008C4522">
        <w:t xml:space="preserve"> density &gt;TH</w:t>
      </w:r>
      <w:r w:rsidR="002B68A9">
        <w:t>,</w:t>
      </w:r>
      <w:r w:rsidRPr="008C4522">
        <w:t xml:space="preserve"> with TH being an estimate of the threshold.</w:t>
      </w:r>
      <w:bookmarkEnd w:id="43"/>
    </w:p>
    <w:tbl>
      <w:tblPr>
        <w:tblStyle w:val="ListTable21"/>
        <w:tblW w:w="0" w:type="auto"/>
        <w:tblLook w:val="06A0" w:firstRow="1" w:lastRow="0" w:firstColumn="1" w:lastColumn="0" w:noHBand="1" w:noVBand="1"/>
      </w:tblPr>
      <w:tblGrid>
        <w:gridCol w:w="3743"/>
        <w:gridCol w:w="1752"/>
        <w:gridCol w:w="1275"/>
        <w:gridCol w:w="993"/>
        <w:gridCol w:w="992"/>
        <w:gridCol w:w="993"/>
      </w:tblGrid>
      <w:tr w:rsidR="00DB026C" w:rsidRPr="002C0477" w:rsidTr="00DB026C">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28591"/>
              <w:bottom w:val="single" w:sz="4" w:space="0" w:color="228591"/>
            </w:tcBorders>
            <w:shd w:val="clear" w:color="auto" w:fill="228591"/>
            <w:vAlign w:val="center"/>
          </w:tcPr>
          <w:p w:rsidR="00C866BC" w:rsidRPr="006850F1" w:rsidRDefault="00C866BC" w:rsidP="006850F1">
            <w:pPr>
              <w:jc w:val="center"/>
              <w:rPr>
                <w:b w:val="0"/>
                <w:color w:val="FFFFFF" w:themeColor="background1"/>
              </w:rPr>
            </w:pPr>
            <w:r w:rsidRPr="006850F1">
              <w:rPr>
                <w:color w:val="FFFFFF" w:themeColor="background1"/>
              </w:rPr>
              <w:t>Species</w:t>
            </w:r>
          </w:p>
        </w:tc>
        <w:tc>
          <w:tcPr>
            <w:tcW w:w="1752" w:type="dxa"/>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Parameter</w:t>
            </w:r>
          </w:p>
        </w:tc>
        <w:tc>
          <w:tcPr>
            <w:tcW w:w="1275" w:type="dxa"/>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Estimate</w:t>
            </w:r>
          </w:p>
        </w:tc>
        <w:tc>
          <w:tcPr>
            <w:tcW w:w="993" w:type="dxa"/>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SD</w:t>
            </w:r>
          </w:p>
        </w:tc>
        <w:tc>
          <w:tcPr>
            <w:tcW w:w="992" w:type="dxa"/>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LCL</w:t>
            </w:r>
          </w:p>
        </w:tc>
        <w:tc>
          <w:tcPr>
            <w:tcW w:w="993" w:type="dxa"/>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UCL</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28591"/>
              <w:bottom w:val="nil"/>
            </w:tcBorders>
            <w:vAlign w:val="center"/>
          </w:tcPr>
          <w:p w:rsidR="00C866BC" w:rsidRPr="006850F1" w:rsidRDefault="00FF1DB9" w:rsidP="006850F1">
            <w:pPr>
              <w:jc w:val="center"/>
              <w:rPr>
                <w:b w:val="0"/>
              </w:rPr>
            </w:pPr>
            <w:r w:rsidRPr="002C0477">
              <w:t>Manna Gum</w:t>
            </w:r>
          </w:p>
        </w:tc>
        <w:tc>
          <w:tcPr>
            <w:tcW w:w="1752"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Intercept</w:t>
            </w:r>
          </w:p>
        </w:tc>
        <w:tc>
          <w:tcPr>
            <w:tcW w:w="1275"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0.67</w:t>
            </w:r>
          </w:p>
        </w:tc>
        <w:tc>
          <w:tcPr>
            <w:tcW w:w="993"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0.135</w:t>
            </w:r>
          </w:p>
        </w:tc>
        <w:tc>
          <w:tcPr>
            <w:tcW w:w="992"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0.41</w:t>
            </w:r>
          </w:p>
        </w:tc>
        <w:tc>
          <w:tcPr>
            <w:tcW w:w="993"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0.95</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866BC" w:rsidRPr="006850F1" w:rsidRDefault="00C866BC" w:rsidP="006850F1">
            <w:pPr>
              <w:jc w:val="center"/>
              <w:rPr>
                <w:b w:val="0"/>
              </w:rPr>
            </w:pPr>
          </w:p>
        </w:tc>
        <w:tc>
          <w:tcPr>
            <w:tcW w:w="1752"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Koalas ≤TH</w:t>
            </w:r>
          </w:p>
        </w:tc>
        <w:tc>
          <w:tcPr>
            <w:tcW w:w="1275"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1.62</w:t>
            </w:r>
          </w:p>
        </w:tc>
        <w:tc>
          <w:tcPr>
            <w:tcW w:w="993"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0.267</w:t>
            </w:r>
          </w:p>
        </w:tc>
        <w:tc>
          <w:tcPr>
            <w:tcW w:w="992"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1.10</w:t>
            </w:r>
          </w:p>
        </w:tc>
        <w:tc>
          <w:tcPr>
            <w:tcW w:w="993"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2.15</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866BC" w:rsidRPr="006850F1" w:rsidRDefault="00C866BC" w:rsidP="006850F1">
            <w:pPr>
              <w:jc w:val="center"/>
              <w:rPr>
                <w:b w:val="0"/>
              </w:rPr>
            </w:pPr>
          </w:p>
        </w:tc>
        <w:tc>
          <w:tcPr>
            <w:tcW w:w="1752"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Koalas &gt;TH</w:t>
            </w:r>
          </w:p>
        </w:tc>
        <w:tc>
          <w:tcPr>
            <w:tcW w:w="1275"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0.05</w:t>
            </w:r>
          </w:p>
        </w:tc>
        <w:tc>
          <w:tcPr>
            <w:tcW w:w="993"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0.022</w:t>
            </w:r>
          </w:p>
        </w:tc>
        <w:tc>
          <w:tcPr>
            <w:tcW w:w="992"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0.01</w:t>
            </w:r>
          </w:p>
        </w:tc>
        <w:tc>
          <w:tcPr>
            <w:tcW w:w="993" w:type="dxa"/>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0.09</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228591"/>
            </w:tcBorders>
            <w:vAlign w:val="center"/>
          </w:tcPr>
          <w:p w:rsidR="00C866BC" w:rsidRPr="006850F1" w:rsidRDefault="00C866BC" w:rsidP="006850F1">
            <w:pPr>
              <w:jc w:val="center"/>
              <w:rPr>
                <w:b w:val="0"/>
              </w:rPr>
            </w:pPr>
          </w:p>
        </w:tc>
        <w:tc>
          <w:tcPr>
            <w:tcW w:w="175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TH (</w:t>
            </w:r>
            <w:r w:rsidR="005574FB" w:rsidRPr="002C0477">
              <w:t>Koala</w:t>
            </w:r>
            <w:r w:rsidRPr="002C0477">
              <w:t>s/ha)</w:t>
            </w:r>
          </w:p>
        </w:tc>
        <w:tc>
          <w:tcPr>
            <w:tcW w:w="1275"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1.64</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0.095</w:t>
            </w:r>
          </w:p>
        </w:tc>
        <w:tc>
          <w:tcPr>
            <w:tcW w:w="99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1.48</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1.87</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28591"/>
              <w:bottom w:val="nil"/>
            </w:tcBorders>
            <w:vAlign w:val="center"/>
          </w:tcPr>
          <w:p w:rsidR="00C866BC" w:rsidRPr="006850F1" w:rsidRDefault="00C866BC" w:rsidP="006850F1">
            <w:pPr>
              <w:jc w:val="center"/>
              <w:rPr>
                <w:b w:val="0"/>
              </w:rPr>
            </w:pPr>
            <w:r w:rsidRPr="002C0477">
              <w:t>Blue Gum</w:t>
            </w:r>
          </w:p>
        </w:tc>
        <w:tc>
          <w:tcPr>
            <w:tcW w:w="1752"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Intercept</w:t>
            </w:r>
          </w:p>
        </w:tc>
        <w:tc>
          <w:tcPr>
            <w:tcW w:w="1275"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2.88</w:t>
            </w:r>
          </w:p>
        </w:tc>
        <w:tc>
          <w:tcPr>
            <w:tcW w:w="993"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0.491</w:t>
            </w:r>
          </w:p>
        </w:tc>
        <w:tc>
          <w:tcPr>
            <w:tcW w:w="992"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3.95</w:t>
            </w:r>
          </w:p>
        </w:tc>
        <w:tc>
          <w:tcPr>
            <w:tcW w:w="993"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1.99</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228591"/>
            </w:tcBorders>
            <w:vAlign w:val="center"/>
          </w:tcPr>
          <w:p w:rsidR="00C866BC" w:rsidRPr="006850F1" w:rsidRDefault="00C866BC" w:rsidP="006850F1">
            <w:pPr>
              <w:jc w:val="center"/>
              <w:rPr>
                <w:b w:val="0"/>
              </w:rPr>
            </w:pPr>
          </w:p>
        </w:tc>
        <w:tc>
          <w:tcPr>
            <w:tcW w:w="175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Koalas</w:t>
            </w:r>
          </w:p>
        </w:tc>
        <w:tc>
          <w:tcPr>
            <w:tcW w:w="1275"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0.45</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0.124</w:t>
            </w:r>
          </w:p>
        </w:tc>
        <w:tc>
          <w:tcPr>
            <w:tcW w:w="99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0.22</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0.72</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28591"/>
              <w:bottom w:val="nil"/>
            </w:tcBorders>
            <w:vAlign w:val="center"/>
          </w:tcPr>
          <w:p w:rsidR="00C866BC" w:rsidRPr="006850F1" w:rsidRDefault="00C866BC" w:rsidP="006850F1">
            <w:pPr>
              <w:jc w:val="center"/>
              <w:rPr>
                <w:b w:val="0"/>
              </w:rPr>
            </w:pPr>
            <w:r w:rsidRPr="002C0477">
              <w:t>Messmate Stringybark</w:t>
            </w:r>
          </w:p>
        </w:tc>
        <w:tc>
          <w:tcPr>
            <w:tcW w:w="1752"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Intercept</w:t>
            </w:r>
          </w:p>
        </w:tc>
        <w:tc>
          <w:tcPr>
            <w:tcW w:w="1275"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2.54</w:t>
            </w:r>
          </w:p>
        </w:tc>
        <w:tc>
          <w:tcPr>
            <w:tcW w:w="993"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0.293</w:t>
            </w:r>
          </w:p>
        </w:tc>
        <w:tc>
          <w:tcPr>
            <w:tcW w:w="992"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3.13</w:t>
            </w:r>
          </w:p>
        </w:tc>
        <w:tc>
          <w:tcPr>
            <w:tcW w:w="993"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1.98</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228591"/>
            </w:tcBorders>
            <w:vAlign w:val="center"/>
          </w:tcPr>
          <w:p w:rsidR="00C866BC" w:rsidRPr="006850F1" w:rsidRDefault="00C866BC" w:rsidP="006850F1">
            <w:pPr>
              <w:jc w:val="center"/>
              <w:rPr>
                <w:b w:val="0"/>
              </w:rPr>
            </w:pPr>
          </w:p>
        </w:tc>
        <w:tc>
          <w:tcPr>
            <w:tcW w:w="175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Koalas</w:t>
            </w:r>
          </w:p>
        </w:tc>
        <w:tc>
          <w:tcPr>
            <w:tcW w:w="1275"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0.37</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0.091</w:t>
            </w:r>
          </w:p>
        </w:tc>
        <w:tc>
          <w:tcPr>
            <w:tcW w:w="99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0.19</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0.55</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28591"/>
              <w:bottom w:val="nil"/>
            </w:tcBorders>
            <w:vAlign w:val="center"/>
          </w:tcPr>
          <w:p w:rsidR="00C866BC" w:rsidRPr="006850F1" w:rsidRDefault="00C866BC" w:rsidP="006850F1">
            <w:pPr>
              <w:jc w:val="center"/>
              <w:rPr>
                <w:b w:val="0"/>
              </w:rPr>
            </w:pPr>
            <w:r w:rsidRPr="002C0477">
              <w:t>Mountain</w:t>
            </w:r>
            <w:r w:rsidR="008F1ED3">
              <w:rPr>
                <w:b w:val="0"/>
              </w:rPr>
              <w:t xml:space="preserve"> Grey Gum (</w:t>
            </w:r>
            <w:r w:rsidR="008F1ED3">
              <w:rPr>
                <w:b w:val="0"/>
                <w:i/>
              </w:rPr>
              <w:t xml:space="preserve">E. </w:t>
            </w:r>
            <w:proofErr w:type="spellStart"/>
            <w:r w:rsidR="008F1ED3">
              <w:rPr>
                <w:b w:val="0"/>
                <w:i/>
              </w:rPr>
              <w:t>cypellocarpa</w:t>
            </w:r>
            <w:proofErr w:type="spellEnd"/>
            <w:r w:rsidR="008F1ED3">
              <w:rPr>
                <w:b w:val="0"/>
              </w:rPr>
              <w:t xml:space="preserve">) </w:t>
            </w:r>
            <w:r w:rsidRPr="002C0477">
              <w:t>/</w:t>
            </w:r>
            <w:r w:rsidR="008F1ED3">
              <w:rPr>
                <w:b w:val="0"/>
              </w:rPr>
              <w:br/>
            </w:r>
            <w:r w:rsidRPr="002C0477">
              <w:t>Swamp Gum</w:t>
            </w:r>
            <w:r w:rsidR="008F1ED3">
              <w:rPr>
                <w:b w:val="0"/>
              </w:rPr>
              <w:t xml:space="preserve"> (</w:t>
            </w:r>
            <w:r w:rsidR="008F1ED3">
              <w:rPr>
                <w:b w:val="0"/>
                <w:i/>
              </w:rPr>
              <w:t>E. ovata</w:t>
            </w:r>
            <w:r w:rsidR="008F1ED3">
              <w:rPr>
                <w:b w:val="0"/>
              </w:rPr>
              <w:t>)</w:t>
            </w:r>
          </w:p>
        </w:tc>
        <w:tc>
          <w:tcPr>
            <w:tcW w:w="1752"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Intercept</w:t>
            </w:r>
          </w:p>
        </w:tc>
        <w:tc>
          <w:tcPr>
            <w:tcW w:w="1275"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1.95</w:t>
            </w:r>
          </w:p>
        </w:tc>
        <w:tc>
          <w:tcPr>
            <w:tcW w:w="993" w:type="dxa"/>
            <w:tcBorders>
              <w:top w:val="single" w:sz="4" w:space="0" w:color="228591"/>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0.364</w:t>
            </w:r>
          </w:p>
        </w:tc>
        <w:tc>
          <w:tcPr>
            <w:tcW w:w="992"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2.70</w:t>
            </w:r>
          </w:p>
        </w:tc>
        <w:tc>
          <w:tcPr>
            <w:tcW w:w="993" w:type="dxa"/>
            <w:tcBorders>
              <w:top w:val="single" w:sz="4" w:space="0" w:color="228591"/>
              <w:bottom w:val="nil"/>
            </w:tcBorders>
            <w:vAlign w:val="center"/>
          </w:tcPr>
          <w:p w:rsidR="00C866BC" w:rsidRPr="006850F1" w:rsidRDefault="002C0477" w:rsidP="006850F1">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1.26</w:t>
            </w:r>
          </w:p>
        </w:tc>
      </w:tr>
      <w:tr w:rsidR="00C866BC" w:rsidRPr="002C0477" w:rsidTr="00DB026C">
        <w:trPr>
          <w:cantSplit/>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228591"/>
            </w:tcBorders>
            <w:vAlign w:val="center"/>
          </w:tcPr>
          <w:p w:rsidR="00C866BC" w:rsidRPr="006850F1" w:rsidRDefault="00C866BC" w:rsidP="006850F1">
            <w:pPr>
              <w:jc w:val="center"/>
              <w:rPr>
                <w:b w:val="0"/>
              </w:rPr>
            </w:pPr>
          </w:p>
        </w:tc>
        <w:tc>
          <w:tcPr>
            <w:tcW w:w="175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Koalas</w:t>
            </w:r>
          </w:p>
        </w:tc>
        <w:tc>
          <w:tcPr>
            <w:tcW w:w="1275"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0.42</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0.162</w:t>
            </w:r>
          </w:p>
        </w:tc>
        <w:tc>
          <w:tcPr>
            <w:tcW w:w="992"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0.11</w:t>
            </w:r>
          </w:p>
        </w:tc>
        <w:tc>
          <w:tcPr>
            <w:tcW w:w="993" w:type="dxa"/>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0.75</w:t>
            </w:r>
          </w:p>
        </w:tc>
      </w:tr>
    </w:tbl>
    <w:p w:rsidR="00C866BC" w:rsidRDefault="00C866BC" w:rsidP="00C866BC"/>
    <w:p w:rsidR="00285836" w:rsidRDefault="00C866BC" w:rsidP="00F6205D">
      <w:pPr>
        <w:pStyle w:val="ARIERBody"/>
      </w:pPr>
      <w:r>
        <w:t xml:space="preserve">For other eucalypt species, the effect of </w:t>
      </w:r>
      <w:r w:rsidR="005574FB">
        <w:t>Koala</w:t>
      </w:r>
      <w:r>
        <w:t xml:space="preserve"> density on canopy defoliation levels was lower for Messmate </w:t>
      </w:r>
      <w:r w:rsidR="008F1ED3">
        <w:t>S</w:t>
      </w:r>
      <w:r>
        <w:t xml:space="preserve">tringybark </w:t>
      </w:r>
      <w:r w:rsidR="008F1ED3">
        <w:t>than for</w:t>
      </w:r>
      <w:r>
        <w:t xml:space="preserve"> either </w:t>
      </w:r>
      <w:r w:rsidR="008F1ED3">
        <w:t>B</w:t>
      </w:r>
      <w:r>
        <w:t xml:space="preserve">lue </w:t>
      </w:r>
      <w:r w:rsidR="008F1ED3">
        <w:t xml:space="preserve">Gum </w:t>
      </w:r>
      <w:r>
        <w:t xml:space="preserve">or </w:t>
      </w:r>
      <w:r w:rsidR="008F1ED3">
        <w:t>Mountain Grey Gum</w:t>
      </w:r>
      <w:r>
        <w:t>/</w:t>
      </w:r>
      <w:r w:rsidR="008F1ED3">
        <w:t xml:space="preserve">Swamp Gum </w:t>
      </w:r>
      <w:r>
        <w:t>(slope estimates of 0.37 vs 0.45 and 0.42</w:t>
      </w:r>
      <w:r w:rsidR="008F1ED3">
        <w:t>,</w:t>
      </w:r>
      <w:r>
        <w:t xml:space="preserve"> </w:t>
      </w:r>
      <w:r w:rsidR="008F1ED3">
        <w:t xml:space="preserve">respectively </w:t>
      </w:r>
      <w:r>
        <w:t xml:space="preserve">– Table </w:t>
      </w:r>
      <w:r w:rsidR="00294F19">
        <w:t>4</w:t>
      </w:r>
      <w:r>
        <w:t>).</w:t>
      </w:r>
      <w:r w:rsidR="00285836">
        <w:t xml:space="preserve"> </w:t>
      </w:r>
      <w:r>
        <w:t xml:space="preserve">In general, these were much lower than the estimate for </w:t>
      </w:r>
      <w:r w:rsidR="00A4160B">
        <w:t>Manna Gum</w:t>
      </w:r>
      <w:r>
        <w:t xml:space="preserve"> below the 1.64 threshold density (slope of 1.62).</w:t>
      </w:r>
      <w:r w:rsidR="00285836">
        <w:t xml:space="preserve"> </w:t>
      </w:r>
      <w:r>
        <w:t xml:space="preserve">The levels of canopy defoliation in the absence of </w:t>
      </w:r>
      <w:r w:rsidR="005574FB">
        <w:t>Koala</w:t>
      </w:r>
      <w:r>
        <w:t xml:space="preserve">s for these species were estimated as 0.05, 0.07 and 0.12 for </w:t>
      </w:r>
      <w:r w:rsidR="008F1ED3">
        <w:t>Blue Gum</w:t>
      </w:r>
      <w:r>
        <w:t xml:space="preserve">, </w:t>
      </w:r>
      <w:r w:rsidR="008F1ED3">
        <w:t xml:space="preserve">Messmate Stringybark </w:t>
      </w:r>
      <w:r>
        <w:t xml:space="preserve">and </w:t>
      </w:r>
      <w:r w:rsidR="008F1ED3">
        <w:t>Mountain Grey Gum</w:t>
      </w:r>
      <w:r>
        <w:t>/</w:t>
      </w:r>
      <w:r w:rsidR="008F1ED3">
        <w:t xml:space="preserve">Swamp Gum, </w:t>
      </w:r>
      <w:r>
        <w:t xml:space="preserve">respectively (Table </w:t>
      </w:r>
      <w:r w:rsidR="00294F19">
        <w:t>4</w:t>
      </w:r>
      <w:r>
        <w:t>).</w:t>
      </w:r>
      <w:r w:rsidR="00285836">
        <w:t xml:space="preserve"> </w:t>
      </w:r>
      <w:r>
        <w:t xml:space="preserve">In general, for these eucalypt species the level of canopy defoliation for a given </w:t>
      </w:r>
      <w:r w:rsidR="005574FB">
        <w:t>Koala</w:t>
      </w:r>
      <w:r>
        <w:t xml:space="preserve"> density is expected to be much lower than for </w:t>
      </w:r>
      <w:r w:rsidR="00A4160B">
        <w:t>Manna Gum</w:t>
      </w:r>
      <w:r w:rsidR="008F1ED3">
        <w:t>,</w:t>
      </w:r>
      <w:r>
        <w:t xml:space="preserve"> with levels of defoliation predicted to be between </w:t>
      </w:r>
      <w:r w:rsidR="0082052F">
        <w:t>0.</w:t>
      </w:r>
      <w:r>
        <w:t>35</w:t>
      </w:r>
      <w:r w:rsidR="008F1ED3">
        <w:t xml:space="preserve"> and </w:t>
      </w:r>
      <w:r w:rsidR="0082052F">
        <w:t>0.</w:t>
      </w:r>
      <w:r>
        <w:t xml:space="preserve">45 at </w:t>
      </w:r>
      <w:r w:rsidR="005574FB">
        <w:t>Koala</w:t>
      </w:r>
      <w:r>
        <w:t xml:space="preserve"> densities of 4</w:t>
      </w:r>
      <w:r w:rsidR="008F1ED3">
        <w:t>–</w:t>
      </w:r>
      <w:r>
        <w:t xml:space="preserve">5 </w:t>
      </w:r>
      <w:r w:rsidR="005574FB">
        <w:t>Koala</w:t>
      </w:r>
      <w:r>
        <w:t>s/ha</w:t>
      </w:r>
      <w:r w:rsidR="008F1ED3">
        <w:t>, compared with</w:t>
      </w:r>
      <w:r>
        <w:t xml:space="preserve"> expected defoliation levels of &gt;</w:t>
      </w:r>
      <w:r w:rsidR="0082052F">
        <w:t>0.</w:t>
      </w:r>
      <w:r>
        <w:t xml:space="preserve">65 for the same </w:t>
      </w:r>
      <w:r w:rsidR="005574FB">
        <w:t>Koala</w:t>
      </w:r>
      <w:r>
        <w:t xml:space="preserve"> densities for </w:t>
      </w:r>
      <w:r w:rsidR="00A4160B">
        <w:t>Manna Gum</w:t>
      </w:r>
      <w:r>
        <w:t>.</w:t>
      </w:r>
    </w:p>
    <w:p w:rsidR="00C866BC" w:rsidRDefault="00942570" w:rsidP="00C866BC">
      <w:pPr>
        <w:keepNext/>
      </w:pPr>
      <w:r>
        <w:rPr>
          <w:noProof/>
          <w:lang w:eastAsia="en-AU"/>
        </w:rPr>
        <w:lastRenderedPageBreak/>
        <w:drawing>
          <wp:inline distT="0" distB="0" distL="0" distR="0" wp14:anchorId="29678168" wp14:editId="02DC3B8A">
            <wp:extent cx="5724000" cy="57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000" cy="5724000"/>
                    </a:xfrm>
                    <a:prstGeom prst="rect">
                      <a:avLst/>
                    </a:prstGeom>
                    <a:noFill/>
                    <a:ln>
                      <a:noFill/>
                    </a:ln>
                  </pic:spPr>
                </pic:pic>
              </a:graphicData>
            </a:graphic>
          </wp:inline>
        </w:drawing>
      </w:r>
    </w:p>
    <w:p w:rsidR="00C866BC" w:rsidRDefault="00C866BC">
      <w:pPr>
        <w:pStyle w:val="ARIERCaption-Figure"/>
      </w:pPr>
      <w:bookmarkStart w:id="44" w:name="_Toc328568535"/>
      <w:r>
        <w:t xml:space="preserve">Figure </w:t>
      </w:r>
      <w:r w:rsidR="00FC1164">
        <w:t>3</w:t>
      </w:r>
      <w:r>
        <w:t>.</w:t>
      </w:r>
      <w:r w:rsidR="00285836">
        <w:t xml:space="preserve"> </w:t>
      </w:r>
      <w:r>
        <w:t xml:space="preserve">Logistic regression relationships between canopy defoliation levels (proportion of stems below the foliar cover threshold) and </w:t>
      </w:r>
      <w:r w:rsidR="005574FB">
        <w:t>Koala</w:t>
      </w:r>
      <w:r>
        <w:t xml:space="preserve"> densities for </w:t>
      </w:r>
      <w:r w:rsidR="008F1ED3">
        <w:t xml:space="preserve">various </w:t>
      </w:r>
      <w:r>
        <w:t>eucalypt species.</w:t>
      </w:r>
      <w:r w:rsidR="00285836">
        <w:t xml:space="preserve"> </w:t>
      </w:r>
      <w:r>
        <w:t xml:space="preserve">The relationship fitted to </w:t>
      </w:r>
      <w:r w:rsidR="00FF1DB9">
        <w:t>Manna Gum</w:t>
      </w:r>
      <w:r>
        <w:t xml:space="preserve"> represents a threshold or ‘broken stick’ regression to identify a change point (threshold) in the relationship.</w:t>
      </w:r>
      <w:r w:rsidR="00285836">
        <w:t xml:space="preserve"> </w:t>
      </w:r>
      <w:r w:rsidR="008F1ED3">
        <w:t xml:space="preserve">The solid </w:t>
      </w:r>
      <w:r>
        <w:t xml:space="preserve">line is the </w:t>
      </w:r>
      <w:r w:rsidR="008F1ED3">
        <w:t>best-</w:t>
      </w:r>
      <w:r>
        <w:t>fit regression</w:t>
      </w:r>
      <w:r w:rsidR="008F1ED3">
        <w:t>,</w:t>
      </w:r>
      <w:r>
        <w:t xml:space="preserve"> and </w:t>
      </w:r>
      <w:r w:rsidR="008F1ED3">
        <w:t xml:space="preserve">the </w:t>
      </w:r>
      <w:r>
        <w:t>shaded area indicates the 95% Bayesian credible interval for the regression relationship.</w:t>
      </w:r>
      <w:bookmarkEnd w:id="44"/>
    </w:p>
    <w:p w:rsidR="00C866BC" w:rsidRDefault="00C866BC" w:rsidP="00C866BC"/>
    <w:p w:rsidR="00C866BC" w:rsidRDefault="0027068A" w:rsidP="00576C1D">
      <w:pPr>
        <w:pStyle w:val="ARIERHB"/>
      </w:pPr>
      <w:bookmarkStart w:id="45" w:name="_Toc455406130"/>
      <w:r>
        <w:t>3.2</w:t>
      </w:r>
      <w:r>
        <w:tab/>
      </w:r>
      <w:r w:rsidR="00C866BC">
        <w:t xml:space="preserve">Carrying capacity of </w:t>
      </w:r>
      <w:r w:rsidR="005574FB">
        <w:t>Koala</w:t>
      </w:r>
      <w:r w:rsidR="00E21680">
        <w:t xml:space="preserve"> habitat</w:t>
      </w:r>
      <w:r w:rsidR="00C866BC">
        <w:t xml:space="preserve"> at Cape Otway</w:t>
      </w:r>
      <w:bookmarkEnd w:id="45"/>
    </w:p>
    <w:p w:rsidR="00C866BC" w:rsidRDefault="008F1ED3" w:rsidP="00F6205D">
      <w:pPr>
        <w:pStyle w:val="ARIERBody"/>
      </w:pPr>
      <w:r>
        <w:t>The d</w:t>
      </w:r>
      <w:r w:rsidR="00C866BC">
        <w:t xml:space="preserve">ensities of </w:t>
      </w:r>
      <w:r w:rsidR="005574FB">
        <w:t>Koala</w:t>
      </w:r>
      <w:r w:rsidR="00C866BC">
        <w:t xml:space="preserve">s at sites around Bimbi Park averaged </w:t>
      </w:r>
      <w:r>
        <w:t>~</w:t>
      </w:r>
      <w:r w:rsidR="00C866BC">
        <w:t xml:space="preserve">10 </w:t>
      </w:r>
      <w:r w:rsidR="005574FB">
        <w:t>Koala</w:t>
      </w:r>
      <w:r w:rsidR="00C866BC">
        <w:t>s/ha between 2008</w:t>
      </w:r>
      <w:r>
        <w:t xml:space="preserve"> and </w:t>
      </w:r>
      <w:r w:rsidR="00C866BC">
        <w:t>2011</w:t>
      </w:r>
      <w:r>
        <w:t>,</w:t>
      </w:r>
      <w:r w:rsidR="00C866BC">
        <w:t xml:space="preserve"> before increasing to an average of 15 </w:t>
      </w:r>
      <w:r w:rsidR="005574FB">
        <w:t>Koala</w:t>
      </w:r>
      <w:r w:rsidR="00C866BC">
        <w:t>s/ha in 2012</w:t>
      </w:r>
      <w:r>
        <w:t>–20</w:t>
      </w:r>
      <w:r w:rsidR="00C866BC">
        <w:t>13 (</w:t>
      </w:r>
      <w:r w:rsidR="007B0211">
        <w:t>Fig. </w:t>
      </w:r>
      <w:r w:rsidR="00FC1164">
        <w:t>4</w:t>
      </w:r>
      <w:r w:rsidR="00C866BC">
        <w:t>).</w:t>
      </w:r>
      <w:r w:rsidR="00285836">
        <w:t xml:space="preserve"> </w:t>
      </w:r>
      <w:r w:rsidR="00C866BC">
        <w:t xml:space="preserve">In the following year, </w:t>
      </w:r>
      <w:r>
        <w:t xml:space="preserve">the </w:t>
      </w:r>
      <w:r w:rsidR="00C866BC">
        <w:t xml:space="preserve">average </w:t>
      </w:r>
      <w:r w:rsidR="005574FB">
        <w:t>Koala</w:t>
      </w:r>
      <w:r w:rsidR="00C866BC">
        <w:t xml:space="preserve"> density plummeted to</w:t>
      </w:r>
      <w:r>
        <w:t xml:space="preserve"> &lt;</w:t>
      </w:r>
      <w:r w:rsidR="00C866BC">
        <w:t xml:space="preserve">4 </w:t>
      </w:r>
      <w:r w:rsidR="005574FB">
        <w:t>Koala</w:t>
      </w:r>
      <w:r w:rsidR="00C866BC">
        <w:t xml:space="preserve">s/ha before recovering slightly to be just less than 6 </w:t>
      </w:r>
      <w:r w:rsidR="005574FB">
        <w:t>Koala</w:t>
      </w:r>
      <w:r w:rsidR="00C866BC">
        <w:t>s/ha in 2015.</w:t>
      </w:r>
      <w:r w:rsidR="00285836">
        <w:t xml:space="preserve"> </w:t>
      </w:r>
      <w:r>
        <w:t xml:space="preserve">The mean </w:t>
      </w:r>
      <w:r w:rsidR="00D57DAF">
        <w:t>PFC</w:t>
      </w:r>
      <w:r w:rsidR="00C866BC">
        <w:t xml:space="preserve"> of </w:t>
      </w:r>
      <w:r>
        <w:t xml:space="preserve">the </w:t>
      </w:r>
      <w:r w:rsidR="00FF1DB9">
        <w:t>Manna Gum</w:t>
      </w:r>
      <w:r w:rsidR="00C866BC">
        <w:t xml:space="preserve"> canopies was similarly fairly stable at </w:t>
      </w:r>
      <w:r>
        <w:t>~</w:t>
      </w:r>
      <w:r w:rsidR="00C866BC">
        <w:t xml:space="preserve">35% between 2008 </w:t>
      </w:r>
      <w:r>
        <w:t xml:space="preserve">and </w:t>
      </w:r>
      <w:r w:rsidR="00C866BC">
        <w:t>2012</w:t>
      </w:r>
      <w:r>
        <w:t>,</w:t>
      </w:r>
      <w:r w:rsidR="00C866BC">
        <w:t xml:space="preserve"> before dropping abruptly to </w:t>
      </w:r>
      <w:r>
        <w:t>~</w:t>
      </w:r>
      <w:r w:rsidR="00C866BC">
        <w:t xml:space="preserve">15% in 2013 </w:t>
      </w:r>
      <w:r>
        <w:t xml:space="preserve">then </w:t>
      </w:r>
      <w:r w:rsidR="00C866BC">
        <w:t>mostly recovering by 2015.</w:t>
      </w:r>
      <w:r w:rsidR="00285836">
        <w:t xml:space="preserve"> </w:t>
      </w:r>
      <w:r w:rsidR="00C866BC">
        <w:t xml:space="preserve">The dynamics of </w:t>
      </w:r>
      <w:r w:rsidR="005574FB">
        <w:t>Koala</w:t>
      </w:r>
      <w:r w:rsidR="00C866BC">
        <w:t xml:space="preserve">s and </w:t>
      </w:r>
      <w:r w:rsidR="00A4160B">
        <w:t>Manna Gum</w:t>
      </w:r>
      <w:r w:rsidR="00C866BC">
        <w:t xml:space="preserve"> canopies at Bimbi Park over this period differed from </w:t>
      </w:r>
      <w:r>
        <w:t xml:space="preserve">those in </w:t>
      </w:r>
      <w:r w:rsidR="00C866BC">
        <w:t xml:space="preserve">some other areas of </w:t>
      </w:r>
      <w:r w:rsidR="00FF1DB9">
        <w:t>Manna Gum</w:t>
      </w:r>
      <w:r w:rsidR="00C866BC">
        <w:t xml:space="preserve"> forest on private land.</w:t>
      </w:r>
      <w:r w:rsidR="00285836">
        <w:t xml:space="preserve"> </w:t>
      </w:r>
      <w:r w:rsidR="00C866BC">
        <w:t xml:space="preserve">For example, despite declines in </w:t>
      </w:r>
      <w:r w:rsidR="005574FB">
        <w:t>Koala</w:t>
      </w:r>
      <w:r w:rsidR="00C866BC">
        <w:t xml:space="preserve"> densities, </w:t>
      </w:r>
      <w:r w:rsidR="00A4160B">
        <w:t>Manna Gum</w:t>
      </w:r>
      <w:r w:rsidR="00C866BC">
        <w:t xml:space="preserve"> canopies failed to show any recovery at two other sites (Bimbi </w:t>
      </w:r>
      <w:r>
        <w:t xml:space="preserve">West and </w:t>
      </w:r>
      <w:r w:rsidR="00C866BC">
        <w:t>Lighthouse) (</w:t>
      </w:r>
      <w:r w:rsidR="007B0211">
        <w:t>Fig. </w:t>
      </w:r>
      <w:r w:rsidR="00FC1164">
        <w:t>5</w:t>
      </w:r>
      <w:r w:rsidR="00C866BC">
        <w:t>).</w:t>
      </w:r>
      <w:r w:rsidR="00285836">
        <w:t xml:space="preserve"> </w:t>
      </w:r>
      <w:r w:rsidR="00C866BC">
        <w:t xml:space="preserve">Hence, the </w:t>
      </w:r>
      <w:r w:rsidR="005574FB">
        <w:t>Koala</w:t>
      </w:r>
      <w:r w:rsidR="00C866BC">
        <w:t xml:space="preserve"> population</w:t>
      </w:r>
      <w:r>
        <w:t>s</w:t>
      </w:r>
      <w:r w:rsidR="00C866BC">
        <w:t xml:space="preserve"> and </w:t>
      </w:r>
      <w:r w:rsidR="00FF1DB9">
        <w:t>Manna Gum</w:t>
      </w:r>
      <w:r w:rsidR="00C866BC">
        <w:t>s in these areas appear to be in the final stages of collapse.</w:t>
      </w:r>
    </w:p>
    <w:p w:rsidR="00C866BC" w:rsidRDefault="00C866BC" w:rsidP="00C866BC"/>
    <w:p w:rsidR="00C866BC" w:rsidRDefault="00CB2B23" w:rsidP="00C866BC">
      <w:pPr>
        <w:keepNext/>
      </w:pPr>
      <w:r>
        <w:rPr>
          <w:noProof/>
          <w:lang w:eastAsia="en-AU"/>
        </w:rPr>
        <w:lastRenderedPageBreak/>
        <w:drawing>
          <wp:inline distT="0" distB="0" distL="0" distR="0" wp14:anchorId="536A6E51" wp14:editId="509E39E9">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5943600"/>
                    </a:xfrm>
                    <a:prstGeom prst="rect">
                      <a:avLst/>
                    </a:prstGeom>
                  </pic:spPr>
                </pic:pic>
              </a:graphicData>
            </a:graphic>
          </wp:inline>
        </w:drawing>
      </w:r>
    </w:p>
    <w:p w:rsidR="00285836" w:rsidRDefault="00C866BC">
      <w:pPr>
        <w:pStyle w:val="ARIERCaption-Figure"/>
      </w:pPr>
      <w:bookmarkStart w:id="46" w:name="_Toc328568536"/>
      <w:r>
        <w:t xml:space="preserve">Figure </w:t>
      </w:r>
      <w:r w:rsidR="00FC1164">
        <w:t>4</w:t>
      </w:r>
      <w:r>
        <w:t>.</w:t>
      </w:r>
      <w:r w:rsidR="00285836">
        <w:t xml:space="preserve"> </w:t>
      </w:r>
      <w:r>
        <w:t>Koala densities (</w:t>
      </w:r>
      <w:r w:rsidR="005574FB">
        <w:t>Koala</w:t>
      </w:r>
      <w:r>
        <w:t>s/ha</w:t>
      </w:r>
      <w:r w:rsidR="001D61EC">
        <w:t xml:space="preserve"> – solid line</w:t>
      </w:r>
      <w:r>
        <w:t>)</w:t>
      </w:r>
      <w:r w:rsidR="001D61EC">
        <w:t xml:space="preserve"> </w:t>
      </w:r>
      <w:r>
        <w:t xml:space="preserve">and projected foliage cover </w:t>
      </w:r>
      <w:r w:rsidR="008F1ED3">
        <w:t>(proportion</w:t>
      </w:r>
      <w:r w:rsidR="001D61EC">
        <w:t xml:space="preserve"> – dashed line</w:t>
      </w:r>
      <w:r w:rsidR="008F1ED3">
        <w:t xml:space="preserve">) </w:t>
      </w:r>
      <w:r>
        <w:t xml:space="preserve">for </w:t>
      </w:r>
      <w:r w:rsidR="008F1ED3">
        <w:t xml:space="preserve">five </w:t>
      </w:r>
      <w:r>
        <w:t>sites around Bimbi Park, Cape Otway</w:t>
      </w:r>
      <w:r w:rsidR="008F1ED3">
        <w:t>,</w:t>
      </w:r>
      <w:r>
        <w:t xml:space="preserve"> between 2008</w:t>
      </w:r>
      <w:r w:rsidR="00F051B7">
        <w:t xml:space="preserve"> and </w:t>
      </w:r>
      <w:r>
        <w:t>2015.</w:t>
      </w:r>
      <w:r w:rsidR="00285836">
        <w:t xml:space="preserve"> </w:t>
      </w:r>
      <w:r>
        <w:t xml:space="preserve">Sites ranged from 1.5 </w:t>
      </w:r>
      <w:r w:rsidR="00F051B7">
        <w:t xml:space="preserve">to </w:t>
      </w:r>
      <w:r>
        <w:t>7</w:t>
      </w:r>
      <w:r w:rsidR="00F051B7">
        <w:t xml:space="preserve"> </w:t>
      </w:r>
      <w:r>
        <w:t>ha in size.</w:t>
      </w:r>
      <w:bookmarkEnd w:id="46"/>
    </w:p>
    <w:p w:rsidR="00C866BC" w:rsidRDefault="00CB2B23" w:rsidP="00C866BC">
      <w:pPr>
        <w:keepNext/>
      </w:pPr>
      <w:r>
        <w:rPr>
          <w:noProof/>
          <w:lang w:eastAsia="en-AU"/>
        </w:rPr>
        <w:drawing>
          <wp:inline distT="0" distB="0" distL="0" distR="0" wp14:anchorId="4F911B9E" wp14:editId="20F1E2F7">
            <wp:extent cx="59436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981200"/>
                    </a:xfrm>
                    <a:prstGeom prst="rect">
                      <a:avLst/>
                    </a:prstGeom>
                  </pic:spPr>
                </pic:pic>
              </a:graphicData>
            </a:graphic>
          </wp:inline>
        </w:drawing>
      </w:r>
    </w:p>
    <w:p w:rsidR="00285836" w:rsidRDefault="00C866BC">
      <w:pPr>
        <w:pStyle w:val="ARIERCaption-Figure"/>
      </w:pPr>
      <w:bookmarkStart w:id="47" w:name="_Toc328568537"/>
      <w:r>
        <w:t xml:space="preserve">Figure </w:t>
      </w:r>
      <w:r w:rsidR="00FC1164">
        <w:t>5</w:t>
      </w:r>
      <w:r>
        <w:t>.</w:t>
      </w:r>
      <w:r w:rsidR="00285836">
        <w:t xml:space="preserve"> </w:t>
      </w:r>
      <w:r>
        <w:t>Koala densities (</w:t>
      </w:r>
      <w:r w:rsidR="005574FB">
        <w:t>Koala</w:t>
      </w:r>
      <w:r>
        <w:t>s/ha</w:t>
      </w:r>
      <w:r w:rsidR="001D61EC">
        <w:t xml:space="preserve"> – solid line</w:t>
      </w:r>
      <w:r>
        <w:t xml:space="preserve">) and projected foliage cover </w:t>
      </w:r>
      <w:r w:rsidR="008F1ED3">
        <w:t>(</w:t>
      </w:r>
      <w:r w:rsidR="00CB2B23">
        <w:t>%</w:t>
      </w:r>
      <w:r w:rsidR="001D61EC">
        <w:t xml:space="preserve"> – dashed line</w:t>
      </w:r>
      <w:r w:rsidR="008F1ED3">
        <w:t xml:space="preserve">) </w:t>
      </w:r>
      <w:r>
        <w:t xml:space="preserve">for two additional sites (Bimbi </w:t>
      </w:r>
      <w:r w:rsidR="008F1ED3">
        <w:t xml:space="preserve">West and </w:t>
      </w:r>
      <w:r>
        <w:t xml:space="preserve">Lighthouse) in </w:t>
      </w:r>
      <w:r w:rsidR="00FF1DB9">
        <w:t>Manna Gum</w:t>
      </w:r>
      <w:r>
        <w:t xml:space="preserve"> forest, Cape Otway</w:t>
      </w:r>
      <w:r w:rsidR="008F1ED3">
        <w:t>,</w:t>
      </w:r>
      <w:r>
        <w:t xml:space="preserve"> between 2008</w:t>
      </w:r>
      <w:r w:rsidR="00F051B7">
        <w:t xml:space="preserve"> and </w:t>
      </w:r>
      <w:r>
        <w:t>2015.</w:t>
      </w:r>
      <w:bookmarkEnd w:id="47"/>
    </w:p>
    <w:p w:rsidR="00C866BC" w:rsidRDefault="00C866BC" w:rsidP="00C866BC"/>
    <w:p w:rsidR="00CB2B23" w:rsidRDefault="00CB2B23" w:rsidP="00C866BC"/>
    <w:p w:rsidR="00285836" w:rsidRDefault="00C866BC" w:rsidP="00F6205D">
      <w:pPr>
        <w:pStyle w:val="ARIERBody"/>
      </w:pPr>
      <w:r w:rsidRPr="006850F1">
        <w:lastRenderedPageBreak/>
        <w:t>After fitting the multivariate state</w:t>
      </w:r>
      <w:r w:rsidR="008F1ED3" w:rsidRPr="006850F1">
        <w:t>–</w:t>
      </w:r>
      <w:r w:rsidRPr="006850F1">
        <w:t>space model (</w:t>
      </w:r>
      <w:r w:rsidR="00123A86" w:rsidRPr="006850F1">
        <w:t>Equation</w:t>
      </w:r>
      <w:r w:rsidRPr="006850F1">
        <w:t xml:space="preserve"> </w:t>
      </w:r>
      <w:r w:rsidR="001D61EC">
        <w:t>4</w:t>
      </w:r>
      <w:r w:rsidRPr="006850F1">
        <w:t xml:space="preserve">) to the data from Bimbi Park, the equilibrium </w:t>
      </w:r>
      <w:r w:rsidR="005574FB" w:rsidRPr="006850F1">
        <w:t>Koala</w:t>
      </w:r>
      <w:r w:rsidRPr="006850F1">
        <w:t xml:space="preserve"> density </w:t>
      </w:r>
      <w:r w:rsidR="001D61EC">
        <w:t xml:space="preserve">(Equation 5) </w:t>
      </w:r>
      <w:r w:rsidRPr="006850F1">
        <w:t xml:space="preserve">was estimated to be 8.3 </w:t>
      </w:r>
      <w:r w:rsidR="005574FB" w:rsidRPr="006850F1">
        <w:t>Koala</w:t>
      </w:r>
      <w:r w:rsidRPr="006850F1">
        <w:t>s/ha.</w:t>
      </w:r>
      <w:r w:rsidR="00285836" w:rsidRPr="006850F1">
        <w:t xml:space="preserve"> </w:t>
      </w:r>
      <w:r w:rsidRPr="006850F1">
        <w:t>However, the precision of this estimate was fairly poor (95% credible interval</w:t>
      </w:r>
      <w:r w:rsidR="00937261" w:rsidRPr="006850F1">
        <w:t>:</w:t>
      </w:r>
      <w:r w:rsidRPr="006850F1">
        <w:t xml:space="preserve"> 2.7</w:t>
      </w:r>
      <w:r w:rsidR="00F051B7" w:rsidRPr="006850F1">
        <w:t>–</w:t>
      </w:r>
      <w:r w:rsidRPr="006850F1">
        <w:t>25.7) (</w:t>
      </w:r>
      <w:r w:rsidR="007B0211" w:rsidRPr="006850F1">
        <w:t>Fig. </w:t>
      </w:r>
      <w:r w:rsidR="00FC1164" w:rsidRPr="006850F1">
        <w:t>6</w:t>
      </w:r>
      <w:r w:rsidRPr="006850F1">
        <w:t>).</w:t>
      </w:r>
      <w:r w:rsidR="00285836" w:rsidRPr="006850F1">
        <w:t xml:space="preserve"> </w:t>
      </w:r>
      <w:r w:rsidRPr="006850F1">
        <w:t xml:space="preserve">The corresponding estimate of the equilibrium mean </w:t>
      </w:r>
      <w:r w:rsidR="00D57DAF" w:rsidRPr="006850F1">
        <w:t>PFC</w:t>
      </w:r>
      <w:r w:rsidRPr="006850F1">
        <w:t xml:space="preserve"> was 30%</w:t>
      </w:r>
      <w:r>
        <w:t xml:space="preserve"> (95% credible interval</w:t>
      </w:r>
      <w:r w:rsidR="00937261">
        <w:t>:</w:t>
      </w:r>
      <w:r>
        <w:t xml:space="preserve"> 11</w:t>
      </w:r>
      <w:r w:rsidR="00F051B7">
        <w:t>–</w:t>
      </w:r>
      <w:r>
        <w:t>67%).</w:t>
      </w:r>
      <w:r w:rsidR="00285836">
        <w:t xml:space="preserve"> </w:t>
      </w:r>
      <w:r>
        <w:t>The poor precision was a consequence of the small number of points for each time series (</w:t>
      </w:r>
      <w:r w:rsidR="00937261">
        <w:t>eight</w:t>
      </w:r>
      <w:r>
        <w:t>).</w:t>
      </w:r>
    </w:p>
    <w:p w:rsidR="00C866BC" w:rsidRDefault="00C866BC" w:rsidP="00F6205D">
      <w:pPr>
        <w:pStyle w:val="ARIERBody"/>
        <w:rPr>
          <w:rFonts w:eastAsiaTheme="minorEastAsia"/>
        </w:rPr>
      </w:pPr>
      <w:r>
        <w:t xml:space="preserve">The parameters of the </w:t>
      </w:r>
      <w:proofErr w:type="spellStart"/>
      <w:r>
        <w:t>Gompertz</w:t>
      </w:r>
      <w:proofErr w:type="spellEnd"/>
      <w:r>
        <w:t xml:space="preserve"> model are the intrinsic rate of increase of each variable (parameter </w:t>
      </w:r>
      <w:r w:rsidRPr="00C260F6">
        <w:rPr>
          <w:b/>
        </w:rPr>
        <w:t>A</w:t>
      </w:r>
      <w:r>
        <w:t xml:space="preserve"> in </w:t>
      </w:r>
      <w:r w:rsidR="00123A86">
        <w:t>Equation</w:t>
      </w:r>
      <w:r>
        <w:t xml:space="preserve"> </w:t>
      </w:r>
      <w:r w:rsidR="001D61EC">
        <w:t>4</w:t>
      </w:r>
      <w:r>
        <w:t xml:space="preserve">) as well as the per-capita effect of a variable on the rate of increase of the other variable (interaction) as well as </w:t>
      </w:r>
      <w:r w:rsidR="00937261">
        <w:t xml:space="preserve">on </w:t>
      </w:r>
      <w:r>
        <w:t>themselves (density</w:t>
      </w:r>
      <w:r w:rsidR="00937261">
        <w:t xml:space="preserve"> </w:t>
      </w:r>
      <w:r>
        <w:t xml:space="preserve">dependence) (Table </w:t>
      </w:r>
      <w:r w:rsidR="00294F19">
        <w:t>5</w:t>
      </w:r>
      <w:r>
        <w:t>).</w:t>
      </w:r>
      <w:r w:rsidR="00285836">
        <w:t xml:space="preserve"> </w:t>
      </w:r>
      <w:r>
        <w:t xml:space="preserve">The estimate of density dependence for </w:t>
      </w:r>
      <w:r w:rsidR="005574FB">
        <w:t>Koala</w:t>
      </w:r>
      <w:r>
        <w:t xml:space="preserve">s (parameter </w:t>
      </w:r>
      <w:r w:rsidRPr="00C260F6">
        <w:rPr>
          <w:b/>
        </w:rPr>
        <w:t>C</w:t>
      </w:r>
      <w:r>
        <w:t xml:space="preserve">; </w:t>
      </w:r>
      <w:r w:rsidR="005574FB">
        <w:t>Koala</w:t>
      </w:r>
      <w:r>
        <w:t xml:space="preserve">s </w:t>
      </w:r>
      <m:oMath>
        <m:r>
          <w:rPr>
            <w:rFonts w:ascii="Cambria Math" w:hAnsi="Cambria Math"/>
          </w:rPr>
          <m:t>→</m:t>
        </m:r>
      </m:oMath>
      <w:r>
        <w:rPr>
          <w:rFonts w:eastAsiaTheme="minorEastAsia"/>
        </w:rPr>
        <w:t xml:space="preserve"> </w:t>
      </w:r>
      <w:r w:rsidR="005574FB">
        <w:rPr>
          <w:rFonts w:eastAsiaTheme="minorEastAsia"/>
        </w:rPr>
        <w:t>Koala</w:t>
      </w:r>
      <w:r>
        <w:rPr>
          <w:rFonts w:eastAsiaTheme="minorEastAsia"/>
        </w:rPr>
        <w:t xml:space="preserve">s) provided no evidence of </w:t>
      </w:r>
      <w:proofErr w:type="spellStart"/>
      <w:r>
        <w:rPr>
          <w:rFonts w:eastAsiaTheme="minorEastAsia"/>
        </w:rPr>
        <w:t>overcompensatory</w:t>
      </w:r>
      <w:proofErr w:type="spellEnd"/>
      <w:r>
        <w:rPr>
          <w:rFonts w:eastAsiaTheme="minorEastAsia"/>
        </w:rPr>
        <w:t xml:space="preserve"> dynamics</w:t>
      </w:r>
      <w:r w:rsidR="00937261">
        <w:rPr>
          <w:rFonts w:eastAsiaTheme="minorEastAsia"/>
        </w:rPr>
        <w:t>,</w:t>
      </w:r>
      <w:r>
        <w:rPr>
          <w:rFonts w:eastAsiaTheme="minorEastAsia"/>
        </w:rPr>
        <w:t xml:space="preserve"> </w:t>
      </w:r>
      <w:r w:rsidR="00937261">
        <w:rPr>
          <w:rFonts w:eastAsiaTheme="minorEastAsia"/>
        </w:rPr>
        <w:t xml:space="preserve">since </w:t>
      </w:r>
      <w:r>
        <w:rPr>
          <w:rFonts w:eastAsiaTheme="minorEastAsia"/>
        </w:rPr>
        <w:t>the estimate was greater than zero.</w:t>
      </w:r>
      <w:r w:rsidR="00285836">
        <w:rPr>
          <w:rFonts w:eastAsiaTheme="minorEastAsia"/>
        </w:rPr>
        <w:t xml:space="preserve"> </w:t>
      </w:r>
      <w:r>
        <w:rPr>
          <w:rFonts w:eastAsiaTheme="minorEastAsia"/>
        </w:rPr>
        <w:t xml:space="preserve">Koalas had a negative effect on the rate of increase of canopy </w:t>
      </w:r>
      <w:r w:rsidR="00937261">
        <w:rPr>
          <w:rFonts w:eastAsiaTheme="minorEastAsia"/>
        </w:rPr>
        <w:t>cover</w:t>
      </w:r>
      <w:r w:rsidR="00937261">
        <w:rPr>
          <w:rFonts w:eastAsiaTheme="minorEastAsia"/>
        </w:rPr>
        <w:br/>
        <w:t>(–</w:t>
      </w:r>
      <w:r>
        <w:rPr>
          <w:rFonts w:eastAsiaTheme="minorEastAsia"/>
        </w:rPr>
        <w:t>0.214</w:t>
      </w:r>
      <w:r w:rsidR="00937261">
        <w:rPr>
          <w:rFonts w:eastAsiaTheme="minorEastAsia"/>
        </w:rPr>
        <w:t>), but</w:t>
      </w:r>
      <w:r>
        <w:rPr>
          <w:rFonts w:eastAsiaTheme="minorEastAsia"/>
        </w:rPr>
        <w:t xml:space="preserve"> the precision was poor and the credible interval also included zero.</w:t>
      </w:r>
      <w:r w:rsidR="00285836">
        <w:rPr>
          <w:rFonts w:eastAsiaTheme="minorEastAsia"/>
        </w:rPr>
        <w:t xml:space="preserve"> </w:t>
      </w:r>
      <w:r>
        <w:rPr>
          <w:rFonts w:eastAsiaTheme="minorEastAsia"/>
        </w:rPr>
        <w:t xml:space="preserve">However, </w:t>
      </w:r>
      <w:r w:rsidR="00FF1DB9">
        <w:rPr>
          <w:rFonts w:eastAsiaTheme="minorEastAsia"/>
        </w:rPr>
        <w:t>Manna Gum</w:t>
      </w:r>
      <w:r>
        <w:rPr>
          <w:rFonts w:eastAsiaTheme="minorEastAsia"/>
        </w:rPr>
        <w:t xml:space="preserve"> canopy cover had a significant positive effect on </w:t>
      </w:r>
      <w:r w:rsidR="005574FB">
        <w:rPr>
          <w:rFonts w:eastAsiaTheme="minorEastAsia"/>
        </w:rPr>
        <w:t>Koala</w:t>
      </w:r>
      <w:r>
        <w:rPr>
          <w:rFonts w:eastAsiaTheme="minorEastAsia"/>
        </w:rPr>
        <w:t xml:space="preserve"> rate of increase (0.64) (Table </w:t>
      </w:r>
      <w:r w:rsidR="00294F19">
        <w:rPr>
          <w:rFonts w:eastAsiaTheme="minorEastAsia"/>
        </w:rPr>
        <w:t>5</w:t>
      </w:r>
      <w:r>
        <w:rPr>
          <w:rFonts w:eastAsiaTheme="minorEastAsia"/>
        </w:rPr>
        <w:t>).</w:t>
      </w:r>
      <w:r w:rsidR="00285836">
        <w:rPr>
          <w:rFonts w:eastAsiaTheme="minorEastAsia"/>
        </w:rPr>
        <w:t xml:space="preserve"> </w:t>
      </w:r>
      <w:r>
        <w:rPr>
          <w:rFonts w:eastAsiaTheme="minorEastAsia"/>
        </w:rPr>
        <w:t>The intrinsic rate</w:t>
      </w:r>
      <w:r w:rsidR="00937261">
        <w:rPr>
          <w:rFonts w:eastAsiaTheme="minorEastAsia"/>
        </w:rPr>
        <w:t xml:space="preserve"> </w:t>
      </w:r>
      <w:r>
        <w:rPr>
          <w:rFonts w:eastAsiaTheme="minorEastAsia"/>
        </w:rPr>
        <w:t>of</w:t>
      </w:r>
      <w:r w:rsidR="00937261">
        <w:rPr>
          <w:rFonts w:eastAsiaTheme="minorEastAsia"/>
        </w:rPr>
        <w:t xml:space="preserve"> </w:t>
      </w:r>
      <w:r>
        <w:rPr>
          <w:rFonts w:eastAsiaTheme="minorEastAsia"/>
        </w:rPr>
        <w:t xml:space="preserve">increase for </w:t>
      </w:r>
      <w:r w:rsidR="005574FB">
        <w:rPr>
          <w:rFonts w:eastAsiaTheme="minorEastAsia"/>
        </w:rPr>
        <w:t>Koala</w:t>
      </w:r>
      <w:r>
        <w:rPr>
          <w:rFonts w:eastAsiaTheme="minorEastAsia"/>
        </w:rPr>
        <w:t xml:space="preserve">s was estimated to be 1.96, which is much greater than is biologically plausible </w:t>
      </w:r>
      <w:r>
        <w:rPr>
          <w:rFonts w:eastAsiaTheme="minorEastAsia"/>
        </w:rPr>
        <w:fldChar w:fldCharType="begin"/>
      </w:r>
      <w:r>
        <w:rPr>
          <w:rFonts w:eastAsiaTheme="minorEastAsia"/>
        </w:rPr>
        <w:instrText xml:space="preserve"> ADDIN ZOTERO_ITEM CSL_CITATION {"citationID":"lecpo21ve","properties":{"formattedCitation":"(McLean 2003)","plainCitation":"(McLean 2003)"},"citationItems":[{"id":1108,"uris":["http://zotero.org/users/634364/items/Z38I8IG8"],"uri":["http://zotero.org/users/634364/items/Z38I8IG8"],"itemData":{"id":1108,"type":"thesis","title":"Ecology and management of overabundant koala (&lt;i&gt;Phascolarctos cinereus&lt;/i&gt;) populations.","publisher":"University of Melbourne","genre":"PhD thesis","author":[{"family":"McLean","given":"N"}],"issued":{"date-parts":[["2003"]]}}}],"schema":"https://github.com/citation-style-language/schema/raw/master/csl-citation.json"} </w:instrText>
      </w:r>
      <w:r>
        <w:rPr>
          <w:rFonts w:eastAsiaTheme="minorEastAsia"/>
        </w:rPr>
        <w:fldChar w:fldCharType="separate"/>
      </w:r>
      <w:r w:rsidRPr="005C09C7">
        <w:t>(McLean 2003)</w:t>
      </w:r>
      <w:r>
        <w:rPr>
          <w:rFonts w:eastAsiaTheme="minorEastAsia"/>
        </w:rPr>
        <w:fldChar w:fldCharType="end"/>
      </w:r>
      <w:r w:rsidR="00937261">
        <w:rPr>
          <w:rFonts w:eastAsiaTheme="minorEastAsia"/>
        </w:rPr>
        <w:t>; this</w:t>
      </w:r>
      <w:r>
        <w:rPr>
          <w:rFonts w:eastAsiaTheme="minorEastAsia"/>
        </w:rPr>
        <w:t xml:space="preserve"> indicates that immigration and/or movement must also be contributing to </w:t>
      </w:r>
      <w:r w:rsidR="005574FB">
        <w:rPr>
          <w:rFonts w:eastAsiaTheme="minorEastAsia"/>
        </w:rPr>
        <w:t>Koala</w:t>
      </w:r>
      <w:r>
        <w:rPr>
          <w:rFonts w:eastAsiaTheme="minorEastAsia"/>
        </w:rPr>
        <w:t xml:space="preserve"> increases at these sites.</w:t>
      </w:r>
      <w:r w:rsidR="00285836">
        <w:rPr>
          <w:rFonts w:eastAsiaTheme="minorEastAsia"/>
        </w:rPr>
        <w:t xml:space="preserve"> </w:t>
      </w:r>
      <w:r>
        <w:rPr>
          <w:rFonts w:eastAsiaTheme="minorEastAsia"/>
        </w:rPr>
        <w:t xml:space="preserve">This is not surprising </w:t>
      </w:r>
      <w:r w:rsidR="00937261">
        <w:rPr>
          <w:rFonts w:eastAsiaTheme="minorEastAsia"/>
        </w:rPr>
        <w:t xml:space="preserve">since </w:t>
      </w:r>
      <w:r>
        <w:rPr>
          <w:rFonts w:eastAsiaTheme="minorEastAsia"/>
        </w:rPr>
        <w:t>these sites were relatively small in area (1.5</w:t>
      </w:r>
      <w:r w:rsidR="00F051B7">
        <w:rPr>
          <w:rFonts w:eastAsiaTheme="minorEastAsia"/>
        </w:rPr>
        <w:t>–</w:t>
      </w:r>
      <w:r>
        <w:rPr>
          <w:rFonts w:eastAsiaTheme="minorEastAsia"/>
        </w:rPr>
        <w:t>7</w:t>
      </w:r>
      <w:r w:rsidR="00937261">
        <w:rPr>
          <w:rFonts w:eastAsiaTheme="minorEastAsia"/>
        </w:rPr>
        <w:t> </w:t>
      </w:r>
      <w:r>
        <w:rPr>
          <w:rFonts w:eastAsiaTheme="minorEastAsia"/>
        </w:rPr>
        <w:t>ha).</w:t>
      </w:r>
      <w:r w:rsidR="00285836">
        <w:rPr>
          <w:rFonts w:eastAsiaTheme="minorEastAsia"/>
        </w:rPr>
        <w:t xml:space="preserve"> </w:t>
      </w:r>
      <w:r>
        <w:rPr>
          <w:rFonts w:eastAsiaTheme="minorEastAsia"/>
        </w:rPr>
        <w:t xml:space="preserve">Rainfall had a positive effect on </w:t>
      </w:r>
      <w:r w:rsidR="00FF1DB9">
        <w:rPr>
          <w:rFonts w:eastAsiaTheme="minorEastAsia"/>
        </w:rPr>
        <w:t>Manna Gum</w:t>
      </w:r>
      <w:r>
        <w:rPr>
          <w:rFonts w:eastAsiaTheme="minorEastAsia"/>
        </w:rPr>
        <w:t xml:space="preserve"> canopy cover and a negative effect on </w:t>
      </w:r>
      <w:r w:rsidR="005574FB">
        <w:rPr>
          <w:rFonts w:eastAsiaTheme="minorEastAsia"/>
        </w:rPr>
        <w:t>Koala</w:t>
      </w:r>
      <w:r>
        <w:rPr>
          <w:rFonts w:eastAsiaTheme="minorEastAsia"/>
        </w:rPr>
        <w:t xml:space="preserve"> density</w:t>
      </w:r>
      <w:r w:rsidR="00937261">
        <w:rPr>
          <w:rFonts w:eastAsiaTheme="minorEastAsia"/>
        </w:rPr>
        <w:t>;</w:t>
      </w:r>
      <w:r>
        <w:rPr>
          <w:rFonts w:eastAsiaTheme="minorEastAsia"/>
        </w:rPr>
        <w:t xml:space="preserve"> however</w:t>
      </w:r>
      <w:r w:rsidR="00937261">
        <w:rPr>
          <w:rFonts w:eastAsiaTheme="minorEastAsia"/>
        </w:rPr>
        <w:t>,</w:t>
      </w:r>
      <w:r>
        <w:rPr>
          <w:rFonts w:eastAsiaTheme="minorEastAsia"/>
        </w:rPr>
        <w:t xml:space="preserve"> neither effect was significant (Table </w:t>
      </w:r>
      <w:r w:rsidR="00294F19">
        <w:rPr>
          <w:rFonts w:eastAsiaTheme="minorEastAsia"/>
        </w:rPr>
        <w:t>5</w:t>
      </w:r>
      <w:r>
        <w:rPr>
          <w:rFonts w:eastAsiaTheme="minorEastAsia"/>
        </w:rPr>
        <w:t>).</w:t>
      </w:r>
    </w:p>
    <w:p w:rsidR="00937261" w:rsidRDefault="00937261" w:rsidP="00F6205D">
      <w:pPr>
        <w:pStyle w:val="ARIERBody"/>
      </w:pPr>
    </w:p>
    <w:p w:rsidR="00C866BC" w:rsidRDefault="0080272E" w:rsidP="00C866BC">
      <w:pPr>
        <w:keepNext/>
      </w:pPr>
      <w:r>
        <w:rPr>
          <w:noProof/>
          <w:lang w:eastAsia="en-AU"/>
        </w:rPr>
        <w:drawing>
          <wp:inline distT="0" distB="0" distL="0" distR="0">
            <wp:extent cx="5047059" cy="46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t="7273"/>
                    <a:stretch/>
                  </pic:blipFill>
                  <pic:spPr bwMode="auto">
                    <a:xfrm>
                      <a:off x="0" y="0"/>
                      <a:ext cx="5047059" cy="4680000"/>
                    </a:xfrm>
                    <a:prstGeom prst="rect">
                      <a:avLst/>
                    </a:prstGeom>
                    <a:noFill/>
                    <a:ln>
                      <a:noFill/>
                    </a:ln>
                    <a:extLst>
                      <a:ext uri="{53640926-AAD7-44D8-BBD7-CCE9431645EC}">
                        <a14:shadowObscured xmlns:a14="http://schemas.microsoft.com/office/drawing/2010/main"/>
                      </a:ext>
                    </a:extLst>
                  </pic:spPr>
                </pic:pic>
              </a:graphicData>
            </a:graphic>
          </wp:inline>
        </w:drawing>
      </w:r>
    </w:p>
    <w:p w:rsidR="00C866BC" w:rsidRDefault="00C866BC">
      <w:pPr>
        <w:pStyle w:val="ARIERCaption-Figure"/>
      </w:pPr>
      <w:bookmarkStart w:id="48" w:name="_Toc328568538"/>
      <w:r>
        <w:t xml:space="preserve">Figure </w:t>
      </w:r>
      <w:r w:rsidR="00FC1164">
        <w:t>6</w:t>
      </w:r>
      <w:r>
        <w:t>.</w:t>
      </w:r>
      <w:r w:rsidR="00285836">
        <w:t xml:space="preserve"> </w:t>
      </w:r>
      <w:r>
        <w:t xml:space="preserve">Estimate of the equilibrium </w:t>
      </w:r>
      <w:r w:rsidR="005574FB">
        <w:t>Koala</w:t>
      </w:r>
      <w:r>
        <w:t xml:space="preserve"> density and corresponding projected foliage cover (red point) from the multivariate </w:t>
      </w:r>
      <w:proofErr w:type="spellStart"/>
      <w:r>
        <w:t>Gompertz</w:t>
      </w:r>
      <w:proofErr w:type="spellEnd"/>
      <w:r>
        <w:t xml:space="preserve"> model fitted to the data from Bimbi Park.</w:t>
      </w:r>
      <w:r w:rsidR="00285836">
        <w:t xml:space="preserve"> </w:t>
      </w:r>
      <w:r w:rsidR="00233A61">
        <w:t xml:space="preserve">The grey </w:t>
      </w:r>
      <w:r>
        <w:t>envelope represents the equilibrium stationary distribution (95% envelope).</w:t>
      </w:r>
      <w:r w:rsidR="00285836">
        <w:t xml:space="preserve"> </w:t>
      </w:r>
      <w:r>
        <w:t>The equilibrium point is at [30, 8.3].</w:t>
      </w:r>
      <w:bookmarkEnd w:id="48"/>
    </w:p>
    <w:p w:rsidR="00C866BC" w:rsidRDefault="00937261" w:rsidP="006850F1">
      <w:pPr>
        <w:pStyle w:val="ARIERCaption-Table"/>
      </w:pPr>
      <w:r>
        <w:br w:type="page"/>
      </w:r>
      <w:bookmarkStart w:id="49" w:name="_Toc454803941"/>
      <w:r w:rsidR="00C866BC">
        <w:lastRenderedPageBreak/>
        <w:t xml:space="preserve">Table </w:t>
      </w:r>
      <w:r w:rsidR="00294F19">
        <w:t>5</w:t>
      </w:r>
      <w:r w:rsidR="00C866BC">
        <w:t>.</w:t>
      </w:r>
      <w:r w:rsidR="00285836">
        <w:t xml:space="preserve"> </w:t>
      </w:r>
      <w:r w:rsidR="00C866BC">
        <w:t xml:space="preserve">Parameter estimates from the multivariate </w:t>
      </w:r>
      <w:proofErr w:type="spellStart"/>
      <w:r w:rsidR="00C866BC">
        <w:t>Gompertz</w:t>
      </w:r>
      <w:proofErr w:type="spellEnd"/>
      <w:r w:rsidR="00C866BC">
        <w:t xml:space="preserve"> state</w:t>
      </w:r>
      <w:r w:rsidR="00233A61">
        <w:t>–</w:t>
      </w:r>
      <w:r w:rsidR="00C866BC">
        <w:t xml:space="preserve">space model fitted to the time series of </w:t>
      </w:r>
      <w:r w:rsidR="005574FB">
        <w:t>Koala</w:t>
      </w:r>
      <w:r w:rsidR="00C866BC">
        <w:t xml:space="preserve"> densities and </w:t>
      </w:r>
      <w:r w:rsidR="00FF1DB9">
        <w:t>Manna Gum</w:t>
      </w:r>
      <w:r w:rsidR="00C866BC">
        <w:t xml:space="preserve"> canopy cover (PFC) from </w:t>
      </w:r>
      <w:r w:rsidR="00233A61">
        <w:t xml:space="preserve">five </w:t>
      </w:r>
      <w:r w:rsidR="00C866BC">
        <w:t>sites around Bimbi Park, Cape Otway.</w:t>
      </w:r>
      <w:r w:rsidR="00285836">
        <w:t xml:space="preserve"> </w:t>
      </w:r>
      <w:r w:rsidR="00C866BC">
        <w:t xml:space="preserve">The parameter </w:t>
      </w:r>
      <w:r w:rsidR="00C866BC" w:rsidRPr="00E739D8">
        <w:t>C</w:t>
      </w:r>
      <w:r w:rsidR="00C866BC">
        <w:t xml:space="preserve"> represents the per capita effect of variable </w:t>
      </w:r>
      <w:r w:rsidR="00C866BC" w:rsidRPr="006850F1">
        <w:rPr>
          <w:i/>
        </w:rPr>
        <w:t>j</w:t>
      </w:r>
      <w:r w:rsidR="00C866BC">
        <w:t xml:space="preserve"> (Column) on variable </w:t>
      </w:r>
      <w:proofErr w:type="spellStart"/>
      <w:r w:rsidR="00C866BC" w:rsidRPr="006850F1">
        <w:rPr>
          <w:i/>
        </w:rPr>
        <w:t>i</w:t>
      </w:r>
      <w:proofErr w:type="spellEnd"/>
      <w:r w:rsidR="00C866BC">
        <w:t xml:space="preserve"> (row).</w:t>
      </w:r>
      <w:r w:rsidR="00285836">
        <w:t xml:space="preserve"> </w:t>
      </w:r>
      <w:r w:rsidR="00C866BC">
        <w:t xml:space="preserve">Parameter </w:t>
      </w:r>
      <w:r w:rsidR="00C866BC" w:rsidRPr="00E739D8">
        <w:t>A</w:t>
      </w:r>
      <w:r w:rsidR="00C866BC">
        <w:t xml:space="preserve"> represents the intrinsic rate of increase.</w:t>
      </w:r>
      <w:r w:rsidR="00285836">
        <w:t xml:space="preserve"> </w:t>
      </w:r>
      <w:r w:rsidR="00C866BC">
        <w:t xml:space="preserve">Values in </w:t>
      </w:r>
      <w:r w:rsidR="00BF6603">
        <w:t>parentheses</w:t>
      </w:r>
      <w:r w:rsidR="00C866BC">
        <w:t xml:space="preserve"> are the 95% credible intervals.</w:t>
      </w:r>
      <w:bookmarkEnd w:id="49"/>
    </w:p>
    <w:tbl>
      <w:tblPr>
        <w:tblStyle w:val="PlainTable21"/>
        <w:tblW w:w="5000" w:type="pct"/>
        <w:tblLook w:val="04A0" w:firstRow="1" w:lastRow="0" w:firstColumn="1" w:lastColumn="0" w:noHBand="0" w:noVBand="1"/>
      </w:tblPr>
      <w:tblGrid>
        <w:gridCol w:w="1861"/>
        <w:gridCol w:w="1537"/>
        <w:gridCol w:w="3368"/>
        <w:gridCol w:w="3089"/>
      </w:tblGrid>
      <w:tr w:rsidR="00C866BC" w:rsidRPr="002C0477" w:rsidTr="006850F1">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944" w:type="pct"/>
            <w:tcBorders>
              <w:top w:val="single" w:sz="4" w:space="0" w:color="228591"/>
              <w:bottom w:val="single" w:sz="4" w:space="0" w:color="228591"/>
            </w:tcBorders>
            <w:shd w:val="clear" w:color="auto" w:fill="228591"/>
            <w:vAlign w:val="center"/>
          </w:tcPr>
          <w:p w:rsidR="00C866BC" w:rsidRPr="006850F1" w:rsidRDefault="00C866BC" w:rsidP="006850F1">
            <w:pPr>
              <w:jc w:val="center"/>
              <w:rPr>
                <w:b w:val="0"/>
                <w:color w:val="FFFFFF" w:themeColor="background1"/>
              </w:rPr>
            </w:pPr>
            <w:r w:rsidRPr="006850F1">
              <w:rPr>
                <w:color w:val="FFFFFF" w:themeColor="background1"/>
              </w:rPr>
              <w:t>Parameter</w:t>
            </w:r>
          </w:p>
        </w:tc>
        <w:tc>
          <w:tcPr>
            <w:tcW w:w="780" w:type="pct"/>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Variable</w:t>
            </w:r>
          </w:p>
        </w:tc>
        <w:tc>
          <w:tcPr>
            <w:tcW w:w="1709" w:type="pct"/>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Koalas</w:t>
            </w:r>
          </w:p>
        </w:tc>
        <w:tc>
          <w:tcPr>
            <w:tcW w:w="1567" w:type="pct"/>
            <w:tcBorders>
              <w:top w:val="single" w:sz="4" w:space="0" w:color="228591"/>
              <w:bottom w:val="single" w:sz="4" w:space="0" w:color="228591"/>
            </w:tcBorders>
            <w:shd w:val="clear" w:color="auto" w:fill="228591"/>
            <w:vAlign w:val="center"/>
          </w:tcPr>
          <w:p w:rsidR="00C866BC" w:rsidRPr="006850F1" w:rsidRDefault="00C866BC" w:rsidP="006850F1">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850F1">
              <w:rPr>
                <w:color w:val="FFFFFF" w:themeColor="background1"/>
              </w:rPr>
              <w:t>PFC</w:t>
            </w:r>
          </w:p>
        </w:tc>
      </w:tr>
      <w:tr w:rsidR="00C866BC" w:rsidRPr="002C0477" w:rsidTr="001D61EC">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944" w:type="pct"/>
            <w:tcBorders>
              <w:top w:val="single" w:sz="4" w:space="0" w:color="228591"/>
              <w:bottom w:val="nil"/>
            </w:tcBorders>
            <w:vAlign w:val="center"/>
          </w:tcPr>
          <w:p w:rsidR="00C866BC" w:rsidRPr="006850F1" w:rsidRDefault="00C866BC" w:rsidP="006850F1">
            <w:pPr>
              <w:jc w:val="center"/>
              <w:rPr>
                <w:b w:val="0"/>
              </w:rPr>
            </w:pPr>
            <w:r w:rsidRPr="002C0477">
              <w:t>C</w:t>
            </w:r>
          </w:p>
        </w:tc>
        <w:tc>
          <w:tcPr>
            <w:tcW w:w="780" w:type="pct"/>
            <w:tcBorders>
              <w:top w:val="single" w:sz="4" w:space="0" w:color="228591"/>
              <w:bottom w:val="nil"/>
            </w:tcBorders>
            <w:vAlign w:val="center"/>
          </w:tcPr>
          <w:p w:rsidR="00C866BC" w:rsidRPr="006850F1" w:rsidRDefault="00C866BC" w:rsidP="006850F1">
            <w:pPr>
              <w:jc w:val="center"/>
              <w:cnfStyle w:val="000000100000" w:firstRow="0" w:lastRow="0" w:firstColumn="0" w:lastColumn="0" w:oddVBand="0" w:evenVBand="0" w:oddHBand="1" w:evenHBand="0" w:firstRowFirstColumn="0" w:firstRowLastColumn="0" w:lastRowFirstColumn="0" w:lastRowLastColumn="0"/>
            </w:pPr>
            <w:r w:rsidRPr="002C0477">
              <w:t>Koalas</w:t>
            </w:r>
          </w:p>
        </w:tc>
        <w:tc>
          <w:tcPr>
            <w:tcW w:w="1709" w:type="pct"/>
            <w:tcBorders>
              <w:top w:val="single" w:sz="4" w:space="0" w:color="228591"/>
              <w:bottom w:val="nil"/>
            </w:tcBorders>
            <w:vAlign w:val="center"/>
          </w:tcPr>
          <w:p w:rsidR="00C866BC" w:rsidRPr="006850F1" w:rsidRDefault="00C866BC" w:rsidP="001D61EC">
            <w:pPr>
              <w:jc w:val="center"/>
              <w:cnfStyle w:val="000000100000" w:firstRow="0" w:lastRow="0" w:firstColumn="0" w:lastColumn="0" w:oddVBand="0" w:evenVBand="0" w:oddHBand="1" w:evenHBand="0" w:firstRowFirstColumn="0" w:firstRowLastColumn="0" w:lastRowFirstColumn="0" w:lastRowLastColumn="0"/>
            </w:pPr>
            <w:r w:rsidRPr="002C0477">
              <w:t xml:space="preserve">0.389 </w:t>
            </w:r>
            <w:r w:rsidR="002C0477" w:rsidRPr="002C0477">
              <w:t>[–</w:t>
            </w:r>
            <w:r w:rsidRPr="002C0477">
              <w:t>0.004, 0.774]</w:t>
            </w:r>
          </w:p>
        </w:tc>
        <w:tc>
          <w:tcPr>
            <w:tcW w:w="1567" w:type="pct"/>
            <w:tcBorders>
              <w:top w:val="single" w:sz="4" w:space="0" w:color="228591"/>
              <w:bottom w:val="nil"/>
            </w:tcBorders>
            <w:vAlign w:val="center"/>
          </w:tcPr>
          <w:p w:rsidR="00C866BC" w:rsidRPr="006850F1" w:rsidRDefault="00C866BC" w:rsidP="001D61EC">
            <w:pPr>
              <w:jc w:val="center"/>
              <w:cnfStyle w:val="000000100000" w:firstRow="0" w:lastRow="0" w:firstColumn="0" w:lastColumn="0" w:oddVBand="0" w:evenVBand="0" w:oddHBand="1" w:evenHBand="0" w:firstRowFirstColumn="0" w:firstRowLastColumn="0" w:lastRowFirstColumn="0" w:lastRowLastColumn="0"/>
            </w:pPr>
            <w:r w:rsidRPr="002C0477">
              <w:t>0.640 [0.288, 1.01]</w:t>
            </w:r>
          </w:p>
        </w:tc>
      </w:tr>
      <w:tr w:rsidR="00C866BC" w:rsidRPr="002C0477" w:rsidTr="001D61EC">
        <w:trPr>
          <w:cantSplit/>
          <w:trHeight w:val="397"/>
        </w:trPr>
        <w:tc>
          <w:tcPr>
            <w:cnfStyle w:val="001000000000" w:firstRow="0" w:lastRow="0" w:firstColumn="1" w:lastColumn="0" w:oddVBand="0" w:evenVBand="0" w:oddHBand="0" w:evenHBand="0" w:firstRowFirstColumn="0" w:firstRowLastColumn="0" w:lastRowFirstColumn="0" w:lastRowLastColumn="0"/>
            <w:tcW w:w="944" w:type="pct"/>
            <w:tcBorders>
              <w:top w:val="nil"/>
              <w:bottom w:val="single" w:sz="4" w:space="0" w:color="228591"/>
            </w:tcBorders>
            <w:vAlign w:val="center"/>
          </w:tcPr>
          <w:p w:rsidR="00C866BC" w:rsidRPr="006850F1" w:rsidRDefault="00C866BC">
            <w:pPr>
              <w:jc w:val="center"/>
              <w:rPr>
                <w:b w:val="0"/>
              </w:rPr>
            </w:pPr>
          </w:p>
        </w:tc>
        <w:tc>
          <w:tcPr>
            <w:tcW w:w="780" w:type="pct"/>
            <w:tcBorders>
              <w:top w:val="nil"/>
              <w:bottom w:val="single" w:sz="4" w:space="0" w:color="228591"/>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PFC</w:t>
            </w:r>
          </w:p>
        </w:tc>
        <w:tc>
          <w:tcPr>
            <w:tcW w:w="1709" w:type="pct"/>
            <w:tcBorders>
              <w:top w:val="nil"/>
              <w:bottom w:val="single" w:sz="4" w:space="0" w:color="228591"/>
            </w:tcBorders>
            <w:vAlign w:val="center"/>
          </w:tcPr>
          <w:p w:rsidR="00C866BC" w:rsidRPr="006850F1" w:rsidRDefault="002C0477" w:rsidP="001D61EC">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 xml:space="preserve">0.214 </w:t>
            </w:r>
            <w:r w:rsidRPr="002C0477">
              <w:t>[–</w:t>
            </w:r>
            <w:r w:rsidR="00C866BC" w:rsidRPr="002C0477">
              <w:t>0.696, 0.270]</w:t>
            </w:r>
          </w:p>
        </w:tc>
        <w:tc>
          <w:tcPr>
            <w:tcW w:w="1567" w:type="pct"/>
            <w:tcBorders>
              <w:top w:val="nil"/>
              <w:bottom w:val="single" w:sz="4" w:space="0" w:color="228591"/>
            </w:tcBorders>
            <w:vAlign w:val="center"/>
          </w:tcPr>
          <w:p w:rsidR="00C866BC" w:rsidRPr="006850F1" w:rsidRDefault="00C866BC" w:rsidP="001D61EC">
            <w:pPr>
              <w:jc w:val="center"/>
              <w:cnfStyle w:val="000000000000" w:firstRow="0" w:lastRow="0" w:firstColumn="0" w:lastColumn="0" w:oddVBand="0" w:evenVBand="0" w:oddHBand="0" w:evenHBand="0" w:firstRowFirstColumn="0" w:firstRowLastColumn="0" w:lastRowFirstColumn="0" w:lastRowLastColumn="0"/>
            </w:pPr>
            <w:r w:rsidRPr="002C0477">
              <w:t xml:space="preserve">0.088 </w:t>
            </w:r>
            <w:r w:rsidR="002C0477" w:rsidRPr="002C0477">
              <w:t>[–</w:t>
            </w:r>
            <w:r w:rsidRPr="002C0477">
              <w:t>0.346, 0.50]</w:t>
            </w:r>
          </w:p>
        </w:tc>
      </w:tr>
      <w:tr w:rsidR="00C866BC" w:rsidRPr="002C0477" w:rsidTr="006850F1">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944" w:type="pct"/>
            <w:tcBorders>
              <w:top w:val="single" w:sz="4" w:space="0" w:color="228591"/>
              <w:bottom w:val="nil"/>
            </w:tcBorders>
            <w:vAlign w:val="center"/>
          </w:tcPr>
          <w:p w:rsidR="00C866BC" w:rsidRPr="006850F1" w:rsidRDefault="00C866BC" w:rsidP="006850F1">
            <w:pPr>
              <w:jc w:val="center"/>
              <w:rPr>
                <w:b w:val="0"/>
              </w:rPr>
            </w:pPr>
            <w:r w:rsidRPr="002C0477">
              <w:t>A</w:t>
            </w:r>
          </w:p>
        </w:tc>
        <w:tc>
          <w:tcPr>
            <w:tcW w:w="780" w:type="pct"/>
            <w:tcBorders>
              <w:top w:val="single" w:sz="4" w:space="0" w:color="228591"/>
              <w:bottom w:val="nil"/>
            </w:tcBorders>
            <w:vAlign w:val="center"/>
          </w:tcPr>
          <w:p w:rsidR="00C866BC" w:rsidRPr="006850F1" w:rsidRDefault="00C866BC" w:rsidP="006850F1">
            <w:pPr>
              <w:jc w:val="center"/>
              <w:cnfStyle w:val="000000100000" w:firstRow="0" w:lastRow="0" w:firstColumn="0" w:lastColumn="0" w:oddVBand="0" w:evenVBand="0" w:oddHBand="1" w:evenHBand="0" w:firstRowFirstColumn="0" w:firstRowLastColumn="0" w:lastRowFirstColumn="0" w:lastRowLastColumn="0"/>
            </w:pPr>
            <w:r w:rsidRPr="002C0477">
              <w:t>Koalas</w:t>
            </w:r>
          </w:p>
        </w:tc>
        <w:tc>
          <w:tcPr>
            <w:tcW w:w="1709" w:type="pct"/>
            <w:tcBorders>
              <w:top w:val="single" w:sz="4" w:space="0" w:color="228591"/>
              <w:bottom w:val="nil"/>
            </w:tcBorders>
            <w:vAlign w:val="center"/>
          </w:tcPr>
          <w:p w:rsidR="00C866BC" w:rsidRPr="006850F1" w:rsidRDefault="00C866BC" w:rsidP="006850F1">
            <w:pPr>
              <w:jc w:val="center"/>
              <w:cnfStyle w:val="000000100000" w:firstRow="0" w:lastRow="0" w:firstColumn="0" w:lastColumn="0" w:oddVBand="0" w:evenVBand="0" w:oddHBand="1" w:evenHBand="0" w:firstRowFirstColumn="0" w:firstRowLastColumn="0" w:lastRowFirstColumn="0" w:lastRowLastColumn="0"/>
            </w:pPr>
            <w:r w:rsidRPr="002C0477">
              <w:t>1.96 [1.10, 2.85]</w:t>
            </w:r>
          </w:p>
        </w:tc>
        <w:tc>
          <w:tcPr>
            <w:tcW w:w="1567" w:type="pct"/>
            <w:tcBorders>
              <w:top w:val="single" w:sz="4" w:space="0" w:color="228591"/>
              <w:bottom w:val="nil"/>
            </w:tcBorders>
            <w:vAlign w:val="center"/>
          </w:tcPr>
          <w:p w:rsidR="00C866BC" w:rsidRPr="006850F1" w:rsidRDefault="00C866BC">
            <w:pPr>
              <w:jc w:val="center"/>
              <w:cnfStyle w:val="000000100000" w:firstRow="0" w:lastRow="0" w:firstColumn="0" w:lastColumn="0" w:oddVBand="0" w:evenVBand="0" w:oddHBand="1" w:evenHBand="0" w:firstRowFirstColumn="0" w:firstRowLastColumn="0" w:lastRowFirstColumn="0" w:lastRowLastColumn="0"/>
            </w:pPr>
          </w:p>
        </w:tc>
      </w:tr>
      <w:tr w:rsidR="00C866BC" w:rsidRPr="002C0477" w:rsidTr="006850F1">
        <w:trPr>
          <w:cantSplit/>
          <w:trHeight w:val="397"/>
        </w:trPr>
        <w:tc>
          <w:tcPr>
            <w:cnfStyle w:val="001000000000" w:firstRow="0" w:lastRow="0" w:firstColumn="1" w:lastColumn="0" w:oddVBand="0" w:evenVBand="0" w:oddHBand="0" w:evenHBand="0" w:firstRowFirstColumn="0" w:firstRowLastColumn="0" w:lastRowFirstColumn="0" w:lastRowLastColumn="0"/>
            <w:tcW w:w="944" w:type="pct"/>
            <w:tcBorders>
              <w:top w:val="nil"/>
              <w:bottom w:val="nil"/>
            </w:tcBorders>
            <w:vAlign w:val="center"/>
          </w:tcPr>
          <w:p w:rsidR="00C866BC" w:rsidRPr="006850F1" w:rsidRDefault="00C866BC">
            <w:pPr>
              <w:jc w:val="center"/>
              <w:rPr>
                <w:b w:val="0"/>
              </w:rPr>
            </w:pPr>
          </w:p>
        </w:tc>
        <w:tc>
          <w:tcPr>
            <w:tcW w:w="780" w:type="pct"/>
            <w:tcBorders>
              <w:top w:val="nil"/>
              <w:bottom w:val="nil"/>
            </w:tcBorders>
            <w:vAlign w:val="center"/>
          </w:tcPr>
          <w:p w:rsidR="00C866BC" w:rsidRPr="006850F1" w:rsidRDefault="00C866BC" w:rsidP="006850F1">
            <w:pPr>
              <w:jc w:val="center"/>
              <w:cnfStyle w:val="000000000000" w:firstRow="0" w:lastRow="0" w:firstColumn="0" w:lastColumn="0" w:oddVBand="0" w:evenVBand="0" w:oddHBand="0" w:evenHBand="0" w:firstRowFirstColumn="0" w:firstRowLastColumn="0" w:lastRowFirstColumn="0" w:lastRowLastColumn="0"/>
            </w:pPr>
            <w:r w:rsidRPr="002C0477">
              <w:t>PFC</w:t>
            </w:r>
          </w:p>
        </w:tc>
        <w:tc>
          <w:tcPr>
            <w:tcW w:w="1709" w:type="pct"/>
            <w:tcBorders>
              <w:top w:val="nil"/>
              <w:bottom w:val="nil"/>
            </w:tcBorders>
            <w:vAlign w:val="center"/>
          </w:tcPr>
          <w:p w:rsidR="00C866BC" w:rsidRPr="006850F1" w:rsidRDefault="00C866BC">
            <w:pPr>
              <w:jc w:val="center"/>
              <w:cnfStyle w:val="000000000000" w:firstRow="0" w:lastRow="0" w:firstColumn="0" w:lastColumn="0" w:oddVBand="0" w:evenVBand="0" w:oddHBand="0" w:evenHBand="0" w:firstRowFirstColumn="0" w:firstRowLastColumn="0" w:lastRowFirstColumn="0" w:lastRowLastColumn="0"/>
            </w:pPr>
          </w:p>
        </w:tc>
        <w:tc>
          <w:tcPr>
            <w:tcW w:w="1567" w:type="pct"/>
            <w:tcBorders>
              <w:top w:val="nil"/>
              <w:bottom w:val="nil"/>
            </w:tcBorders>
            <w:vAlign w:val="center"/>
          </w:tcPr>
          <w:p w:rsidR="00C866BC" w:rsidRPr="006850F1" w:rsidRDefault="002C0477" w:rsidP="001D61EC">
            <w:pPr>
              <w:jc w:val="center"/>
              <w:cnfStyle w:val="000000000000" w:firstRow="0" w:lastRow="0" w:firstColumn="0" w:lastColumn="0" w:oddVBand="0" w:evenVBand="0" w:oddHBand="0" w:evenHBand="0" w:firstRowFirstColumn="0" w:firstRowLastColumn="0" w:lastRowFirstColumn="0" w:lastRowLastColumn="0"/>
            </w:pPr>
            <w:r w:rsidRPr="002C0477">
              <w:t>–</w:t>
            </w:r>
            <w:r w:rsidR="00C866BC" w:rsidRPr="002C0477">
              <w:t xml:space="preserve">0.50 </w:t>
            </w:r>
            <w:r w:rsidRPr="002C0477">
              <w:t>[–</w:t>
            </w:r>
            <w:r w:rsidR="00C866BC" w:rsidRPr="002C0477">
              <w:t>1.58, 0.561]</w:t>
            </w:r>
          </w:p>
        </w:tc>
      </w:tr>
      <w:tr w:rsidR="00C866BC" w:rsidRPr="002C0477" w:rsidTr="006850F1">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944" w:type="pct"/>
            <w:tcBorders>
              <w:top w:val="nil"/>
              <w:bottom w:val="single" w:sz="8" w:space="0" w:color="228591"/>
            </w:tcBorders>
            <w:vAlign w:val="center"/>
          </w:tcPr>
          <w:p w:rsidR="00C866BC" w:rsidRPr="006850F1" w:rsidRDefault="00C866BC">
            <w:pPr>
              <w:jc w:val="center"/>
              <w:rPr>
                <w:b w:val="0"/>
              </w:rPr>
            </w:pPr>
          </w:p>
        </w:tc>
        <w:tc>
          <w:tcPr>
            <w:tcW w:w="780" w:type="pct"/>
            <w:tcBorders>
              <w:top w:val="nil"/>
              <w:bottom w:val="single" w:sz="8" w:space="0" w:color="228591"/>
            </w:tcBorders>
            <w:vAlign w:val="center"/>
          </w:tcPr>
          <w:p w:rsidR="00C866BC" w:rsidRPr="006850F1" w:rsidRDefault="00C866BC" w:rsidP="006850F1">
            <w:pPr>
              <w:jc w:val="center"/>
              <w:cnfStyle w:val="000000100000" w:firstRow="0" w:lastRow="0" w:firstColumn="0" w:lastColumn="0" w:oddVBand="0" w:evenVBand="0" w:oddHBand="1" w:evenHBand="0" w:firstRowFirstColumn="0" w:firstRowLastColumn="0" w:lastRowFirstColumn="0" w:lastRowLastColumn="0"/>
            </w:pPr>
            <w:r w:rsidRPr="002C0477">
              <w:t>Rainfall</w:t>
            </w:r>
          </w:p>
        </w:tc>
        <w:tc>
          <w:tcPr>
            <w:tcW w:w="1709" w:type="pct"/>
            <w:tcBorders>
              <w:top w:val="nil"/>
              <w:bottom w:val="single" w:sz="8" w:space="0" w:color="228591"/>
            </w:tcBorders>
            <w:vAlign w:val="center"/>
          </w:tcPr>
          <w:p w:rsidR="00C866BC" w:rsidRPr="006850F1" w:rsidRDefault="002C0477" w:rsidP="001D61EC">
            <w:pPr>
              <w:jc w:val="center"/>
              <w:cnfStyle w:val="000000100000" w:firstRow="0" w:lastRow="0" w:firstColumn="0" w:lastColumn="0" w:oddVBand="0" w:evenVBand="0" w:oddHBand="1" w:evenHBand="0" w:firstRowFirstColumn="0" w:firstRowLastColumn="0" w:lastRowFirstColumn="0" w:lastRowLastColumn="0"/>
            </w:pPr>
            <w:r w:rsidRPr="002C0477">
              <w:t>–</w:t>
            </w:r>
            <w:r w:rsidR="00C866BC" w:rsidRPr="002C0477">
              <w:t xml:space="preserve">0.157 </w:t>
            </w:r>
            <w:r w:rsidRPr="002C0477">
              <w:t>[–</w:t>
            </w:r>
            <w:r w:rsidR="00C866BC" w:rsidRPr="002C0477">
              <w:t>0.390, 0.075]</w:t>
            </w:r>
          </w:p>
        </w:tc>
        <w:tc>
          <w:tcPr>
            <w:tcW w:w="1567" w:type="pct"/>
            <w:tcBorders>
              <w:top w:val="nil"/>
              <w:bottom w:val="single" w:sz="8" w:space="0" w:color="228591"/>
            </w:tcBorders>
            <w:vAlign w:val="center"/>
          </w:tcPr>
          <w:p w:rsidR="00C866BC" w:rsidRPr="006850F1" w:rsidRDefault="00C866BC" w:rsidP="006850F1">
            <w:pPr>
              <w:jc w:val="center"/>
              <w:cnfStyle w:val="000000100000" w:firstRow="0" w:lastRow="0" w:firstColumn="0" w:lastColumn="0" w:oddVBand="0" w:evenVBand="0" w:oddHBand="1" w:evenHBand="0" w:firstRowFirstColumn="0" w:firstRowLastColumn="0" w:lastRowFirstColumn="0" w:lastRowLastColumn="0"/>
            </w:pPr>
            <w:r w:rsidRPr="002C0477">
              <w:t xml:space="preserve">0.02 </w:t>
            </w:r>
            <w:r w:rsidR="002C0477" w:rsidRPr="002C0477">
              <w:t>[–</w:t>
            </w:r>
            <w:r w:rsidRPr="002C0477">
              <w:t>0.263, 0.298]</w:t>
            </w:r>
          </w:p>
        </w:tc>
      </w:tr>
    </w:tbl>
    <w:p w:rsidR="00C866BC" w:rsidRDefault="00C866BC" w:rsidP="00C866BC"/>
    <w:p w:rsidR="00C866BC" w:rsidRDefault="00C866BC" w:rsidP="00F6205D">
      <w:pPr>
        <w:pStyle w:val="ARIERBody"/>
      </w:pPr>
      <w:r>
        <w:t xml:space="preserve">In addition to the above analyses, we also conducted a second analysis by adding the two extra sites (Bimbi West and Lighthouse) to the </w:t>
      </w:r>
      <w:r w:rsidR="0081187C">
        <w:t xml:space="preserve">five </w:t>
      </w:r>
      <w:r>
        <w:t xml:space="preserve">Bimbi </w:t>
      </w:r>
      <w:r w:rsidR="0081187C">
        <w:t xml:space="preserve">Park </w:t>
      </w:r>
      <w:r>
        <w:t>sites.</w:t>
      </w:r>
      <w:r w:rsidR="00285836">
        <w:t xml:space="preserve"> </w:t>
      </w:r>
      <w:r>
        <w:t xml:space="preserve">These sites only had </w:t>
      </w:r>
      <w:r w:rsidR="0081187C">
        <w:t xml:space="preserve">five </w:t>
      </w:r>
      <w:r>
        <w:t xml:space="preserve">and </w:t>
      </w:r>
      <w:r w:rsidR="0081187C">
        <w:t xml:space="preserve">four </w:t>
      </w:r>
      <w:r>
        <w:t>years of data, respectively</w:t>
      </w:r>
      <w:r w:rsidR="0081187C">
        <w:t>,</w:t>
      </w:r>
      <w:r>
        <w:t xml:space="preserve"> and </w:t>
      </w:r>
      <w:r w:rsidR="005574FB">
        <w:t>Koala</w:t>
      </w:r>
      <w:r>
        <w:t>s and canopy cover were in the process of decline when monitoring commenced.</w:t>
      </w:r>
      <w:r w:rsidR="00285836">
        <w:t xml:space="preserve"> </w:t>
      </w:r>
      <w:r>
        <w:t xml:space="preserve">After fitting the multivariate </w:t>
      </w:r>
      <w:proofErr w:type="spellStart"/>
      <w:r>
        <w:t>Gompertz</w:t>
      </w:r>
      <w:proofErr w:type="spellEnd"/>
      <w:r>
        <w:t xml:space="preserve"> model to the combined data</w:t>
      </w:r>
      <w:r w:rsidR="00322507">
        <w:t>,</w:t>
      </w:r>
      <w:r>
        <w:t xml:space="preserve"> the estimate of the equilibrium density of </w:t>
      </w:r>
      <w:r w:rsidR="005574FB">
        <w:t>Koala</w:t>
      </w:r>
      <w:r>
        <w:t xml:space="preserve">s was 5.3 (95% </w:t>
      </w:r>
      <w:r w:rsidR="00322507">
        <w:t xml:space="preserve">credible </w:t>
      </w:r>
      <w:r>
        <w:t>interval</w:t>
      </w:r>
      <w:r w:rsidR="00322507">
        <w:t xml:space="preserve">: </w:t>
      </w:r>
      <w:r>
        <w:t>1.2</w:t>
      </w:r>
      <w:r w:rsidR="00F051B7">
        <w:t>–</w:t>
      </w:r>
      <w:r>
        <w:t>23) and the estimate of the equilibrium canopy cover was 0.19 (95% credible interval</w:t>
      </w:r>
      <w:r w:rsidR="00322507">
        <w:t xml:space="preserve">: </w:t>
      </w:r>
      <w:r>
        <w:t>0.04</w:t>
      </w:r>
      <w:r w:rsidR="00F051B7">
        <w:t>–</w:t>
      </w:r>
      <w:r>
        <w:t>0.67) (</w:t>
      </w:r>
      <w:r w:rsidR="007B0211">
        <w:t>Fig. </w:t>
      </w:r>
      <w:r w:rsidR="00FC1164">
        <w:t>7</w:t>
      </w:r>
      <w:r>
        <w:t>).</w:t>
      </w:r>
      <w:r w:rsidR="00285836">
        <w:t xml:space="preserve"> </w:t>
      </w:r>
      <w:r>
        <w:t xml:space="preserve">Hence, the addition of these two sites with declining </w:t>
      </w:r>
      <w:r w:rsidR="005574FB">
        <w:t>Koala</w:t>
      </w:r>
      <w:r>
        <w:t xml:space="preserve"> densities and canopy cover revised the equilibrium abundances of both </w:t>
      </w:r>
      <w:r w:rsidR="005574FB">
        <w:t>Koala</w:t>
      </w:r>
      <w:r>
        <w:t>s and Manna Gum canopy cover downwards.</w:t>
      </w:r>
      <w:r w:rsidR="00285836">
        <w:t xml:space="preserve"> </w:t>
      </w:r>
      <w:r>
        <w:t xml:space="preserve">The predicted </w:t>
      </w:r>
      <w:r w:rsidR="005574FB">
        <w:t>Koala</w:t>
      </w:r>
      <w:r>
        <w:t xml:space="preserve"> densities and canopy cover from the state</w:t>
      </w:r>
      <w:r w:rsidR="00322507">
        <w:t>–</w:t>
      </w:r>
      <w:r>
        <w:t xml:space="preserve">space model fitted to all </w:t>
      </w:r>
      <w:r w:rsidR="00322507">
        <w:t xml:space="preserve">seven </w:t>
      </w:r>
      <w:r>
        <w:t xml:space="preserve">sites are given in </w:t>
      </w:r>
      <w:r w:rsidR="007B0211">
        <w:t xml:space="preserve">Figs </w:t>
      </w:r>
      <w:r w:rsidR="00FC1164">
        <w:t xml:space="preserve">8 </w:t>
      </w:r>
      <w:r w:rsidR="007B0211">
        <w:t xml:space="preserve">and </w:t>
      </w:r>
      <w:r w:rsidR="00FC1164">
        <w:t>9</w:t>
      </w:r>
      <w:r>
        <w:t>.</w:t>
      </w:r>
    </w:p>
    <w:p w:rsidR="00C866BC" w:rsidRDefault="0080272E" w:rsidP="00C866BC">
      <w:pPr>
        <w:keepNext/>
      </w:pPr>
      <w:r>
        <w:rPr>
          <w:noProof/>
          <w:lang w:eastAsia="en-AU"/>
        </w:rPr>
        <w:lastRenderedPageBreak/>
        <w:drawing>
          <wp:inline distT="0" distB="0" distL="0" distR="0">
            <wp:extent cx="5068354" cy="46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7662"/>
                    <a:stretch/>
                  </pic:blipFill>
                  <pic:spPr bwMode="auto">
                    <a:xfrm>
                      <a:off x="0" y="0"/>
                      <a:ext cx="5068354" cy="4680000"/>
                    </a:xfrm>
                    <a:prstGeom prst="rect">
                      <a:avLst/>
                    </a:prstGeom>
                    <a:noFill/>
                    <a:ln>
                      <a:noFill/>
                    </a:ln>
                    <a:extLst>
                      <a:ext uri="{53640926-AAD7-44D8-BBD7-CCE9431645EC}">
                        <a14:shadowObscured xmlns:a14="http://schemas.microsoft.com/office/drawing/2010/main"/>
                      </a:ext>
                    </a:extLst>
                  </pic:spPr>
                </pic:pic>
              </a:graphicData>
            </a:graphic>
          </wp:inline>
        </w:drawing>
      </w:r>
    </w:p>
    <w:p w:rsidR="00C866BC" w:rsidRDefault="00C866BC">
      <w:pPr>
        <w:pStyle w:val="ARIERCaption-Figure"/>
      </w:pPr>
      <w:bookmarkStart w:id="50" w:name="_Toc328568539"/>
      <w:r>
        <w:t xml:space="preserve">Figure </w:t>
      </w:r>
      <w:r w:rsidR="00FC1164">
        <w:t>7</w:t>
      </w:r>
      <w:r>
        <w:t xml:space="preserve">. Estimate of the equilibrium </w:t>
      </w:r>
      <w:r w:rsidR="005574FB">
        <w:t>Koala</w:t>
      </w:r>
      <w:r>
        <w:t xml:space="preserve"> density and corresponding projected foliage cover (red point) from the multivariate </w:t>
      </w:r>
      <w:proofErr w:type="spellStart"/>
      <w:r>
        <w:t>Gompertz</w:t>
      </w:r>
      <w:proofErr w:type="spellEnd"/>
      <w:r>
        <w:t xml:space="preserve"> model fitted to the data from Bimbi Park as well as two additional sites (Bimbi </w:t>
      </w:r>
      <w:r w:rsidR="00233A61">
        <w:t xml:space="preserve">West </w:t>
      </w:r>
      <w:r>
        <w:t>and Lighthouse).</w:t>
      </w:r>
      <w:r w:rsidR="00285836">
        <w:t xml:space="preserve"> </w:t>
      </w:r>
      <w:r w:rsidR="00233A61">
        <w:t xml:space="preserve">The grey </w:t>
      </w:r>
      <w:r>
        <w:t>envelope represents the equilibrium stationary distribution (95% envelope).</w:t>
      </w:r>
      <w:r w:rsidR="00285836">
        <w:t xml:space="preserve"> </w:t>
      </w:r>
      <w:r>
        <w:t>The equilibrium point is at [19, 5.3].</w:t>
      </w:r>
      <w:bookmarkEnd w:id="50"/>
    </w:p>
    <w:p w:rsidR="00C866BC" w:rsidRDefault="00C866BC" w:rsidP="00C866BC">
      <w:pPr>
        <w:keepNext/>
      </w:pPr>
      <w:r>
        <w:rPr>
          <w:noProof/>
          <w:lang w:eastAsia="en-AU"/>
        </w:rPr>
        <w:lastRenderedPageBreak/>
        <w:drawing>
          <wp:inline distT="0" distB="0" distL="0" distR="0" wp14:anchorId="502AEF44" wp14:editId="1A29EE8E">
            <wp:extent cx="5731510" cy="71647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7164705"/>
                    </a:xfrm>
                    <a:prstGeom prst="rect">
                      <a:avLst/>
                    </a:prstGeom>
                  </pic:spPr>
                </pic:pic>
              </a:graphicData>
            </a:graphic>
          </wp:inline>
        </w:drawing>
      </w:r>
    </w:p>
    <w:p w:rsidR="00C866BC" w:rsidRDefault="00C866BC">
      <w:pPr>
        <w:pStyle w:val="ARIERCaption-Figure"/>
      </w:pPr>
      <w:bookmarkStart w:id="51" w:name="_Toc328568540"/>
      <w:r>
        <w:t xml:space="preserve">Figure </w:t>
      </w:r>
      <w:r w:rsidR="00FC1164">
        <w:t>8</w:t>
      </w:r>
      <w:r>
        <w:t>.</w:t>
      </w:r>
      <w:r w:rsidR="00285836">
        <w:t xml:space="preserve"> </w:t>
      </w:r>
      <w:r>
        <w:t xml:space="preserve">Koala densities predicted from the multivariate </w:t>
      </w:r>
      <w:proofErr w:type="spellStart"/>
      <w:r>
        <w:t>Gompertz</w:t>
      </w:r>
      <w:proofErr w:type="spellEnd"/>
      <w:r>
        <w:t xml:space="preserve"> model (black line) and corresponding 95% credible intervals (blue shading) for </w:t>
      </w:r>
      <w:r w:rsidR="00233A61">
        <w:t xml:space="preserve">seven </w:t>
      </w:r>
      <w:r>
        <w:t>sites at Cape Otway.</w:t>
      </w:r>
      <w:r w:rsidR="00285836">
        <w:t xml:space="preserve"> </w:t>
      </w:r>
      <w:r>
        <w:t>Solid circles are the observed densities.</w:t>
      </w:r>
      <w:bookmarkEnd w:id="51"/>
    </w:p>
    <w:p w:rsidR="00C866BC" w:rsidRPr="00407A8D" w:rsidRDefault="00C866BC" w:rsidP="00C866BC"/>
    <w:p w:rsidR="00C866BC" w:rsidRPr="009F3D8A" w:rsidRDefault="00FB1756" w:rsidP="00FB1756">
      <w:pPr>
        <w:pStyle w:val="ARIERCaption-Figure"/>
      </w:pPr>
      <w:r>
        <w:rPr>
          <w:noProof/>
          <w:lang w:eastAsia="en-AU"/>
        </w:rPr>
        <w:lastRenderedPageBreak/>
        <w:drawing>
          <wp:inline distT="0" distB="0" distL="0" distR="0" wp14:anchorId="33D93C94" wp14:editId="2FF5B8A2">
            <wp:extent cx="5943600" cy="742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429500"/>
                    </a:xfrm>
                    <a:prstGeom prst="rect">
                      <a:avLst/>
                    </a:prstGeom>
                  </pic:spPr>
                </pic:pic>
              </a:graphicData>
            </a:graphic>
          </wp:inline>
        </w:drawing>
      </w:r>
      <w:bookmarkStart w:id="52" w:name="_Toc328568541"/>
      <w:r w:rsidR="00C866BC" w:rsidRPr="00FB1756">
        <w:t xml:space="preserve">Figure </w:t>
      </w:r>
      <w:r w:rsidR="00FC1164" w:rsidRPr="00FB1756">
        <w:t>9</w:t>
      </w:r>
      <w:r w:rsidR="00C866BC" w:rsidRPr="00FB1756">
        <w:t>.</w:t>
      </w:r>
      <w:r w:rsidR="00285836" w:rsidRPr="00FB1756">
        <w:t xml:space="preserve"> </w:t>
      </w:r>
      <w:r w:rsidR="00C866BC" w:rsidRPr="00FB1756">
        <w:t xml:space="preserve">Projected foliage cover </w:t>
      </w:r>
      <w:r w:rsidR="00233A61" w:rsidRPr="00FB1756">
        <w:t>(</w:t>
      </w:r>
      <w:r w:rsidRPr="00FB1756">
        <w:t>%</w:t>
      </w:r>
      <w:r w:rsidR="00233A61" w:rsidRPr="00FB1756">
        <w:t xml:space="preserve">) </w:t>
      </w:r>
      <w:r w:rsidR="00C866BC" w:rsidRPr="00FB1756">
        <w:t xml:space="preserve">of </w:t>
      </w:r>
      <w:r w:rsidR="00FF1DB9" w:rsidRPr="00FB1756">
        <w:t>Manna Gum</w:t>
      </w:r>
      <w:r w:rsidR="00C866BC" w:rsidRPr="00FB1756">
        <w:t xml:space="preserve">s predicted from the multivariate </w:t>
      </w:r>
      <w:proofErr w:type="spellStart"/>
      <w:r w:rsidR="00C866BC" w:rsidRPr="00FB1756">
        <w:t>Gompertz</w:t>
      </w:r>
      <w:proofErr w:type="spellEnd"/>
      <w:r w:rsidR="00C866BC" w:rsidRPr="00FB1756">
        <w:t xml:space="preserve"> model (black line) and corresponding 95% credible intervals (blue shading) for </w:t>
      </w:r>
      <w:r w:rsidR="00233A61" w:rsidRPr="00FB1756">
        <w:t xml:space="preserve">seven </w:t>
      </w:r>
      <w:r w:rsidR="00C866BC" w:rsidRPr="00FB1756">
        <w:t>sites at Cape Otway.</w:t>
      </w:r>
      <w:r w:rsidR="00285836" w:rsidRPr="00FB1756">
        <w:t xml:space="preserve"> </w:t>
      </w:r>
      <w:r w:rsidR="00C866BC" w:rsidRPr="00FB1756">
        <w:t>Solid circles are the observed values</w:t>
      </w:r>
      <w:r w:rsidR="00C866BC">
        <w:t>.</w:t>
      </w:r>
      <w:bookmarkEnd w:id="52"/>
    </w:p>
    <w:p w:rsidR="00C866BC" w:rsidRDefault="00322507" w:rsidP="006850F1">
      <w:pPr>
        <w:pStyle w:val="ARIERHB"/>
        <w:keepNext/>
      </w:pPr>
      <w:r>
        <w:br w:type="page"/>
      </w:r>
      <w:bookmarkStart w:id="53" w:name="_Toc455406131"/>
      <w:r w:rsidR="0027068A">
        <w:lastRenderedPageBreak/>
        <w:t>3.3</w:t>
      </w:r>
      <w:r w:rsidR="0027068A">
        <w:tab/>
      </w:r>
      <w:r w:rsidR="00C866BC">
        <w:t>Towards a habitat health trigger</w:t>
      </w:r>
      <w:bookmarkEnd w:id="53"/>
    </w:p>
    <w:p w:rsidR="005A1FD2" w:rsidRDefault="005A1FD2" w:rsidP="005A1FD2">
      <w:pPr>
        <w:pStyle w:val="ARIERHC"/>
      </w:pPr>
      <w:bookmarkStart w:id="54" w:name="_Toc455406132"/>
      <w:r>
        <w:t>3.3.1</w:t>
      </w:r>
      <w:r>
        <w:tab/>
        <w:t>Canopy defoliation and Koala densities</w:t>
      </w:r>
      <w:bookmarkEnd w:id="54"/>
    </w:p>
    <w:p w:rsidR="00285836" w:rsidRDefault="00C866BC" w:rsidP="00F6205D">
      <w:pPr>
        <w:pStyle w:val="ARIERBody"/>
      </w:pPr>
      <w:r>
        <w:t xml:space="preserve">Here, we propose to base the development of a ‘health trigger’ for forests subject to </w:t>
      </w:r>
      <w:r w:rsidR="005574FB">
        <w:t>Koala</w:t>
      </w:r>
      <w:r>
        <w:t xml:space="preserve"> browsing on the risk of tree mortality due to canopy defoliation.</w:t>
      </w:r>
      <w:r w:rsidR="00285836">
        <w:t xml:space="preserve"> </w:t>
      </w:r>
      <w:r>
        <w:t xml:space="preserve">Although eucalypts have evolved adaptive strategies to increase their tolerance to herbivory </w:t>
      </w:r>
      <w:r>
        <w:fldChar w:fldCharType="begin"/>
      </w:r>
      <w:r>
        <w:instrText xml:space="preserve"> ADDIN ZOTERO_ITEM CSL_CITATION {"citationID":"2q2q41a4qk","properties":{"formattedCitation":"(Moore and Foley 2000)","plainCitation":"(Moore and Foley 2000)"},"citationItems":[{"id":5239,"uris":["http://zotero.org/users/634364/items/82VTR2F4"],"uri":["http://zotero.org/users/634364/items/82VTR2F4"],"itemData":{"id":5239,"type":"article-journal","title":"A review of feeding and diet selection in koalas (&lt;i&gt;Phascolarctos cinereus&lt;/i&gt;)","container-title":"Australian Journal of Zoology","page":"317-333","volume":"48","author":[{"family":"Moore","given":"B.D."},{"family":"Foley","given":"William J."}],"issued":{"date-parts":[["2000"]]}}}],"schema":"https://github.com/citation-style-language/schema/raw/master/csl-citation.json"} </w:instrText>
      </w:r>
      <w:r>
        <w:fldChar w:fldCharType="separate"/>
      </w:r>
      <w:r w:rsidRPr="00DF7843">
        <w:t>(Moore and Foley 2000)</w:t>
      </w:r>
      <w:r>
        <w:fldChar w:fldCharType="end"/>
      </w:r>
      <w:r>
        <w:t xml:space="preserve">, intense browsing pressure can result in tree death, which may be exacerbated if increased browsing coincides with other stress mechanisms such as drought or nutrient enrichment </w:t>
      </w:r>
      <w:r>
        <w:fldChar w:fldCharType="begin"/>
      </w:r>
      <w:r>
        <w:instrText xml:space="preserve"> ADDIN ZOTERO_ITEM CSL_CITATION {"citationID":"clrooaknf","properties":{"formattedCitation":"(Jurskis and Turner 2002)","plainCitation":"(Jurskis and Turner 2002)"},"citationItems":[{"id":5245,"uris":["http://zotero.org/users/634364/items/HNK8FP3P"],"uri":["http://zotero.org/users/634364/items/HNK8FP3P"],"itemData":{"id":5245,"type":"article-journal","title":"Eucalypt dieback in eastern Australia: a simple model","container-title":"Australian Forestry","page":"87-98","volume":"65","issue":"2","author":[{"family":"Jurskis","given":"V"},{"family":"Turner","given":"J"}],"issued":{"date-parts":[["2002"]]}}}],"schema":"https://github.com/citation-style-language/schema/raw/master/csl-citation.json"} </w:instrText>
      </w:r>
      <w:r>
        <w:fldChar w:fldCharType="separate"/>
      </w:r>
      <w:r w:rsidRPr="00DF7843">
        <w:t>(Jurskis and Turner 2002)</w:t>
      </w:r>
      <w:r>
        <w:fldChar w:fldCharType="end"/>
      </w:r>
      <w:r>
        <w:t>.</w:t>
      </w:r>
      <w:r w:rsidR="00285836">
        <w:t xml:space="preserve"> </w:t>
      </w:r>
      <w:r>
        <w:t xml:space="preserve">Based on the mortality rates of </w:t>
      </w:r>
      <w:r w:rsidR="00FF1DB9">
        <w:t>Manna Gum</w:t>
      </w:r>
      <w:r>
        <w:t xml:space="preserve">s </w:t>
      </w:r>
      <w:r w:rsidR="009E688A">
        <w:t>with</w:t>
      </w:r>
      <w:r>
        <w:t xml:space="preserve"> canopy </w:t>
      </w:r>
      <w:r w:rsidR="0082052F">
        <w:t xml:space="preserve">projected </w:t>
      </w:r>
      <w:r w:rsidR="009E688A">
        <w:t>folia</w:t>
      </w:r>
      <w:r w:rsidR="0082052F">
        <w:t>ge</w:t>
      </w:r>
      <w:r w:rsidR="009E688A">
        <w:t xml:space="preserve"> cover</w:t>
      </w:r>
      <w:r w:rsidR="0082052F">
        <w:t xml:space="preserve"> (PFC)</w:t>
      </w:r>
      <w:r>
        <w:t xml:space="preserve">, we propose a </w:t>
      </w:r>
      <w:r w:rsidR="009E688A">
        <w:rPr>
          <w:i/>
        </w:rPr>
        <w:t>foliar</w:t>
      </w:r>
      <w:r w:rsidRPr="00504E0B">
        <w:rPr>
          <w:i/>
        </w:rPr>
        <w:t xml:space="preserve"> cover threshold</w:t>
      </w:r>
      <w:r>
        <w:t xml:space="preserve"> of 25% be used to classify individual trees as ‘defoliated’.</w:t>
      </w:r>
      <w:r w:rsidR="00285836">
        <w:t xml:space="preserve"> </w:t>
      </w:r>
      <w:r>
        <w:t xml:space="preserve">The rationale is that when canopy foliage drops below the </w:t>
      </w:r>
      <w:r w:rsidR="009E688A">
        <w:t>foliar</w:t>
      </w:r>
      <w:r>
        <w:t xml:space="preserve"> cover threshold, individual trees are at an increased risk of death due to defoliation or other stressors.</w:t>
      </w:r>
      <w:r w:rsidR="00285836">
        <w:t xml:space="preserve"> </w:t>
      </w:r>
      <w:r>
        <w:t xml:space="preserve">Although this level is somewhat arbitrary for use as a threshold for individual trees, </w:t>
      </w:r>
      <w:r w:rsidR="0082052F">
        <w:t xml:space="preserve">it is much greater than the likely ‘background’ level of mortality </w:t>
      </w:r>
      <w:r w:rsidR="002B3A20">
        <w:t xml:space="preserve">for eucalypts </w:t>
      </w:r>
      <w:r w:rsidR="0082052F">
        <w:t>(</w:t>
      </w:r>
      <w:r w:rsidR="002B3A20">
        <w:t xml:space="preserve">~3% per annum – </w:t>
      </w:r>
      <w:r w:rsidR="0082052F">
        <w:t xml:space="preserve">Prior et al. 2009). </w:t>
      </w:r>
      <w:r w:rsidR="00285836">
        <w:t xml:space="preserve"> </w:t>
      </w:r>
      <w:r>
        <w:t xml:space="preserve">Here, we assume that the canopy cover/mortality relationship identified for </w:t>
      </w:r>
      <w:r w:rsidR="00A4160B">
        <w:t>Manna Gum</w:t>
      </w:r>
      <w:r>
        <w:t xml:space="preserve">s would also apply to other eucalypt species browsed by </w:t>
      </w:r>
      <w:r w:rsidR="005574FB">
        <w:t>Koala</w:t>
      </w:r>
      <w:r>
        <w:t>s.</w:t>
      </w:r>
    </w:p>
    <w:p w:rsidR="00C866BC" w:rsidRDefault="00C866BC" w:rsidP="00F6205D">
      <w:pPr>
        <w:pStyle w:val="ARIERBody"/>
      </w:pPr>
      <w:r>
        <w:t xml:space="preserve">Given the value for the </w:t>
      </w:r>
      <w:r w:rsidR="009E688A">
        <w:t>foliar</w:t>
      </w:r>
      <w:r>
        <w:t xml:space="preserve"> cover threshold, all adult </w:t>
      </w:r>
      <w:r w:rsidR="009E688A">
        <w:t>trees</w:t>
      </w:r>
      <w:r>
        <w:t xml:space="preserve"> of eucalypt species sampled at a site are then classified as either defoliated (foliage cover ≤ </w:t>
      </w:r>
      <w:r w:rsidR="009E688A">
        <w:t>foliar</w:t>
      </w:r>
      <w:r>
        <w:t xml:space="preserve"> cover threshold) or otherwise (foliage cover &gt; </w:t>
      </w:r>
      <w:r w:rsidR="009E688A">
        <w:t>foliar</w:t>
      </w:r>
      <w:r>
        <w:t xml:space="preserve"> cover threshold).</w:t>
      </w:r>
      <w:r w:rsidR="00285836">
        <w:t xml:space="preserve"> </w:t>
      </w:r>
      <w:r>
        <w:t xml:space="preserve">The proportion of defoliated </w:t>
      </w:r>
      <w:r w:rsidR="009E688A">
        <w:t>trees</w:t>
      </w:r>
      <w:r>
        <w:t xml:space="preserve"> in the sample is then used as the estimate of the </w:t>
      </w:r>
      <w:r w:rsidRPr="001C129D">
        <w:rPr>
          <w:i/>
        </w:rPr>
        <w:t xml:space="preserve">canopy </w:t>
      </w:r>
      <w:r w:rsidRPr="00C16324">
        <w:rPr>
          <w:i/>
        </w:rPr>
        <w:t>defoliation level</w:t>
      </w:r>
      <w:r>
        <w:t xml:space="preserve"> for each eucalypt species.</w:t>
      </w:r>
      <w:r w:rsidR="00285836">
        <w:t xml:space="preserve"> </w:t>
      </w:r>
      <w:r>
        <w:t xml:space="preserve">We propose the </w:t>
      </w:r>
      <w:r w:rsidRPr="00DA052A">
        <w:rPr>
          <w:i/>
        </w:rPr>
        <w:t>canopy defoliation level</w:t>
      </w:r>
      <w:r w:rsidR="00285836">
        <w:t xml:space="preserve"> </w:t>
      </w:r>
      <w:r>
        <w:t>be used as the habitat health trigger, which can be estimated for an individual eucalypt species or for the site as a whole (i.e. combining over species</w:t>
      </w:r>
      <w:r w:rsidR="009E688A">
        <w:t xml:space="preserve"> using a weighted mean</w:t>
      </w:r>
      <w:r>
        <w:t>).</w:t>
      </w:r>
      <w:r w:rsidR="00285836">
        <w:t xml:space="preserve"> </w:t>
      </w:r>
      <w:r w:rsidR="00480B19">
        <w:t xml:space="preserve">The relationship </w:t>
      </w:r>
      <w:r>
        <w:t xml:space="preserve">between levels of canopy defoliation and </w:t>
      </w:r>
      <w:r w:rsidR="005574FB">
        <w:t>Koala</w:t>
      </w:r>
      <w:r>
        <w:t xml:space="preserve"> density differed among eucalypt species.</w:t>
      </w:r>
      <w:r w:rsidR="00285836">
        <w:t xml:space="preserve"> </w:t>
      </w:r>
      <w:r>
        <w:t xml:space="preserve">Although only 23 sites were sampled, some patterns to emerge were that defoliation levels for </w:t>
      </w:r>
      <w:r w:rsidR="00A4160B">
        <w:t>Manna Gum</w:t>
      </w:r>
      <w:r>
        <w:t xml:space="preserve"> increase much more quickly with increases in </w:t>
      </w:r>
      <w:r w:rsidR="005574FB">
        <w:t>Koala</w:t>
      </w:r>
      <w:r>
        <w:t xml:space="preserve"> density than for other eucalypt species</w:t>
      </w:r>
      <w:r w:rsidR="00480B19">
        <w:t>,</w:t>
      </w:r>
      <w:r>
        <w:t xml:space="preserve"> reaching </w:t>
      </w:r>
      <w:r w:rsidR="0082052F">
        <w:t>0.</w:t>
      </w:r>
      <w:r>
        <w:t xml:space="preserve">66 at a </w:t>
      </w:r>
      <w:r w:rsidR="005574FB">
        <w:t>Koala</w:t>
      </w:r>
      <w:r>
        <w:t xml:space="preserve"> density of 1.64 </w:t>
      </w:r>
      <w:r w:rsidR="005574FB">
        <w:t>Koala</w:t>
      </w:r>
      <w:r>
        <w:t>/ha.</w:t>
      </w:r>
      <w:r w:rsidR="00285836">
        <w:t xml:space="preserve"> </w:t>
      </w:r>
      <w:r>
        <w:t xml:space="preserve">Sites with defoliation levels above this value were all </w:t>
      </w:r>
      <w:r w:rsidR="00A4160B">
        <w:t>Manna Gum</w:t>
      </w:r>
      <w:r>
        <w:t xml:space="preserve"> dominant forests considered to be very degraded by </w:t>
      </w:r>
      <w:r w:rsidR="005574FB">
        <w:t>Koala</w:t>
      </w:r>
      <w:r>
        <w:t xml:space="preserve"> browsing.</w:t>
      </w:r>
      <w:r w:rsidR="00285836">
        <w:t xml:space="preserve"> </w:t>
      </w:r>
      <w:r>
        <w:t xml:space="preserve">At the other end of the scale, forests with no </w:t>
      </w:r>
      <w:r w:rsidR="00A4160B">
        <w:t>Manna Gum</w:t>
      </w:r>
      <w:r w:rsidR="00480B19">
        <w:t>s</w:t>
      </w:r>
      <w:r>
        <w:t xml:space="preserve"> rarely had canopy defoliation levels greater than </w:t>
      </w:r>
      <w:r w:rsidR="0082052F" w:rsidRPr="0082052F">
        <w:t>0.</w:t>
      </w:r>
      <w:r w:rsidRPr="0082052F">
        <w:t>40</w:t>
      </w:r>
      <w:r w:rsidR="00480B19">
        <w:t>,</w:t>
      </w:r>
      <w:r>
        <w:t xml:space="preserve"> and </w:t>
      </w:r>
      <w:r w:rsidR="005574FB">
        <w:t>Koala</w:t>
      </w:r>
      <w:r>
        <w:t xml:space="preserve"> densities did not exceed 5 </w:t>
      </w:r>
      <w:r w:rsidR="005574FB">
        <w:t>Koala</w:t>
      </w:r>
      <w:r>
        <w:t>s/ha.</w:t>
      </w:r>
      <w:r w:rsidR="00285836">
        <w:t xml:space="preserve"> </w:t>
      </w:r>
      <w:r w:rsidR="002B3A20">
        <w:t xml:space="preserve"> For Manna Gum, canopy defoliation levels of less than 0.40 were predicted when Koala densities were less than 0.90 Koalas/ha.  </w:t>
      </w:r>
      <w:r>
        <w:t xml:space="preserve">In addition, </w:t>
      </w:r>
      <w:r w:rsidR="00F13058">
        <w:t xml:space="preserve">the </w:t>
      </w:r>
      <w:r>
        <w:t xml:space="preserve">relationships suggest that, when </w:t>
      </w:r>
      <w:r w:rsidR="005574FB">
        <w:t>Koala</w:t>
      </w:r>
      <w:r>
        <w:t xml:space="preserve"> densities are low or absent, canopy defoliation levels would be </w:t>
      </w:r>
      <w:r w:rsidR="00480B19" w:rsidRPr="0082052F">
        <w:t>&lt;</w:t>
      </w:r>
      <w:r w:rsidR="0082052F" w:rsidRPr="0082052F">
        <w:t>0.</w:t>
      </w:r>
      <w:r w:rsidRPr="002B3A20">
        <w:t>20.</w:t>
      </w:r>
      <w:r w:rsidR="00285836" w:rsidRPr="002B3A20">
        <w:t xml:space="preserve"> </w:t>
      </w:r>
      <w:r w:rsidRPr="002B3A20">
        <w:t>These</w:t>
      </w:r>
      <w:r>
        <w:t xml:space="preserve"> relationships suggest that a useful guide for categorising levels of canopy defoliation </w:t>
      </w:r>
      <w:r w:rsidR="00D95DEB">
        <w:t>should</w:t>
      </w:r>
      <w:r w:rsidR="00480B19">
        <w:t xml:space="preserve"> </w:t>
      </w:r>
      <w:r>
        <w:t>adopt the following classifications (</w:t>
      </w:r>
      <w:r w:rsidR="007B0211">
        <w:t>Fig. </w:t>
      </w:r>
      <w:r w:rsidR="00FC1164">
        <w:t>10</w:t>
      </w:r>
      <w:r>
        <w:t>).</w:t>
      </w:r>
      <w:r w:rsidR="00285836">
        <w:t xml:space="preserve"> </w:t>
      </w:r>
      <w:r>
        <w:t xml:space="preserve">The </w:t>
      </w:r>
      <w:r w:rsidR="00D95DEB">
        <w:t xml:space="preserve">actions and </w:t>
      </w:r>
      <w:r>
        <w:t xml:space="preserve">levels of intervention </w:t>
      </w:r>
      <w:r w:rsidR="00D95DEB">
        <w:t xml:space="preserve">recommended </w:t>
      </w:r>
      <w:r>
        <w:t>for each category</w:t>
      </w:r>
      <w:r w:rsidR="00D95DEB">
        <w:t xml:space="preserve"> are</w:t>
      </w:r>
      <w:r>
        <w:t xml:space="preserve"> outlined in Table </w:t>
      </w:r>
      <w:r w:rsidR="00294F19">
        <w:t>6</w:t>
      </w:r>
      <w:r>
        <w:t>.</w:t>
      </w:r>
    </w:p>
    <w:p w:rsidR="00C866BC" w:rsidRDefault="00C866BC" w:rsidP="00C866BC">
      <w:pPr>
        <w:keepNext/>
        <w:jc w:val="center"/>
      </w:pPr>
    </w:p>
    <w:p w:rsidR="00C866BC" w:rsidRDefault="00C37D25" w:rsidP="00C866BC">
      <w:pPr>
        <w:keepNext/>
        <w:jc w:val="center"/>
      </w:pPr>
      <w:r>
        <w:rPr>
          <w:noProof/>
          <w:lang w:eastAsia="en-AU"/>
        </w:rPr>
        <w:drawing>
          <wp:inline distT="0" distB="0" distL="0" distR="0" wp14:anchorId="184F4559" wp14:editId="342412F1">
            <wp:extent cx="2301903" cy="43493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b="5527"/>
                    <a:stretch/>
                  </pic:blipFill>
                  <pic:spPr bwMode="auto">
                    <a:xfrm>
                      <a:off x="0" y="0"/>
                      <a:ext cx="2304000" cy="4353326"/>
                    </a:xfrm>
                    <a:prstGeom prst="rect">
                      <a:avLst/>
                    </a:prstGeom>
                    <a:noFill/>
                    <a:ln>
                      <a:noFill/>
                    </a:ln>
                    <a:extLst>
                      <a:ext uri="{53640926-AAD7-44D8-BBD7-CCE9431645EC}">
                        <a14:shadowObscured xmlns:a14="http://schemas.microsoft.com/office/drawing/2010/main"/>
                      </a:ext>
                    </a:extLst>
                  </pic:spPr>
                </pic:pic>
              </a:graphicData>
            </a:graphic>
          </wp:inline>
        </w:drawing>
      </w:r>
    </w:p>
    <w:p w:rsidR="00C866BC" w:rsidRPr="004F7987" w:rsidRDefault="00C866BC">
      <w:pPr>
        <w:pStyle w:val="ARIERCaption-Figure"/>
      </w:pPr>
      <w:bookmarkStart w:id="55" w:name="_Toc328568542"/>
      <w:r>
        <w:t xml:space="preserve">Figure </w:t>
      </w:r>
      <w:r w:rsidR="00FC1164">
        <w:t>10</w:t>
      </w:r>
      <w:r>
        <w:t>.</w:t>
      </w:r>
      <w:r w:rsidR="00285836">
        <w:t xml:space="preserve"> </w:t>
      </w:r>
      <w:r w:rsidR="00AB640F">
        <w:t>Proposed habitat condition trigger levels of canopy defoliation for a site or for individual eucalypt species that should be used to guide management interventions for forests affected by Koala browsing.</w:t>
      </w:r>
      <w:bookmarkEnd w:id="55"/>
    </w:p>
    <w:p w:rsidR="00C866BC" w:rsidRDefault="00C866BC" w:rsidP="00C866BC"/>
    <w:p w:rsidR="00B9408C" w:rsidRDefault="00B9408C" w:rsidP="00C866BC"/>
    <w:p w:rsidR="00F13058" w:rsidRDefault="00294F19" w:rsidP="00F13058">
      <w:pPr>
        <w:pStyle w:val="ARIERCaption-Table"/>
      </w:pPr>
      <w:bookmarkStart w:id="56" w:name="_Toc454803942"/>
      <w:r>
        <w:t xml:space="preserve">Table 6. </w:t>
      </w:r>
      <w:r w:rsidR="00F13058">
        <w:t>Summary of suggested management actions corresponding to the recommended canopy health triggers</w:t>
      </w:r>
      <w:r w:rsidR="00F13058" w:rsidRPr="00011E1A">
        <w:t xml:space="preserve"> </w:t>
      </w:r>
      <w:r w:rsidR="00F13058">
        <w:t xml:space="preserve">(* based on the </w:t>
      </w:r>
      <w:r w:rsidR="00F13058" w:rsidRPr="00011E1A">
        <w:t>proportion of trees in an area with</w:t>
      </w:r>
      <w:r w:rsidR="00F13058">
        <w:t xml:space="preserve"> canopy</w:t>
      </w:r>
      <w:r w:rsidR="00F13058" w:rsidRPr="00011E1A">
        <w:t xml:space="preserve"> folia</w:t>
      </w:r>
      <w:r w:rsidR="00F13058">
        <w:t>ge</w:t>
      </w:r>
      <w:r w:rsidR="00F13058" w:rsidRPr="00011E1A">
        <w:t xml:space="preserve"> cover less than the recommended threshold of 25%</w:t>
      </w:r>
      <w:r w:rsidR="00F13058">
        <w:t xml:space="preserve">). </w:t>
      </w:r>
      <w:bookmarkEnd w:id="56"/>
    </w:p>
    <w:tbl>
      <w:tblPr>
        <w:tblStyle w:val="PlainTable31"/>
        <w:tblW w:w="0" w:type="auto"/>
        <w:tblLook w:val="0620" w:firstRow="1" w:lastRow="0" w:firstColumn="0" w:lastColumn="0" w:noHBand="1" w:noVBand="1"/>
      </w:tblPr>
      <w:tblGrid>
        <w:gridCol w:w="3085"/>
        <w:gridCol w:w="6662"/>
      </w:tblGrid>
      <w:tr w:rsidR="00F13058" w:rsidRPr="00C54AC1" w:rsidTr="004A3645">
        <w:trPr>
          <w:cnfStyle w:val="100000000000" w:firstRow="1" w:lastRow="0" w:firstColumn="0" w:lastColumn="0" w:oddVBand="0" w:evenVBand="0" w:oddHBand="0" w:evenHBand="0" w:firstRowFirstColumn="0" w:firstRowLastColumn="0" w:lastRowFirstColumn="0" w:lastRowLastColumn="0"/>
          <w:trHeight w:val="379"/>
        </w:trPr>
        <w:tc>
          <w:tcPr>
            <w:tcW w:w="3085" w:type="dxa"/>
            <w:tcBorders>
              <w:top w:val="single" w:sz="4" w:space="0" w:color="228591"/>
              <w:bottom w:val="single" w:sz="4" w:space="0" w:color="228591"/>
              <w:right w:val="single" w:sz="4" w:space="0" w:color="auto"/>
            </w:tcBorders>
            <w:shd w:val="clear" w:color="auto" w:fill="228591"/>
            <w:vAlign w:val="center"/>
          </w:tcPr>
          <w:p w:rsidR="00F13058" w:rsidRPr="006850F1" w:rsidRDefault="00F13058" w:rsidP="004A3645">
            <w:pPr>
              <w:jc w:val="center"/>
              <w:rPr>
                <w:b w:val="0"/>
                <w:color w:val="FFFFFF" w:themeColor="background1"/>
              </w:rPr>
            </w:pPr>
            <w:r w:rsidRPr="006850F1">
              <w:rPr>
                <w:color w:val="FFFFFF" w:themeColor="background1"/>
                <w:szCs w:val="24"/>
              </w:rPr>
              <w:t>Canopy defoliation level</w:t>
            </w:r>
            <w:r>
              <w:rPr>
                <w:color w:val="FFFFFF" w:themeColor="background1"/>
                <w:szCs w:val="24"/>
              </w:rPr>
              <w:t>*</w:t>
            </w:r>
          </w:p>
        </w:tc>
        <w:tc>
          <w:tcPr>
            <w:tcW w:w="6662" w:type="dxa"/>
            <w:tcBorders>
              <w:top w:val="single" w:sz="4" w:space="0" w:color="228591"/>
              <w:left w:val="single" w:sz="4" w:space="0" w:color="auto"/>
              <w:bottom w:val="single" w:sz="4" w:space="0" w:color="228591"/>
            </w:tcBorders>
            <w:shd w:val="clear" w:color="auto" w:fill="228591"/>
            <w:vAlign w:val="center"/>
          </w:tcPr>
          <w:p w:rsidR="00F13058" w:rsidRPr="006850F1" w:rsidRDefault="00F13058" w:rsidP="004A3645">
            <w:pPr>
              <w:jc w:val="center"/>
              <w:rPr>
                <w:b w:val="0"/>
                <w:color w:val="FFFFFF" w:themeColor="background1"/>
              </w:rPr>
            </w:pPr>
            <w:r w:rsidRPr="006850F1">
              <w:rPr>
                <w:color w:val="FFFFFF" w:themeColor="background1"/>
                <w:szCs w:val="24"/>
              </w:rPr>
              <w:t>Suggested action</w:t>
            </w:r>
          </w:p>
        </w:tc>
      </w:tr>
      <w:tr w:rsidR="00F13058" w:rsidTr="004A3645">
        <w:trPr>
          <w:cantSplit/>
          <w:trHeight w:val="809"/>
        </w:trPr>
        <w:tc>
          <w:tcPr>
            <w:tcW w:w="3085" w:type="dxa"/>
            <w:tcBorders>
              <w:top w:val="single" w:sz="4" w:space="0" w:color="228591"/>
              <w:right w:val="single" w:sz="4" w:space="0" w:color="auto"/>
            </w:tcBorders>
            <w:shd w:val="clear" w:color="auto" w:fill="00FF00"/>
            <w:vAlign w:val="center"/>
          </w:tcPr>
          <w:p w:rsidR="00F13058" w:rsidRPr="00E50691" w:rsidRDefault="00F13058" w:rsidP="004A3645">
            <w:pPr>
              <w:jc w:val="center"/>
              <w:rPr>
                <w:b/>
              </w:rPr>
            </w:pPr>
            <w:r w:rsidRPr="00E50691">
              <w:rPr>
                <w:b/>
              </w:rPr>
              <w:t>Green – low</w:t>
            </w:r>
            <w:r w:rsidRPr="00011E1A">
              <w:rPr>
                <w:b/>
              </w:rPr>
              <w:t xml:space="preserve"> defoliation</w:t>
            </w:r>
          </w:p>
          <w:p w:rsidR="00F13058" w:rsidRPr="00EF28D4" w:rsidRDefault="00F13058" w:rsidP="004A3645">
            <w:pPr>
              <w:jc w:val="center"/>
            </w:pPr>
            <w:r>
              <w:t>(0.0 - 0.2)</w:t>
            </w:r>
          </w:p>
        </w:tc>
        <w:tc>
          <w:tcPr>
            <w:tcW w:w="6662" w:type="dxa"/>
            <w:tcBorders>
              <w:top w:val="single" w:sz="4" w:space="0" w:color="228591"/>
              <w:left w:val="single" w:sz="4" w:space="0" w:color="auto"/>
            </w:tcBorders>
            <w:shd w:val="clear" w:color="auto" w:fill="00FF00"/>
            <w:vAlign w:val="center"/>
          </w:tcPr>
          <w:p w:rsidR="00F13058" w:rsidRDefault="00F13058" w:rsidP="004A3645">
            <w:pPr>
              <w:rPr>
                <w:rFonts w:eastAsia="Times New Roman" w:cs="Times New Roman"/>
                <w:szCs w:val="24"/>
              </w:rPr>
            </w:pPr>
            <w:r>
              <w:t>Forest condition monitoring at no more than 2 yearly intervals</w:t>
            </w:r>
          </w:p>
        </w:tc>
      </w:tr>
      <w:tr w:rsidR="00F13058" w:rsidTr="004A3645">
        <w:trPr>
          <w:cantSplit/>
          <w:trHeight w:val="811"/>
        </w:trPr>
        <w:tc>
          <w:tcPr>
            <w:tcW w:w="3085" w:type="dxa"/>
            <w:tcBorders>
              <w:right w:val="single" w:sz="4" w:space="0" w:color="auto"/>
            </w:tcBorders>
            <w:shd w:val="clear" w:color="auto" w:fill="FFFF00"/>
            <w:vAlign w:val="center"/>
          </w:tcPr>
          <w:p w:rsidR="00F13058" w:rsidRPr="00E50691" w:rsidRDefault="00F13058" w:rsidP="004A3645">
            <w:pPr>
              <w:jc w:val="center"/>
              <w:rPr>
                <w:b/>
              </w:rPr>
            </w:pPr>
            <w:r w:rsidRPr="00E50691">
              <w:rPr>
                <w:b/>
              </w:rPr>
              <w:t>Yellow – moderate</w:t>
            </w:r>
            <w:r w:rsidRPr="00011E1A">
              <w:rPr>
                <w:b/>
              </w:rPr>
              <w:t xml:space="preserve"> defoliation</w:t>
            </w:r>
          </w:p>
          <w:p w:rsidR="00F13058" w:rsidRDefault="00F13058" w:rsidP="004A3645">
            <w:pPr>
              <w:jc w:val="center"/>
              <w:rPr>
                <w:rFonts w:eastAsia="Times New Roman" w:cs="Times New Roman"/>
                <w:b/>
                <w:bCs/>
                <w:szCs w:val="24"/>
              </w:rPr>
            </w:pPr>
            <w:r>
              <w:t>(0.2 - 0.4)</w:t>
            </w:r>
          </w:p>
        </w:tc>
        <w:tc>
          <w:tcPr>
            <w:tcW w:w="6662" w:type="dxa"/>
            <w:tcBorders>
              <w:left w:val="single" w:sz="4" w:space="0" w:color="auto"/>
            </w:tcBorders>
            <w:shd w:val="clear" w:color="auto" w:fill="FFFF00"/>
            <w:vAlign w:val="center"/>
          </w:tcPr>
          <w:p w:rsidR="00F13058" w:rsidRDefault="00F13058" w:rsidP="004A3645">
            <w:pPr>
              <w:rPr>
                <w:rFonts w:eastAsia="Times New Roman" w:cs="Times New Roman"/>
                <w:szCs w:val="24"/>
              </w:rPr>
            </w:pPr>
            <w:r>
              <w:t>Forest condition monitoring plus Koala monitoring at no more than 2 yearly intervals</w:t>
            </w:r>
          </w:p>
        </w:tc>
      </w:tr>
      <w:tr w:rsidR="00F13058" w:rsidTr="004A3645">
        <w:trPr>
          <w:cantSplit/>
          <w:trHeight w:val="811"/>
        </w:trPr>
        <w:tc>
          <w:tcPr>
            <w:tcW w:w="3085" w:type="dxa"/>
            <w:tcBorders>
              <w:right w:val="single" w:sz="4" w:space="0" w:color="auto"/>
            </w:tcBorders>
            <w:shd w:val="clear" w:color="auto" w:fill="F79646" w:themeFill="accent6"/>
            <w:vAlign w:val="center"/>
          </w:tcPr>
          <w:p w:rsidR="00F13058" w:rsidRPr="00E50691" w:rsidRDefault="00F13058" w:rsidP="004A3645">
            <w:pPr>
              <w:jc w:val="center"/>
              <w:rPr>
                <w:b/>
              </w:rPr>
            </w:pPr>
            <w:r w:rsidRPr="00E50691">
              <w:rPr>
                <w:b/>
              </w:rPr>
              <w:t>Orange – high</w:t>
            </w:r>
            <w:r w:rsidRPr="00011E1A">
              <w:rPr>
                <w:b/>
              </w:rPr>
              <w:t xml:space="preserve"> defoliation</w:t>
            </w:r>
          </w:p>
          <w:p w:rsidR="00F13058" w:rsidRDefault="00F13058" w:rsidP="004A3645">
            <w:pPr>
              <w:jc w:val="center"/>
              <w:rPr>
                <w:rFonts w:eastAsia="Times New Roman" w:cs="Times New Roman"/>
                <w:b/>
                <w:bCs/>
                <w:szCs w:val="24"/>
              </w:rPr>
            </w:pPr>
            <w:r>
              <w:t>(0.4 - 0.6)</w:t>
            </w:r>
          </w:p>
        </w:tc>
        <w:tc>
          <w:tcPr>
            <w:tcW w:w="6662" w:type="dxa"/>
            <w:tcBorders>
              <w:left w:val="single" w:sz="4" w:space="0" w:color="auto"/>
            </w:tcBorders>
            <w:shd w:val="clear" w:color="auto" w:fill="F79646" w:themeFill="accent6"/>
            <w:vAlign w:val="center"/>
          </w:tcPr>
          <w:p w:rsidR="00F13058" w:rsidRPr="001643BB" w:rsidRDefault="00F13058" w:rsidP="004A3645">
            <w:pPr>
              <w:rPr>
                <w:rFonts w:eastAsia="Times New Roman" w:cs="Times New Roman"/>
                <w:szCs w:val="24"/>
              </w:rPr>
            </w:pPr>
            <w:r>
              <w:t>Intervention recommended if Koala densities are &gt;8 Koalas/ha (Cape Otway Manna Gum) or &gt;1.6 Koalas/ha (elsewhere)</w:t>
            </w:r>
          </w:p>
        </w:tc>
      </w:tr>
      <w:tr w:rsidR="00F13058" w:rsidTr="004A3645">
        <w:trPr>
          <w:cantSplit/>
          <w:trHeight w:val="811"/>
        </w:trPr>
        <w:tc>
          <w:tcPr>
            <w:tcW w:w="3085" w:type="dxa"/>
            <w:tcBorders>
              <w:bottom w:val="single" w:sz="4" w:space="0" w:color="228591"/>
              <w:right w:val="single" w:sz="4" w:space="0" w:color="auto"/>
            </w:tcBorders>
            <w:shd w:val="clear" w:color="auto" w:fill="FF0000"/>
            <w:vAlign w:val="center"/>
          </w:tcPr>
          <w:p w:rsidR="00F13058" w:rsidRPr="00E50691" w:rsidRDefault="00F13058" w:rsidP="004A3645">
            <w:pPr>
              <w:jc w:val="center"/>
              <w:rPr>
                <w:b/>
              </w:rPr>
            </w:pPr>
            <w:r w:rsidRPr="00E50691">
              <w:rPr>
                <w:b/>
              </w:rPr>
              <w:t>Red - very high</w:t>
            </w:r>
            <w:r w:rsidRPr="00011E1A">
              <w:rPr>
                <w:b/>
              </w:rPr>
              <w:t xml:space="preserve"> defoliation</w:t>
            </w:r>
          </w:p>
          <w:p w:rsidR="00F13058" w:rsidRDefault="00F13058" w:rsidP="004A3645">
            <w:pPr>
              <w:jc w:val="center"/>
              <w:rPr>
                <w:rFonts w:eastAsia="Times New Roman" w:cs="Times New Roman"/>
                <w:b/>
                <w:bCs/>
                <w:szCs w:val="24"/>
              </w:rPr>
            </w:pPr>
            <w:r>
              <w:t>(0.6 -1.0)</w:t>
            </w:r>
          </w:p>
        </w:tc>
        <w:tc>
          <w:tcPr>
            <w:tcW w:w="6662" w:type="dxa"/>
            <w:tcBorders>
              <w:left w:val="single" w:sz="4" w:space="0" w:color="auto"/>
              <w:bottom w:val="single" w:sz="4" w:space="0" w:color="228591"/>
            </w:tcBorders>
            <w:shd w:val="clear" w:color="auto" w:fill="FF0000"/>
            <w:vAlign w:val="center"/>
          </w:tcPr>
          <w:p w:rsidR="00F13058" w:rsidRPr="007707E9" w:rsidRDefault="00F13058" w:rsidP="004A3645">
            <w:pPr>
              <w:rPr>
                <w:rFonts w:eastAsia="Times New Roman" w:cs="Times New Roman"/>
                <w:szCs w:val="24"/>
              </w:rPr>
            </w:pPr>
            <w:r>
              <w:t>Intervention required to minimise the risk of severe canopy defoliation. Koala densities should be reduced to &lt;5 Koalas/ha (Cape Otway Manna Gum) or &lt;0.90 Koalas/ha (elsewhere).  To enhance the recovery of trees exposed to repeated defoliation, Koala densities should be kept below 0.90 Koalas/ha until recovery of the canopy has occurred.</w:t>
            </w:r>
          </w:p>
        </w:tc>
      </w:tr>
    </w:tbl>
    <w:p w:rsidR="00F13058" w:rsidRDefault="00F13058" w:rsidP="00F13058">
      <w:pPr>
        <w:pStyle w:val="ARIERBody"/>
        <w:ind w:left="426"/>
      </w:pPr>
    </w:p>
    <w:p w:rsidR="00F13058" w:rsidRPr="00F13058" w:rsidRDefault="00F13058" w:rsidP="00F13058">
      <w:pPr>
        <w:pStyle w:val="ARIERBody"/>
        <w:ind w:left="426"/>
      </w:pPr>
    </w:p>
    <w:p w:rsidR="00480B19" w:rsidRDefault="00480B19" w:rsidP="00480B19">
      <w:pPr>
        <w:pStyle w:val="ARIERBody"/>
        <w:numPr>
          <w:ilvl w:val="0"/>
          <w:numId w:val="46"/>
        </w:numPr>
        <w:ind w:left="426" w:hanging="426"/>
      </w:pPr>
      <w:r w:rsidRPr="00EA3297">
        <w:rPr>
          <w:b/>
        </w:rPr>
        <w:lastRenderedPageBreak/>
        <w:t>Green</w:t>
      </w:r>
      <w:r>
        <w:rPr>
          <w:b/>
        </w:rPr>
        <w:t xml:space="preserve"> z</w:t>
      </w:r>
      <w:r w:rsidRPr="00EA3297">
        <w:rPr>
          <w:b/>
        </w:rPr>
        <w:t>one</w:t>
      </w:r>
      <w:r>
        <w:t xml:space="preserve">: For forests/eucalypt species in the green zone, no intervention should be required. We suggest that forest condition monitoring be undertaken at sites of interest at a minimum of every 2 years. Forest condition monitoring should follow the protocol used in this report, as outlined in Appendix 2 and described in Wood </w:t>
      </w:r>
      <w:r>
        <w:fldChar w:fldCharType="begin"/>
      </w:r>
      <w:r>
        <w:instrText xml:space="preserve"> ADDIN ZOTERO_ITEM CSL_CITATION {"citationID":"1a05p8f0ou","properties":{"formattedCitation":"(2008)","plainCitation":"(2008)"},"citationItems":[{"id":1112,"uris":["http://zotero.org/users/634364/items/KT346PBG"],"uri":["http://zotero.org/users/634364/items/KT346PBG"],"itemData":{"id":1112,"type":"report","title":"Mount Eccles National Park Manna Gum Condition Assessment August 2008","publisher":"Australian Ecological Research Services","publisher-place":"Portland, Victoria","page":"49","event-place":"Portland, Victoria","number":"Unpublished report to Parks Victoria","author":[{"family":"Wood","given":"M"}],"issued":{"date-parts":[["2008"]]}},"suppress-author":true}],"schema":"https://github.com/citation-style-language/schema/raw/master/csl-citation.json"} </w:instrText>
      </w:r>
      <w:r>
        <w:fldChar w:fldCharType="separate"/>
      </w:r>
      <w:r w:rsidRPr="00EA3297">
        <w:t>(2008)</w:t>
      </w:r>
      <w:r>
        <w:fldChar w:fldCharType="end"/>
      </w:r>
      <w:r>
        <w:t>.</w:t>
      </w:r>
    </w:p>
    <w:p w:rsidR="00480B19" w:rsidRDefault="00480B19" w:rsidP="00480B19">
      <w:pPr>
        <w:pStyle w:val="ARIERBody"/>
        <w:numPr>
          <w:ilvl w:val="0"/>
          <w:numId w:val="46"/>
        </w:numPr>
        <w:ind w:left="426" w:hanging="426"/>
      </w:pPr>
      <w:r w:rsidRPr="00EA3297">
        <w:rPr>
          <w:b/>
        </w:rPr>
        <w:t xml:space="preserve">Yellow </w:t>
      </w:r>
      <w:r>
        <w:rPr>
          <w:b/>
        </w:rPr>
        <w:t>z</w:t>
      </w:r>
      <w:r w:rsidRPr="00EA3297">
        <w:rPr>
          <w:b/>
        </w:rPr>
        <w:t>one</w:t>
      </w:r>
      <w:r>
        <w:t xml:space="preserve">: For forests/eucalypt species in the yellow zone, no intervention should be required. We suggest that forest condition and also Koala monitoring be undertaken at a minimum of every 2 years. Forest condition and Koala monitoring should follow the protocols outlined in Appendix 2 </w:t>
      </w:r>
      <w:r>
        <w:fldChar w:fldCharType="begin"/>
      </w:r>
      <w:r>
        <w:instrText xml:space="preserve"> ADDIN ZOTERO_ITEM CSL_CITATION {"citationID":"4c9i563b2","properties":{"formattedCitation":"(Wood 2008; Wood 2013b)","plainCitation":"(Wood 2008; Wood 2013b)"},"citationItems":[{"id":1112,"uris":["http://zotero.org/users/634364/items/KT346PBG"],"uri":["http://zotero.org/users/634364/items/KT346PBG"],"itemData":{"id":1112,"type":"report","title":"Mount Eccles National Park Manna Gum Condition Assessment August 2008","publisher":"Australian Ecological Research Services","publisher-place":"Portland, Victoria","page":"49","event-place":"Portland, Victoria","number":"Unpublished report to Parks Victoria","author":[{"family":"Wood","given":"M"}],"issued":{"date-parts":[["2008"]]}}},{"id":1101,"uris":["http://zotero.org/users/634364/items/E97ZBBUN"],"uri":["http://zotero.org/users/634364/items/E97ZBBUN"],"itemData":{"id":1101,"type":"report","title":"Mount Eccles National Park Koala Population Survey August 2013","publisher":"Australian Ecological Research Services","publisher-place":"Portland, Victoria","page":"26","event-place":"Portland, Victoria","number":"Unpublished report to Parks Victoria","author":[{"family":"Wood","given":"M"}],"issued":{"date-parts":[["2013"]]}}}],"schema":"https://github.com/citation-style-language/schema/raw/master/csl-citation.json"} </w:instrText>
      </w:r>
      <w:r>
        <w:fldChar w:fldCharType="separate"/>
      </w:r>
      <w:r w:rsidRPr="004E5E54">
        <w:t>(Wood 2008</w:t>
      </w:r>
      <w:r>
        <w:t>,</w:t>
      </w:r>
      <w:r w:rsidRPr="004E5E54">
        <w:t xml:space="preserve"> 2013b)</w:t>
      </w:r>
      <w:r>
        <w:fldChar w:fldCharType="end"/>
      </w:r>
      <w:r>
        <w:t>.</w:t>
      </w:r>
    </w:p>
    <w:p w:rsidR="00480B19" w:rsidRDefault="00480B19" w:rsidP="00480B19">
      <w:pPr>
        <w:pStyle w:val="ARIERBody"/>
        <w:numPr>
          <w:ilvl w:val="0"/>
          <w:numId w:val="46"/>
        </w:numPr>
        <w:ind w:left="426" w:hanging="426"/>
      </w:pPr>
      <w:r w:rsidRPr="00450836">
        <w:rPr>
          <w:b/>
        </w:rPr>
        <w:t>Orange zone</w:t>
      </w:r>
      <w:r>
        <w:t xml:space="preserve">: For forests/eucalypt species in the orange zone, intervention is </w:t>
      </w:r>
      <w:r w:rsidR="00BF6603">
        <w:t>recommended</w:t>
      </w:r>
      <w:r w:rsidR="00A96C0F">
        <w:t xml:space="preserve"> if koala densities are high</w:t>
      </w:r>
      <w:r>
        <w:t xml:space="preserve"> in order to reduce the risk of further canopy degradation. Koala populations should be </w:t>
      </w:r>
      <w:r w:rsidR="00BF6603">
        <w:t>measured</w:t>
      </w:r>
      <w:r>
        <w:t>, and if densities are found to be &gt;8 Koalas/ha (Cape Otway Manna Gum woodland) or &gt;1.6 Koalas/ha (elsewhere), then intervention is recommended in order to reduce the risk of the forest transitioning to the red zone. Koala densities should be reduced to a maximum of 5 Koalas/ha (Cape Otway Manna Gum woodland) or 0.9 Koalas/ha (elsewhere).</w:t>
      </w:r>
    </w:p>
    <w:p w:rsidR="00480B19" w:rsidRDefault="00480B19" w:rsidP="00480B19">
      <w:pPr>
        <w:pStyle w:val="ARIERBody"/>
        <w:numPr>
          <w:ilvl w:val="0"/>
          <w:numId w:val="46"/>
        </w:numPr>
        <w:ind w:left="426" w:hanging="426"/>
      </w:pPr>
      <w:r w:rsidRPr="006850F1">
        <w:rPr>
          <w:b/>
        </w:rPr>
        <w:t>Red</w:t>
      </w:r>
      <w:r>
        <w:t xml:space="preserve"> </w:t>
      </w:r>
      <w:r>
        <w:rPr>
          <w:b/>
        </w:rPr>
        <w:t>zone</w:t>
      </w:r>
      <w:r w:rsidRPr="00450836">
        <w:t>:</w:t>
      </w:r>
      <w:r>
        <w:t xml:space="preserve"> For forests/eucalypt species in the red zone, intervention is required in order to reduce the risk of severe canopy defoliation and the</w:t>
      </w:r>
      <w:r w:rsidR="00BF6603">
        <w:t xml:space="preserve"> subsequent</w:t>
      </w:r>
      <w:r>
        <w:t xml:space="preserve"> collapse of Koala populations. Koala densities should be reduced to a maximum of 5 Koalas/ha (Cape Otway Manna Gum woodland) or 0.9 Koalas/ha (elsewhere). At Cape Otway where trees have been exposed to repeated heavy defoliation events, Koala densities should be </w:t>
      </w:r>
      <w:r w:rsidR="00F13058">
        <w:t>kept below</w:t>
      </w:r>
      <w:r>
        <w:t xml:space="preserve"> 0.9 Koalas/ha </w:t>
      </w:r>
      <w:r w:rsidR="00F13058">
        <w:t>until the canopy has recovered (i.e. recommences flowering)</w:t>
      </w:r>
      <w:r>
        <w:t>.</w:t>
      </w:r>
    </w:p>
    <w:p w:rsidR="00C866BC" w:rsidRDefault="00C866BC" w:rsidP="00F6205D">
      <w:pPr>
        <w:pStyle w:val="ARIERBody"/>
      </w:pPr>
    </w:p>
    <w:p w:rsidR="00285836" w:rsidRDefault="00C866BC" w:rsidP="00F6205D">
      <w:pPr>
        <w:pStyle w:val="ARIERBody"/>
      </w:pPr>
      <w:r>
        <w:t xml:space="preserve">Retrospective application of the habitat condition trigger outlined above to the </w:t>
      </w:r>
      <w:r w:rsidR="005574FB">
        <w:t>Koala</w:t>
      </w:r>
      <w:r>
        <w:t xml:space="preserve"> population at Bimbi Park indicated that required intervention of </w:t>
      </w:r>
      <w:r w:rsidR="005574FB">
        <w:t>Koala</w:t>
      </w:r>
      <w:r>
        <w:t xml:space="preserve">s (red zone) would have been triggered at all </w:t>
      </w:r>
      <w:r w:rsidR="00480B19">
        <w:t xml:space="preserve">six </w:t>
      </w:r>
      <w:r>
        <w:t xml:space="preserve">sites prior to the collapse of </w:t>
      </w:r>
      <w:r w:rsidR="005574FB">
        <w:t>Koala</w:t>
      </w:r>
      <w:r>
        <w:t xml:space="preserve"> populations in 2014 or in 2013 at Bimbi West.</w:t>
      </w:r>
      <w:r w:rsidR="00285836">
        <w:t xml:space="preserve"> </w:t>
      </w:r>
      <w:r>
        <w:t xml:space="preserve">At some sites intervention would have been </w:t>
      </w:r>
      <w:r w:rsidR="00374814">
        <w:t>recommended</w:t>
      </w:r>
      <w:r>
        <w:t xml:space="preserve"> (code orange) as early as 2008 at Bimbi Bush Block</w:t>
      </w:r>
      <w:r w:rsidR="00480B19">
        <w:t>,</w:t>
      </w:r>
      <w:r>
        <w:t xml:space="preserve"> </w:t>
      </w:r>
      <w:r w:rsidR="00480B19">
        <w:t xml:space="preserve">or </w:t>
      </w:r>
      <w:r>
        <w:t xml:space="preserve">2009 at Bimbi </w:t>
      </w:r>
      <w:r w:rsidR="00480B19">
        <w:t xml:space="preserve">– </w:t>
      </w:r>
      <w:r>
        <w:t>Manna Gum Drive Lighthouse Rd (</w:t>
      </w:r>
      <w:r w:rsidR="007B0211">
        <w:t>Fig. </w:t>
      </w:r>
      <w:r w:rsidR="00FC1164">
        <w:t>11</w:t>
      </w:r>
      <w:r>
        <w:t>).</w:t>
      </w:r>
      <w:r w:rsidR="00285836">
        <w:t xml:space="preserve"> </w:t>
      </w:r>
      <w:r>
        <w:t xml:space="preserve">Notably, use of the habitat health trigger developed here appears to be a much more sensitive indicator of unsustainable browsing levels than using the average canopy foliage cover (e.g. Figs </w:t>
      </w:r>
      <w:r w:rsidR="00FC1164">
        <w:t xml:space="preserve">4 </w:t>
      </w:r>
      <w:r w:rsidR="007B0211">
        <w:t xml:space="preserve">and </w:t>
      </w:r>
      <w:r w:rsidR="00FC1164">
        <w:t>5</w:t>
      </w:r>
      <w:r>
        <w:t>).</w:t>
      </w:r>
    </w:p>
    <w:p w:rsidR="00C866BC" w:rsidRDefault="00C866BC" w:rsidP="00C866BC"/>
    <w:p w:rsidR="00C866BC" w:rsidRDefault="006303E7" w:rsidP="00C866BC">
      <w:pPr>
        <w:keepNext/>
      </w:pPr>
      <w:r>
        <w:rPr>
          <w:noProof/>
          <w:lang w:eastAsia="en-AU"/>
        </w:rPr>
        <w:lastRenderedPageBreak/>
        <w:drawing>
          <wp:inline distT="0" distB="0" distL="0" distR="0">
            <wp:extent cx="6120765" cy="7347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7347607"/>
                    </a:xfrm>
                    <a:prstGeom prst="rect">
                      <a:avLst/>
                    </a:prstGeom>
                    <a:noFill/>
                    <a:ln>
                      <a:noFill/>
                    </a:ln>
                  </pic:spPr>
                </pic:pic>
              </a:graphicData>
            </a:graphic>
          </wp:inline>
        </w:drawing>
      </w:r>
    </w:p>
    <w:p w:rsidR="00C866BC" w:rsidRDefault="00C866BC">
      <w:pPr>
        <w:pStyle w:val="ARIERCaption-Figure"/>
      </w:pPr>
      <w:bookmarkStart w:id="57" w:name="_Toc328568543"/>
      <w:r>
        <w:t xml:space="preserve">Figure </w:t>
      </w:r>
      <w:r w:rsidR="00FC1164">
        <w:t>11</w:t>
      </w:r>
      <w:r>
        <w:t>.</w:t>
      </w:r>
      <w:r w:rsidR="00285836">
        <w:t xml:space="preserve"> </w:t>
      </w:r>
      <w:r>
        <w:t xml:space="preserve">Retrospective application of the habitat condition triggers applied to </w:t>
      </w:r>
      <w:r w:rsidR="00FF1DB9">
        <w:t>Manna Gum</w:t>
      </w:r>
      <w:r>
        <w:t xml:space="preserve"> </w:t>
      </w:r>
      <w:r w:rsidR="006303E7">
        <w:t>canopy</w:t>
      </w:r>
      <w:r>
        <w:t xml:space="preserve"> defoliation levels for </w:t>
      </w:r>
      <w:r w:rsidR="00233A61">
        <w:t>six</w:t>
      </w:r>
      <w:r>
        <w:t xml:space="preserve"> sites around Bimbi Park.</w:t>
      </w:r>
      <w:r w:rsidR="00285836">
        <w:t xml:space="preserve"> </w:t>
      </w:r>
      <w:r>
        <w:t xml:space="preserve">Koala interventions (density reductions) would occur when </w:t>
      </w:r>
      <w:r w:rsidR="00BF1CF1">
        <w:t xml:space="preserve">canopy </w:t>
      </w:r>
      <w:r>
        <w:t xml:space="preserve">defoliation levels (green line and points) exceed either the orange (suggested intervention) or red </w:t>
      </w:r>
      <w:r w:rsidR="00233A61">
        <w:t>(</w:t>
      </w:r>
      <w:r>
        <w:t>required intervention) horizontal dashed lines.</w:t>
      </w:r>
      <w:bookmarkEnd w:id="57"/>
    </w:p>
    <w:p w:rsidR="00C866BC" w:rsidRDefault="00C866BC" w:rsidP="00C866BC"/>
    <w:p w:rsidR="00C866BC" w:rsidRDefault="0027068A" w:rsidP="00576C1D">
      <w:pPr>
        <w:pStyle w:val="ARIERHC"/>
      </w:pPr>
      <w:bookmarkStart w:id="58" w:name="_Toc455406133"/>
      <w:r>
        <w:t>3.3.</w:t>
      </w:r>
      <w:r w:rsidR="005A1FD2">
        <w:t>2</w:t>
      </w:r>
      <w:r>
        <w:tab/>
      </w:r>
      <w:r w:rsidR="00C866BC">
        <w:t xml:space="preserve">Carrying </w:t>
      </w:r>
      <w:r w:rsidR="008115BF">
        <w:t>c</w:t>
      </w:r>
      <w:r w:rsidR="00C866BC">
        <w:t xml:space="preserve">apacity estimates for </w:t>
      </w:r>
      <w:r w:rsidR="00DA3536">
        <w:t xml:space="preserve">Koala habitat </w:t>
      </w:r>
      <w:r w:rsidR="00C866BC">
        <w:t>at Cape Otway</w:t>
      </w:r>
      <w:bookmarkEnd w:id="58"/>
    </w:p>
    <w:p w:rsidR="00285836" w:rsidRDefault="00C866BC" w:rsidP="00F6205D">
      <w:pPr>
        <w:pStyle w:val="ARIERBody"/>
      </w:pPr>
      <w:r>
        <w:t xml:space="preserve">Estimates of equilibrium </w:t>
      </w:r>
      <w:r w:rsidR="005574FB">
        <w:t>Koala</w:t>
      </w:r>
      <w:r>
        <w:t xml:space="preserve"> densities (carrying capacity) for </w:t>
      </w:r>
      <w:r w:rsidR="005574FB">
        <w:t>Koala</w:t>
      </w:r>
      <w:r>
        <w:t xml:space="preserve">s derived from </w:t>
      </w:r>
      <w:r w:rsidR="00480B19">
        <w:t>seven</w:t>
      </w:r>
      <w:r>
        <w:t xml:space="preserve"> sites at Cape Otway suggest that </w:t>
      </w:r>
      <w:r w:rsidR="00FF1DB9">
        <w:t>Manna Gum</w:t>
      </w:r>
      <w:r>
        <w:t xml:space="preserve"> forests on private land in these areas may support a higher density of </w:t>
      </w:r>
      <w:r w:rsidR="005574FB">
        <w:t>Koala</w:t>
      </w:r>
      <w:r>
        <w:t xml:space="preserve">s than other areas of Manna Gum forests in </w:t>
      </w:r>
      <w:r w:rsidR="00BF6603">
        <w:t>south-west Victoria</w:t>
      </w:r>
      <w:r w:rsidR="00480B19">
        <w:t xml:space="preserve"> </w:t>
      </w:r>
      <w:r>
        <w:t>(e.g. Mt Eccles</w:t>
      </w:r>
      <w:r w:rsidR="00BF6603">
        <w:t xml:space="preserve"> NP</w:t>
      </w:r>
      <w:r>
        <w:t>).</w:t>
      </w:r>
      <w:r w:rsidR="00285836">
        <w:t xml:space="preserve"> </w:t>
      </w:r>
      <w:r>
        <w:t xml:space="preserve">One possible </w:t>
      </w:r>
      <w:r>
        <w:lastRenderedPageBreak/>
        <w:t xml:space="preserve">reason for this is that </w:t>
      </w:r>
      <w:r w:rsidR="00A4160B">
        <w:t>Manna Gum</w:t>
      </w:r>
      <w:r>
        <w:t xml:space="preserve"> forests in these areas may be exposed to higher soil nitrogen and moisture levels than other areas in south-west Victoria.</w:t>
      </w:r>
      <w:r w:rsidR="00285836">
        <w:t xml:space="preserve"> </w:t>
      </w:r>
      <w:r w:rsidR="00480B19">
        <w:t xml:space="preserve">The carrying </w:t>
      </w:r>
      <w:r>
        <w:t>capacity for the Bimbi Park/Lighthouse sites was estimated to be between 5.3</w:t>
      </w:r>
      <w:r w:rsidR="00480B19">
        <w:t xml:space="preserve"> and </w:t>
      </w:r>
      <w:r>
        <w:t xml:space="preserve">8.3 </w:t>
      </w:r>
      <w:r w:rsidR="005574FB">
        <w:t>Koala</w:t>
      </w:r>
      <w:r>
        <w:t>s/ha, although these estimates had quite poor precision.</w:t>
      </w:r>
      <w:r w:rsidR="00285836">
        <w:t xml:space="preserve"> </w:t>
      </w:r>
      <w:r>
        <w:t xml:space="preserve">Nevertheless, it appears that when </w:t>
      </w:r>
      <w:r w:rsidR="005574FB">
        <w:t>Koala</w:t>
      </w:r>
      <w:r>
        <w:t xml:space="preserve"> populations dropped below these thresholds, both average canopy cover increased (</w:t>
      </w:r>
      <w:r w:rsidR="007B0211">
        <w:t>Fig. </w:t>
      </w:r>
      <w:r w:rsidR="00D95DEB">
        <w:t>4</w:t>
      </w:r>
      <w:r>
        <w:t>) and canopy defoliation levels decreased (</w:t>
      </w:r>
      <w:r w:rsidR="007B0211">
        <w:t>Fig. </w:t>
      </w:r>
      <w:r w:rsidR="00FC1164">
        <w:t>10</w:t>
      </w:r>
      <w:r>
        <w:t>), at least at some sites.</w:t>
      </w:r>
      <w:r w:rsidR="00285836">
        <w:t xml:space="preserve"> </w:t>
      </w:r>
      <w:r>
        <w:t xml:space="preserve">Hence, for sites such as Bimbi Park, a carrying capacity estimate of 5 </w:t>
      </w:r>
      <w:r w:rsidR="005574FB">
        <w:t>Koala</w:t>
      </w:r>
      <w:r>
        <w:t xml:space="preserve">s/ha would appear to be a useful target to guide management interventions of </w:t>
      </w:r>
      <w:r w:rsidR="005574FB">
        <w:t>Koala</w:t>
      </w:r>
      <w:r>
        <w:t>s.</w:t>
      </w:r>
      <w:r w:rsidR="00D95DEB">
        <w:t xml:space="preserve"> Although modelling has identified likely maximum Koala densities that are sustainable for Cape Otway Manna Gum woodlands, lower densities than those identified may be required to enhance recovery of trees exposed to repeated defoliation</w:t>
      </w:r>
      <w:r w:rsidR="006303E7">
        <w:t xml:space="preserve"> (i.e. until trees recommence flowering)</w:t>
      </w:r>
      <w:r w:rsidR="00D95DEB">
        <w:t>.</w:t>
      </w:r>
      <w:r w:rsidR="00285836">
        <w:t xml:space="preserve"> </w:t>
      </w:r>
      <w:r>
        <w:t xml:space="preserve">For </w:t>
      </w:r>
      <w:r w:rsidR="00FF1DB9">
        <w:t>Manna Gum</w:t>
      </w:r>
      <w:r>
        <w:t xml:space="preserve"> forests elsewhere, the critical threshold density </w:t>
      </w:r>
      <w:r w:rsidR="00480B19">
        <w:t xml:space="preserve">at which </w:t>
      </w:r>
      <w:r>
        <w:t xml:space="preserve">canopy defoliation levels increased </w:t>
      </w:r>
      <w:r w:rsidRPr="006303E7">
        <w:t xml:space="preserve">to </w:t>
      </w:r>
      <w:r w:rsidR="00480B19" w:rsidRPr="006303E7">
        <w:t>&gt;</w:t>
      </w:r>
      <w:r w:rsidR="006303E7" w:rsidRPr="006303E7">
        <w:t>0.</w:t>
      </w:r>
      <w:r w:rsidRPr="006303E7">
        <w:t xml:space="preserve">60 </w:t>
      </w:r>
      <w:r>
        <w:t xml:space="preserve">was 1.64 </w:t>
      </w:r>
      <w:r w:rsidR="005574FB">
        <w:t>Koala</w:t>
      </w:r>
      <w:r>
        <w:t>s/ha.</w:t>
      </w:r>
      <w:r w:rsidR="00285836">
        <w:t xml:space="preserve"> </w:t>
      </w:r>
      <w:r>
        <w:t xml:space="preserve">Hence, for these areas, a suitable threshold to guide intervention would be 0.90 </w:t>
      </w:r>
      <w:r w:rsidR="005574FB">
        <w:t>Koala</w:t>
      </w:r>
      <w:r>
        <w:t>s/ha</w:t>
      </w:r>
      <w:r w:rsidR="00480B19">
        <w:t xml:space="preserve"> in order </w:t>
      </w:r>
      <w:r>
        <w:t xml:space="preserve">to reduce canopy defoliation levels </w:t>
      </w:r>
      <w:r w:rsidR="00480B19">
        <w:t xml:space="preserve">to </w:t>
      </w:r>
      <w:r w:rsidR="00480B19" w:rsidRPr="006303E7">
        <w:t>&lt;</w:t>
      </w:r>
      <w:r w:rsidR="006303E7" w:rsidRPr="006303E7">
        <w:t>0.</w:t>
      </w:r>
      <w:r w:rsidRPr="006303E7">
        <w:t>40.</w:t>
      </w:r>
      <w:r w:rsidR="00285836" w:rsidRPr="006303E7">
        <w:t xml:space="preserve"> </w:t>
      </w:r>
      <w:r w:rsidRPr="006303E7">
        <w:t>Interestingly</w:t>
      </w:r>
      <w:r>
        <w:t xml:space="preserve">, retrospective application of these rules of thumb for the </w:t>
      </w:r>
      <w:r w:rsidR="005574FB">
        <w:t>Koala</w:t>
      </w:r>
      <w:r>
        <w:t xml:space="preserve"> population at </w:t>
      </w:r>
      <w:r w:rsidR="00FE6918">
        <w:t>Mt Eccles National Park</w:t>
      </w:r>
      <w:r>
        <w:t xml:space="preserve"> would have indicated that no management would have occurred in 2004, at the start of the sterilisation program</w:t>
      </w:r>
      <w:r w:rsidR="00480B19">
        <w:t>,</w:t>
      </w:r>
      <w:r>
        <w:t xml:space="preserve"> </w:t>
      </w:r>
      <w:r w:rsidR="00480B19">
        <w:t xml:space="preserve">because </w:t>
      </w:r>
      <w:r>
        <w:t>canopy defoliation levels were low</w:t>
      </w:r>
      <w:r w:rsidR="00480B19">
        <w:t xml:space="preserve"> </w:t>
      </w:r>
      <w:r w:rsidR="00480B19" w:rsidRPr="006303E7">
        <w:t>(~</w:t>
      </w:r>
      <w:r w:rsidR="006303E7" w:rsidRPr="006303E7">
        <w:t>0.</w:t>
      </w:r>
      <w:r w:rsidRPr="006303E7">
        <w:t>23</w:t>
      </w:r>
      <w:r w:rsidR="00480B19" w:rsidRPr="006303E7">
        <w:t>)</w:t>
      </w:r>
      <w:r w:rsidRPr="006303E7">
        <w:t>.</w:t>
      </w:r>
      <w:r w:rsidR="00285836" w:rsidRPr="006303E7">
        <w:t xml:space="preserve"> </w:t>
      </w:r>
      <w:r>
        <w:t>Despite intensive management of this population, canopy defoliation levels continued to rise</w:t>
      </w:r>
      <w:r w:rsidR="00480B19">
        <w:t>,</w:t>
      </w:r>
      <w:r>
        <w:t xml:space="preserve"> reaching </w:t>
      </w:r>
      <w:r w:rsidR="006303E7" w:rsidRPr="006303E7">
        <w:t>0.</w:t>
      </w:r>
      <w:r w:rsidRPr="006303E7">
        <w:t>57 in 2012</w:t>
      </w:r>
      <w:r w:rsidR="00480B19">
        <w:t>,</w:t>
      </w:r>
      <w:r>
        <w:t xml:space="preserve"> when the </w:t>
      </w:r>
      <w:r w:rsidR="005574FB">
        <w:t>Koala</w:t>
      </w:r>
      <w:r>
        <w:t xml:space="preserve"> population was 0.79/ha</w:t>
      </w:r>
      <w:r w:rsidR="00480B19">
        <w:t>,</w:t>
      </w:r>
      <w:r>
        <w:t xml:space="preserve"> before showing signs of recovery in 2014 (</w:t>
      </w:r>
      <w:r w:rsidR="007B0211">
        <w:t>Fig. </w:t>
      </w:r>
      <w:r w:rsidR="00FC1164">
        <w:t>12</w:t>
      </w:r>
      <w:r>
        <w:t>).</w:t>
      </w:r>
      <w:r w:rsidR="00285836">
        <w:t xml:space="preserve"> </w:t>
      </w:r>
      <w:r>
        <w:t>However, canopy defoliation levels never entered the red zone</w:t>
      </w:r>
      <w:r w:rsidR="00480B19">
        <w:t>,</w:t>
      </w:r>
      <w:r>
        <w:t xml:space="preserve"> suggesting the 0.9 </w:t>
      </w:r>
      <w:r w:rsidR="00C54AC1">
        <w:t>Koalas/ha</w:t>
      </w:r>
      <w:r>
        <w:t xml:space="preserve"> target for </w:t>
      </w:r>
      <w:r w:rsidR="005574FB">
        <w:t>Koala</w:t>
      </w:r>
      <w:r>
        <w:t xml:space="preserve"> populations may be sustainable.</w:t>
      </w:r>
      <w:r w:rsidR="00285836">
        <w:t xml:space="preserve"> </w:t>
      </w:r>
      <w:r>
        <w:t>Whether this proves to be the case</w:t>
      </w:r>
      <w:r w:rsidR="00480B19">
        <w:t>, however,</w:t>
      </w:r>
      <w:r>
        <w:t xml:space="preserve"> will have to await further monitoring of this population.</w:t>
      </w:r>
    </w:p>
    <w:p w:rsidR="00C866BC" w:rsidRDefault="00C866BC" w:rsidP="00C866BC"/>
    <w:p w:rsidR="00C866BC" w:rsidRDefault="006303E7" w:rsidP="00C866BC">
      <w:pPr>
        <w:keepNext/>
        <w:jc w:val="center"/>
      </w:pPr>
      <w:r>
        <w:rPr>
          <w:noProof/>
          <w:lang w:eastAsia="en-AU"/>
        </w:rPr>
        <w:lastRenderedPageBreak/>
        <w:drawing>
          <wp:inline distT="0" distB="0" distL="0" distR="0">
            <wp:extent cx="5455745" cy="489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10260"/>
                    <a:stretch/>
                  </pic:blipFill>
                  <pic:spPr bwMode="auto">
                    <a:xfrm>
                      <a:off x="0" y="0"/>
                      <a:ext cx="5455745" cy="4896000"/>
                    </a:xfrm>
                    <a:prstGeom prst="rect">
                      <a:avLst/>
                    </a:prstGeom>
                    <a:noFill/>
                    <a:ln>
                      <a:noFill/>
                    </a:ln>
                    <a:extLst>
                      <a:ext uri="{53640926-AAD7-44D8-BBD7-CCE9431645EC}">
                        <a14:shadowObscured xmlns:a14="http://schemas.microsoft.com/office/drawing/2010/main"/>
                      </a:ext>
                    </a:extLst>
                  </pic:spPr>
                </pic:pic>
              </a:graphicData>
            </a:graphic>
          </wp:inline>
        </w:drawing>
      </w:r>
    </w:p>
    <w:p w:rsidR="00C866BC" w:rsidRDefault="00C866BC" w:rsidP="006850F1">
      <w:pPr>
        <w:pStyle w:val="ARIERCaption-Figure"/>
      </w:pPr>
      <w:bookmarkStart w:id="59" w:name="_Toc328568544"/>
      <w:r w:rsidRPr="004E3C2C">
        <w:t xml:space="preserve">Figure </w:t>
      </w:r>
      <w:r w:rsidR="00FC1164">
        <w:t>12</w:t>
      </w:r>
      <w:r w:rsidRPr="004E3C2C">
        <w:t>.</w:t>
      </w:r>
      <w:r w:rsidR="00285836">
        <w:t xml:space="preserve"> </w:t>
      </w:r>
      <w:r w:rsidRPr="004E3C2C">
        <w:t xml:space="preserve">Retrospective application of the habitat condition triggers applied to </w:t>
      </w:r>
      <w:r w:rsidR="00FF1DB9">
        <w:t>Manna Gum</w:t>
      </w:r>
      <w:r w:rsidRPr="004E3C2C">
        <w:t xml:space="preserve"> </w:t>
      </w:r>
      <w:r w:rsidR="006303E7">
        <w:t>canopy</w:t>
      </w:r>
      <w:r w:rsidRPr="004E3C2C">
        <w:t xml:space="preserve"> defoliation levels at </w:t>
      </w:r>
      <w:r w:rsidR="00FE6918">
        <w:t>Mt Eccles National Park</w:t>
      </w:r>
      <w:r w:rsidRPr="004E3C2C">
        <w:t>.</w:t>
      </w:r>
      <w:r w:rsidR="00285836">
        <w:t xml:space="preserve"> </w:t>
      </w:r>
      <w:r w:rsidRPr="004E3C2C">
        <w:t>Koala interventions (density reductions) would occur when forest defoliation levels (green line and points) exceed either the orange (suggested intervention) or red (required intervention) horizontal dashed lines.</w:t>
      </w:r>
      <w:bookmarkEnd w:id="59"/>
    </w:p>
    <w:p w:rsidR="00606707" w:rsidRPr="00B75952" w:rsidRDefault="00606707" w:rsidP="003B1492">
      <w:pPr>
        <w:pStyle w:val="ARIERHA"/>
        <w:spacing w:after="480"/>
      </w:pPr>
      <w:r w:rsidRPr="00B75952">
        <w:br w:type="page"/>
      </w:r>
      <w:bookmarkStart w:id="60" w:name="_Toc286018775"/>
      <w:bookmarkStart w:id="61" w:name="_Toc455406134"/>
      <w:r w:rsidRPr="00B75952">
        <w:lastRenderedPageBreak/>
        <w:t>4</w:t>
      </w:r>
      <w:r w:rsidRPr="00B75952">
        <w:tab/>
      </w:r>
      <w:bookmarkStart w:id="62" w:name="_Toc409798435"/>
      <w:r w:rsidRPr="00B75952">
        <w:t>Discussion</w:t>
      </w:r>
      <w:bookmarkEnd w:id="38"/>
      <w:bookmarkEnd w:id="60"/>
      <w:bookmarkEnd w:id="61"/>
      <w:bookmarkEnd w:id="62"/>
    </w:p>
    <w:p w:rsidR="00C866BC" w:rsidRDefault="00C866BC" w:rsidP="00F6205D">
      <w:pPr>
        <w:pStyle w:val="ARIERBody"/>
      </w:pPr>
      <w:r>
        <w:t xml:space="preserve">An index of ‘habitat health’ for a forest should be based on the potential effects of disturbances on the long-term dynamics of the forest ecosystem </w:t>
      </w:r>
      <w:r>
        <w:fldChar w:fldCharType="begin"/>
      </w:r>
      <w:r>
        <w:instrText xml:space="preserve"> ADDIN ZOTERO_ITEM CSL_CITATION {"citationID":"2fvk03ouig","properties":{"formattedCitation":"{\\rtf (Forsyth {\\i{}et al.} 2015)}","plainCitation":"(Forsyth et al. 2015)"},"citationItems":[{"id":1451,"uris":["http://zotero.org/users/634364/items/5TK6EQD6"],"uri":["http://zotero.org/users/634364/items/5TK6EQD6"],"itemData":{"id":1451,"type":"article-journal","title":"Century-scale effects of invasive deer and rodents on the dynamics of forests growing on soils of contrasting fertility","container-title":"Ecological Monographs","page":"157-180","volume":"85","issue":"2","source":"CrossRef","DOI":"10.1890/14-0389.1","ISSN":"0012-9615","language":"en","author":[{"family":"Forsyth","given":"David M."},{"family":"Wilson","given":"Deborah J."},{"family":"Easdale","given":"Tomás A."},{"family":"Kunstler","given":"Georges"},{"family":"Canham","given":"Charles D."},{"family":"Ruscoe","given":"Wendy A."},{"family":"Wright","given":"Elaine F."},{"family":"Murphy","given":"Lora"},{"family":"Gormley","given":"Andrew M."},{"family":"Gaxiola","given":"Aurora"},{"family":"Coomes","given":"David A."}],"issued":{"date-parts":[["2015",5]]}}}],"schema":"https://github.com/citation-style-language/schema/raw/master/csl-citation.json"} </w:instrText>
      </w:r>
      <w:r>
        <w:fldChar w:fldCharType="separate"/>
      </w:r>
      <w:r w:rsidRPr="00C83407">
        <w:t xml:space="preserve">(Forsyth </w:t>
      </w:r>
      <w:r w:rsidR="008C4522" w:rsidRPr="006850F1">
        <w:rPr>
          <w:iCs/>
        </w:rPr>
        <w:t>et al.</w:t>
      </w:r>
      <w:r w:rsidRPr="00C83407">
        <w:t xml:space="preserve"> 2015)</w:t>
      </w:r>
      <w:r>
        <w:fldChar w:fldCharType="end"/>
      </w:r>
      <w:r>
        <w:t>.</w:t>
      </w:r>
      <w:r w:rsidR="00285836">
        <w:t xml:space="preserve"> </w:t>
      </w:r>
      <w:r>
        <w:t>However, the impacts of browsing herbivores on tree dynamics are particularly difficult to predict due to tree longevity</w:t>
      </w:r>
      <w:r w:rsidR="00F200F1">
        <w:t xml:space="preserve"> and</w:t>
      </w:r>
      <w:r>
        <w:t xml:space="preserve"> the effects of </w:t>
      </w:r>
      <w:r w:rsidR="00F200F1">
        <w:t xml:space="preserve">potential </w:t>
      </w:r>
      <w:r>
        <w:t>disturbances such as drought, fire, changed nutrient regimes</w:t>
      </w:r>
      <w:r w:rsidR="00F200F1">
        <w:t>,</w:t>
      </w:r>
      <w:r>
        <w:t xml:space="preserve"> and disease.</w:t>
      </w:r>
      <w:r w:rsidR="00285836">
        <w:t xml:space="preserve"> </w:t>
      </w:r>
      <w:r>
        <w:t xml:space="preserve">The habitat condition trigger </w:t>
      </w:r>
      <w:r w:rsidR="00F200F1">
        <w:t xml:space="preserve">classification described </w:t>
      </w:r>
      <w:r>
        <w:t xml:space="preserve">here for eucalypt forests subject to </w:t>
      </w:r>
      <w:proofErr w:type="spellStart"/>
      <w:r>
        <w:t>overbrowsing</w:t>
      </w:r>
      <w:proofErr w:type="spellEnd"/>
      <w:r>
        <w:t xml:space="preserve"> by </w:t>
      </w:r>
      <w:r w:rsidR="005574FB">
        <w:t>Koala</w:t>
      </w:r>
      <w:r>
        <w:t xml:space="preserve">s was developed to provide an </w:t>
      </w:r>
      <w:r w:rsidR="00F200F1">
        <w:t>‘</w:t>
      </w:r>
      <w:r>
        <w:t>early warning system</w:t>
      </w:r>
      <w:r w:rsidR="00F200F1">
        <w:t>’</w:t>
      </w:r>
      <w:r>
        <w:t xml:space="preserve"> for managers </w:t>
      </w:r>
      <w:r w:rsidR="00F200F1">
        <w:t xml:space="preserve">in order </w:t>
      </w:r>
      <w:r>
        <w:t xml:space="preserve">to avoid severe canopy defoliation and subsequent forest degradation and death of </w:t>
      </w:r>
      <w:r w:rsidR="005574FB">
        <w:t>Koala</w:t>
      </w:r>
      <w:r>
        <w:t>s.</w:t>
      </w:r>
      <w:r w:rsidR="00285836">
        <w:t xml:space="preserve"> </w:t>
      </w:r>
      <w:r>
        <w:t>Th</w:t>
      </w:r>
      <w:r w:rsidR="00F200F1">
        <w:t>is system can be used to assess</w:t>
      </w:r>
      <w:r>
        <w:t xml:space="preserve"> canopy health at two scales</w:t>
      </w:r>
      <w:r w:rsidR="00F200F1">
        <w:t>:</w:t>
      </w:r>
      <w:r>
        <w:t xml:space="preserve"> the individual tree scale (</w:t>
      </w:r>
      <w:r w:rsidR="00D95DEB">
        <w:t>foliar</w:t>
      </w:r>
      <w:r>
        <w:t xml:space="preserve"> </w:t>
      </w:r>
      <w:r w:rsidR="00D95DEB">
        <w:t>cover</w:t>
      </w:r>
      <w:r>
        <w:t xml:space="preserve"> threshold) and the tree population (forest) scale (canopy defoliation level).</w:t>
      </w:r>
      <w:r w:rsidR="00285836">
        <w:t xml:space="preserve"> </w:t>
      </w:r>
      <w:r>
        <w:t xml:space="preserve">Critical levels for </w:t>
      </w:r>
      <w:r w:rsidR="00F200F1">
        <w:t xml:space="preserve">each of </w:t>
      </w:r>
      <w:r>
        <w:t>these measures were based on an analysis of both historical and newly collected data.</w:t>
      </w:r>
      <w:r w:rsidR="00285836">
        <w:t xml:space="preserve"> </w:t>
      </w:r>
      <w:r>
        <w:t xml:space="preserve">While the </w:t>
      </w:r>
      <w:r w:rsidR="00D95DEB">
        <w:t>foliar cover</w:t>
      </w:r>
      <w:r>
        <w:t xml:space="preserve"> threshold developed for individual trees was based on large sample of tagged trees over a 10-year period, </w:t>
      </w:r>
      <w:r w:rsidR="00F200F1">
        <w:t xml:space="preserve">the </w:t>
      </w:r>
      <w:r>
        <w:t xml:space="preserve">measures of </w:t>
      </w:r>
      <w:r w:rsidR="00D95DEB">
        <w:t xml:space="preserve">canopy </w:t>
      </w:r>
      <w:r>
        <w:t xml:space="preserve">defoliation levels were based on a single cross-sectional survey </w:t>
      </w:r>
      <w:r w:rsidR="00F200F1">
        <w:t xml:space="preserve">of </w:t>
      </w:r>
      <w:r>
        <w:t>a limited number of sites.</w:t>
      </w:r>
      <w:r w:rsidR="00285836">
        <w:t xml:space="preserve"> </w:t>
      </w:r>
      <w:r>
        <w:t xml:space="preserve">The relationship between canopy defoliation levels and </w:t>
      </w:r>
      <w:r w:rsidR="005574FB">
        <w:t>Koala</w:t>
      </w:r>
      <w:r>
        <w:t xml:space="preserve"> </w:t>
      </w:r>
      <w:r w:rsidR="00F200F1">
        <w:t xml:space="preserve">density </w:t>
      </w:r>
      <w:r>
        <w:t xml:space="preserve">developed from these data </w:t>
      </w:r>
      <w:r w:rsidR="00F200F1">
        <w:t xml:space="preserve">is </w:t>
      </w:r>
      <w:r>
        <w:t>thus based on a number of assumptions.</w:t>
      </w:r>
      <w:r w:rsidR="00285836">
        <w:t xml:space="preserve"> </w:t>
      </w:r>
      <w:r>
        <w:t xml:space="preserve">The main assumption is that </w:t>
      </w:r>
      <w:r w:rsidR="005574FB">
        <w:t>Koala</w:t>
      </w:r>
      <w:r>
        <w:t xml:space="preserve"> </w:t>
      </w:r>
      <w:r w:rsidR="00F200F1">
        <w:t xml:space="preserve">density </w:t>
      </w:r>
      <w:r>
        <w:t xml:space="preserve">and canopy defoliation level </w:t>
      </w:r>
      <w:r w:rsidR="00F200F1">
        <w:t xml:space="preserve">have been </w:t>
      </w:r>
      <w:r>
        <w:t>sampled from the same point in their respective population cycles.</w:t>
      </w:r>
      <w:r w:rsidR="00285836">
        <w:t xml:space="preserve"> </w:t>
      </w:r>
      <w:r>
        <w:t xml:space="preserve">An example of where this may not be </w:t>
      </w:r>
      <w:r w:rsidR="00F200F1">
        <w:t xml:space="preserve">the case </w:t>
      </w:r>
      <w:r>
        <w:t xml:space="preserve">is when </w:t>
      </w:r>
      <w:r w:rsidR="005574FB">
        <w:t>Koala</w:t>
      </w:r>
      <w:r>
        <w:t>s have caused high defoliation levels at one site and subsequently declined in abundance</w:t>
      </w:r>
      <w:r w:rsidR="00F200F1">
        <w:t>,</w:t>
      </w:r>
      <w:r>
        <w:t xml:space="preserve"> while at another site high defoliation levels </w:t>
      </w:r>
      <w:r w:rsidR="00BF6603">
        <w:t>are associated with</w:t>
      </w:r>
      <w:r>
        <w:t xml:space="preserve"> </w:t>
      </w:r>
      <w:r w:rsidR="005574FB">
        <w:t>Koala</w:t>
      </w:r>
      <w:r>
        <w:t>s still in their increase phase.</w:t>
      </w:r>
      <w:r w:rsidR="00285836">
        <w:t xml:space="preserve"> </w:t>
      </w:r>
      <w:r>
        <w:t xml:space="preserve">If </w:t>
      </w:r>
      <w:r w:rsidR="005574FB">
        <w:t>Koala</w:t>
      </w:r>
      <w:r>
        <w:t xml:space="preserve"> densities </w:t>
      </w:r>
      <w:r w:rsidR="00F91CCD">
        <w:t xml:space="preserve">have </w:t>
      </w:r>
      <w:r>
        <w:t xml:space="preserve">already declined in forests that still </w:t>
      </w:r>
      <w:r w:rsidR="00F91CCD">
        <w:t xml:space="preserve">have </w:t>
      </w:r>
      <w:r>
        <w:t xml:space="preserve">high defoliation levels when they </w:t>
      </w:r>
      <w:r w:rsidR="00F91CCD">
        <w:t xml:space="preserve">are </w:t>
      </w:r>
      <w:r>
        <w:t xml:space="preserve">sampled, then this would mean that our </w:t>
      </w:r>
      <w:r w:rsidR="0021267C">
        <w:t xml:space="preserve">one-off </w:t>
      </w:r>
      <w:r>
        <w:t>survey may have overestimated the slope of the</w:t>
      </w:r>
      <w:r w:rsidR="00F91CCD">
        <w:t xml:space="preserve"> </w:t>
      </w:r>
      <w:r>
        <w:t xml:space="preserve">relationship between </w:t>
      </w:r>
      <w:r w:rsidR="00A4160B">
        <w:t>Manna Gum</w:t>
      </w:r>
      <w:r>
        <w:t xml:space="preserve"> defoliation levels</w:t>
      </w:r>
      <w:r w:rsidR="0021267C">
        <w:t xml:space="preserve"> and Koala densities</w:t>
      </w:r>
      <w:r>
        <w:t>.</w:t>
      </w:r>
      <w:r w:rsidR="00285836">
        <w:t xml:space="preserve"> </w:t>
      </w:r>
      <w:r>
        <w:t>This is a weakness of cross-sectional surveys</w:t>
      </w:r>
      <w:r w:rsidR="0021267C">
        <w:t>—they do not indicate the</w:t>
      </w:r>
      <w:r>
        <w:t xml:space="preserve"> stage </w:t>
      </w:r>
      <w:r w:rsidR="0021267C">
        <w:t xml:space="preserve">of </w:t>
      </w:r>
      <w:r>
        <w:t>the herbivore</w:t>
      </w:r>
      <w:r w:rsidR="0021267C">
        <w:t>–</w:t>
      </w:r>
      <w:r>
        <w:t>resource cycle.</w:t>
      </w:r>
      <w:r w:rsidR="00285836">
        <w:t xml:space="preserve"> </w:t>
      </w:r>
      <w:r>
        <w:t>Only repeated surveys at the same sites can resolve this.</w:t>
      </w:r>
      <w:r w:rsidR="00285836">
        <w:t xml:space="preserve"> </w:t>
      </w:r>
      <w:r>
        <w:t>We therefore recommend that a number of these sites be sampled periodically to determine whether the relationships identified in this report hold over the longer term.</w:t>
      </w:r>
    </w:p>
    <w:p w:rsidR="00285836" w:rsidRDefault="00C866BC" w:rsidP="00F6205D">
      <w:pPr>
        <w:pStyle w:val="ARIERBody"/>
      </w:pPr>
      <w:r>
        <w:t xml:space="preserve">The estimation of </w:t>
      </w:r>
      <w:r w:rsidR="0021267C">
        <w:t xml:space="preserve">the </w:t>
      </w:r>
      <w:r>
        <w:t xml:space="preserve">carrying capacity </w:t>
      </w:r>
      <w:r w:rsidR="0021267C">
        <w:t xml:space="preserve">of the </w:t>
      </w:r>
      <w:r w:rsidR="005574FB">
        <w:t>Koala</w:t>
      </w:r>
      <w:r w:rsidR="0021267C">
        <w:t xml:space="preserve"> habitat</w:t>
      </w:r>
      <w:r>
        <w:t xml:space="preserve"> at Cape Otway was </w:t>
      </w:r>
      <w:r w:rsidR="0021267C">
        <w:t xml:space="preserve">partly </w:t>
      </w:r>
      <w:r>
        <w:t xml:space="preserve">based on analysis </w:t>
      </w:r>
      <w:r w:rsidR="00E66858">
        <w:t xml:space="preserve">of data </w:t>
      </w:r>
      <w:r>
        <w:t xml:space="preserve">from a small number of sites </w:t>
      </w:r>
      <w:r w:rsidR="00E66858">
        <w:t xml:space="preserve">distributed over </w:t>
      </w:r>
      <w:r>
        <w:t xml:space="preserve">a limited area of private land </w:t>
      </w:r>
      <w:r w:rsidR="00E66858">
        <w:t>(</w:t>
      </w:r>
      <w:r>
        <w:t>where most of the canopy degradation problems have occurred</w:t>
      </w:r>
      <w:r w:rsidR="00E66858">
        <w:t>)</w:t>
      </w:r>
      <w:r>
        <w:t>.</w:t>
      </w:r>
      <w:r w:rsidR="00285836">
        <w:t xml:space="preserve"> </w:t>
      </w:r>
      <w:r>
        <w:t xml:space="preserve">The </w:t>
      </w:r>
      <w:r w:rsidR="00E66858">
        <w:t xml:space="preserve">short duration </w:t>
      </w:r>
      <w:r>
        <w:t>of the time series of observations for these areas (</w:t>
      </w:r>
      <w:r w:rsidR="00E66858">
        <w:t>8 </w:t>
      </w:r>
      <w:r>
        <w:t xml:space="preserve">years) </w:t>
      </w:r>
      <w:r w:rsidR="00E66858">
        <w:t>means that the</w:t>
      </w:r>
      <w:r>
        <w:t xml:space="preserve"> estimates of carrying capacity </w:t>
      </w:r>
      <w:r w:rsidR="00E66858">
        <w:t xml:space="preserve">have </w:t>
      </w:r>
      <w:r>
        <w:t>fairly low precision.</w:t>
      </w:r>
      <w:r w:rsidR="00285836">
        <w:t xml:space="preserve"> </w:t>
      </w:r>
      <w:r>
        <w:t xml:space="preserve">In addition, </w:t>
      </w:r>
      <w:r w:rsidR="00E66858">
        <w:t>it is possible</w:t>
      </w:r>
      <w:r>
        <w:t xml:space="preserve"> that the trajectories </w:t>
      </w:r>
      <w:r w:rsidR="00E66858">
        <w:t xml:space="preserve">for the </w:t>
      </w:r>
      <w:r w:rsidR="005574FB">
        <w:t>Koala</w:t>
      </w:r>
      <w:r>
        <w:t xml:space="preserve"> populations and </w:t>
      </w:r>
      <w:r w:rsidR="00A4160B">
        <w:t>Manna Gum</w:t>
      </w:r>
      <w:r>
        <w:t xml:space="preserve">s around Bimbi </w:t>
      </w:r>
      <w:r w:rsidR="00E66858">
        <w:t>P</w:t>
      </w:r>
      <w:r>
        <w:t xml:space="preserve">ark may not be representative of other areas of the </w:t>
      </w:r>
      <w:r w:rsidR="00A4160B">
        <w:t>Manna Gum</w:t>
      </w:r>
      <w:r>
        <w:t xml:space="preserve"> woodland at Cape Otway.</w:t>
      </w:r>
      <w:r w:rsidR="00285836">
        <w:t xml:space="preserve"> </w:t>
      </w:r>
      <w:r>
        <w:t xml:space="preserve">While other areas were sampled, </w:t>
      </w:r>
      <w:r w:rsidR="00E66858">
        <w:t>this was not done</w:t>
      </w:r>
      <w:r>
        <w:t xml:space="preserve"> prior to the collapse of canopy cover and </w:t>
      </w:r>
      <w:r w:rsidR="005574FB">
        <w:t>Koala</w:t>
      </w:r>
      <w:r>
        <w:t xml:space="preserve"> populations</w:t>
      </w:r>
      <w:r w:rsidR="00E66858">
        <w:t>;</w:t>
      </w:r>
      <w:r>
        <w:t xml:space="preserve"> hence, </w:t>
      </w:r>
      <w:r w:rsidR="00E66858">
        <w:t xml:space="preserve">that data was </w:t>
      </w:r>
      <w:r>
        <w:t xml:space="preserve">unsuitable for analysis using the methods </w:t>
      </w:r>
      <w:r w:rsidR="00E66858">
        <w:t xml:space="preserve">applied </w:t>
      </w:r>
      <w:r>
        <w:t xml:space="preserve">in this </w:t>
      </w:r>
      <w:r w:rsidR="00E66858">
        <w:t>study</w:t>
      </w:r>
      <w:r>
        <w:t>.</w:t>
      </w:r>
      <w:r w:rsidR="00285836">
        <w:t xml:space="preserve"> </w:t>
      </w:r>
      <w:r>
        <w:t xml:space="preserve">While some of these areas have subsequently recovered, </w:t>
      </w:r>
      <w:r w:rsidR="00E66858">
        <w:t>in other areas there has been</w:t>
      </w:r>
      <w:r>
        <w:t xml:space="preserve"> local extinction of </w:t>
      </w:r>
      <w:r w:rsidR="005574FB">
        <w:t>Koala</w:t>
      </w:r>
      <w:r>
        <w:t xml:space="preserve">s and the widespread death of </w:t>
      </w:r>
      <w:r w:rsidR="00A4160B">
        <w:t>Manna Gum</w:t>
      </w:r>
      <w:r>
        <w:t xml:space="preserve"> trees.</w:t>
      </w:r>
      <w:r w:rsidR="00285836">
        <w:t xml:space="preserve"> </w:t>
      </w:r>
      <w:r>
        <w:t xml:space="preserve">We therefore recommend that a number of </w:t>
      </w:r>
      <w:r w:rsidR="00E66858">
        <w:t xml:space="preserve">sites </w:t>
      </w:r>
      <w:r>
        <w:t xml:space="preserve">of extant </w:t>
      </w:r>
      <w:r w:rsidR="00A4160B">
        <w:t>Manna Gum</w:t>
      </w:r>
      <w:r>
        <w:t xml:space="preserve"> forest in these areas be subject to ongoing monitoring</w:t>
      </w:r>
      <w:r w:rsidR="00E66858">
        <w:t xml:space="preserve"> (</w:t>
      </w:r>
      <w:r>
        <w:t>using the methods outlined in this report</w:t>
      </w:r>
      <w:r w:rsidR="00E66858">
        <w:t>) in order</w:t>
      </w:r>
      <w:r>
        <w:t xml:space="preserve"> to</w:t>
      </w:r>
      <w:r w:rsidR="00611627">
        <w:t xml:space="preserve"> more accurately </w:t>
      </w:r>
      <w:r>
        <w:t xml:space="preserve">determine the future trajectories of both </w:t>
      </w:r>
      <w:r w:rsidR="005574FB">
        <w:t>Koala</w:t>
      </w:r>
      <w:r>
        <w:t xml:space="preserve"> populations and </w:t>
      </w:r>
      <w:r w:rsidR="00A4160B">
        <w:t>Manna Gum</w:t>
      </w:r>
      <w:r>
        <w:t xml:space="preserve"> forests.</w:t>
      </w:r>
    </w:p>
    <w:p w:rsidR="00C866BC" w:rsidRPr="00B75952" w:rsidRDefault="00C866BC" w:rsidP="00F6205D">
      <w:pPr>
        <w:pStyle w:val="ARIERBody"/>
      </w:pPr>
      <w:r>
        <w:t xml:space="preserve">The analysis of the population dynamics of </w:t>
      </w:r>
      <w:r w:rsidR="005574FB">
        <w:t>Koala</w:t>
      </w:r>
      <w:r>
        <w:t xml:space="preserve">s at Cape Otway did not reveal any strong evidence </w:t>
      </w:r>
      <w:r w:rsidR="009D77BB">
        <w:t xml:space="preserve">of </w:t>
      </w:r>
      <w:proofErr w:type="spellStart"/>
      <w:r>
        <w:t>overcompensatory</w:t>
      </w:r>
      <w:proofErr w:type="spellEnd"/>
      <w:r>
        <w:t xml:space="preserve"> dynamics</w:t>
      </w:r>
      <w:r w:rsidR="0037766C">
        <w:t>,</w:t>
      </w:r>
      <w:r>
        <w:t xml:space="preserve"> even though the large declines in </w:t>
      </w:r>
      <w:r w:rsidR="005574FB">
        <w:t>Koala</w:t>
      </w:r>
      <w:r>
        <w:t xml:space="preserve"> densities observed in 2013 and 2014 are consistent with a strong density-dependent response to decreasing food resources.</w:t>
      </w:r>
      <w:r w:rsidR="00285836">
        <w:t xml:space="preserve"> </w:t>
      </w:r>
      <w:r>
        <w:t xml:space="preserve">Why </w:t>
      </w:r>
      <w:r w:rsidR="005574FB">
        <w:t>Koala</w:t>
      </w:r>
      <w:r>
        <w:t xml:space="preserve"> populations appear to </w:t>
      </w:r>
      <w:r w:rsidR="009D77BB">
        <w:t xml:space="preserve">have </w:t>
      </w:r>
      <w:r>
        <w:t>increase</w:t>
      </w:r>
      <w:r w:rsidR="009D77BB">
        <w:t>d</w:t>
      </w:r>
      <w:r>
        <w:t xml:space="preserve"> to unsustainable levels </w:t>
      </w:r>
      <w:r w:rsidR="009D77BB">
        <w:t>remains</w:t>
      </w:r>
      <w:r>
        <w:t xml:space="preserve"> a subject of some debate.</w:t>
      </w:r>
      <w:r w:rsidR="00285836">
        <w:t xml:space="preserve"> </w:t>
      </w:r>
      <w:r>
        <w:t xml:space="preserve">The </w:t>
      </w:r>
      <w:r w:rsidR="00A4160B">
        <w:t>Manna Gum</w:t>
      </w:r>
      <w:r>
        <w:t xml:space="preserve"> woodlands at Cape Otway do appear to be able to support higher densities of </w:t>
      </w:r>
      <w:r w:rsidR="005574FB">
        <w:t>Koala</w:t>
      </w:r>
      <w:r>
        <w:t xml:space="preserve">s compared </w:t>
      </w:r>
      <w:r w:rsidR="00A77556">
        <w:t xml:space="preserve">with </w:t>
      </w:r>
      <w:r>
        <w:t xml:space="preserve">other </w:t>
      </w:r>
      <w:r w:rsidR="00A4160B">
        <w:t>Manna Gum</w:t>
      </w:r>
      <w:r>
        <w:t xml:space="preserve"> forests in south-west Victoria.</w:t>
      </w:r>
      <w:r w:rsidR="00285836">
        <w:t xml:space="preserve"> </w:t>
      </w:r>
      <w:r>
        <w:t>Why this would be the case is currently unknown.</w:t>
      </w:r>
      <w:r w:rsidR="00285836">
        <w:t xml:space="preserve"> </w:t>
      </w:r>
      <w:r>
        <w:t xml:space="preserve">One factor worth investigating is that the </w:t>
      </w:r>
      <w:r w:rsidR="00A4160B">
        <w:t>Manna Gum</w:t>
      </w:r>
      <w:r>
        <w:t xml:space="preserve"> woodlands at the Cape may be exposed to higher soil moisture and nitrogen levels than other areas, perhaps due to pasture improvement activities occurring on adjacent private land.</w:t>
      </w:r>
      <w:r w:rsidR="00285836">
        <w:t xml:space="preserve"> </w:t>
      </w:r>
      <w:r>
        <w:t xml:space="preserve">Increased nitrogen and soil moisture levels have been implicated in higher defoliation levels for eucalypts by inducing trees to produce foliage that is more palatable to herbivores </w:t>
      </w:r>
      <w:r>
        <w:fldChar w:fldCharType="begin"/>
      </w:r>
      <w:r>
        <w:instrText xml:space="preserve"> ADDIN ZOTERO_ITEM CSL_CITATION {"citationID":"9YCFQU5v","properties":{"formattedCitation":"{\\rtf (Jurskis and Turner 2002; Stalenberg {\\i{}et al.} 2014)}","plainCitation":"(Jurskis and Turner 2002; Stalenberg et al. 2014)"},"citationItems":[{"id":5245,"uris":["http://zotero.org/users/634364/items/HNK8FP3P"],"uri":["http://zotero.org/users/634364/items/HNK8FP3P"],"itemData":{"id":5245,"type":"article-journal","title":"Eucalypt dieback in eastern Australia: a simple model","container-title":"Australian Forestry","page":"87-98","volume":"65","issue":"2","author":[{"family":"Jurskis","given":"V"},{"family":"Turner","given":"J"}],"issued":{"date-parts":[["2002"]]}}},{"id":1431,"uris":["http://zotero.org/users/634364/items/HET3CJWB"],"uri":["http://zotero.org/users/634364/items/HET3CJWB"],"itemData":{"id":1431,"type":"article-journal","title":"Nutritional Correlates of Koala Persistence in a Low-Density Population","container-title":"PLOS ONE","page":"e113930","volume":"9","issue":"12","source":"PLoS Journals","abstract":"It is widely postulated that nutritional factors drive bottom-up, resource-based patterns in herbivore ecology and distribution. There is, however, much controversy over the roles of different plant constituents and how these influence individual herbivores and herbivore populations. The density of koala ( Phascolarctos cinereus ) populations varies widely and many attribute population trends to variation in the nutritional quality of the eucalypt leaves of their diet, but there is little evidence to support this hypothesis. We used a nested design that involved sampling of trees at two spatial scales to investigate how leaf chemistry influences free-living koalas from a low-density population in south east New South Wales, Australia. Using koala faecal pellets as a proxy for koala visitation to trees, we found an interaction between toxins and nutrients in leaves at a small spatial scale, whereby koalas preferred trees with leaves of higher concentrations of available nitrogen but lower concentrations of sideroxylonals (secondary metabolites found exclusively in eucalypts) compared to neighbouring trees of the same species. We argue that taxonomic and phenotypic diversity is likely to be important when foraging in habitats of low nutritional quality in providing diet choice to tradeoff nutrients and toxins and minimise movement costs. Our findings suggest that immediate nutritional concerns are an important priority of folivores in low-quality habitats and imply that nutritional limitations play an important role in constraining folivore populations. We show that, with a careful experimental design, it is possible to make inferences about populations of herbivores that exist at extremely low densities and thus achieve a better understanding about how plant composition influences herbivore ecology and persistence.","DOI":"10.1371/journal.pone.0113930","ISSN":"1932-6203","journalAbbreviation":"PLOS ONE","author":[{"family":"Stalenberg","given":"Eleanor"},{"family":"Wallis","given":"Ian R."},{"family":"Cunningham","given":"Ross B."},{"family":"Allen","given":"Chris"},{"family":"Foley","given":"William J."}],"issued":{"date-parts":[["2014",12,3]]}}}],"schema":"https://github.com/citation-style-language/schema/raw/master/csl-citation.json"} </w:instrText>
      </w:r>
      <w:r>
        <w:fldChar w:fldCharType="separate"/>
      </w:r>
      <w:r w:rsidRPr="00C4325B">
        <w:rPr>
          <w:rFonts w:cs="Times New Roman"/>
          <w:szCs w:val="24"/>
        </w:rPr>
        <w:t xml:space="preserve">(Jurskis and Turner 2002; Stalenberg </w:t>
      </w:r>
      <w:r w:rsidR="008C4522" w:rsidRPr="006850F1">
        <w:rPr>
          <w:rFonts w:cs="Times New Roman"/>
          <w:iCs/>
          <w:szCs w:val="24"/>
        </w:rPr>
        <w:t>et al.</w:t>
      </w:r>
      <w:r w:rsidRPr="00C4325B">
        <w:rPr>
          <w:rFonts w:cs="Times New Roman"/>
          <w:szCs w:val="24"/>
        </w:rPr>
        <w:t xml:space="preserve"> 2014)</w:t>
      </w:r>
      <w:r>
        <w:fldChar w:fldCharType="end"/>
      </w:r>
      <w:r>
        <w:t>.</w:t>
      </w:r>
      <w:r w:rsidR="00285836">
        <w:t xml:space="preserve"> </w:t>
      </w:r>
      <w:r>
        <w:t xml:space="preserve">The increased productivity of </w:t>
      </w:r>
      <w:r w:rsidR="00A4160B">
        <w:t>Manna Gum</w:t>
      </w:r>
      <w:r>
        <w:t>s may</w:t>
      </w:r>
      <w:r w:rsidR="00A77556">
        <w:t>,</w:t>
      </w:r>
      <w:r>
        <w:t xml:space="preserve"> in turn, have induced increases in the</w:t>
      </w:r>
      <w:r w:rsidR="00285836">
        <w:t xml:space="preserve"> </w:t>
      </w:r>
      <w:r w:rsidR="005574FB">
        <w:t>Koala</w:t>
      </w:r>
      <w:r>
        <w:t xml:space="preserve"> population</w:t>
      </w:r>
      <w:r w:rsidR="00A77556">
        <w:t>,</w:t>
      </w:r>
      <w:r>
        <w:t xml:space="preserve"> leading to unsustainable browsing pressure.</w:t>
      </w:r>
      <w:r w:rsidR="00285836">
        <w:t xml:space="preserve"> </w:t>
      </w:r>
      <w:r>
        <w:t xml:space="preserve">This mechanism is consistent with the ‘paradox of enrichment’ </w:t>
      </w:r>
      <w:r>
        <w:fldChar w:fldCharType="begin"/>
      </w:r>
      <w:r>
        <w:instrText xml:space="preserve"> ADDIN ZOTERO_ITEM CSL_CITATION {"citationID":"2hp5vks2e0","properties":{"formattedCitation":"(Rosenzweig 1971)","plainCitation":"(Rosenzweig 1971)"},"citationItems":[{"id":5247,"uris":["http://zotero.org/users/634364/items/4TEIGHDZ"],"uri":["http://zotero.org/users/634364/items/4TEIGHDZ"],"itemData":{"id":5247,"type":"article-journal","title":"The paradox of enrichment","container-title":"Science","page":"385-387","volume":"171","author":[{"family":"Rosenzweig","given":"M"}],"issued":{"date-parts":[["1971"]]}}}],"schema":"https://github.com/citation-style-language/schema/raw/master/csl-citation.json"} </w:instrText>
      </w:r>
      <w:r>
        <w:fldChar w:fldCharType="separate"/>
      </w:r>
      <w:r w:rsidRPr="00172E78">
        <w:t>(Rosenzweig 1971)</w:t>
      </w:r>
      <w:r>
        <w:fldChar w:fldCharType="end"/>
      </w:r>
      <w:r w:rsidR="00A77556">
        <w:t>,</w:t>
      </w:r>
      <w:r>
        <w:t xml:space="preserve"> where</w:t>
      </w:r>
      <w:r w:rsidR="00A77556">
        <w:t>by</w:t>
      </w:r>
      <w:r>
        <w:t xml:space="preserve"> productivity increases at one trophic level lead to subsequent instability and </w:t>
      </w:r>
      <w:proofErr w:type="spellStart"/>
      <w:r>
        <w:t>overcompensatory</w:t>
      </w:r>
      <w:proofErr w:type="spellEnd"/>
      <w:r>
        <w:t xml:space="preserve"> responses in the next </w:t>
      </w:r>
      <w:r>
        <w:lastRenderedPageBreak/>
        <w:t>trophic level.</w:t>
      </w:r>
      <w:r w:rsidR="00285836">
        <w:t xml:space="preserve"> </w:t>
      </w:r>
      <w:r>
        <w:t>Whether this is actually the case will require further investigation.</w:t>
      </w:r>
      <w:r w:rsidR="00285836">
        <w:t xml:space="preserve"> </w:t>
      </w:r>
      <w:r>
        <w:t xml:space="preserve">Although the modelling conducted here has identified likely maximum </w:t>
      </w:r>
      <w:r w:rsidR="005574FB">
        <w:t>Koala</w:t>
      </w:r>
      <w:r>
        <w:t xml:space="preserve"> densities that are sustainable for Cape Otway </w:t>
      </w:r>
      <w:r w:rsidR="00A4160B">
        <w:t>Manna Gum</w:t>
      </w:r>
      <w:r>
        <w:t xml:space="preserve"> woodlands, lower densities than those identified may be required </w:t>
      </w:r>
      <w:r w:rsidR="00A77556">
        <w:t>for</w:t>
      </w:r>
      <w:r>
        <w:t xml:space="preserve"> </w:t>
      </w:r>
      <w:r w:rsidR="00A77556">
        <w:t xml:space="preserve">ensuring </w:t>
      </w:r>
      <w:r>
        <w:t xml:space="preserve">regeneration </w:t>
      </w:r>
      <w:r w:rsidR="006303E7">
        <w:t xml:space="preserve">and recommencement of flowering </w:t>
      </w:r>
      <w:r>
        <w:t>after repeated heavy defoliation of trees.</w:t>
      </w:r>
      <w:r w:rsidR="00285836">
        <w:t xml:space="preserve"> </w:t>
      </w:r>
      <w:r>
        <w:t xml:space="preserve">Studies in </w:t>
      </w:r>
      <w:r w:rsidR="00836956">
        <w:t>B</w:t>
      </w:r>
      <w:r>
        <w:t xml:space="preserve">lue </w:t>
      </w:r>
      <w:r w:rsidR="00836956">
        <w:t xml:space="preserve">Gum </w:t>
      </w:r>
      <w:r>
        <w:t xml:space="preserve">and </w:t>
      </w:r>
      <w:r w:rsidR="00A77556">
        <w:t>J</w:t>
      </w:r>
      <w:r>
        <w:t>arrah (</w:t>
      </w:r>
      <w:r w:rsidRPr="00B83512">
        <w:rPr>
          <w:i/>
        </w:rPr>
        <w:t xml:space="preserve">Eucalyptus </w:t>
      </w:r>
      <w:proofErr w:type="spellStart"/>
      <w:r w:rsidRPr="00B83512">
        <w:rPr>
          <w:i/>
        </w:rPr>
        <w:t>marginat</w:t>
      </w:r>
      <w:r>
        <w:rPr>
          <w:i/>
        </w:rPr>
        <w:t>a</w:t>
      </w:r>
      <w:proofErr w:type="spellEnd"/>
      <w:r>
        <w:t xml:space="preserve">) have indicated that repeated heavy defoliation events (chronic defoliation) may have consequences for tree recovery by impeding growth rates </w:t>
      </w:r>
      <w:r>
        <w:fldChar w:fldCharType="begin"/>
      </w:r>
      <w:r>
        <w:instrText xml:space="preserve"> ADDIN ZOTERO_ITEM CSL_CITATION {"citationID":"18246a355a","properties":{"formattedCitation":"{\\rtf (Collett and Neumann 2002; Wills {\\i{}et al.} 2004)}","plainCitation":"(Collett and Neumann 2002; Wills et al. 2004)"},"citationItems":[{"id":5271,"uris":["http://zotero.org/users/634364/items/TSCRV8IK"],"uri":["http://zotero.org/users/634364/items/TSCRV8IK"],"itemData":{"id":5271,"type":"article-journal","title":"Effects of simulated chronic defoliation in summer on growth and survival of blue gum (Eucalyptus globulus Labill) within young plantations in northern Victoria","container-title":"Australian Forestry","page":"99-106","volume":"65","issue":"2","source":"Taylor and Francis+NEJM","abstract":"The combined effects of two consecutive simulated partial and total defoliations of upper, lower and total crowns of 1.7-year- old plantings of Eucalyptus globulus during summer on height, stem basal area and volume increment are described. One hundred per cent crown defoliation suppressed height increment relative to the control treatment soon after the second defoliation, whereas the 100% lower crown defoliation boosted height growth throughout the post-defoliation period. Stem basal area increments were significantly reduced only by the 100% total crown defoliation, which also suppressed stem volume increment relative to the other treatments. None of the treatments affected tree survival. The implications of the results for eucalypt plantation managers are that populations of insect pests likely to cause total crown defoliation during summer in young E. globulus stands prior to canopy closure should be controlled at the earliest opportunity with an effective and appropriately registered insecticide. No action is required when moderate to severe defoliation is expected in either the upper or lower crowns. Moreover, pruning of lower crown branches during summer could boost height growth and accelerate canopy closure, a condition which suppresses infestations by light-seeking leaf-consuming leafblister sawflies, leaf beetles and Christmas beetles.","DOI":"10.1080/00049158.2002.10674860","ISSN":"0004-9158","author":[{"family":"Collett","given":"N. G."},{"family":"Neumann","given":"F. G."}],"issued":{"date-parts":[["2002",1,1]]}}},{"id":5269,"uris":["http://zotero.org/users/634364/items/7I3FXWWS"],"uri":["http://zotero.org/users/634364/items/7I3FXWWS"],"itemData":{"id":5269,"type":"article-journal","title":"Impact of repeated defoliation on jarrah (&lt;i&gt;Eucalyptus marginata&lt;/i&gt;) saplings","container-title":"Australian Forestry","page":"194-198","volume":"67","issue":"3","author":[{"family":"Wills","given":"A.J."},{"family":"Burbidge","given":"T.E."},{"family":"Abbott","given":"I"}],"issued":{"date-parts":[["2004"]]}}}],"schema":"https://github.com/citation-style-language/schema/raw/master/csl-citation.json"} </w:instrText>
      </w:r>
      <w:r>
        <w:fldChar w:fldCharType="separate"/>
      </w:r>
      <w:r w:rsidRPr="00B83512">
        <w:rPr>
          <w:rFonts w:cs="Times New Roman"/>
          <w:szCs w:val="24"/>
        </w:rPr>
        <w:t xml:space="preserve">(Collett and Neumann 2002; Wills </w:t>
      </w:r>
      <w:r w:rsidR="008C4522" w:rsidRPr="006850F1">
        <w:rPr>
          <w:rFonts w:cs="Times New Roman"/>
          <w:iCs/>
          <w:szCs w:val="24"/>
        </w:rPr>
        <w:t>et al.</w:t>
      </w:r>
      <w:r w:rsidRPr="00B83512">
        <w:rPr>
          <w:rFonts w:cs="Times New Roman"/>
          <w:szCs w:val="24"/>
        </w:rPr>
        <w:t xml:space="preserve"> 2004)</w:t>
      </w:r>
      <w:r>
        <w:fldChar w:fldCharType="end"/>
      </w:r>
      <w:r>
        <w:t>.</w:t>
      </w:r>
      <w:r w:rsidR="00285836">
        <w:t xml:space="preserve"> </w:t>
      </w:r>
      <w:r>
        <w:t>Longer-term monitoring of the populations</w:t>
      </w:r>
      <w:r w:rsidR="00796527">
        <w:t xml:space="preserve"> we have studied</w:t>
      </w:r>
      <w:r>
        <w:t xml:space="preserve"> will</w:t>
      </w:r>
      <w:r w:rsidR="00A77556">
        <w:t>,</w:t>
      </w:r>
      <w:r>
        <w:t xml:space="preserve"> no doubt</w:t>
      </w:r>
      <w:r w:rsidR="00A77556">
        <w:t>,</w:t>
      </w:r>
      <w:r>
        <w:t xml:space="preserve"> shed further light on the nature of the population dynamics of both </w:t>
      </w:r>
      <w:r w:rsidR="005574FB">
        <w:t>Koala</w:t>
      </w:r>
      <w:r>
        <w:t xml:space="preserve">s and </w:t>
      </w:r>
      <w:r w:rsidR="00A4160B">
        <w:t>Manna Gum</w:t>
      </w:r>
      <w:r>
        <w:t xml:space="preserve"> woodlands at Cape Otway.</w:t>
      </w:r>
    </w:p>
    <w:p w:rsidR="003B1492" w:rsidRPr="00B75952" w:rsidRDefault="00606707" w:rsidP="003B1492">
      <w:pPr>
        <w:pStyle w:val="ARIERHA"/>
        <w:spacing w:after="480"/>
      </w:pPr>
      <w:r w:rsidRPr="00B75952">
        <w:br w:type="page"/>
      </w:r>
      <w:bookmarkStart w:id="63" w:name="_Toc455406135"/>
      <w:bookmarkStart w:id="64" w:name="_Toc409798452"/>
      <w:bookmarkStart w:id="65" w:name="_Toc286018780"/>
      <w:r w:rsidR="003B1492">
        <w:lastRenderedPageBreak/>
        <w:t>5</w:t>
      </w:r>
      <w:r w:rsidR="003B1492" w:rsidRPr="00B75952">
        <w:tab/>
        <w:t>References</w:t>
      </w:r>
      <w:bookmarkEnd w:id="63"/>
    </w:p>
    <w:bookmarkEnd w:id="64"/>
    <w:bookmarkEnd w:id="65"/>
    <w:p w:rsidR="00C741C6" w:rsidRPr="00C741C6" w:rsidRDefault="00606707" w:rsidP="00C741C6">
      <w:pPr>
        <w:pStyle w:val="ARIERRefs"/>
      </w:pPr>
      <w:r w:rsidRPr="00B80D8D">
        <w:fldChar w:fldCharType="begin"/>
      </w:r>
      <w:r w:rsidRPr="00B80D8D">
        <w:instrText xml:space="preserve"> ADDIN EN.REFLIST </w:instrText>
      </w:r>
      <w:r w:rsidRPr="00B80D8D">
        <w:fldChar w:fldCharType="separate"/>
      </w:r>
      <w:bookmarkStart w:id="66" w:name="_ENREF_3"/>
      <w:r w:rsidR="00C741C6" w:rsidRPr="00C741C6">
        <w:fldChar w:fldCharType="begin"/>
      </w:r>
      <w:r w:rsidR="00C741C6" w:rsidRPr="00C741C6">
        <w:instrText xml:space="preserve"> ADDIN ZOTERO_BIBL {"custom":[]} CSL_BIBLIOGRAPHY </w:instrText>
      </w:r>
      <w:r w:rsidR="00C741C6" w:rsidRPr="00C741C6">
        <w:fldChar w:fldCharType="separate"/>
      </w:r>
      <w:r w:rsidR="00C741C6" w:rsidRPr="00C741C6">
        <w:t xml:space="preserve">Allison, P.D. (1982). Discrete-time methods for the analysis of event histories. </w:t>
      </w:r>
      <w:r w:rsidR="00C741C6" w:rsidRPr="00C741C6">
        <w:rPr>
          <w:i/>
          <w:iCs/>
        </w:rPr>
        <w:t>Sociological Methodology</w:t>
      </w:r>
      <w:r w:rsidR="00C741C6" w:rsidRPr="00C741C6">
        <w:t xml:space="preserve"> </w:t>
      </w:r>
      <w:r w:rsidR="00C741C6" w:rsidRPr="00C741C6">
        <w:rPr>
          <w:b/>
          <w:bCs/>
        </w:rPr>
        <w:t>13</w:t>
      </w:r>
      <w:r w:rsidR="00C741C6" w:rsidRPr="00C741C6">
        <w:t>, 61–98.</w:t>
      </w:r>
    </w:p>
    <w:p w:rsidR="00C741C6" w:rsidRPr="00C741C6" w:rsidRDefault="00C741C6" w:rsidP="00C741C6">
      <w:pPr>
        <w:pStyle w:val="ARIERRefs"/>
      </w:pPr>
      <w:r w:rsidRPr="00C741C6">
        <w:t xml:space="preserve">Caughley, G. and Sinclair, A.R.E. (1994). </w:t>
      </w:r>
      <w:r w:rsidRPr="006850F1">
        <w:rPr>
          <w:i/>
        </w:rPr>
        <w:t xml:space="preserve">Wildlife </w:t>
      </w:r>
      <w:r w:rsidR="00032B23" w:rsidRPr="006850F1">
        <w:rPr>
          <w:i/>
        </w:rPr>
        <w:t xml:space="preserve">Ecology </w:t>
      </w:r>
      <w:r w:rsidRPr="006850F1">
        <w:rPr>
          <w:i/>
        </w:rPr>
        <w:t xml:space="preserve">and </w:t>
      </w:r>
      <w:r w:rsidR="00032B23" w:rsidRPr="006850F1">
        <w:rPr>
          <w:i/>
        </w:rPr>
        <w:t>Management</w:t>
      </w:r>
      <w:r w:rsidRPr="00C741C6">
        <w:t>. Blackwell Scientific Publications</w:t>
      </w:r>
      <w:r w:rsidR="00032B23">
        <w:t>,</w:t>
      </w:r>
      <w:r w:rsidRPr="00C741C6">
        <w:t xml:space="preserve"> Cambridge, MS</w:t>
      </w:r>
      <w:r w:rsidR="00032B23">
        <w:t>, USA</w:t>
      </w:r>
      <w:r w:rsidRPr="00C741C6">
        <w:t>.</w:t>
      </w:r>
    </w:p>
    <w:p w:rsidR="00C741C6" w:rsidRPr="00C741C6" w:rsidRDefault="00C741C6" w:rsidP="00C741C6">
      <w:pPr>
        <w:pStyle w:val="ARIERRefs"/>
      </w:pPr>
      <w:r w:rsidRPr="00C741C6">
        <w:t>Collett, N.G. and Neumann, F.G. (2002). Effects of simulated chronic defoliation in summer on growth and survival of blue gum (</w:t>
      </w:r>
      <w:r w:rsidRPr="006850F1">
        <w:rPr>
          <w:i/>
        </w:rPr>
        <w:t>Eucalyptus globulus</w:t>
      </w:r>
      <w:r w:rsidRPr="00C741C6">
        <w:t xml:space="preserve"> Labill) within young plantations in northern Victoria. </w:t>
      </w:r>
      <w:r w:rsidRPr="00C741C6">
        <w:rPr>
          <w:i/>
          <w:iCs/>
        </w:rPr>
        <w:t>Australian Forestry</w:t>
      </w:r>
      <w:r w:rsidRPr="00C741C6">
        <w:t xml:space="preserve"> </w:t>
      </w:r>
      <w:r w:rsidRPr="00C741C6">
        <w:rPr>
          <w:b/>
          <w:bCs/>
        </w:rPr>
        <w:t>65</w:t>
      </w:r>
      <w:r w:rsidRPr="00C741C6">
        <w:t>, 99–106. doi:10.1080/00049158.2002.10674860</w:t>
      </w:r>
    </w:p>
    <w:p w:rsidR="00C741C6" w:rsidRPr="00C741C6" w:rsidRDefault="00C741C6" w:rsidP="00C741C6">
      <w:pPr>
        <w:pStyle w:val="ARIERRefs"/>
      </w:pPr>
      <w:r w:rsidRPr="00C741C6">
        <w:t>DELWP</w:t>
      </w:r>
      <w:r w:rsidR="00370CAC">
        <w:t>.</w:t>
      </w:r>
      <w:r w:rsidRPr="00C741C6">
        <w:t xml:space="preserve"> (2015a). </w:t>
      </w:r>
      <w:r w:rsidRPr="006850F1">
        <w:rPr>
          <w:i/>
        </w:rPr>
        <w:t>Cape Otway Koala Management Actions</w:t>
      </w:r>
      <w:r w:rsidRPr="00C741C6">
        <w:t xml:space="preserve">. http://delwp.vic.gov.au/environment-and-wildlife/wildlife/koalas </w:t>
      </w:r>
      <w:r w:rsidR="00032B23">
        <w:t>(access</w:t>
      </w:r>
      <w:r w:rsidR="00032B23" w:rsidRPr="00C741C6">
        <w:t xml:space="preserve">ed </w:t>
      </w:r>
      <w:r w:rsidRPr="00C741C6">
        <w:t>20 May 2016</w:t>
      </w:r>
      <w:r w:rsidR="00032B23">
        <w:t>)</w:t>
      </w:r>
      <w:r w:rsidR="00354158">
        <w:t>.</w:t>
      </w:r>
    </w:p>
    <w:p w:rsidR="00C741C6" w:rsidRPr="00C741C6" w:rsidRDefault="00C741C6" w:rsidP="00C741C6">
      <w:pPr>
        <w:pStyle w:val="ARIERRefs"/>
      </w:pPr>
      <w:r w:rsidRPr="00C741C6">
        <w:t>DELWP</w:t>
      </w:r>
      <w:r w:rsidR="00370CAC">
        <w:t>.</w:t>
      </w:r>
      <w:r w:rsidRPr="00C741C6">
        <w:t xml:space="preserve"> (2015b). </w:t>
      </w:r>
      <w:r w:rsidRPr="006850F1">
        <w:rPr>
          <w:i/>
        </w:rPr>
        <w:t>Koalas at Cape Otway</w:t>
      </w:r>
      <w:r w:rsidRPr="00C741C6">
        <w:t xml:space="preserve">. http://delwp.vic.gov.au/environment-and-wildlife/wildlife/koalas </w:t>
      </w:r>
      <w:r w:rsidR="00354158">
        <w:t>(access</w:t>
      </w:r>
      <w:r w:rsidRPr="00C741C6">
        <w:t>ed 20 May 2016</w:t>
      </w:r>
      <w:r w:rsidR="00354158">
        <w:t>).</w:t>
      </w:r>
    </w:p>
    <w:p w:rsidR="00C741C6" w:rsidRPr="00C741C6" w:rsidRDefault="00C741C6" w:rsidP="00C741C6">
      <w:pPr>
        <w:pStyle w:val="ARIERRefs"/>
      </w:pPr>
      <w:r w:rsidRPr="00C741C6">
        <w:t xml:space="preserve">Dennis, B., Ponciano, J.M., Lele, S.R., Taper, M.L. and Staples, D.F. (2006). Estimating density dependence, process noise, and observation error. </w:t>
      </w:r>
      <w:r w:rsidRPr="00C741C6">
        <w:rPr>
          <w:i/>
          <w:iCs/>
        </w:rPr>
        <w:t>Ecological Monographs</w:t>
      </w:r>
      <w:r w:rsidRPr="00C741C6">
        <w:t xml:space="preserve"> </w:t>
      </w:r>
      <w:r w:rsidRPr="00C741C6">
        <w:rPr>
          <w:b/>
          <w:bCs/>
        </w:rPr>
        <w:t>76</w:t>
      </w:r>
      <w:r w:rsidRPr="00C741C6">
        <w:t>, 323–341.</w:t>
      </w:r>
    </w:p>
    <w:p w:rsidR="00C741C6" w:rsidRPr="00C741C6" w:rsidRDefault="00C741C6" w:rsidP="00C741C6">
      <w:pPr>
        <w:pStyle w:val="ARIERRefs"/>
      </w:pPr>
      <w:r w:rsidRPr="00C741C6">
        <w:t xml:space="preserve">Forsyth, D.M., Wilson, D.J., Easdale, T.A., Kunstler, G., Canham, C.D., Ruscoe, W.A., Wright, E.F., Murphy, L., Gormley, A.M., Gaxiola, A. and Coomes, D.A. (2015). Century-scale effects of invasive deer and rodents on the dynamics of forests growing on soils of contrasting fertility. </w:t>
      </w:r>
      <w:r w:rsidRPr="00C741C6">
        <w:rPr>
          <w:i/>
          <w:iCs/>
        </w:rPr>
        <w:t>Ecological Monographs</w:t>
      </w:r>
      <w:r w:rsidRPr="00C741C6">
        <w:t xml:space="preserve"> </w:t>
      </w:r>
      <w:r w:rsidRPr="00C741C6">
        <w:rPr>
          <w:b/>
          <w:bCs/>
        </w:rPr>
        <w:t>85</w:t>
      </w:r>
      <w:r w:rsidRPr="00C741C6">
        <w:t>, 157–180. doi:10.1890/14-0389.1</w:t>
      </w:r>
    </w:p>
    <w:p w:rsidR="00C741C6" w:rsidRPr="00C741C6" w:rsidRDefault="00C741C6" w:rsidP="00C741C6">
      <w:pPr>
        <w:pStyle w:val="ARIERRefs"/>
      </w:pPr>
      <w:r w:rsidRPr="00C741C6">
        <w:t xml:space="preserve">Gibson, M. and Thomas, G. (2012). </w:t>
      </w:r>
      <w:r w:rsidRPr="006850F1">
        <w:rPr>
          <w:i/>
        </w:rPr>
        <w:t>Great Otway National Park Pilot Koala and Tree Condition Survey</w:t>
      </w:r>
      <w:r w:rsidRPr="00C741C6">
        <w:t>. Report to Parks Victoria. BIOSIS Research Pty Ltd, Ballarat</w:t>
      </w:r>
      <w:r w:rsidR="00354158">
        <w:t>, Victoria</w:t>
      </w:r>
      <w:r w:rsidRPr="00C741C6">
        <w:t>.</w:t>
      </w:r>
    </w:p>
    <w:p w:rsidR="00C741C6" w:rsidRPr="00C741C6" w:rsidRDefault="00C741C6" w:rsidP="00C741C6">
      <w:pPr>
        <w:pStyle w:val="ARIERRefs"/>
      </w:pPr>
      <w:r w:rsidRPr="00C741C6">
        <w:t xml:space="preserve">Holland, E.P. (2013). Inferring changes in foliar mass and area from foliage cover: </w:t>
      </w:r>
      <w:r w:rsidR="00354158">
        <w:t>a</w:t>
      </w:r>
      <w:r w:rsidR="00354158" w:rsidRPr="00C741C6">
        <w:t xml:space="preserve"> </w:t>
      </w:r>
      <w:r w:rsidRPr="00C741C6">
        <w:t xml:space="preserve">mechanistic model. </w:t>
      </w:r>
      <w:r w:rsidRPr="00C741C6">
        <w:rPr>
          <w:i/>
          <w:iCs/>
        </w:rPr>
        <w:t>Austral Ecology</w:t>
      </w:r>
      <w:r w:rsidRPr="00C741C6">
        <w:t xml:space="preserve"> </w:t>
      </w:r>
      <w:r w:rsidRPr="00C741C6">
        <w:rPr>
          <w:b/>
          <w:bCs/>
        </w:rPr>
        <w:t>38</w:t>
      </w:r>
      <w:r w:rsidRPr="00C741C6">
        <w:t>, 121–130. doi:10.1111/j.1442-9993.2012.02384.x</w:t>
      </w:r>
    </w:p>
    <w:p w:rsidR="00C741C6" w:rsidRPr="00C741C6" w:rsidRDefault="00C741C6" w:rsidP="00C741C6">
      <w:pPr>
        <w:pStyle w:val="ARIERRefs"/>
      </w:pPr>
      <w:r w:rsidRPr="00C741C6">
        <w:t xml:space="preserve">Ives, A.R., Dennis, B., Cottingham, K.L. and Carpenter, S.R. (2003). Estimating community stability and ecological interactions from time-series data. </w:t>
      </w:r>
      <w:r w:rsidRPr="00C741C6">
        <w:rPr>
          <w:i/>
          <w:iCs/>
        </w:rPr>
        <w:t>Ecological Monographs</w:t>
      </w:r>
      <w:r w:rsidRPr="00C741C6">
        <w:t xml:space="preserve"> </w:t>
      </w:r>
      <w:r w:rsidRPr="00C741C6">
        <w:rPr>
          <w:b/>
          <w:bCs/>
        </w:rPr>
        <w:t>73</w:t>
      </w:r>
      <w:r w:rsidRPr="00C741C6">
        <w:t>, 301–330.</w:t>
      </w:r>
    </w:p>
    <w:p w:rsidR="00C741C6" w:rsidRPr="00C741C6" w:rsidRDefault="00C741C6" w:rsidP="00C741C6">
      <w:pPr>
        <w:pStyle w:val="ARIERRefs"/>
      </w:pPr>
      <w:r w:rsidRPr="00C741C6">
        <w:t xml:space="preserve">Jurskis, V. and Turner, J. (2002). Eucalypt dieback in eastern Australia: a simple model. </w:t>
      </w:r>
      <w:r w:rsidRPr="00C741C6">
        <w:rPr>
          <w:i/>
          <w:iCs/>
        </w:rPr>
        <w:t>Australian Forestry</w:t>
      </w:r>
      <w:r w:rsidRPr="00C741C6">
        <w:t xml:space="preserve"> </w:t>
      </w:r>
      <w:r w:rsidRPr="00C741C6">
        <w:rPr>
          <w:b/>
          <w:bCs/>
        </w:rPr>
        <w:t>65</w:t>
      </w:r>
      <w:r w:rsidRPr="00C741C6">
        <w:t>, 87–98.</w:t>
      </w:r>
    </w:p>
    <w:p w:rsidR="000F44BA" w:rsidRPr="00893C86" w:rsidRDefault="000F44BA" w:rsidP="00C741C6">
      <w:pPr>
        <w:pStyle w:val="ARIERRefs"/>
        <w:rPr>
          <w:i/>
          <w:iCs/>
        </w:rPr>
      </w:pPr>
      <w:r w:rsidRPr="00893C86">
        <w:t>McDonald</w:t>
      </w:r>
      <w:r w:rsidRPr="00893C86">
        <w:rPr>
          <w:iCs/>
        </w:rPr>
        <w:t>, R.C., Isbell, R.F., Speight, J.G., Walker, J., and Hopkins, M.S. (1984)</w:t>
      </w:r>
      <w:r w:rsidRPr="00893C86">
        <w:rPr>
          <w:i/>
          <w:iCs/>
        </w:rPr>
        <w:t xml:space="preserve">. Australian Soil and Land Survey Field Handbook.  </w:t>
      </w:r>
      <w:r w:rsidRPr="00893C86">
        <w:rPr>
          <w:iCs/>
        </w:rPr>
        <w:t>Inkata Press, Melbourne.</w:t>
      </w:r>
    </w:p>
    <w:p w:rsidR="00C741C6" w:rsidRPr="00C741C6" w:rsidRDefault="00C741C6" w:rsidP="00C741C6">
      <w:pPr>
        <w:pStyle w:val="ARIERRefs"/>
      </w:pPr>
      <w:r w:rsidRPr="00C741C6">
        <w:t xml:space="preserve">McLean, N. (2003). </w:t>
      </w:r>
      <w:r w:rsidRPr="006850F1">
        <w:rPr>
          <w:i/>
        </w:rPr>
        <w:t>Ecology and management of overabundant koala (</w:t>
      </w:r>
      <w:r w:rsidRPr="006850F1">
        <w:rPr>
          <w:i/>
          <w:iCs/>
        </w:rPr>
        <w:t>Phascolarctos cinereus</w:t>
      </w:r>
      <w:r w:rsidRPr="006850F1">
        <w:rPr>
          <w:i/>
        </w:rPr>
        <w:t>) populations</w:t>
      </w:r>
      <w:r w:rsidRPr="00C741C6">
        <w:t>. PhD thesis, University of Melbourne</w:t>
      </w:r>
      <w:r w:rsidR="00354158">
        <w:t>, Victoria</w:t>
      </w:r>
      <w:r w:rsidRPr="00C741C6">
        <w:t>.</w:t>
      </w:r>
    </w:p>
    <w:p w:rsidR="00C741C6" w:rsidRPr="00C741C6" w:rsidRDefault="00C741C6" w:rsidP="00C741C6">
      <w:pPr>
        <w:pStyle w:val="ARIERRefs"/>
      </w:pPr>
      <w:r w:rsidRPr="00C741C6">
        <w:t xml:space="preserve">Menkhorst, P. (2008). Hunted, marooned, re-introduced, contracepted: a history of Koala management in </w:t>
      </w:r>
      <w:r w:rsidRPr="006850F1">
        <w:t>Victoria. In</w:t>
      </w:r>
      <w:r w:rsidR="00D113FE" w:rsidRPr="006850F1">
        <w:t>: Lunney, D., Munn, A. and Meikle, W. (Eds)</w:t>
      </w:r>
      <w:r w:rsidRPr="006850F1">
        <w:t xml:space="preserve"> </w:t>
      </w:r>
      <w:r w:rsidRPr="006850F1">
        <w:rPr>
          <w:i/>
        </w:rPr>
        <w:t xml:space="preserve">Too close for comfort: </w:t>
      </w:r>
      <w:r w:rsidR="00D113FE" w:rsidRPr="006850F1">
        <w:rPr>
          <w:i/>
        </w:rPr>
        <w:t xml:space="preserve">contentious </w:t>
      </w:r>
      <w:r w:rsidRPr="006850F1">
        <w:rPr>
          <w:i/>
        </w:rPr>
        <w:t xml:space="preserve">Issues in </w:t>
      </w:r>
      <w:r w:rsidR="00D113FE" w:rsidRPr="006850F1">
        <w:rPr>
          <w:i/>
        </w:rPr>
        <w:t>Human–</w:t>
      </w:r>
      <w:r w:rsidRPr="006850F1">
        <w:rPr>
          <w:i/>
        </w:rPr>
        <w:t>Wildlife Encounters</w:t>
      </w:r>
      <w:r w:rsidRPr="00C741C6">
        <w:t>. Royal Zoological Society of NSW</w:t>
      </w:r>
      <w:r w:rsidR="00D113FE">
        <w:t>,</w:t>
      </w:r>
      <w:r w:rsidRPr="00C741C6">
        <w:t xml:space="preserve"> Mosman, NSW.</w:t>
      </w:r>
    </w:p>
    <w:p w:rsidR="00C741C6" w:rsidRPr="00C741C6" w:rsidRDefault="00C741C6" w:rsidP="00C741C6">
      <w:pPr>
        <w:pStyle w:val="ARIERRefs"/>
      </w:pPr>
      <w:r w:rsidRPr="00C741C6">
        <w:t>Moore, B.D. and Foley, W.J. (2000). A review of feeding and diet selection in koalas (</w:t>
      </w:r>
      <w:r w:rsidRPr="00C741C6">
        <w:rPr>
          <w:i/>
          <w:iCs/>
        </w:rPr>
        <w:t>Phascolarctos cinereus</w:t>
      </w:r>
      <w:r w:rsidRPr="00C741C6">
        <w:t xml:space="preserve">). </w:t>
      </w:r>
      <w:r w:rsidRPr="00C741C6">
        <w:rPr>
          <w:i/>
          <w:iCs/>
        </w:rPr>
        <w:t>Australian Journal of Zoology</w:t>
      </w:r>
      <w:r w:rsidRPr="00C741C6">
        <w:t xml:space="preserve"> </w:t>
      </w:r>
      <w:r w:rsidRPr="00C741C6">
        <w:rPr>
          <w:b/>
          <w:bCs/>
        </w:rPr>
        <w:t>48</w:t>
      </w:r>
      <w:r w:rsidRPr="00C741C6">
        <w:t>, 317–333.</w:t>
      </w:r>
    </w:p>
    <w:p w:rsidR="00C741C6" w:rsidRPr="00C741C6" w:rsidRDefault="00C741C6" w:rsidP="00C741C6">
      <w:pPr>
        <w:pStyle w:val="ARIERRefs"/>
      </w:pPr>
      <w:r w:rsidRPr="00C741C6">
        <w:t xml:space="preserve">Murdoch, W.W., Briggs, C.J. and Nisbet, R.M. (2003). </w:t>
      </w:r>
      <w:r w:rsidRPr="006850F1">
        <w:rPr>
          <w:i/>
        </w:rPr>
        <w:t>Consumer</w:t>
      </w:r>
      <w:r w:rsidR="007B5192" w:rsidRPr="006850F1">
        <w:rPr>
          <w:i/>
        </w:rPr>
        <w:t>–R</w:t>
      </w:r>
      <w:r w:rsidRPr="006850F1">
        <w:rPr>
          <w:i/>
        </w:rPr>
        <w:t xml:space="preserve">esource </w:t>
      </w:r>
      <w:r w:rsidR="007B5192" w:rsidRPr="006850F1">
        <w:rPr>
          <w:i/>
        </w:rPr>
        <w:t>D</w:t>
      </w:r>
      <w:r w:rsidRPr="006850F1">
        <w:rPr>
          <w:i/>
        </w:rPr>
        <w:t>ynamics</w:t>
      </w:r>
      <w:r w:rsidRPr="00C741C6">
        <w:t>. Princeton University Press</w:t>
      </w:r>
      <w:r w:rsidR="007B5192">
        <w:t>, Princeton, NJ, USA</w:t>
      </w:r>
      <w:r w:rsidRPr="00C741C6">
        <w:t>.</w:t>
      </w:r>
    </w:p>
    <w:p w:rsidR="00C741C6" w:rsidRPr="00C741C6" w:rsidRDefault="00C741C6" w:rsidP="00C741C6">
      <w:pPr>
        <w:pStyle w:val="ARIERRefs"/>
      </w:pPr>
      <w:r w:rsidRPr="00C741C6">
        <w:t xml:space="preserve">Prior, L.D., Murphy, B.P. and Russell-Smith, J. (2009). Environmental and demographic correlates of tree recruitment and mortality in north Australian savannas. </w:t>
      </w:r>
      <w:r w:rsidRPr="00C741C6">
        <w:rPr>
          <w:i/>
          <w:iCs/>
        </w:rPr>
        <w:t>Forest Ecology and Management</w:t>
      </w:r>
      <w:r w:rsidRPr="00C741C6">
        <w:t xml:space="preserve"> </w:t>
      </w:r>
      <w:r w:rsidRPr="00C741C6">
        <w:rPr>
          <w:b/>
          <w:bCs/>
        </w:rPr>
        <w:t>257</w:t>
      </w:r>
      <w:r w:rsidRPr="00C741C6">
        <w:t>, 66–74. doi:10.1016/j.foreco.2008.08.015</w:t>
      </w:r>
    </w:p>
    <w:p w:rsidR="00C741C6" w:rsidRPr="00C741C6" w:rsidRDefault="00C741C6" w:rsidP="00C741C6">
      <w:pPr>
        <w:pStyle w:val="ARIERRefs"/>
      </w:pPr>
      <w:r w:rsidRPr="00C741C6">
        <w:t xml:space="preserve">Ramsey, D.S.L., Todd, C.R. and Forsyth, D.M. (2010). </w:t>
      </w:r>
      <w:r w:rsidRPr="006850F1">
        <w:rPr>
          <w:i/>
        </w:rPr>
        <w:t>Population dynamics of koalas at Mt Eccles National Park</w:t>
      </w:r>
      <w:r w:rsidRPr="00C741C6">
        <w:t xml:space="preserve">. </w:t>
      </w:r>
      <w:r w:rsidR="006B6105" w:rsidRPr="00C741C6">
        <w:t>Arthu</w:t>
      </w:r>
      <w:r w:rsidR="006B6105" w:rsidRPr="006850F1">
        <w:t xml:space="preserve">r Rylah Institute for Environmental Research </w:t>
      </w:r>
      <w:r w:rsidRPr="006850F1">
        <w:t xml:space="preserve">Technical </w:t>
      </w:r>
      <w:r w:rsidR="007B5192" w:rsidRPr="006850F1">
        <w:t xml:space="preserve">Report Series No. </w:t>
      </w:r>
      <w:r w:rsidRPr="006850F1">
        <w:t xml:space="preserve">212. </w:t>
      </w:r>
      <w:r w:rsidR="00C95C58" w:rsidRPr="006850F1">
        <w:t>Department of Sustainability and Environment, Heidelberg, Victoria</w:t>
      </w:r>
      <w:r w:rsidRPr="006850F1">
        <w:t>.</w:t>
      </w:r>
    </w:p>
    <w:p w:rsidR="00C741C6" w:rsidRPr="00C741C6" w:rsidRDefault="00C741C6" w:rsidP="00C741C6">
      <w:pPr>
        <w:pStyle w:val="ARIERRefs"/>
      </w:pPr>
      <w:r w:rsidRPr="00C741C6">
        <w:lastRenderedPageBreak/>
        <w:t xml:space="preserve">Rosenzweig, M. (1971). The paradox of enrichment. </w:t>
      </w:r>
      <w:r w:rsidRPr="00C741C6">
        <w:rPr>
          <w:i/>
          <w:iCs/>
        </w:rPr>
        <w:t>Science</w:t>
      </w:r>
      <w:r w:rsidRPr="00C741C6">
        <w:t xml:space="preserve"> </w:t>
      </w:r>
      <w:r w:rsidRPr="00C741C6">
        <w:rPr>
          <w:b/>
          <w:bCs/>
        </w:rPr>
        <w:t>171</w:t>
      </w:r>
      <w:r w:rsidRPr="00C741C6">
        <w:t>, 385–387.</w:t>
      </w:r>
    </w:p>
    <w:p w:rsidR="00C741C6" w:rsidRPr="00C741C6" w:rsidRDefault="00C741C6" w:rsidP="00C741C6">
      <w:pPr>
        <w:pStyle w:val="ARIERRefs"/>
      </w:pPr>
      <w:r w:rsidRPr="00C741C6">
        <w:t xml:space="preserve">Stalenberg, E., Wallis, I.R., Cunningham, R.B., Allen, C. and Foley, W.J. (2014). Nutritional </w:t>
      </w:r>
      <w:r w:rsidR="007B5192">
        <w:t>c</w:t>
      </w:r>
      <w:r w:rsidR="007B5192" w:rsidRPr="00C741C6">
        <w:t xml:space="preserve">orrelates </w:t>
      </w:r>
      <w:r w:rsidRPr="00C741C6">
        <w:t xml:space="preserve">of Koala </w:t>
      </w:r>
      <w:r w:rsidR="007B5192">
        <w:t>p</w:t>
      </w:r>
      <w:r w:rsidR="007B5192" w:rsidRPr="00C741C6">
        <w:t xml:space="preserve">ersistence </w:t>
      </w:r>
      <w:r w:rsidRPr="00C741C6">
        <w:t xml:space="preserve">in a </w:t>
      </w:r>
      <w:r w:rsidR="007B5192" w:rsidRPr="00C741C6">
        <w:t>low-density p</w:t>
      </w:r>
      <w:r w:rsidRPr="00C741C6">
        <w:t xml:space="preserve">opulation. </w:t>
      </w:r>
      <w:r w:rsidRPr="00C741C6">
        <w:rPr>
          <w:i/>
          <w:iCs/>
        </w:rPr>
        <w:t>PLOS ONE</w:t>
      </w:r>
      <w:r w:rsidRPr="00C741C6">
        <w:t xml:space="preserve"> </w:t>
      </w:r>
      <w:r w:rsidRPr="00C741C6">
        <w:rPr>
          <w:b/>
          <w:bCs/>
        </w:rPr>
        <w:t>9</w:t>
      </w:r>
      <w:r w:rsidRPr="00C741C6">
        <w:t>, e113930. doi:10.1371/journal.pone.0113930</w:t>
      </w:r>
    </w:p>
    <w:p w:rsidR="00C741C6" w:rsidRPr="00C741C6" w:rsidRDefault="00C741C6" w:rsidP="00C741C6">
      <w:pPr>
        <w:pStyle w:val="ARIERRefs"/>
      </w:pPr>
      <w:r w:rsidRPr="00C741C6">
        <w:t xml:space="preserve">Whisson, D.A., Dixon, V., Taylor, M.L. and Melzer, A. (2016). Failure to </w:t>
      </w:r>
      <w:r w:rsidR="007B5192" w:rsidRPr="00C741C6">
        <w:t>respond to food resource decline has catastrophic consequences</w:t>
      </w:r>
      <w:r w:rsidRPr="00C741C6">
        <w:t xml:space="preserve"> for Koalas in a</w:t>
      </w:r>
      <w:r w:rsidR="007B5192" w:rsidRPr="00C741C6">
        <w:t xml:space="preserve"> high-density populati</w:t>
      </w:r>
      <w:r w:rsidRPr="00C741C6">
        <w:t xml:space="preserve">on in Southern Australia. </w:t>
      </w:r>
      <w:r w:rsidRPr="00C741C6">
        <w:rPr>
          <w:i/>
          <w:iCs/>
        </w:rPr>
        <w:t>PLOS ONE</w:t>
      </w:r>
      <w:r w:rsidRPr="00C741C6">
        <w:t xml:space="preserve"> </w:t>
      </w:r>
      <w:r w:rsidRPr="00C741C6">
        <w:rPr>
          <w:b/>
          <w:bCs/>
        </w:rPr>
        <w:t>11</w:t>
      </w:r>
      <w:r w:rsidRPr="00C741C6">
        <w:t>, e0144348. doi:10.1371/journal.pone.0144348</w:t>
      </w:r>
    </w:p>
    <w:p w:rsidR="00C741C6" w:rsidRPr="00C741C6" w:rsidRDefault="00C741C6" w:rsidP="00C741C6">
      <w:pPr>
        <w:pStyle w:val="ARIERRefs"/>
      </w:pPr>
      <w:r w:rsidRPr="00C741C6">
        <w:t>Wills, A.J., Burbidge, T.E. and Abbott, I. (2004). Impact of repeated defoliation on jarrah (</w:t>
      </w:r>
      <w:r w:rsidRPr="00C741C6">
        <w:rPr>
          <w:i/>
          <w:iCs/>
        </w:rPr>
        <w:t>Eucalyptus marginata</w:t>
      </w:r>
      <w:r w:rsidRPr="00C741C6">
        <w:t xml:space="preserve">) saplings. </w:t>
      </w:r>
      <w:r w:rsidRPr="00C741C6">
        <w:rPr>
          <w:i/>
          <w:iCs/>
        </w:rPr>
        <w:t>Australian Forestry</w:t>
      </w:r>
      <w:r w:rsidRPr="00C741C6">
        <w:t xml:space="preserve"> </w:t>
      </w:r>
      <w:r w:rsidRPr="00C741C6">
        <w:rPr>
          <w:b/>
          <w:bCs/>
        </w:rPr>
        <w:t>67</w:t>
      </w:r>
      <w:r w:rsidRPr="00C741C6">
        <w:t>, 194–198.</w:t>
      </w:r>
    </w:p>
    <w:p w:rsidR="00D739F4" w:rsidRDefault="00D739F4" w:rsidP="00C741C6">
      <w:pPr>
        <w:pStyle w:val="ARIERRefs"/>
      </w:pPr>
      <w:r w:rsidRPr="00C741C6">
        <w:t xml:space="preserve">Wood, M. (2008). </w:t>
      </w:r>
      <w:r w:rsidRPr="00D23DFB">
        <w:rPr>
          <w:i/>
        </w:rPr>
        <w:t>Mount Eccles National Park Manna Gum Condition Assessment August 2008</w:t>
      </w:r>
      <w:r w:rsidRPr="00C741C6">
        <w:t>. Unpublished report to Parks Victoria. Australian Ecological Research Services, Portland, Victoria.</w:t>
      </w:r>
    </w:p>
    <w:p w:rsidR="00C741C6" w:rsidRPr="00C741C6" w:rsidRDefault="00C741C6" w:rsidP="00C741C6">
      <w:pPr>
        <w:pStyle w:val="ARIERRefs"/>
      </w:pPr>
      <w:r w:rsidRPr="00C741C6">
        <w:t xml:space="preserve">Wood, M. (2013a). </w:t>
      </w:r>
      <w:r w:rsidRPr="006850F1">
        <w:rPr>
          <w:i/>
        </w:rPr>
        <w:t xml:space="preserve">Manna Gum </w:t>
      </w:r>
      <w:r w:rsidR="007B5192" w:rsidRPr="006850F1">
        <w:rPr>
          <w:i/>
        </w:rPr>
        <w:t xml:space="preserve">condition </w:t>
      </w:r>
      <w:r w:rsidRPr="006850F1">
        <w:rPr>
          <w:i/>
        </w:rPr>
        <w:t xml:space="preserve">and Koala </w:t>
      </w:r>
      <w:r w:rsidR="007B5192" w:rsidRPr="006850F1">
        <w:rPr>
          <w:i/>
        </w:rPr>
        <w:t xml:space="preserve">density within </w:t>
      </w:r>
      <w:r w:rsidRPr="006850F1">
        <w:rPr>
          <w:i/>
        </w:rPr>
        <w:t>Gunditj Mirring Indigenous Protected Areas, South West Victoria</w:t>
      </w:r>
      <w:r w:rsidRPr="00C741C6">
        <w:t>. Report to Gunditj Mirring Traditional Owners Aboriginal Corporation and Parks Victoria. Austalian Ecological Research Services, Portland, Victoria.</w:t>
      </w:r>
    </w:p>
    <w:p w:rsidR="00C741C6" w:rsidRPr="00C741C6" w:rsidRDefault="00C741C6" w:rsidP="00C741C6">
      <w:pPr>
        <w:pStyle w:val="ARIERRefs"/>
      </w:pPr>
      <w:r w:rsidRPr="00C741C6">
        <w:t xml:space="preserve">Wood, M. (2013b). </w:t>
      </w:r>
      <w:r w:rsidRPr="006850F1">
        <w:rPr>
          <w:i/>
        </w:rPr>
        <w:t>Mount Eccles National Park Koala Population Survey August 2013</w:t>
      </w:r>
      <w:r w:rsidRPr="00C741C6">
        <w:t>. Unpublished report to Parks Victoria. Australian Ecological Research Services, Portland, Victoria.</w:t>
      </w:r>
    </w:p>
    <w:p w:rsidR="00C741C6" w:rsidRPr="00B80D8D" w:rsidRDefault="00C741C6" w:rsidP="00C741C6">
      <w:pPr>
        <w:pStyle w:val="ARIERRefs"/>
        <w:rPr>
          <w:szCs w:val="22"/>
          <w:lang w:eastAsia="en-AU"/>
        </w:rPr>
      </w:pPr>
      <w:r w:rsidRPr="00C741C6">
        <w:fldChar w:fldCharType="end"/>
      </w:r>
      <w:bookmarkEnd w:id="66"/>
    </w:p>
    <w:p w:rsidR="0031312B" w:rsidRDefault="00606707" w:rsidP="006850F1">
      <w:pPr>
        <w:pStyle w:val="ARIERHA"/>
      </w:pPr>
      <w:r w:rsidRPr="00B80D8D">
        <w:fldChar w:fldCharType="end"/>
      </w:r>
      <w:r w:rsidR="0031312B">
        <w:br w:type="page"/>
      </w:r>
      <w:bookmarkStart w:id="67" w:name="_Toc455406136"/>
      <w:r w:rsidR="0031312B">
        <w:lastRenderedPageBreak/>
        <w:t>Appendix 1</w:t>
      </w:r>
      <w:bookmarkEnd w:id="67"/>
    </w:p>
    <w:p w:rsidR="0031312B" w:rsidRPr="008B6F1C" w:rsidRDefault="0031312B" w:rsidP="00F6205D">
      <w:pPr>
        <w:pStyle w:val="ARIERBody"/>
      </w:pPr>
      <w:r>
        <w:t>W</w:t>
      </w:r>
      <w:r w:rsidRPr="008B6F1C">
        <w:t xml:space="preserve">e used observations of tree death to model tree mortality as a function of the </w:t>
      </w:r>
      <w:r>
        <w:t>canopy foliage cover using a</w:t>
      </w:r>
      <w:r w:rsidRPr="008B6F1C">
        <w:t xml:space="preserve"> discrete-time survival model</w:t>
      </w:r>
      <w:r>
        <w:t>.</w:t>
      </w:r>
      <w:r w:rsidR="00285836">
        <w:t xml:space="preserve"> </w:t>
      </w:r>
      <w:r>
        <w:t xml:space="preserve">We used a </w:t>
      </w:r>
      <w:r w:rsidRPr="008B6F1C">
        <w:t>proportion</w:t>
      </w:r>
      <w:r>
        <w:t>al</w:t>
      </w:r>
      <w:r w:rsidRPr="008B6F1C">
        <w:t xml:space="preserve"> hazard representation</w:t>
      </w:r>
      <w:r>
        <w:t xml:space="preserve"> of the form:</w:t>
      </w:r>
    </w:p>
    <w:p w:rsidR="0031312B" w:rsidRPr="008B6F1C" w:rsidRDefault="0031312B" w:rsidP="006713DC">
      <w:pPr>
        <w:pStyle w:val="ARIERBody"/>
        <w:tabs>
          <w:tab w:val="right" w:pos="9639"/>
        </w:tabs>
      </w:pPr>
      <w:r w:rsidRPr="00B7201D">
        <w:rPr>
          <w:position w:val="-30"/>
        </w:rPr>
        <w:object w:dxaOrig="2480" w:dyaOrig="720" w14:anchorId="691A6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38.2pt" o:ole="">
            <v:imagedata r:id="rId39" o:title=""/>
          </v:shape>
          <o:OLEObject Type="Embed" ProgID="Equation.3" ShapeID="_x0000_i1025" DrawAspect="Content" ObjectID="_1542112962" r:id="rId40"/>
        </w:object>
      </w:r>
      <w:r>
        <w:t xml:space="preserve">, </w:t>
      </w:r>
      <w:r w:rsidRPr="008B6F1C">
        <w:tab/>
        <w:t xml:space="preserve">Eq. </w:t>
      </w:r>
      <w:r>
        <w:t>1</w:t>
      </w:r>
    </w:p>
    <w:p w:rsidR="0031312B" w:rsidRPr="008B6F1C" w:rsidRDefault="0031312B" w:rsidP="00F6205D">
      <w:pPr>
        <w:pStyle w:val="ARIERBody"/>
      </w:pPr>
    </w:p>
    <w:p w:rsidR="0031312B" w:rsidRDefault="0031312B" w:rsidP="00F6205D">
      <w:pPr>
        <w:pStyle w:val="ARIERBody"/>
      </w:pPr>
      <w:r w:rsidRPr="008B6F1C">
        <w:t xml:space="preserve">where </w:t>
      </w:r>
      <w:r w:rsidRPr="008B6F1C">
        <w:rPr>
          <w:position w:val="-6"/>
        </w:rPr>
        <w:object w:dxaOrig="220" w:dyaOrig="279" w14:anchorId="3471E723">
          <v:shape id="_x0000_i1026" type="#_x0000_t75" style="width:11.9pt;height:12.5pt" o:ole="">
            <v:imagedata r:id="rId41" o:title=""/>
          </v:shape>
          <o:OLEObject Type="Embed" ProgID="Equation.3" ShapeID="_x0000_i1026" DrawAspect="Content" ObjectID="_1542112963" r:id="rId42"/>
        </w:object>
      </w:r>
      <w:r w:rsidRPr="008B6F1C">
        <w:t xml:space="preserve"> describes the baseline hazard rate, </w:t>
      </w:r>
      <w:r w:rsidRPr="008B6F1C">
        <w:rPr>
          <w:position w:val="-10"/>
        </w:rPr>
        <w:object w:dxaOrig="200" w:dyaOrig="260" w14:anchorId="10BD0581">
          <v:shape id="_x0000_i1027" type="#_x0000_t75" style="width:11.25pt;height:12.5pt" o:ole="">
            <v:imagedata r:id="rId43" o:title=""/>
          </v:shape>
          <o:OLEObject Type="Embed" ProgID="Equation.3" ShapeID="_x0000_i1027" DrawAspect="Content" ObjectID="_1542112964" r:id="rId44"/>
        </w:object>
      </w:r>
      <w:r w:rsidRPr="008B6F1C">
        <w:t xml:space="preserve"> models the effect of modelled </w:t>
      </w:r>
      <w:r>
        <w:t>PFC</w:t>
      </w:r>
      <w:r w:rsidRPr="008B6F1C">
        <w:t xml:space="preserve"> on the hazard rate</w:t>
      </w:r>
      <w:r>
        <w:t>,</w:t>
      </w:r>
      <w:r w:rsidRPr="008B6F1C">
        <w:t xml:space="preserve"> and </w:t>
      </w:r>
      <w:r w:rsidRPr="008B6F1C">
        <w:rPr>
          <w:position w:val="-6"/>
        </w:rPr>
        <w:object w:dxaOrig="200" w:dyaOrig="220" w14:anchorId="3E88ECE5">
          <v:shape id="_x0000_i1028" type="#_x0000_t75" style="width:11.25pt;height:11.9pt" o:ole="">
            <v:imagedata r:id="rId45" o:title=""/>
          </v:shape>
          <o:OLEObject Type="Embed" ProgID="Equation.3" ShapeID="_x0000_i1028" DrawAspect="Content" ObjectID="_1542112965" r:id="rId46"/>
        </w:object>
      </w:r>
      <w:r w:rsidRPr="008B6F1C">
        <w:t xml:space="preserve"> is a random effect due to individual tree</w:t>
      </w:r>
      <w:r w:rsidR="00D57DAF">
        <w:t xml:space="preserve"> </w:t>
      </w:r>
      <w:r w:rsidR="00D57DAF">
        <w:rPr>
          <w:i/>
        </w:rPr>
        <w:t>i</w:t>
      </w:r>
      <w:r w:rsidR="00D57DAF">
        <w:t>.</w:t>
      </w:r>
      <w:r w:rsidRPr="008B6F1C">
        <w:t xml:space="preserve"> Eq</w:t>
      </w:r>
      <w:r>
        <w:t>uation 1</w:t>
      </w:r>
      <w:r w:rsidRPr="008B6F1C">
        <w:t xml:space="preserve"> was fitted using a complementary log</w:t>
      </w:r>
      <w:r w:rsidR="00D57DAF">
        <w:t>–</w:t>
      </w:r>
      <w:r w:rsidRPr="008B6F1C">
        <w:t xml:space="preserve">log link, which is equivalent to specifying an exponential survival model in continuous time </w:t>
      </w:r>
      <w:r w:rsidRPr="008B6F1C">
        <w:fldChar w:fldCharType="begin"/>
      </w:r>
      <w:r>
        <w:instrText xml:space="preserve"> ADDIN ZOTERO_ITEM CSL_CITATION {"citationID":"iKue7J2Y","properties":{"formattedCitation":"(Allison 1982)","plainCitation":"(Allison 1982)"},"citationItems":[{"id":613,"uris":["http://zotero.org/users/634364/items/BM3QFUB4"],"uri":["http://zotero.org/users/634364/items/BM3QFUB4"],"itemData":{"id":613,"type":"article-journal","title":"Discrete-time methods for the analysis of event histories.","container-title":"Sociological Methodology","page":"61-98","volume":"13","author":[{"family":"Allison","given":"P.D."}],"issued":{"date-parts":[["1982"]]}}}],"schema":"https://github.com/citation-style-language/schema/raw/master/csl-citation.json"} </w:instrText>
      </w:r>
      <w:r w:rsidRPr="008B6F1C">
        <w:fldChar w:fldCharType="separate"/>
      </w:r>
      <w:r w:rsidRPr="008B6F1C">
        <w:t>(Allison 1982)</w:t>
      </w:r>
      <w:r w:rsidRPr="008B6F1C">
        <w:fldChar w:fldCharType="end"/>
      </w:r>
      <w:r w:rsidRPr="008B6F1C">
        <w:t>.</w:t>
      </w:r>
    </w:p>
    <w:p w:rsidR="0031312B" w:rsidRDefault="0031312B" w:rsidP="0031312B">
      <w:r>
        <w:br w:type="page"/>
      </w:r>
    </w:p>
    <w:p w:rsidR="0031312B" w:rsidRDefault="0031312B" w:rsidP="00576C1D">
      <w:pPr>
        <w:pStyle w:val="ARIERHA"/>
      </w:pPr>
      <w:bookmarkStart w:id="68" w:name="_Toc455406137"/>
      <w:r>
        <w:t>Appendix 2</w:t>
      </w:r>
      <w:bookmarkEnd w:id="68"/>
    </w:p>
    <w:p w:rsidR="0031312B" w:rsidRPr="00B75952" w:rsidRDefault="0031312B" w:rsidP="00576C1D">
      <w:pPr>
        <w:pStyle w:val="ARIERHB"/>
      </w:pPr>
      <w:bookmarkStart w:id="69" w:name="_Toc455406138"/>
      <w:r>
        <w:t xml:space="preserve">Forest </w:t>
      </w:r>
      <w:r w:rsidR="0010306B">
        <w:t xml:space="preserve">canopy condition </w:t>
      </w:r>
      <w:r w:rsidR="0010306B" w:rsidRPr="00881BF9">
        <w:t>assessment</w:t>
      </w:r>
      <w:r w:rsidR="00A144B6">
        <w:t>—</w:t>
      </w:r>
      <w:r w:rsidR="0010306B">
        <w:t>field p</w:t>
      </w:r>
      <w:r>
        <w:t>rotocol</w:t>
      </w:r>
      <w:bookmarkEnd w:id="69"/>
    </w:p>
    <w:p w:rsidR="0031312B" w:rsidRPr="004634A8" w:rsidRDefault="0031312B" w:rsidP="00F6205D">
      <w:pPr>
        <w:pStyle w:val="ARIERBody"/>
      </w:pPr>
      <w:r w:rsidRPr="004634A8">
        <w:t xml:space="preserve">Surveys for canopy condition </w:t>
      </w:r>
      <w:r w:rsidR="003E0BF9">
        <w:t>were</w:t>
      </w:r>
      <w:r>
        <w:t xml:space="preserve"> undertaken using</w:t>
      </w:r>
      <w:r w:rsidRPr="004634A8">
        <w:t xml:space="preserve"> the point centre quarter sampling </w:t>
      </w:r>
      <w:r>
        <w:t xml:space="preserve">method </w:t>
      </w:r>
      <w:r w:rsidRPr="004634A8">
        <w:t xml:space="preserve">used at Mt Eccles National Park </w:t>
      </w:r>
      <w:r w:rsidRPr="004634A8">
        <w:fldChar w:fldCharType="begin"/>
      </w:r>
      <w:r w:rsidRPr="004634A8">
        <w:instrText xml:space="preserve"> ADDIN EN.CITE &lt;EndNote&gt;&lt;Cite&gt;&lt;Author&gt;Wood&lt;/Author&gt;&lt;Year&gt;2007&lt;/Year&gt;&lt;RecNum&gt;2168&lt;/RecNum&gt;&lt;DisplayText&gt;(Wood 2007)&lt;/DisplayText&gt;&lt;record&gt;&lt;rec-number&gt;2168&lt;/rec-number&gt;&lt;foreign-keys&gt;&lt;key app="EN" db-id="xeztefva5ww22sezaeapxv5s5xw2tsvv2p9p"&gt;2168&lt;/key&gt;&lt;/foreign-keys&gt;&lt;ref-type name="Report"&gt;27&lt;/ref-type&gt;&lt;contributors&gt;&lt;authors&gt;&lt;author&gt;Wood, M.&lt;/author&gt;&lt;/authors&gt;&lt;/contributors&gt;&lt;titles&gt;&lt;title&gt;Mount Eccles National Park Manna Gum Condition Assessment August 2006&lt;/title&gt;&lt;/titles&gt;&lt;dates&gt;&lt;year&gt;2007&lt;/year&gt;&lt;/dates&gt;&lt;publisher&gt;Report to Parks Victoria, Australian Ecological Research Services&lt;/publisher&gt;&lt;urls&gt;&lt;/urls&gt;&lt;/record&gt;&lt;/Cite&gt;&lt;/EndNote&gt;</w:instrText>
      </w:r>
      <w:r w:rsidRPr="004634A8">
        <w:fldChar w:fldCharType="separate"/>
      </w:r>
      <w:r w:rsidRPr="004634A8">
        <w:t>(</w:t>
      </w:r>
      <w:hyperlink w:anchor="_ENREF_17" w:tooltip="Wood, 2007 #2168" w:history="1">
        <w:r w:rsidRPr="004634A8">
          <w:t>Wood 200</w:t>
        </w:r>
        <w:r w:rsidR="00611627">
          <w:t>8</w:t>
        </w:r>
      </w:hyperlink>
      <w:r w:rsidRPr="004634A8">
        <w:t>)</w:t>
      </w:r>
      <w:r w:rsidRPr="004634A8">
        <w:fldChar w:fldCharType="end"/>
      </w:r>
      <w:r w:rsidRPr="004634A8">
        <w:t xml:space="preserve"> and other locations </w:t>
      </w:r>
      <w:r w:rsidR="00D57DAF">
        <w:t>(</w:t>
      </w:r>
      <w:r w:rsidRPr="004634A8">
        <w:t xml:space="preserve">to ensure that </w:t>
      </w:r>
      <w:r>
        <w:t>the</w:t>
      </w:r>
      <w:r w:rsidRPr="004634A8">
        <w:t xml:space="preserve"> resultant data </w:t>
      </w:r>
      <w:r w:rsidR="003E0BF9">
        <w:t>were</w:t>
      </w:r>
      <w:r w:rsidR="003E0BF9" w:rsidRPr="004634A8">
        <w:t xml:space="preserve"> </w:t>
      </w:r>
      <w:r w:rsidRPr="004634A8">
        <w:t>compatible with previous surveys</w:t>
      </w:r>
      <w:r w:rsidR="00D57DAF">
        <w:t>)</w:t>
      </w:r>
      <w:r w:rsidRPr="004634A8">
        <w:t>.</w:t>
      </w:r>
    </w:p>
    <w:p w:rsidR="0031312B" w:rsidRDefault="0031312B" w:rsidP="00F6205D">
      <w:pPr>
        <w:pStyle w:val="ARIERBody"/>
      </w:pPr>
      <w:r>
        <w:t xml:space="preserve">Transects </w:t>
      </w:r>
      <w:r w:rsidR="00D57DAF">
        <w:t xml:space="preserve">of </w:t>
      </w:r>
      <w:r>
        <w:t>at least 300</w:t>
      </w:r>
      <w:r w:rsidR="00D57DAF">
        <w:t> </w:t>
      </w:r>
      <w:r>
        <w:t xml:space="preserve">m in length </w:t>
      </w:r>
      <w:r w:rsidR="003E0BF9">
        <w:t>were</w:t>
      </w:r>
      <w:r>
        <w:t xml:space="preserve"> established at a random star</w:t>
      </w:r>
      <w:r w:rsidR="00D57DAF">
        <w:t>t</w:t>
      </w:r>
      <w:r>
        <w:t>ing position at each site</w:t>
      </w:r>
      <w:r w:rsidR="00D57DAF">
        <w:t>,</w:t>
      </w:r>
      <w:r>
        <w:t xml:space="preserve"> with a minimum of 200</w:t>
      </w:r>
      <w:r w:rsidR="00D57DAF">
        <w:t> </w:t>
      </w:r>
      <w:r>
        <w:t>m between start points.</w:t>
      </w:r>
      <w:r w:rsidR="00285836">
        <w:t xml:space="preserve"> </w:t>
      </w:r>
      <w:r w:rsidRPr="004634A8">
        <w:t>At each 50 m along the 300 m transect (</w:t>
      </w:r>
      <w:r w:rsidRPr="006850F1">
        <w:rPr>
          <w:i/>
        </w:rPr>
        <w:t>n</w:t>
      </w:r>
      <w:r w:rsidRPr="004634A8">
        <w:t xml:space="preserve"> = 7 survey points</w:t>
      </w:r>
      <w:r w:rsidR="00D57DAF">
        <w:t>, including the start point</w:t>
      </w:r>
      <w:r w:rsidRPr="004634A8">
        <w:t>), the closest mature and live eucalypt (DBH ≥10 cm) within each of the four compass quadrants (north-east, south-east, south-west</w:t>
      </w:r>
      <w:r w:rsidR="00D57DAF">
        <w:t xml:space="preserve"> and</w:t>
      </w:r>
      <w:r w:rsidRPr="004634A8">
        <w:t xml:space="preserve"> north-west) </w:t>
      </w:r>
      <w:r w:rsidR="003E0BF9">
        <w:t>wa</w:t>
      </w:r>
      <w:r w:rsidR="00D57DAF">
        <w:t>s</w:t>
      </w:r>
      <w:r w:rsidR="00D57DAF" w:rsidRPr="004634A8">
        <w:t xml:space="preserve"> </w:t>
      </w:r>
      <w:r w:rsidRPr="004634A8">
        <w:t>selected (</w:t>
      </w:r>
      <w:r w:rsidR="00D57DAF">
        <w:t>i.e.</w:t>
      </w:r>
      <w:r w:rsidR="00D57DAF" w:rsidRPr="004634A8">
        <w:t xml:space="preserve"> </w:t>
      </w:r>
      <w:r w:rsidRPr="004634A8">
        <w:t>28 trees per transect).</w:t>
      </w:r>
      <w:r w:rsidR="00285836">
        <w:t xml:space="preserve"> </w:t>
      </w:r>
      <w:r w:rsidRPr="004634A8">
        <w:t xml:space="preserve">For each tree, </w:t>
      </w:r>
      <w:r w:rsidR="00A74DB0">
        <w:t xml:space="preserve">the </w:t>
      </w:r>
      <w:r w:rsidRPr="004634A8">
        <w:t>observers record</w:t>
      </w:r>
      <w:r w:rsidR="003E0BF9">
        <w:t>ed</w:t>
      </w:r>
      <w:r w:rsidRPr="004634A8">
        <w:t xml:space="preserve"> the species of eucalypt, distance from the transect survey point, DBH of each stem ≥10 cm, and canopy radius (average of four directions) (see field data sheet, Appendix 2).</w:t>
      </w:r>
      <w:r w:rsidR="00285836">
        <w:t xml:space="preserve"> </w:t>
      </w:r>
      <w:r w:rsidRPr="004634A8">
        <w:t xml:space="preserve">The </w:t>
      </w:r>
      <w:r w:rsidR="00D57DAF">
        <w:t>PFC</w:t>
      </w:r>
      <w:r w:rsidRPr="004634A8">
        <w:t xml:space="preserve"> of the canopy was estimated to the nearest 5%</w:t>
      </w:r>
      <w:r w:rsidR="007C095E">
        <w:t>,</w:t>
      </w:r>
      <w:r w:rsidRPr="004634A8">
        <w:t xml:space="preserve"> using reference photographs </w:t>
      </w:r>
      <w:r w:rsidRPr="006850F1">
        <w:fldChar w:fldCharType="begin"/>
      </w:r>
      <w:r w:rsidRPr="006850F1">
        <w:instrText xml:space="preserve"> ADDIN EN.CITE &lt;EndNote&gt;&lt;Cite&gt;&lt;Author&gt;McDonald&lt;/Author&gt;&lt;Year&gt;1984&lt;/Year&gt;&lt;RecNum&gt;1636&lt;/RecNum&gt;&lt;DisplayText&gt;(McDonald&lt;style face="italic"&gt; et al.&lt;/style&gt; 1984)&lt;/DisplayText&gt;&lt;record&gt;&lt;rec-number&gt;1636&lt;/rec-number&gt;&lt;foreign-keys&gt;&lt;key app="EN" db-id="xeztefva5ww22sezaeapxv5s5xw2tsvv2p9p"&gt;1636&lt;/key&gt;&lt;/foreign-keys&gt;&lt;ref-type name="Book"&gt;6&lt;/ref-type&gt;&lt;contributors&gt;&lt;authors&gt;&lt;author&gt;McDonald, R. C.&lt;/author&gt;&lt;author&gt;Isbell, R. F.&lt;/author&gt;&lt;author&gt;Speight, J. G.&lt;/author&gt;&lt;author&gt;Walker, J.&lt;/author&gt;&lt;author&gt;Hopkins, M. S.&lt;/author&gt;&lt;/authors&gt;&lt;/contributors&gt;&lt;titles&gt;&lt;title&gt;Australian Soil and Land Survey Field Handbook&lt;/title&gt;&lt;/titles&gt;&lt;dates&gt;&lt;year&gt;1984&lt;/year&gt;&lt;/dates&gt;&lt;pub-location&gt;Melbourne&lt;/pub-location&gt;&lt;publisher&gt;Inkata Press&lt;/publisher&gt;&lt;urls&gt;&lt;/urls&gt;&lt;/record&gt;&lt;/Cite&gt;&lt;/EndNote&gt;</w:instrText>
      </w:r>
      <w:r w:rsidRPr="006850F1">
        <w:fldChar w:fldCharType="separate"/>
      </w:r>
      <w:r w:rsidRPr="006850F1">
        <w:rPr>
          <w:noProof/>
        </w:rPr>
        <w:t>(</w:t>
      </w:r>
      <w:hyperlink w:anchor="_ENREF_11" w:tooltip="McDonald, 1984 #1636" w:history="1">
        <w:r w:rsidRPr="006850F1">
          <w:rPr>
            <w:noProof/>
          </w:rPr>
          <w:t>McDonald et al. 1984</w:t>
        </w:r>
      </w:hyperlink>
      <w:r w:rsidRPr="006850F1">
        <w:rPr>
          <w:noProof/>
        </w:rPr>
        <w:t>)</w:t>
      </w:r>
      <w:r w:rsidRPr="006850F1">
        <w:fldChar w:fldCharType="end"/>
      </w:r>
      <w:r w:rsidRPr="006850F1">
        <w:t>, and the defoliation class (</w:t>
      </w:r>
      <w:r w:rsidR="00A74DB0">
        <w:t>nine</w:t>
      </w:r>
      <w:r w:rsidR="00A74DB0" w:rsidRPr="006850F1">
        <w:t xml:space="preserve"> </w:t>
      </w:r>
      <w:r w:rsidRPr="006850F1">
        <w:t xml:space="preserve">classes, </w:t>
      </w:r>
      <w:r w:rsidR="007C095E">
        <w:t>–</w:t>
      </w:r>
      <w:r w:rsidRPr="006850F1">
        <w:t>1 to 7) was also estimated using reference</w:t>
      </w:r>
      <w:r w:rsidRPr="004634A8">
        <w:t xml:space="preserve"> photographs (Kelly 2000, cited in Wood 2</w:t>
      </w:r>
      <w:r>
        <w:t>00</w:t>
      </w:r>
      <w:r w:rsidR="00611627">
        <w:t>8</w:t>
      </w:r>
      <w:r>
        <w:t>).</w:t>
      </w:r>
      <w:r w:rsidR="00285836">
        <w:t xml:space="preserve"> </w:t>
      </w:r>
      <w:r>
        <w:t>For private land sites (translocation trial donor sites), t</w:t>
      </w:r>
      <w:r w:rsidRPr="004634A8">
        <w:t xml:space="preserve">he GPS location (GDA94, Zone 54) of each survey point was recorded to facilitate future </w:t>
      </w:r>
      <w:r>
        <w:t>monitoring</w:t>
      </w:r>
      <w:r w:rsidRPr="004634A8">
        <w:t>.</w:t>
      </w:r>
      <w:r w:rsidR="00285836">
        <w:t xml:space="preserve"> </w:t>
      </w:r>
      <w:r w:rsidRPr="004634A8">
        <w:t>All data were entered into an Access™ database, and estimates of live tree density and leaf area per hectare for each tree species were later calculated</w:t>
      </w:r>
      <w:r w:rsidR="003E0BF9">
        <w:t>,</w:t>
      </w:r>
      <w:r w:rsidRPr="004634A8">
        <w:t xml:space="preserve"> as per Wood (200</w:t>
      </w:r>
      <w:r w:rsidR="00611627">
        <w:t>8</w:t>
      </w:r>
      <w:r w:rsidRPr="004634A8">
        <w:t>).</w:t>
      </w:r>
    </w:p>
    <w:p w:rsidR="0031312B" w:rsidRDefault="0031312B" w:rsidP="0031312B">
      <w:r w:rsidRPr="003D62FF">
        <w:rPr>
          <w:noProof/>
          <w:lang w:eastAsia="en-AU"/>
        </w:rPr>
        <w:lastRenderedPageBreak/>
        <w:drawing>
          <wp:anchor distT="0" distB="0" distL="114300" distR="114300" simplePos="0" relativeHeight="251683840" behindDoc="0" locked="0" layoutInCell="1" allowOverlap="1" wp14:anchorId="3C395978" wp14:editId="7F2A1D3E">
            <wp:simplePos x="0" y="0"/>
            <wp:positionH relativeFrom="column">
              <wp:posOffset>-73152</wp:posOffset>
            </wp:positionH>
            <wp:positionV relativeFrom="paragraph">
              <wp:posOffset>108763</wp:posOffset>
            </wp:positionV>
            <wp:extent cx="5122545" cy="8222615"/>
            <wp:effectExtent l="0" t="0" r="1905"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2545" cy="822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12B" w:rsidRDefault="00DD0944" w:rsidP="00576C1D">
      <w:pPr>
        <w:pStyle w:val="ARIERHA"/>
      </w:pPr>
      <w:r>
        <w:br w:type="page"/>
      </w:r>
      <w:bookmarkStart w:id="70" w:name="_Toc455406139"/>
      <w:r w:rsidR="0031312B">
        <w:lastRenderedPageBreak/>
        <w:t>Appen</w:t>
      </w:r>
      <w:r>
        <w:t>dix 3</w:t>
      </w:r>
      <w:bookmarkEnd w:id="70"/>
    </w:p>
    <w:p w:rsidR="0031312B" w:rsidRPr="00B75952" w:rsidRDefault="0031312B" w:rsidP="00576C1D">
      <w:pPr>
        <w:pStyle w:val="ARIERHB"/>
      </w:pPr>
      <w:bookmarkStart w:id="71" w:name="_Toc455406140"/>
      <w:r w:rsidRPr="00881BF9">
        <w:t>Koala surveys</w:t>
      </w:r>
      <w:r w:rsidR="00A144B6">
        <w:t>—</w:t>
      </w:r>
      <w:r w:rsidR="00DD0944">
        <w:t>f</w:t>
      </w:r>
      <w:r>
        <w:t>ield protocol</w:t>
      </w:r>
      <w:bookmarkEnd w:id="71"/>
    </w:p>
    <w:p w:rsidR="0031312B" w:rsidRPr="004634A8" w:rsidRDefault="0031312B" w:rsidP="00F6205D">
      <w:pPr>
        <w:pStyle w:val="ARIERBody"/>
      </w:pPr>
      <w:r w:rsidRPr="004634A8">
        <w:t xml:space="preserve">Surveys for </w:t>
      </w:r>
      <w:r w:rsidR="005574FB">
        <w:t>Koala</w:t>
      </w:r>
      <w:r w:rsidRPr="004634A8">
        <w:t xml:space="preserve">s </w:t>
      </w:r>
      <w:r>
        <w:t>are</w:t>
      </w:r>
      <w:r w:rsidRPr="004634A8">
        <w:t xml:space="preserve"> undertaken </w:t>
      </w:r>
      <w:r>
        <w:t>on the same transects established for assessment of canopy condition.</w:t>
      </w:r>
      <w:r w:rsidR="00285836">
        <w:t xml:space="preserve"> </w:t>
      </w:r>
      <w:r>
        <w:t>Surveys use</w:t>
      </w:r>
      <w:r w:rsidRPr="004634A8">
        <w:t xml:space="preserve"> the double-count method </w:t>
      </w:r>
      <w:r w:rsidRPr="004634A8">
        <w:fldChar w:fldCharType="begin"/>
      </w:r>
      <w:r w:rsidRPr="004634A8">
        <w:instrText xml:space="preserve"> ADDIN EN.CITE &lt;EndNote&gt;&lt;Cite&gt;&lt;Author&gt;Caughley&lt;/Author&gt;&lt;Year&gt;1994&lt;/Year&gt;&lt;RecNum&gt;2202&lt;/RecNum&gt;&lt;DisplayText&gt;(Caughley and Sinclair 1994)&lt;/DisplayText&gt;&lt;record&gt;&lt;rec-number&gt;2202&lt;/rec-number&gt;&lt;foreign-keys&gt;&lt;key app="EN" db-id="xeztefva5ww22sezaeapxv5s5xw2tsvv2p9p"&gt;2202&lt;/key&gt;&lt;/foreign-keys&gt;&lt;ref-type name="Book"&gt;6&lt;/ref-type&gt;&lt;contributors&gt;&lt;authors&gt;&lt;author&gt;Caughley, G.&lt;/author&gt;&lt;author&gt;Sinclair, A.&lt;/author&gt;&lt;/authors&gt;&lt;/contributors&gt;&lt;titles&gt;&lt;title&gt;Wildlife Ecology and Management&lt;/title&gt;&lt;/titles&gt;&lt;dates&gt;&lt;year&gt;1994&lt;/year&gt;&lt;/dates&gt;&lt;pub-location&gt;Cambridge&lt;/pub-location&gt;&lt;publisher&gt;Blackwell Science&lt;/publisher&gt;&lt;urls&gt;&lt;/urls&gt;&lt;/record&gt;&lt;/Cite&gt;&lt;/EndNote&gt;</w:instrText>
      </w:r>
      <w:r w:rsidRPr="004634A8">
        <w:fldChar w:fldCharType="separate"/>
      </w:r>
      <w:r w:rsidRPr="004634A8">
        <w:t>(</w:t>
      </w:r>
      <w:hyperlink w:anchor="_ENREF_3" w:tooltip="Caughley, 1994 #2202" w:history="1">
        <w:r w:rsidRPr="004634A8">
          <w:t>Caughley and Sinclair 1994</w:t>
        </w:r>
      </w:hyperlink>
      <w:r w:rsidRPr="004634A8">
        <w:t>)</w:t>
      </w:r>
      <w:r w:rsidRPr="004634A8">
        <w:fldChar w:fldCharType="end"/>
      </w:r>
      <w:r>
        <w:t xml:space="preserve"> as </w:t>
      </w:r>
      <w:r w:rsidRPr="004634A8">
        <w:t xml:space="preserve">used at Mount Eccles National Park </w:t>
      </w:r>
      <w:r w:rsidRPr="004634A8">
        <w:fldChar w:fldCharType="begin"/>
      </w:r>
      <w:r w:rsidRPr="004634A8">
        <w:instrText xml:space="preserve"> ADDIN EN.CITE &lt;EndNote&gt;&lt;Cite&gt;&lt;Author&gt;Wood&lt;/Author&gt;&lt;Year&gt;2013&lt;/Year&gt;&lt;RecNum&gt;2167&lt;/RecNum&gt;&lt;DisplayText&gt;(Wood 2013)&lt;/DisplayText&gt;&lt;record&gt;&lt;rec-number&gt;2167&lt;/rec-number&gt;&lt;foreign-keys&gt;&lt;key app="EN" db-id="xeztefva5ww22sezaeapxv5s5xw2tsvv2p9p"&gt;2167&lt;/key&gt;&lt;/foreign-keys&gt;&lt;ref-type name="Report"&gt;27&lt;/ref-type&gt;&lt;contributors&gt;&lt;authors&gt;&lt;author&gt;Wood, M.&lt;/author&gt;&lt;/authors&gt;&lt;/contributors&gt;&lt;titles&gt;&lt;title&gt;Mount Eccles National Park Koala Population Survey August 2013&lt;/title&gt;&lt;/titles&gt;&lt;dates&gt;&lt;year&gt;2013&lt;/year&gt;&lt;/dates&gt;&lt;publisher&gt;Report to Parks Victoria, Australian Ecological Research Services&lt;/publisher&gt;&lt;urls&gt;&lt;/urls&gt;&lt;/record&gt;&lt;/Cite&gt;&lt;/EndNote&gt;</w:instrText>
      </w:r>
      <w:r w:rsidRPr="004634A8">
        <w:fldChar w:fldCharType="separate"/>
      </w:r>
      <w:r w:rsidRPr="004634A8">
        <w:t>(</w:t>
      </w:r>
      <w:hyperlink w:anchor="_ENREF_18" w:tooltip="Wood, 2013 #2167" w:history="1">
        <w:r w:rsidRPr="004634A8">
          <w:t>Wood 2013</w:t>
        </w:r>
      </w:hyperlink>
      <w:r w:rsidR="00611627">
        <w:t>b</w:t>
      </w:r>
      <w:r w:rsidRPr="004634A8">
        <w:t>)</w:t>
      </w:r>
      <w:r w:rsidRPr="004634A8">
        <w:fldChar w:fldCharType="end"/>
      </w:r>
      <w:r w:rsidRPr="004634A8">
        <w:t xml:space="preserve">, and other locations, to ensure that the resultant data </w:t>
      </w:r>
      <w:r>
        <w:t>are</w:t>
      </w:r>
      <w:r w:rsidRPr="004634A8">
        <w:t xml:space="preserve"> compatible with previous surveys.</w:t>
      </w:r>
    </w:p>
    <w:p w:rsidR="0031312B" w:rsidRPr="004634A8" w:rsidRDefault="0031312B" w:rsidP="00F6205D">
      <w:pPr>
        <w:pStyle w:val="ARIERBody"/>
      </w:pPr>
      <w:r w:rsidRPr="004634A8">
        <w:t>The centre line</w:t>
      </w:r>
      <w:r>
        <w:t xml:space="preserve"> of each 300m transect</w:t>
      </w:r>
      <w:r w:rsidRPr="004634A8">
        <w:t xml:space="preserve"> was navigated using a compass and Koalas surveyed by two independent observers commencing 10 minutes apart.</w:t>
      </w:r>
      <w:r w:rsidR="00285836">
        <w:t xml:space="preserve"> </w:t>
      </w:r>
      <w:r w:rsidRPr="004634A8">
        <w:t xml:space="preserve">Walking along the transect, each observer recorded all </w:t>
      </w:r>
      <w:r w:rsidR="005574FB">
        <w:t>Koala</w:t>
      </w:r>
      <w:r w:rsidRPr="004634A8">
        <w:t xml:space="preserve">s seen within 25 m either side of the transect line, (see field data sheet, Appendix </w:t>
      </w:r>
      <w:r>
        <w:t>3</w:t>
      </w:r>
      <w:r w:rsidRPr="004634A8">
        <w:t>).</w:t>
      </w:r>
      <w:r w:rsidR="00285836">
        <w:t xml:space="preserve"> </w:t>
      </w:r>
      <w:r w:rsidRPr="004634A8">
        <w:t xml:space="preserve">If </w:t>
      </w:r>
      <w:r w:rsidR="005574FB">
        <w:t>Koala</w:t>
      </w:r>
      <w:r w:rsidRPr="004634A8">
        <w:t>s were scarce, but individuals were seen further from (and perpendicular to) the transect, they were included in the count data.</w:t>
      </w:r>
      <w:r w:rsidR="00285836">
        <w:t xml:space="preserve"> </w:t>
      </w:r>
      <w:r w:rsidRPr="004634A8">
        <w:t xml:space="preserve">The perpendicular distance from the transect centre line to the tree containing the </w:t>
      </w:r>
      <w:r w:rsidR="005574FB">
        <w:t>Koala</w:t>
      </w:r>
      <w:r w:rsidRPr="004634A8">
        <w:t xml:space="preserve"> was confirmed using a laser rangefinder (Bushnell 500 or Bushnell 1000), and notes were made of the distance along the transect, side of transect (left or right), tree species being used, approximate height of </w:t>
      </w:r>
      <w:r w:rsidR="005574FB">
        <w:t>Koala</w:t>
      </w:r>
      <w:r w:rsidRPr="004634A8">
        <w:t xml:space="preserve"> in tree, and presence of back young.</w:t>
      </w:r>
      <w:r w:rsidR="00285836">
        <w:t xml:space="preserve"> </w:t>
      </w:r>
      <w:r w:rsidRPr="004634A8">
        <w:t xml:space="preserve">When </w:t>
      </w:r>
      <w:r w:rsidR="005574FB">
        <w:t>Koala</w:t>
      </w:r>
      <w:r w:rsidRPr="004634A8">
        <w:t xml:space="preserve">s were further than 25 m from the transect, they were clearly indicated by a </w:t>
      </w:r>
      <w:r w:rsidR="00D739F4">
        <w:t>‘</w:t>
      </w:r>
      <w:r w:rsidRPr="004634A8">
        <w:t>Y</w:t>
      </w:r>
      <w:r w:rsidR="00D739F4">
        <w:t>’</w:t>
      </w:r>
      <w:r w:rsidR="00D739F4" w:rsidRPr="004634A8">
        <w:t xml:space="preserve"> </w:t>
      </w:r>
      <w:r w:rsidRPr="004634A8">
        <w:t>in the appropriate column of the field data sheet.</w:t>
      </w:r>
    </w:p>
    <w:p w:rsidR="00285836" w:rsidRDefault="0031312B" w:rsidP="00F6205D">
      <w:pPr>
        <w:pStyle w:val="ARIERBody"/>
      </w:pPr>
      <w:r w:rsidRPr="004634A8">
        <w:t xml:space="preserve">Upon completion of the surveys the observers compared their data to determine </w:t>
      </w:r>
      <w:r w:rsidR="005574FB">
        <w:t>Koala</w:t>
      </w:r>
      <w:r w:rsidRPr="004634A8">
        <w:t>s missed by either observer (noting this on the data sheet), and observations were double-checked as necessary.</w:t>
      </w:r>
    </w:p>
    <w:p w:rsidR="0031312B" w:rsidRDefault="00754988" w:rsidP="00AC195C">
      <w:pPr>
        <w:pStyle w:val="ARIERBody"/>
      </w:pPr>
      <w:r>
        <w:br w:type="page"/>
      </w:r>
      <w:r w:rsidRPr="003D62FF">
        <w:rPr>
          <w:noProof/>
          <w:lang w:eastAsia="en-AU"/>
        </w:rPr>
        <w:lastRenderedPageBreak/>
        <w:drawing>
          <wp:anchor distT="0" distB="0" distL="114300" distR="114300" simplePos="0" relativeHeight="251685888" behindDoc="0" locked="0" layoutInCell="1" allowOverlap="1" wp14:anchorId="0DB0CCC3" wp14:editId="52AC0445">
            <wp:simplePos x="0" y="0"/>
            <wp:positionH relativeFrom="column">
              <wp:posOffset>232410</wp:posOffset>
            </wp:positionH>
            <wp:positionV relativeFrom="paragraph">
              <wp:posOffset>918845</wp:posOffset>
            </wp:positionV>
            <wp:extent cx="5344160" cy="8305800"/>
            <wp:effectExtent l="0" t="0" r="889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4160" cy="8305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B66C2" w:rsidRDefault="00FC7485" w:rsidP="00151120">
      <w:pPr>
        <w:rPr>
          <w:rFonts w:asciiTheme="minorHAnsi" w:hAnsiTheme="minorHAnsi"/>
        </w:rPr>
      </w:pPr>
      <w:r w:rsidRPr="001914B9">
        <w:rPr>
          <w:rFonts w:asciiTheme="minorHAnsi" w:hAnsiTheme="minorHAnsi"/>
          <w:noProof/>
          <w:lang w:eastAsia="en-AU"/>
        </w:rPr>
        <w:drawing>
          <wp:anchor distT="0" distB="0" distL="114300" distR="114300" simplePos="0" relativeHeight="251677696" behindDoc="1" locked="0" layoutInCell="1" allowOverlap="1" wp14:anchorId="2C2CA415" wp14:editId="479F8B60">
            <wp:simplePos x="0" y="0"/>
            <wp:positionH relativeFrom="column">
              <wp:posOffset>-365760</wp:posOffset>
            </wp:positionH>
            <wp:positionV relativeFrom="paragraph">
              <wp:posOffset>-184785</wp:posOffset>
            </wp:positionV>
            <wp:extent cx="6837680" cy="9627870"/>
            <wp:effectExtent l="0" t="0" r="0" b="0"/>
            <wp:wrapNone/>
            <wp:docPr id="20" name="Picture 20"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B33" w:rsidRPr="001914B9">
        <w:rPr>
          <w:rFonts w:asciiTheme="minorHAnsi" w:hAnsiTheme="minorHAnsi"/>
          <w:noProof/>
          <w:lang w:eastAsia="en-AU"/>
        </w:rPr>
        <mc:AlternateContent>
          <mc:Choice Requires="wps">
            <w:drawing>
              <wp:anchor distT="0" distB="0" distL="114300" distR="114300" simplePos="0" relativeHeight="251679744" behindDoc="0" locked="0" layoutInCell="1" allowOverlap="1" wp14:anchorId="4EB2C23B" wp14:editId="3AD241E7">
                <wp:simplePos x="0" y="0"/>
                <wp:positionH relativeFrom="column">
                  <wp:posOffset>379095</wp:posOffset>
                </wp:positionH>
                <wp:positionV relativeFrom="paragraph">
                  <wp:posOffset>7284720</wp:posOffset>
                </wp:positionV>
                <wp:extent cx="2966720" cy="14732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p w:rsidR="008724EC" w:rsidRPr="0090189E" w:rsidRDefault="008724EC" w:rsidP="00B77B33">
                            <w:pPr>
                              <w:rPr>
                                <w:rFonts w:asciiTheme="minorHAnsi" w:hAnsiTheme="minorHAnsi" w:cstheme="minorHAnsi"/>
                                <w:color w:val="FFFFFF"/>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9.85pt;margin-top:573.6pt;width:233.6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3CsQIAALs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eXGHHSQY0e6KjRrRhRbNIz9CoFq/se7PQIx1BmS1X1d6L8qhAX64bwHb2RUgwNJRWE55uX7uzp&#10;hKMMyHb4ICpwQ/ZaWKCxlp3JHWQDATqU6fFcGhNKCYdBEkXLAK5KuPPD5SUU3/og6el5L5V+R0WH&#10;zCLDEmpv4cnhTmkTDklPJsYbFwVrW1v/lj87AMPpBJzDU3NnwrDl/JF4ySbexKETBtHGCb08d26K&#10;dehEhb9c5Jf5ep37P41fP0wbVlWUGzcnafnhn5XuKPJJFGdxKdGyysCZkJTcbdetRAcC0i7sOCZk&#10;ZuY+D8MmAbi8oOQHoXcbJE4RxUsnLMKFkyy92PH85DaJvDAJ8+I5pTvG6b9TQkOGk0WwmNT0W26e&#10;Ha+5kbRjGppHy7oMx2cjkhoNbnhlS6sJa6f1LBUm/KdUQLlPhbaKNSKd5KrH7QgoRsZbUT2CdqUA&#10;ZYEKoePBohHyO0YDdI8Mq297IilG7XsO+k/8MDTtZr6R8812viG8BKgMa4ym5VpPLWrfS7ZrwNP0&#10;47i4gT9TM6vmp6iOPw06hCV17GamBc331uqp565+AQAA//8DAFBLAwQUAAYACAAAACEAgcUSbt8A&#10;AAAMAQAADwAAAGRycy9kb3ducmV2LnhtbEyPy07DMBBF90j8gzVI7KjTQOomxKlQER9Ai8TWSdw4&#10;wh5HsfOgX8+wguXcObpzpjyszrJZj6H3KGG7SYBpbHzbYyfh4/z2sAcWosJWWY9awrcOcKhub0pV&#10;tH7Bdz2fYseoBEOhJJgYh4Lz0BjtVNj4QSPtLn50KtI4drwd1ULlzvI0SXbcqR7pglGDPhrdfJ0m&#10;J6G5Tq/7Y1/Py1V8ino1NruglfL+bn15Bhb1Gv9g+NUndajIqfYTtoFZCVkuiKR8+yRSYERk6S4H&#10;VlP0KPIUeFXy/09UPwAAAP//AwBQSwECLQAUAAYACAAAACEAtoM4kv4AAADhAQAAEwAAAAAAAAAA&#10;AAAAAAAAAAAAW0NvbnRlbnRfVHlwZXNdLnhtbFBLAQItABQABgAIAAAAIQA4/SH/1gAAAJQBAAAL&#10;AAAAAAAAAAAAAAAAAC8BAABfcmVscy8ucmVsc1BLAQItABQABgAIAAAAIQAQtF3CsQIAALsFAAAO&#10;AAAAAAAAAAAAAAAAAC4CAABkcnMvZTJvRG9jLnhtbFBLAQItABQABgAIAAAAIQCBxRJu3wAAAAwB&#10;AAAPAAAAAAAAAAAAAAAAAAsFAABkcnMvZG93bnJldi54bWxQSwUGAAAAAAQABADzAAAAFwYAAAAA&#10;" filled="f" stroked="f">
                <v:textbox inset=",7.2pt,,7.2pt">
                  <w:txbxContent>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Arial" w:hAnsi="Arial" w:cs="Arial"/>
                          <w:color w:val="FFFFFF"/>
                        </w:rPr>
                      </w:pPr>
                    </w:p>
                    <w:p w:rsidR="008724EC" w:rsidRDefault="008724EC"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p w:rsidR="008724EC" w:rsidRPr="0090189E" w:rsidRDefault="008724EC" w:rsidP="00B77B33">
                      <w:pPr>
                        <w:rPr>
                          <w:rFonts w:asciiTheme="minorHAnsi" w:hAnsiTheme="minorHAnsi" w:cstheme="minorHAnsi"/>
                          <w:color w:val="FFFFFF"/>
                          <w:sz w:val="40"/>
                          <w:szCs w:val="40"/>
                        </w:rPr>
                      </w:pPr>
                    </w:p>
                  </w:txbxContent>
                </v:textbox>
              </v:shape>
            </w:pict>
          </mc:Fallback>
        </mc:AlternateContent>
      </w:r>
    </w:p>
    <w:p w:rsidR="004D3E22" w:rsidRPr="001914B9" w:rsidRDefault="004D3E22" w:rsidP="004D3E22">
      <w:pPr>
        <w:rPr>
          <w:rFonts w:asciiTheme="minorHAnsi" w:hAnsiTheme="minorHAnsi"/>
        </w:rPr>
      </w:pPr>
    </w:p>
    <w:sectPr w:rsidR="004D3E22" w:rsidRPr="001914B9" w:rsidSect="00566D6F">
      <w:pgSz w:w="11907" w:h="16840" w:code="9"/>
      <w:pgMar w:top="1276" w:right="1134" w:bottom="1134" w:left="1134" w:header="709" w:footer="410"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9FC" w:rsidRDefault="00CC49FC">
      <w:r>
        <w:separator/>
      </w:r>
    </w:p>
  </w:endnote>
  <w:endnote w:type="continuationSeparator" w:id="0">
    <w:p w:rsidR="00CC49FC" w:rsidRDefault="00CC49FC">
      <w:r>
        <w:continuationSeparator/>
      </w:r>
    </w:p>
  </w:endnote>
  <w:endnote w:type="continuationNotice" w:id="1">
    <w:p w:rsidR="00CC49FC" w:rsidRDefault="00CC4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Default="008724EC" w:rsidP="00207A7C">
    <w:pPr>
      <w:pStyle w:val="Footer"/>
    </w:pPr>
    <w:r>
      <w:rPr>
        <w:noProof/>
        <w:lang w:eastAsia="en-AU"/>
      </w:rPr>
      <w:drawing>
        <wp:anchor distT="0" distB="0" distL="114300" distR="114300" simplePos="0" relativeHeight="251662336" behindDoc="0" locked="0" layoutInCell="1" allowOverlap="1" wp14:anchorId="37CF3F40" wp14:editId="24BA5A89">
          <wp:simplePos x="0" y="0"/>
          <wp:positionH relativeFrom="column">
            <wp:posOffset>-347980</wp:posOffset>
          </wp:positionH>
          <wp:positionV relativeFrom="paragraph">
            <wp:posOffset>-109220</wp:posOffset>
          </wp:positionV>
          <wp:extent cx="996315" cy="517525"/>
          <wp:effectExtent l="0" t="0" r="0" b="0"/>
          <wp:wrapSquare wrapText="bothSides"/>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31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FC6">
      <w:t xml:space="preserve"> </w:t>
    </w:r>
    <w:r>
      <w:rPr>
        <w:noProof/>
        <w:lang w:eastAsia="en-AU"/>
      </w:rPr>
      <w:drawing>
        <wp:anchor distT="0" distB="0" distL="114300" distR="114300" simplePos="0" relativeHeight="251666432" behindDoc="0" locked="0" layoutInCell="1" allowOverlap="1" wp14:anchorId="1C2FFCE8" wp14:editId="78062087">
          <wp:simplePos x="0" y="0"/>
          <wp:positionH relativeFrom="column">
            <wp:posOffset>4558030</wp:posOffset>
          </wp:positionH>
          <wp:positionV relativeFrom="paragraph">
            <wp:posOffset>-97155</wp:posOffset>
          </wp:positionV>
          <wp:extent cx="1861185" cy="539750"/>
          <wp:effectExtent l="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1185"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D07950" w:rsidRDefault="008724EC" w:rsidP="00D079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584C1F" w:rsidRDefault="008724EC" w:rsidP="004D167B">
    <w:pPr>
      <w:pStyle w:val="Footer"/>
      <w:pBdr>
        <w:top w:val="single" w:sz="4" w:space="1" w:color="31849B" w:themeColor="accent5" w:themeShade="BF"/>
      </w:pBdr>
      <w:tabs>
        <w:tab w:val="clear" w:pos="8640"/>
        <w:tab w:val="right" w:pos="9639"/>
      </w:tabs>
      <w:rPr>
        <w:sz w:val="20"/>
        <w:szCs w:val="20"/>
      </w:rPr>
    </w:pPr>
    <w:r>
      <w:rPr>
        <w:rStyle w:val="PageNumber"/>
        <w:sz w:val="20"/>
        <w:szCs w:val="20"/>
      </w:rPr>
      <w:tab/>
    </w:r>
    <w:r w:rsidRPr="00584C1F">
      <w:rPr>
        <w:rStyle w:val="PageNumber"/>
        <w:sz w:val="20"/>
        <w:szCs w:val="20"/>
      </w:rPr>
      <w:t xml:space="preserve">Arthur </w:t>
    </w:r>
    <w:proofErr w:type="spellStart"/>
    <w:r w:rsidRPr="00584C1F">
      <w:rPr>
        <w:rStyle w:val="PageNumber"/>
        <w:sz w:val="20"/>
        <w:szCs w:val="20"/>
      </w:rPr>
      <w:t>Rylah</w:t>
    </w:r>
    <w:proofErr w:type="spellEnd"/>
    <w:r w:rsidRPr="00584C1F">
      <w:rPr>
        <w:rStyle w:val="PageNumber"/>
        <w:sz w:val="20"/>
        <w:szCs w:val="20"/>
      </w:rPr>
      <w:t xml:space="preserve"> Institute for Environmental Research Technical Report No. </w:t>
    </w:r>
    <w:r w:rsidRPr="00584C1F">
      <w:rPr>
        <w:rStyle w:val="PageNumber"/>
        <w:color w:val="000000" w:themeColor="text1"/>
        <w:sz w:val="20"/>
        <w:szCs w:val="20"/>
      </w:rPr>
      <w:t>272</w:t>
    </w:r>
    <w:r w:rsidRPr="00584C1F">
      <w:rPr>
        <w:sz w:val="20"/>
        <w:szCs w:val="20"/>
      </w:rPr>
      <w:tab/>
    </w:r>
    <w:sdt>
      <w:sdtPr>
        <w:rPr>
          <w:sz w:val="20"/>
          <w:szCs w:val="20"/>
        </w:rPr>
        <w:id w:val="1894156329"/>
        <w:docPartObj>
          <w:docPartGallery w:val="Page Numbers (Bottom of Page)"/>
          <w:docPartUnique/>
        </w:docPartObj>
      </w:sdtPr>
      <w:sdtEndPr>
        <w:rPr>
          <w:noProof/>
        </w:rPr>
      </w:sdtEndPr>
      <w:sdtContent>
        <w:r w:rsidRPr="00584C1F">
          <w:rPr>
            <w:sz w:val="20"/>
            <w:szCs w:val="20"/>
          </w:rPr>
          <w:fldChar w:fldCharType="begin"/>
        </w:r>
        <w:r w:rsidRPr="00584C1F">
          <w:rPr>
            <w:sz w:val="20"/>
            <w:szCs w:val="20"/>
          </w:rPr>
          <w:instrText xml:space="preserve"> PAGE   \* MERGEFORMAT </w:instrText>
        </w:r>
        <w:r w:rsidRPr="00584C1F">
          <w:rPr>
            <w:sz w:val="20"/>
            <w:szCs w:val="20"/>
          </w:rPr>
          <w:fldChar w:fldCharType="separate"/>
        </w:r>
        <w:r w:rsidR="00DE16CD">
          <w:rPr>
            <w:noProof/>
            <w:sz w:val="20"/>
            <w:szCs w:val="20"/>
          </w:rPr>
          <w:t>i</w:t>
        </w:r>
        <w:r w:rsidRPr="00584C1F">
          <w:rPr>
            <w:noProof/>
            <w:sz w:val="20"/>
            <w:szCs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D07950" w:rsidRDefault="00D55BD7" w:rsidP="00AF487A">
    <w:pPr>
      <w:pStyle w:val="ARIfooter"/>
      <w:pBdr>
        <w:top w:val="single" w:sz="4" w:space="1" w:color="228591"/>
      </w:pBdr>
      <w:tabs>
        <w:tab w:val="left" w:pos="1843"/>
      </w:tabs>
      <w:ind w:right="360"/>
      <w:jc w:val="left"/>
    </w:pPr>
    <w:sdt>
      <w:sdtPr>
        <w:rPr>
          <w:sz w:val="20"/>
          <w:szCs w:val="20"/>
        </w:rPr>
        <w:id w:val="-531964267"/>
        <w:docPartObj>
          <w:docPartGallery w:val="Page Numbers (Bottom of Page)"/>
          <w:docPartUnique/>
        </w:docPartObj>
      </w:sdtPr>
      <w:sdtEndPr>
        <w:rPr>
          <w:noProof/>
        </w:rPr>
      </w:sdtEndPr>
      <w:sdtContent>
        <w:r w:rsidR="008724EC" w:rsidRPr="00584C1F">
          <w:rPr>
            <w:sz w:val="20"/>
            <w:szCs w:val="20"/>
          </w:rPr>
          <w:fldChar w:fldCharType="begin"/>
        </w:r>
        <w:r w:rsidR="008724EC" w:rsidRPr="00584C1F">
          <w:rPr>
            <w:sz w:val="20"/>
            <w:szCs w:val="20"/>
          </w:rPr>
          <w:instrText xml:space="preserve"> PAGE   \* MERGEFORMAT </w:instrText>
        </w:r>
        <w:r w:rsidR="008724EC" w:rsidRPr="00584C1F">
          <w:rPr>
            <w:sz w:val="20"/>
            <w:szCs w:val="20"/>
          </w:rPr>
          <w:fldChar w:fldCharType="separate"/>
        </w:r>
        <w:r>
          <w:rPr>
            <w:noProof/>
            <w:sz w:val="20"/>
            <w:szCs w:val="20"/>
          </w:rPr>
          <w:t>22</w:t>
        </w:r>
        <w:r w:rsidR="008724EC" w:rsidRPr="00584C1F">
          <w:rPr>
            <w:noProof/>
            <w:sz w:val="20"/>
            <w:szCs w:val="20"/>
          </w:rPr>
          <w:fldChar w:fldCharType="end"/>
        </w:r>
      </w:sdtContent>
    </w:sdt>
    <w:r w:rsidR="008724EC">
      <w:rPr>
        <w:rStyle w:val="PageNumber"/>
      </w:rPr>
      <w:tab/>
    </w:r>
    <w:r w:rsidR="008724EC" w:rsidRPr="004F495B">
      <w:rPr>
        <w:rStyle w:val="PageNumber"/>
      </w:rPr>
      <w:t xml:space="preserve">Arthur </w:t>
    </w:r>
    <w:proofErr w:type="spellStart"/>
    <w:r w:rsidR="008724EC" w:rsidRPr="004F495B">
      <w:rPr>
        <w:rStyle w:val="PageNumber"/>
      </w:rPr>
      <w:t>Rylah</w:t>
    </w:r>
    <w:proofErr w:type="spellEnd"/>
    <w:r w:rsidR="008724EC" w:rsidRPr="004F495B">
      <w:rPr>
        <w:rStyle w:val="PageNumber"/>
      </w:rPr>
      <w:t xml:space="preserve"> Institute for Environmental Research </w:t>
    </w:r>
    <w:r w:rsidR="008724EC">
      <w:rPr>
        <w:rStyle w:val="PageNumber"/>
      </w:rPr>
      <w:t xml:space="preserve">Technical Report No. </w:t>
    </w:r>
    <w:r w:rsidR="008724EC" w:rsidRPr="00235EB7">
      <w:rPr>
        <w:rStyle w:val="PageNumber"/>
        <w:color w:val="000000" w:themeColor="text1"/>
      </w:rPr>
      <w:t>272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BE4C35" w:rsidRDefault="008724EC" w:rsidP="003B1492">
    <w:pPr>
      <w:pStyle w:val="ARIfooter"/>
      <w:pBdr>
        <w:top w:val="single" w:sz="4" w:space="1" w:color="228591"/>
      </w:pBdr>
      <w:jc w:val="both"/>
      <w:rPr>
        <w:color w:val="FF0000"/>
      </w:rPr>
    </w:pPr>
    <w:r w:rsidRPr="004F495B">
      <w:rPr>
        <w:rStyle w:val="PageNumber"/>
      </w:rPr>
      <w:t xml:space="preserve">Arthur </w:t>
    </w:r>
    <w:proofErr w:type="spellStart"/>
    <w:r w:rsidRPr="004F495B">
      <w:rPr>
        <w:rStyle w:val="PageNumber"/>
      </w:rPr>
      <w:t>Rylah</w:t>
    </w:r>
    <w:proofErr w:type="spellEnd"/>
    <w:r w:rsidRPr="004F495B">
      <w:rPr>
        <w:rStyle w:val="PageNumber"/>
      </w:rPr>
      <w:t xml:space="preserve"> Institute for Environmental Research </w:t>
    </w:r>
    <w:r>
      <w:rPr>
        <w:rStyle w:val="PageNumber"/>
      </w:rPr>
      <w:t xml:space="preserve">Technical Report No. </w:t>
    </w:r>
    <w:r w:rsidRPr="00235EB7">
      <w:rPr>
        <w:rStyle w:val="PageNumber"/>
        <w:color w:val="000000" w:themeColor="text1"/>
      </w:rPr>
      <w:t>272</w:t>
    </w:r>
    <w:r>
      <w:rPr>
        <w:rStyle w:val="PageNumber"/>
        <w:color w:val="000000" w:themeColor="text1"/>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574F6D" w:rsidRDefault="008724EC" w:rsidP="003B1492">
    <w:pPr>
      <w:pStyle w:val="Footer"/>
      <w:pBdr>
        <w:top w:val="single" w:sz="4" w:space="1" w:color="31849B" w:themeColor="accent5" w:themeShade="BF"/>
      </w:pBdr>
      <w:tabs>
        <w:tab w:val="clear" w:pos="8640"/>
        <w:tab w:val="right" w:pos="9639"/>
      </w:tabs>
    </w:pPr>
    <w:r>
      <w:rPr>
        <w:rStyle w:val="PageNumber"/>
        <w:sz w:val="20"/>
        <w:szCs w:val="20"/>
      </w:rPr>
      <w:tab/>
    </w:r>
    <w:r w:rsidRPr="00584C1F">
      <w:rPr>
        <w:rStyle w:val="PageNumber"/>
        <w:sz w:val="20"/>
        <w:szCs w:val="20"/>
      </w:rPr>
      <w:t xml:space="preserve">Arthur </w:t>
    </w:r>
    <w:proofErr w:type="spellStart"/>
    <w:r w:rsidRPr="00584C1F">
      <w:rPr>
        <w:rStyle w:val="PageNumber"/>
        <w:sz w:val="20"/>
        <w:szCs w:val="20"/>
      </w:rPr>
      <w:t>Rylah</w:t>
    </w:r>
    <w:proofErr w:type="spellEnd"/>
    <w:r w:rsidRPr="00584C1F">
      <w:rPr>
        <w:rStyle w:val="PageNumber"/>
        <w:sz w:val="20"/>
        <w:szCs w:val="20"/>
      </w:rPr>
      <w:t xml:space="preserve"> Institute for Environmental Research Technical Report No. </w:t>
    </w:r>
    <w:r w:rsidRPr="00584C1F">
      <w:rPr>
        <w:rStyle w:val="PageNumber"/>
        <w:color w:val="000000" w:themeColor="text1"/>
        <w:sz w:val="20"/>
        <w:szCs w:val="20"/>
      </w:rPr>
      <w:t>272</w:t>
    </w:r>
    <w:r>
      <w:rPr>
        <w:rStyle w:val="PageNumber"/>
        <w:color w:val="000000" w:themeColor="text1"/>
        <w:sz w:val="20"/>
        <w:szCs w:val="20"/>
      </w:rPr>
      <w:tab/>
    </w:r>
    <w:sdt>
      <w:sdtPr>
        <w:rPr>
          <w:sz w:val="20"/>
          <w:szCs w:val="20"/>
        </w:rPr>
        <w:id w:val="2007251603"/>
        <w:docPartObj>
          <w:docPartGallery w:val="Page Numbers (Bottom of Page)"/>
          <w:docPartUnique/>
        </w:docPartObj>
      </w:sdtPr>
      <w:sdtEndPr>
        <w:rPr>
          <w:noProof/>
        </w:rPr>
      </w:sdtEndPr>
      <w:sdtContent>
        <w:r w:rsidRPr="00584C1F">
          <w:rPr>
            <w:sz w:val="20"/>
            <w:szCs w:val="20"/>
          </w:rPr>
          <w:fldChar w:fldCharType="begin"/>
        </w:r>
        <w:r w:rsidRPr="00584C1F">
          <w:rPr>
            <w:sz w:val="20"/>
            <w:szCs w:val="20"/>
          </w:rPr>
          <w:instrText xml:space="preserve"> PAGE   \* MERGEFORMAT </w:instrText>
        </w:r>
        <w:r w:rsidRPr="00584C1F">
          <w:rPr>
            <w:sz w:val="20"/>
            <w:szCs w:val="20"/>
          </w:rPr>
          <w:fldChar w:fldCharType="separate"/>
        </w:r>
        <w:r w:rsidR="00D55BD7">
          <w:rPr>
            <w:noProof/>
            <w:sz w:val="20"/>
            <w:szCs w:val="20"/>
          </w:rPr>
          <w:t>17</w:t>
        </w:r>
        <w:r w:rsidRPr="00584C1F">
          <w:rPr>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9FC" w:rsidRPr="00D07E53" w:rsidRDefault="00CC49FC">
      <w:pPr>
        <w:rPr>
          <w:color w:val="FFFFFF"/>
        </w:rPr>
      </w:pPr>
      <w:r w:rsidRPr="00D20920">
        <w:rPr>
          <w:color w:val="FFFFFF"/>
        </w:rPr>
        <w:separator/>
      </w:r>
    </w:p>
  </w:footnote>
  <w:footnote w:type="continuationSeparator" w:id="0">
    <w:p w:rsidR="00CC49FC" w:rsidRDefault="00CC49FC">
      <w:r>
        <w:continuationSeparator/>
      </w:r>
    </w:p>
  </w:footnote>
  <w:footnote w:type="continuationNotice" w:id="1">
    <w:p w:rsidR="00CC49FC" w:rsidRDefault="00CC49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Default="008724EC" w:rsidP="001F51F0">
    <w:pPr>
      <w:pStyle w:val="Header"/>
      <w:tabs>
        <w:tab w:val="clear" w:pos="4320"/>
        <w:tab w:val="clear" w:pos="8640"/>
        <w:tab w:val="left" w:pos="2107"/>
        <w:tab w:val="left" w:pos="7547"/>
      </w:tabs>
    </w:pPr>
    <w:r>
      <w:rPr>
        <w:noProof/>
        <w:lang w:eastAsia="en-AU"/>
      </w:rPr>
      <w:drawing>
        <wp:anchor distT="0" distB="0" distL="114300" distR="114300" simplePos="0" relativeHeight="251667456" behindDoc="0" locked="0" layoutInCell="1" allowOverlap="1" wp14:anchorId="06F15C01" wp14:editId="74634550">
          <wp:simplePos x="0" y="0"/>
          <wp:positionH relativeFrom="column">
            <wp:posOffset>-349250</wp:posOffset>
          </wp:positionH>
          <wp:positionV relativeFrom="paragraph">
            <wp:posOffset>4766310</wp:posOffset>
          </wp:positionV>
          <wp:extent cx="6782435" cy="465201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 cover.jpg"/>
                  <pic:cNvPicPr/>
                </pic:nvPicPr>
                <pic:blipFill rotWithShape="1">
                  <a:blip r:embed="rId1">
                    <a:extLst>
                      <a:ext uri="{28A0092B-C50C-407E-A947-70E740481C1C}">
                        <a14:useLocalDpi xmlns:a14="http://schemas.microsoft.com/office/drawing/2010/main" val="0"/>
                      </a:ext>
                    </a:extLst>
                  </a:blip>
                  <a:srcRect l="4871" t="-100" r="10524"/>
                  <a:stretch/>
                </pic:blipFill>
                <pic:spPr bwMode="auto">
                  <a:xfrm>
                    <a:off x="0" y="0"/>
                    <a:ext cx="6782435" cy="465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1F66FBAF" wp14:editId="4CD23886">
          <wp:simplePos x="0" y="0"/>
          <wp:positionH relativeFrom="column">
            <wp:posOffset>-355600</wp:posOffset>
          </wp:positionH>
          <wp:positionV relativeFrom="paragraph">
            <wp:posOffset>-111125</wp:posOffset>
          </wp:positionV>
          <wp:extent cx="6788785" cy="4893310"/>
          <wp:effectExtent l="0" t="0" r="0" b="8890"/>
          <wp:wrapNone/>
          <wp:docPr id="32" name="Picture 32" descr="Untitle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rotWithShape="1">
                  <a:blip r:embed="rId2">
                    <a:extLst>
                      <a:ext uri="{28A0092B-C50C-407E-A947-70E740481C1C}">
                        <a14:useLocalDpi xmlns:a14="http://schemas.microsoft.com/office/drawing/2010/main" val="0"/>
                      </a:ext>
                    </a:extLst>
                  </a:blip>
                  <a:srcRect l="-192" b="6671"/>
                  <a:stretch/>
                </pic:blipFill>
                <pic:spPr bwMode="auto">
                  <a:xfrm>
                    <a:off x="0" y="0"/>
                    <a:ext cx="6788785" cy="489331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Default="008724EC" w:rsidP="00D0795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8724EC" w:rsidRDefault="008724EC" w:rsidP="00DE3FDE">
    <w:pPr>
      <w:pStyle w:val="zFooter"/>
      <w:pBdr>
        <w:bottom w:val="single" w:sz="4" w:space="1" w:color="auto"/>
      </w:pBdr>
      <w:ind w:right="360" w:firstLine="360"/>
      <w:jc w:val="left"/>
      <w:rPr>
        <w:rStyle w:val="zFtrBold"/>
        <w:b w:val="0"/>
        <w:sz w:val="18"/>
        <w:szCs w:val="18"/>
      </w:rPr>
    </w:pPr>
  </w:p>
  <w:p w:rsidR="008724EC" w:rsidRPr="00A9622B" w:rsidRDefault="008724EC" w:rsidP="00DE3FDE">
    <w:pPr>
      <w:pStyle w:val="zFooter"/>
      <w:pBdr>
        <w:bottom w:val="single" w:sz="4" w:space="1" w:color="auto"/>
      </w:pBdr>
      <w:ind w:right="360" w:firstLine="360"/>
      <w:rPr>
        <w:rStyle w:val="zFtrBold"/>
        <w:b w:val="0"/>
        <w:sz w:val="18"/>
        <w:szCs w:val="18"/>
      </w:rPr>
    </w:pPr>
    <w:r w:rsidRPr="00A9622B">
      <w:rPr>
        <w:rStyle w:val="zFtrBold"/>
        <w:b w:val="0"/>
        <w:sz w:val="18"/>
        <w:szCs w:val="18"/>
      </w:rPr>
      <w:t>This is the title (or shortened title)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A9622B" w:rsidRDefault="008724EC" w:rsidP="00584C1F">
    <w:pPr>
      <w:pStyle w:val="zFooter"/>
      <w:pBdr>
        <w:bottom w:val="single" w:sz="4" w:space="1" w:color="31849B" w:themeColor="accent5" w:themeShade="BF"/>
      </w:pBdr>
      <w:ind w:firstLine="360"/>
      <w:rPr>
        <w:rStyle w:val="zFtrBold"/>
        <w:b w:val="0"/>
        <w:sz w:val="18"/>
        <w:szCs w:val="18"/>
      </w:rPr>
    </w:pPr>
    <w:r w:rsidRPr="00A9622B">
      <w:rPr>
        <w:rStyle w:val="zFtrBold"/>
        <w:b w:val="0"/>
        <w:sz w:val="18"/>
        <w:szCs w:val="18"/>
      </w:rPr>
      <w:t>T</w:t>
    </w:r>
    <w:r>
      <w:rPr>
        <w:rStyle w:val="zFtrBold"/>
        <w:b w:val="0"/>
        <w:sz w:val="18"/>
        <w:szCs w:val="18"/>
      </w:rPr>
      <w:t>owards an intervention trigger for Koala management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AC195C" w:rsidRDefault="008724EC" w:rsidP="00AC19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4EC" w:rsidRPr="00DB32F1" w:rsidRDefault="008724EC" w:rsidP="00D07950">
    <w:pPr>
      <w:pStyle w:val="ARIERheader"/>
      <w:pBdr>
        <w:bottom w:val="single" w:sz="4" w:space="1" w:color="228591"/>
      </w:pBdr>
    </w:pPr>
    <w:r w:rsidRPr="00A9622B">
      <w:rPr>
        <w:rStyle w:val="zFtrBold"/>
        <w:b w:val="0"/>
        <w:sz w:val="18"/>
        <w:szCs w:val="18"/>
      </w:rPr>
      <w:t>T</w:t>
    </w:r>
    <w:r>
      <w:rPr>
        <w:rStyle w:val="zFtrBold"/>
        <w:b w:val="0"/>
        <w:sz w:val="18"/>
        <w:szCs w:val="18"/>
      </w:rPr>
      <w:t>owards an intervention trigger for Koala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6E0D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4">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5">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1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27A2468"/>
    <w:multiLevelType w:val="hybridMultilevel"/>
    <w:tmpl w:val="9F8A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65E6D"/>
    <w:multiLevelType w:val="hybridMultilevel"/>
    <w:tmpl w:val="8E8E8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7A9013F"/>
    <w:multiLevelType w:val="hybridMultilevel"/>
    <w:tmpl w:val="DED6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0CC75F67"/>
    <w:multiLevelType w:val="hybridMultilevel"/>
    <w:tmpl w:val="A0B8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0D023EF4"/>
    <w:multiLevelType w:val="hybridMultilevel"/>
    <w:tmpl w:val="8D206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FBE31A3"/>
    <w:multiLevelType w:val="hybridMultilevel"/>
    <w:tmpl w:val="F2DC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2E1EDF"/>
    <w:multiLevelType w:val="hybridMultilevel"/>
    <w:tmpl w:val="6A48BDD4"/>
    <w:lvl w:ilvl="0" w:tplc="EB244ACA">
      <w:start w:val="1"/>
      <w:numFmt w:val="bullet"/>
      <w:pStyle w:val="ARIER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73398F"/>
    <w:multiLevelType w:val="hybridMultilevel"/>
    <w:tmpl w:val="F9F4AA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D3C362B"/>
    <w:multiLevelType w:val="hybridMultilevel"/>
    <w:tmpl w:val="ACD854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A595665"/>
    <w:multiLevelType w:val="hybridMultilevel"/>
    <w:tmpl w:val="4692C31C"/>
    <w:lvl w:ilvl="0" w:tplc="9658521A">
      <w:start w:val="1"/>
      <w:numFmt w:val="bullet"/>
      <w:pStyle w:val="Indented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C72E4D"/>
    <w:multiLevelType w:val="hybridMultilevel"/>
    <w:tmpl w:val="8E8E8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2C312098"/>
    <w:multiLevelType w:val="hybridMultilevel"/>
    <w:tmpl w:val="1868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9229E5"/>
    <w:multiLevelType w:val="hybridMultilevel"/>
    <w:tmpl w:val="E3B05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5A36985"/>
    <w:multiLevelType w:val="hybridMultilevel"/>
    <w:tmpl w:val="8F6C9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3AF57C60"/>
    <w:multiLevelType w:val="hybridMultilevel"/>
    <w:tmpl w:val="ACD854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4D27930"/>
    <w:multiLevelType w:val="hybridMultilevel"/>
    <w:tmpl w:val="BF5A5942"/>
    <w:lvl w:ilvl="0" w:tplc="D97C1002">
      <w:start w:val="1"/>
      <w:numFmt w:val="bullet"/>
      <w:lvlText w:val=""/>
      <w:lvlJc w:val="left"/>
      <w:pPr>
        <w:ind w:left="360" w:hanging="360"/>
      </w:pPr>
      <w:rPr>
        <w:rFonts w:ascii="Symbol" w:hAnsi="Symbol" w:hint="default"/>
      </w:rPr>
    </w:lvl>
    <w:lvl w:ilvl="1" w:tplc="AA646270">
      <w:start w:val="1"/>
      <w:numFmt w:val="bullet"/>
      <w:pStyle w:val="ARIERcircle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4FE74BE"/>
    <w:multiLevelType w:val="hybridMultilevel"/>
    <w:tmpl w:val="0B5ABA24"/>
    <w:lvl w:ilvl="0" w:tplc="77DA6E62">
      <w:start w:val="1"/>
      <w:numFmt w:val="lowerLetter"/>
      <w:pStyle w:val="ARIERindentedlett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3860AE"/>
    <w:multiLevelType w:val="hybridMultilevel"/>
    <w:tmpl w:val="29F4EA4C"/>
    <w:lvl w:ilvl="0" w:tplc="D7FA26AE">
      <w:start w:val="1"/>
      <w:numFmt w:val="decimal"/>
      <w:pStyle w:val="Tenderheading1"/>
      <w:lvlText w:val="%1."/>
      <w:lvlJc w:val="left"/>
      <w:pPr>
        <w:tabs>
          <w:tab w:val="num" w:pos="644"/>
        </w:tabs>
        <w:ind w:left="644"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FF4A5F78">
      <w:start w:val="1"/>
      <w:numFmt w:val="lowerRoman"/>
      <w:lvlText w:val="(%3)"/>
      <w:lvlJc w:val="left"/>
      <w:pPr>
        <w:ind w:left="2700" w:hanging="720"/>
      </w:pPr>
      <w:rPr>
        <w:rFonts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8">
    <w:nsid w:val="524900D1"/>
    <w:multiLevelType w:val="hybridMultilevel"/>
    <w:tmpl w:val="05422CF6"/>
    <w:lvl w:ilvl="0" w:tplc="5476C5C0">
      <w:start w:val="1"/>
      <w:numFmt w:val="decimal"/>
      <w:pStyle w:val="body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55265C3A"/>
    <w:multiLevelType w:val="hybridMultilevel"/>
    <w:tmpl w:val="81AAB654"/>
    <w:lvl w:ilvl="0" w:tplc="346EB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4E71F1"/>
    <w:multiLevelType w:val="hybridMultilevel"/>
    <w:tmpl w:val="F9FA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3FC4BD1"/>
    <w:multiLevelType w:val="hybridMultilevel"/>
    <w:tmpl w:val="EB9ECFE0"/>
    <w:lvl w:ilvl="0" w:tplc="79BA6212">
      <w:start w:val="1"/>
      <w:numFmt w:val="bullet"/>
      <w:pStyle w:val="Bullettedbody"/>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215D1A"/>
    <w:multiLevelType w:val="hybridMultilevel"/>
    <w:tmpl w:val="A0A6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8"/>
  </w:num>
  <w:num w:numId="15">
    <w:abstractNumId w:val="11"/>
  </w:num>
  <w:num w:numId="16">
    <w:abstractNumId w:val="33"/>
  </w:num>
  <w:num w:numId="17">
    <w:abstractNumId w:val="19"/>
  </w:num>
  <w:num w:numId="18">
    <w:abstractNumId w:val="16"/>
  </w:num>
  <w:num w:numId="19">
    <w:abstractNumId w:val="37"/>
    <w:lvlOverride w:ilvl="0">
      <w:startOverride w:val="1"/>
    </w:lvlOverride>
  </w:num>
  <w:num w:numId="20">
    <w:abstractNumId w:val="35"/>
  </w:num>
  <w:num w:numId="21">
    <w:abstractNumId w:val="27"/>
  </w:num>
  <w:num w:numId="22">
    <w:abstractNumId w:val="24"/>
  </w:num>
  <w:num w:numId="23">
    <w:abstractNumId w:val="42"/>
  </w:num>
  <w:num w:numId="24">
    <w:abstractNumId w:val="13"/>
  </w:num>
  <w:num w:numId="25">
    <w:abstractNumId w:val="43"/>
  </w:num>
  <w:num w:numId="26">
    <w:abstractNumId w:val="38"/>
  </w:num>
  <w:num w:numId="27">
    <w:abstractNumId w:val="44"/>
  </w:num>
  <w:num w:numId="28">
    <w:abstractNumId w:val="41"/>
  </w:num>
  <w:num w:numId="29">
    <w:abstractNumId w:val="39"/>
  </w:num>
  <w:num w:numId="30">
    <w:abstractNumId w:val="23"/>
  </w:num>
  <w:num w:numId="31">
    <w:abstractNumId w:val="27"/>
  </w:num>
  <w:num w:numId="32">
    <w:abstractNumId w:val="36"/>
  </w:num>
  <w:num w:numId="33">
    <w:abstractNumId w:val="26"/>
  </w:num>
  <w:num w:numId="34">
    <w:abstractNumId w:val="32"/>
  </w:num>
  <w:num w:numId="35">
    <w:abstractNumId w:val="31"/>
  </w:num>
  <w:num w:numId="36">
    <w:abstractNumId w:val="20"/>
  </w:num>
  <w:num w:numId="37">
    <w:abstractNumId w:val="25"/>
  </w:num>
  <w:num w:numId="38">
    <w:abstractNumId w:val="12"/>
  </w:num>
  <w:num w:numId="39">
    <w:abstractNumId w:val="34"/>
  </w:num>
  <w:num w:numId="40">
    <w:abstractNumId w:val="0"/>
  </w:num>
  <w:num w:numId="41">
    <w:abstractNumId w:val="17"/>
  </w:num>
  <w:num w:numId="42">
    <w:abstractNumId w:val="40"/>
  </w:num>
  <w:num w:numId="43">
    <w:abstractNumId w:val="45"/>
  </w:num>
  <w:num w:numId="44">
    <w:abstractNumId w:val="14"/>
  </w:num>
  <w:num w:numId="45">
    <w:abstractNumId w:val="30"/>
  </w:num>
  <w:num w:numId="46">
    <w:abstractNumId w:val="28"/>
  </w:num>
  <w:num w:numId="47">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1"/>
  <w:proofState w:spelling="clean"/>
  <w:documentProtection w:edit="readOnly" w:enforcement="1" w:cryptProviderType="rsaFull" w:cryptAlgorithmClass="hash" w:cryptAlgorithmType="typeAny" w:cryptAlgorithmSid="4" w:cryptSpinCount="100000" w:hash="9rb3TNWh9r/jxJ5ZdBtja/fpzUM=" w:salt="1VUoMa6DlnJmzm278m5k3w=="/>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9E63EF"/>
    <w:rsid w:val="000017BB"/>
    <w:rsid w:val="000017D2"/>
    <w:rsid w:val="00001E48"/>
    <w:rsid w:val="00003CB6"/>
    <w:rsid w:val="000044D9"/>
    <w:rsid w:val="00004C89"/>
    <w:rsid w:val="00004E8C"/>
    <w:rsid w:val="0000509B"/>
    <w:rsid w:val="00007345"/>
    <w:rsid w:val="00007627"/>
    <w:rsid w:val="00010A77"/>
    <w:rsid w:val="00011438"/>
    <w:rsid w:val="00011E1A"/>
    <w:rsid w:val="0001205B"/>
    <w:rsid w:val="00012793"/>
    <w:rsid w:val="000129C9"/>
    <w:rsid w:val="00014002"/>
    <w:rsid w:val="00015CE4"/>
    <w:rsid w:val="00016064"/>
    <w:rsid w:val="00020E34"/>
    <w:rsid w:val="000210A4"/>
    <w:rsid w:val="000211C2"/>
    <w:rsid w:val="000213FC"/>
    <w:rsid w:val="00021509"/>
    <w:rsid w:val="000222B1"/>
    <w:rsid w:val="00022C0F"/>
    <w:rsid w:val="00023BB2"/>
    <w:rsid w:val="00024D90"/>
    <w:rsid w:val="000266B0"/>
    <w:rsid w:val="00026728"/>
    <w:rsid w:val="000309A3"/>
    <w:rsid w:val="00032B23"/>
    <w:rsid w:val="00033DF0"/>
    <w:rsid w:val="00033FC6"/>
    <w:rsid w:val="00034068"/>
    <w:rsid w:val="00034369"/>
    <w:rsid w:val="00035D62"/>
    <w:rsid w:val="000362B1"/>
    <w:rsid w:val="00036F87"/>
    <w:rsid w:val="00037867"/>
    <w:rsid w:val="00040071"/>
    <w:rsid w:val="00040CBE"/>
    <w:rsid w:val="00041156"/>
    <w:rsid w:val="000411CF"/>
    <w:rsid w:val="00041B72"/>
    <w:rsid w:val="00043002"/>
    <w:rsid w:val="00043E60"/>
    <w:rsid w:val="00044D9D"/>
    <w:rsid w:val="00045ED5"/>
    <w:rsid w:val="000462AA"/>
    <w:rsid w:val="00046987"/>
    <w:rsid w:val="00046F27"/>
    <w:rsid w:val="0004704E"/>
    <w:rsid w:val="0004709A"/>
    <w:rsid w:val="00047160"/>
    <w:rsid w:val="0005163F"/>
    <w:rsid w:val="00051887"/>
    <w:rsid w:val="00051E08"/>
    <w:rsid w:val="00051FD4"/>
    <w:rsid w:val="00051FE1"/>
    <w:rsid w:val="00053526"/>
    <w:rsid w:val="00054788"/>
    <w:rsid w:val="0005555C"/>
    <w:rsid w:val="00055A1B"/>
    <w:rsid w:val="00055E7F"/>
    <w:rsid w:val="00055FB4"/>
    <w:rsid w:val="0005616D"/>
    <w:rsid w:val="0005745B"/>
    <w:rsid w:val="000575A6"/>
    <w:rsid w:val="00057C50"/>
    <w:rsid w:val="00060383"/>
    <w:rsid w:val="0006050D"/>
    <w:rsid w:val="00060A68"/>
    <w:rsid w:val="000635AB"/>
    <w:rsid w:val="0006507E"/>
    <w:rsid w:val="00065AD8"/>
    <w:rsid w:val="0006629B"/>
    <w:rsid w:val="00066B41"/>
    <w:rsid w:val="000704B7"/>
    <w:rsid w:val="000717C0"/>
    <w:rsid w:val="000718CB"/>
    <w:rsid w:val="0007200A"/>
    <w:rsid w:val="00072AE0"/>
    <w:rsid w:val="00073528"/>
    <w:rsid w:val="00074331"/>
    <w:rsid w:val="0007522B"/>
    <w:rsid w:val="0007550A"/>
    <w:rsid w:val="00075597"/>
    <w:rsid w:val="00076886"/>
    <w:rsid w:val="000775FD"/>
    <w:rsid w:val="00080FE6"/>
    <w:rsid w:val="000812EB"/>
    <w:rsid w:val="00081764"/>
    <w:rsid w:val="00081E30"/>
    <w:rsid w:val="0008366E"/>
    <w:rsid w:val="00085D3E"/>
    <w:rsid w:val="00086D3E"/>
    <w:rsid w:val="00086DF3"/>
    <w:rsid w:val="0008754B"/>
    <w:rsid w:val="00087A85"/>
    <w:rsid w:val="00087BDC"/>
    <w:rsid w:val="00090458"/>
    <w:rsid w:val="000908C8"/>
    <w:rsid w:val="00091EF9"/>
    <w:rsid w:val="0009277F"/>
    <w:rsid w:val="0009426B"/>
    <w:rsid w:val="00095166"/>
    <w:rsid w:val="0009699E"/>
    <w:rsid w:val="000A1B4A"/>
    <w:rsid w:val="000A2203"/>
    <w:rsid w:val="000A3203"/>
    <w:rsid w:val="000A470D"/>
    <w:rsid w:val="000A483D"/>
    <w:rsid w:val="000A4EB3"/>
    <w:rsid w:val="000A5A22"/>
    <w:rsid w:val="000A5E54"/>
    <w:rsid w:val="000B0DD8"/>
    <w:rsid w:val="000B1BC2"/>
    <w:rsid w:val="000B2A8A"/>
    <w:rsid w:val="000B70B7"/>
    <w:rsid w:val="000B773D"/>
    <w:rsid w:val="000B7DFD"/>
    <w:rsid w:val="000C15EE"/>
    <w:rsid w:val="000C1781"/>
    <w:rsid w:val="000C2CB8"/>
    <w:rsid w:val="000C3259"/>
    <w:rsid w:val="000C4DCF"/>
    <w:rsid w:val="000C6EC9"/>
    <w:rsid w:val="000D009F"/>
    <w:rsid w:val="000D121A"/>
    <w:rsid w:val="000D3639"/>
    <w:rsid w:val="000D36F1"/>
    <w:rsid w:val="000D5259"/>
    <w:rsid w:val="000D622E"/>
    <w:rsid w:val="000D6B7B"/>
    <w:rsid w:val="000D7D99"/>
    <w:rsid w:val="000E02A3"/>
    <w:rsid w:val="000E0643"/>
    <w:rsid w:val="000E1A0F"/>
    <w:rsid w:val="000E1A61"/>
    <w:rsid w:val="000E1DC0"/>
    <w:rsid w:val="000E266D"/>
    <w:rsid w:val="000E26B6"/>
    <w:rsid w:val="000E297D"/>
    <w:rsid w:val="000E318B"/>
    <w:rsid w:val="000E3720"/>
    <w:rsid w:val="000E3D79"/>
    <w:rsid w:val="000E4132"/>
    <w:rsid w:val="000E51CF"/>
    <w:rsid w:val="000E6BF2"/>
    <w:rsid w:val="000E6FF6"/>
    <w:rsid w:val="000F03CE"/>
    <w:rsid w:val="000F1796"/>
    <w:rsid w:val="000F44BA"/>
    <w:rsid w:val="000F47C0"/>
    <w:rsid w:val="000F563E"/>
    <w:rsid w:val="000F56FA"/>
    <w:rsid w:val="000F5A8F"/>
    <w:rsid w:val="000F6139"/>
    <w:rsid w:val="000F63B8"/>
    <w:rsid w:val="000F64DD"/>
    <w:rsid w:val="000F7322"/>
    <w:rsid w:val="00100557"/>
    <w:rsid w:val="00100BAC"/>
    <w:rsid w:val="00101B5E"/>
    <w:rsid w:val="00102ADC"/>
    <w:rsid w:val="00102E08"/>
    <w:rsid w:val="0010306B"/>
    <w:rsid w:val="00103F8E"/>
    <w:rsid w:val="00104050"/>
    <w:rsid w:val="00104109"/>
    <w:rsid w:val="00104895"/>
    <w:rsid w:val="001053DA"/>
    <w:rsid w:val="001065A1"/>
    <w:rsid w:val="0010670A"/>
    <w:rsid w:val="001067D7"/>
    <w:rsid w:val="00113970"/>
    <w:rsid w:val="00113C6A"/>
    <w:rsid w:val="00115667"/>
    <w:rsid w:val="00115EF1"/>
    <w:rsid w:val="00120C40"/>
    <w:rsid w:val="001219BE"/>
    <w:rsid w:val="001219C0"/>
    <w:rsid w:val="00122A34"/>
    <w:rsid w:val="00123A86"/>
    <w:rsid w:val="001250AF"/>
    <w:rsid w:val="00125205"/>
    <w:rsid w:val="00125862"/>
    <w:rsid w:val="001270AC"/>
    <w:rsid w:val="00127BDB"/>
    <w:rsid w:val="00127E43"/>
    <w:rsid w:val="00131033"/>
    <w:rsid w:val="00131CD7"/>
    <w:rsid w:val="001336D9"/>
    <w:rsid w:val="0013541C"/>
    <w:rsid w:val="0013578C"/>
    <w:rsid w:val="00135C70"/>
    <w:rsid w:val="00136501"/>
    <w:rsid w:val="00137C8A"/>
    <w:rsid w:val="00140B20"/>
    <w:rsid w:val="001411DC"/>
    <w:rsid w:val="00141BD4"/>
    <w:rsid w:val="00141CA3"/>
    <w:rsid w:val="00142733"/>
    <w:rsid w:val="001427EA"/>
    <w:rsid w:val="00142D2C"/>
    <w:rsid w:val="001432D5"/>
    <w:rsid w:val="001456FF"/>
    <w:rsid w:val="00146192"/>
    <w:rsid w:val="00147A1D"/>
    <w:rsid w:val="0015026A"/>
    <w:rsid w:val="00150C2F"/>
    <w:rsid w:val="00150D31"/>
    <w:rsid w:val="00151120"/>
    <w:rsid w:val="00151C3D"/>
    <w:rsid w:val="00151D75"/>
    <w:rsid w:val="00152CCA"/>
    <w:rsid w:val="00153209"/>
    <w:rsid w:val="00153399"/>
    <w:rsid w:val="00153969"/>
    <w:rsid w:val="001548E3"/>
    <w:rsid w:val="001552F2"/>
    <w:rsid w:val="001557A0"/>
    <w:rsid w:val="00160BDE"/>
    <w:rsid w:val="00161F84"/>
    <w:rsid w:val="001622A8"/>
    <w:rsid w:val="00163067"/>
    <w:rsid w:val="0016331C"/>
    <w:rsid w:val="0016365D"/>
    <w:rsid w:val="00164039"/>
    <w:rsid w:val="00164617"/>
    <w:rsid w:val="00164C47"/>
    <w:rsid w:val="00164F59"/>
    <w:rsid w:val="001653FC"/>
    <w:rsid w:val="0016767A"/>
    <w:rsid w:val="00167F23"/>
    <w:rsid w:val="00170A92"/>
    <w:rsid w:val="00170AE5"/>
    <w:rsid w:val="00173689"/>
    <w:rsid w:val="00177115"/>
    <w:rsid w:val="0017745F"/>
    <w:rsid w:val="001774A6"/>
    <w:rsid w:val="001774FF"/>
    <w:rsid w:val="0018062E"/>
    <w:rsid w:val="001814BA"/>
    <w:rsid w:val="0018237E"/>
    <w:rsid w:val="001832E1"/>
    <w:rsid w:val="00184525"/>
    <w:rsid w:val="001848EE"/>
    <w:rsid w:val="00185265"/>
    <w:rsid w:val="0018657A"/>
    <w:rsid w:val="00186CFD"/>
    <w:rsid w:val="00187258"/>
    <w:rsid w:val="00190778"/>
    <w:rsid w:val="00190F62"/>
    <w:rsid w:val="001914B9"/>
    <w:rsid w:val="00191604"/>
    <w:rsid w:val="00191CFC"/>
    <w:rsid w:val="0019280B"/>
    <w:rsid w:val="001930CF"/>
    <w:rsid w:val="00193590"/>
    <w:rsid w:val="001937BC"/>
    <w:rsid w:val="00195C9F"/>
    <w:rsid w:val="001966DD"/>
    <w:rsid w:val="00196BDB"/>
    <w:rsid w:val="00197EAA"/>
    <w:rsid w:val="001A0E4A"/>
    <w:rsid w:val="001A243B"/>
    <w:rsid w:val="001A4FE5"/>
    <w:rsid w:val="001A50B3"/>
    <w:rsid w:val="001A5744"/>
    <w:rsid w:val="001A60E1"/>
    <w:rsid w:val="001B031C"/>
    <w:rsid w:val="001B2994"/>
    <w:rsid w:val="001B2CDF"/>
    <w:rsid w:val="001B2EC4"/>
    <w:rsid w:val="001B324A"/>
    <w:rsid w:val="001B32AC"/>
    <w:rsid w:val="001B33B6"/>
    <w:rsid w:val="001B4383"/>
    <w:rsid w:val="001B6A43"/>
    <w:rsid w:val="001B724A"/>
    <w:rsid w:val="001B7AA9"/>
    <w:rsid w:val="001B7EC0"/>
    <w:rsid w:val="001C018E"/>
    <w:rsid w:val="001C1C1B"/>
    <w:rsid w:val="001C3EFB"/>
    <w:rsid w:val="001C459C"/>
    <w:rsid w:val="001C558C"/>
    <w:rsid w:val="001C5955"/>
    <w:rsid w:val="001C5DC1"/>
    <w:rsid w:val="001C6DFF"/>
    <w:rsid w:val="001C72D0"/>
    <w:rsid w:val="001C7B78"/>
    <w:rsid w:val="001D0468"/>
    <w:rsid w:val="001D05DD"/>
    <w:rsid w:val="001D0C8E"/>
    <w:rsid w:val="001D18AA"/>
    <w:rsid w:val="001D22A3"/>
    <w:rsid w:val="001D2593"/>
    <w:rsid w:val="001D2717"/>
    <w:rsid w:val="001D2FBB"/>
    <w:rsid w:val="001D61EC"/>
    <w:rsid w:val="001D6365"/>
    <w:rsid w:val="001D663D"/>
    <w:rsid w:val="001D739F"/>
    <w:rsid w:val="001D7D81"/>
    <w:rsid w:val="001E0980"/>
    <w:rsid w:val="001E2024"/>
    <w:rsid w:val="001E2563"/>
    <w:rsid w:val="001E39AF"/>
    <w:rsid w:val="001E43B5"/>
    <w:rsid w:val="001E54BE"/>
    <w:rsid w:val="001E5878"/>
    <w:rsid w:val="001E5CCD"/>
    <w:rsid w:val="001E6B9C"/>
    <w:rsid w:val="001E764C"/>
    <w:rsid w:val="001E7978"/>
    <w:rsid w:val="001F0158"/>
    <w:rsid w:val="001F0356"/>
    <w:rsid w:val="001F10BD"/>
    <w:rsid w:val="001F1296"/>
    <w:rsid w:val="001F252D"/>
    <w:rsid w:val="001F2811"/>
    <w:rsid w:val="001F368E"/>
    <w:rsid w:val="001F51F0"/>
    <w:rsid w:val="001F7C65"/>
    <w:rsid w:val="00200521"/>
    <w:rsid w:val="00200E85"/>
    <w:rsid w:val="00200F94"/>
    <w:rsid w:val="002034EF"/>
    <w:rsid w:val="00203F44"/>
    <w:rsid w:val="00205A81"/>
    <w:rsid w:val="00205B38"/>
    <w:rsid w:val="00206311"/>
    <w:rsid w:val="00207048"/>
    <w:rsid w:val="00207A7C"/>
    <w:rsid w:val="002107A6"/>
    <w:rsid w:val="00210CA8"/>
    <w:rsid w:val="0021267C"/>
    <w:rsid w:val="00212907"/>
    <w:rsid w:val="00212AE7"/>
    <w:rsid w:val="00213887"/>
    <w:rsid w:val="00214534"/>
    <w:rsid w:val="00214B23"/>
    <w:rsid w:val="00214D86"/>
    <w:rsid w:val="00215A5D"/>
    <w:rsid w:val="00215C8A"/>
    <w:rsid w:val="00216805"/>
    <w:rsid w:val="002168A5"/>
    <w:rsid w:val="00220122"/>
    <w:rsid w:val="0022119E"/>
    <w:rsid w:val="0022137C"/>
    <w:rsid w:val="0022188E"/>
    <w:rsid w:val="00222742"/>
    <w:rsid w:val="002228E0"/>
    <w:rsid w:val="00225913"/>
    <w:rsid w:val="00225D17"/>
    <w:rsid w:val="00225DA9"/>
    <w:rsid w:val="0022657E"/>
    <w:rsid w:val="00226A24"/>
    <w:rsid w:val="002270E9"/>
    <w:rsid w:val="00227A0F"/>
    <w:rsid w:val="00227BDE"/>
    <w:rsid w:val="002306CC"/>
    <w:rsid w:val="00232455"/>
    <w:rsid w:val="002330B7"/>
    <w:rsid w:val="002336DB"/>
    <w:rsid w:val="00233A61"/>
    <w:rsid w:val="00234485"/>
    <w:rsid w:val="002347A0"/>
    <w:rsid w:val="00235A46"/>
    <w:rsid w:val="00235C7F"/>
    <w:rsid w:val="00235EB7"/>
    <w:rsid w:val="00236B80"/>
    <w:rsid w:val="00236FF6"/>
    <w:rsid w:val="00237DDE"/>
    <w:rsid w:val="002401F6"/>
    <w:rsid w:val="00240917"/>
    <w:rsid w:val="002425AF"/>
    <w:rsid w:val="002428C8"/>
    <w:rsid w:val="00244645"/>
    <w:rsid w:val="00244B58"/>
    <w:rsid w:val="0024537B"/>
    <w:rsid w:val="00245529"/>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3CA5"/>
    <w:rsid w:val="002549A0"/>
    <w:rsid w:val="00254B7B"/>
    <w:rsid w:val="0025529E"/>
    <w:rsid w:val="00255583"/>
    <w:rsid w:val="00256969"/>
    <w:rsid w:val="0025705D"/>
    <w:rsid w:val="002576EB"/>
    <w:rsid w:val="00257BF1"/>
    <w:rsid w:val="00257C62"/>
    <w:rsid w:val="00260C73"/>
    <w:rsid w:val="00261EFC"/>
    <w:rsid w:val="00263C7D"/>
    <w:rsid w:val="00263CCD"/>
    <w:rsid w:val="002643DA"/>
    <w:rsid w:val="0026474F"/>
    <w:rsid w:val="00264A42"/>
    <w:rsid w:val="00265074"/>
    <w:rsid w:val="00266180"/>
    <w:rsid w:val="002665BB"/>
    <w:rsid w:val="0027068A"/>
    <w:rsid w:val="00270B05"/>
    <w:rsid w:val="00271F86"/>
    <w:rsid w:val="00274C3A"/>
    <w:rsid w:val="00274E8B"/>
    <w:rsid w:val="00275FF9"/>
    <w:rsid w:val="00276D69"/>
    <w:rsid w:val="00276E2C"/>
    <w:rsid w:val="002778A1"/>
    <w:rsid w:val="002800FE"/>
    <w:rsid w:val="002810DE"/>
    <w:rsid w:val="00281AEE"/>
    <w:rsid w:val="00281D35"/>
    <w:rsid w:val="00281D51"/>
    <w:rsid w:val="00281FF0"/>
    <w:rsid w:val="00283141"/>
    <w:rsid w:val="0028488D"/>
    <w:rsid w:val="00285836"/>
    <w:rsid w:val="00285925"/>
    <w:rsid w:val="00285B9C"/>
    <w:rsid w:val="00285E0F"/>
    <w:rsid w:val="00285FC1"/>
    <w:rsid w:val="0028603B"/>
    <w:rsid w:val="00286C91"/>
    <w:rsid w:val="00287526"/>
    <w:rsid w:val="00290093"/>
    <w:rsid w:val="00291BB8"/>
    <w:rsid w:val="0029276A"/>
    <w:rsid w:val="0029376C"/>
    <w:rsid w:val="00294737"/>
    <w:rsid w:val="00294F19"/>
    <w:rsid w:val="00297481"/>
    <w:rsid w:val="00297E44"/>
    <w:rsid w:val="002A0BC3"/>
    <w:rsid w:val="002A0D3A"/>
    <w:rsid w:val="002A133C"/>
    <w:rsid w:val="002A2EFC"/>
    <w:rsid w:val="002A3447"/>
    <w:rsid w:val="002A502B"/>
    <w:rsid w:val="002A56B6"/>
    <w:rsid w:val="002A754D"/>
    <w:rsid w:val="002A7C78"/>
    <w:rsid w:val="002A7C79"/>
    <w:rsid w:val="002B0B39"/>
    <w:rsid w:val="002B1912"/>
    <w:rsid w:val="002B2AE5"/>
    <w:rsid w:val="002B32FF"/>
    <w:rsid w:val="002B3A20"/>
    <w:rsid w:val="002B3E66"/>
    <w:rsid w:val="002B440B"/>
    <w:rsid w:val="002B4A04"/>
    <w:rsid w:val="002B4B78"/>
    <w:rsid w:val="002B54CF"/>
    <w:rsid w:val="002B686A"/>
    <w:rsid w:val="002B68A9"/>
    <w:rsid w:val="002B7E80"/>
    <w:rsid w:val="002C0477"/>
    <w:rsid w:val="002C0538"/>
    <w:rsid w:val="002C175A"/>
    <w:rsid w:val="002C29C1"/>
    <w:rsid w:val="002C317A"/>
    <w:rsid w:val="002C4B46"/>
    <w:rsid w:val="002C4C80"/>
    <w:rsid w:val="002C5BA2"/>
    <w:rsid w:val="002C5BAA"/>
    <w:rsid w:val="002C609C"/>
    <w:rsid w:val="002C6463"/>
    <w:rsid w:val="002C77DC"/>
    <w:rsid w:val="002C7961"/>
    <w:rsid w:val="002D25EF"/>
    <w:rsid w:val="002D26CB"/>
    <w:rsid w:val="002D26F6"/>
    <w:rsid w:val="002D527E"/>
    <w:rsid w:val="002D5942"/>
    <w:rsid w:val="002D67B4"/>
    <w:rsid w:val="002E060D"/>
    <w:rsid w:val="002E0F63"/>
    <w:rsid w:val="002E11C7"/>
    <w:rsid w:val="002E1A31"/>
    <w:rsid w:val="002E26FA"/>
    <w:rsid w:val="002E4E84"/>
    <w:rsid w:val="002E4FA9"/>
    <w:rsid w:val="002E5193"/>
    <w:rsid w:val="002E56D4"/>
    <w:rsid w:val="002E7328"/>
    <w:rsid w:val="002F0230"/>
    <w:rsid w:val="002F042B"/>
    <w:rsid w:val="002F0660"/>
    <w:rsid w:val="002F08D2"/>
    <w:rsid w:val="002F14BA"/>
    <w:rsid w:val="002F229B"/>
    <w:rsid w:val="002F2325"/>
    <w:rsid w:val="002F2420"/>
    <w:rsid w:val="002F4E09"/>
    <w:rsid w:val="002F5F52"/>
    <w:rsid w:val="002F6DF6"/>
    <w:rsid w:val="003000F6"/>
    <w:rsid w:val="00302CBB"/>
    <w:rsid w:val="0030325C"/>
    <w:rsid w:val="00303D9E"/>
    <w:rsid w:val="003041C1"/>
    <w:rsid w:val="00304778"/>
    <w:rsid w:val="00306204"/>
    <w:rsid w:val="0030759E"/>
    <w:rsid w:val="0031312B"/>
    <w:rsid w:val="003136B5"/>
    <w:rsid w:val="0031380C"/>
    <w:rsid w:val="00314279"/>
    <w:rsid w:val="003155E5"/>
    <w:rsid w:val="0031590F"/>
    <w:rsid w:val="00316555"/>
    <w:rsid w:val="00320DB5"/>
    <w:rsid w:val="00320F69"/>
    <w:rsid w:val="00320F71"/>
    <w:rsid w:val="00320FFF"/>
    <w:rsid w:val="00321754"/>
    <w:rsid w:val="00321C98"/>
    <w:rsid w:val="00322507"/>
    <w:rsid w:val="00322661"/>
    <w:rsid w:val="003228C6"/>
    <w:rsid w:val="003228CB"/>
    <w:rsid w:val="0032340F"/>
    <w:rsid w:val="0032389B"/>
    <w:rsid w:val="0032398D"/>
    <w:rsid w:val="00323D96"/>
    <w:rsid w:val="00324E0E"/>
    <w:rsid w:val="00327272"/>
    <w:rsid w:val="00327673"/>
    <w:rsid w:val="0033002F"/>
    <w:rsid w:val="00330679"/>
    <w:rsid w:val="003319C8"/>
    <w:rsid w:val="00332072"/>
    <w:rsid w:val="00333429"/>
    <w:rsid w:val="0033502D"/>
    <w:rsid w:val="00335042"/>
    <w:rsid w:val="00336886"/>
    <w:rsid w:val="00340129"/>
    <w:rsid w:val="00340E61"/>
    <w:rsid w:val="00341156"/>
    <w:rsid w:val="00341520"/>
    <w:rsid w:val="003415A9"/>
    <w:rsid w:val="00341797"/>
    <w:rsid w:val="00341A86"/>
    <w:rsid w:val="00342235"/>
    <w:rsid w:val="0034224E"/>
    <w:rsid w:val="003424E6"/>
    <w:rsid w:val="003438B0"/>
    <w:rsid w:val="00344133"/>
    <w:rsid w:val="003442F7"/>
    <w:rsid w:val="003459BF"/>
    <w:rsid w:val="00346379"/>
    <w:rsid w:val="003467EC"/>
    <w:rsid w:val="00347FBC"/>
    <w:rsid w:val="00351C76"/>
    <w:rsid w:val="0035294C"/>
    <w:rsid w:val="003536E1"/>
    <w:rsid w:val="00353D97"/>
    <w:rsid w:val="00354158"/>
    <w:rsid w:val="003545F4"/>
    <w:rsid w:val="00356C16"/>
    <w:rsid w:val="00360739"/>
    <w:rsid w:val="003628FF"/>
    <w:rsid w:val="0036305A"/>
    <w:rsid w:val="00365BD2"/>
    <w:rsid w:val="00365C15"/>
    <w:rsid w:val="003665BF"/>
    <w:rsid w:val="003678FE"/>
    <w:rsid w:val="00367C0D"/>
    <w:rsid w:val="003707F9"/>
    <w:rsid w:val="00370977"/>
    <w:rsid w:val="00370CAC"/>
    <w:rsid w:val="0037193A"/>
    <w:rsid w:val="00371E21"/>
    <w:rsid w:val="00372C14"/>
    <w:rsid w:val="003732BF"/>
    <w:rsid w:val="00374814"/>
    <w:rsid w:val="003751D3"/>
    <w:rsid w:val="00375260"/>
    <w:rsid w:val="003760E7"/>
    <w:rsid w:val="0037766C"/>
    <w:rsid w:val="003778E8"/>
    <w:rsid w:val="00381E63"/>
    <w:rsid w:val="00382000"/>
    <w:rsid w:val="00382BBC"/>
    <w:rsid w:val="00386483"/>
    <w:rsid w:val="00386EDD"/>
    <w:rsid w:val="00387EAB"/>
    <w:rsid w:val="00390622"/>
    <w:rsid w:val="00390E4E"/>
    <w:rsid w:val="00391232"/>
    <w:rsid w:val="00391391"/>
    <w:rsid w:val="003917F9"/>
    <w:rsid w:val="0039316C"/>
    <w:rsid w:val="003935AA"/>
    <w:rsid w:val="0039404A"/>
    <w:rsid w:val="0039551A"/>
    <w:rsid w:val="0039591B"/>
    <w:rsid w:val="00396A82"/>
    <w:rsid w:val="003A086E"/>
    <w:rsid w:val="003A1497"/>
    <w:rsid w:val="003A26C1"/>
    <w:rsid w:val="003A5BE4"/>
    <w:rsid w:val="003A7168"/>
    <w:rsid w:val="003A7392"/>
    <w:rsid w:val="003A7C08"/>
    <w:rsid w:val="003B05B9"/>
    <w:rsid w:val="003B07D8"/>
    <w:rsid w:val="003B0846"/>
    <w:rsid w:val="003B1058"/>
    <w:rsid w:val="003B1144"/>
    <w:rsid w:val="003B1492"/>
    <w:rsid w:val="003B2B08"/>
    <w:rsid w:val="003B3A0A"/>
    <w:rsid w:val="003B3B71"/>
    <w:rsid w:val="003B474E"/>
    <w:rsid w:val="003B50A9"/>
    <w:rsid w:val="003B69EA"/>
    <w:rsid w:val="003B735E"/>
    <w:rsid w:val="003C164F"/>
    <w:rsid w:val="003C2C67"/>
    <w:rsid w:val="003C2CE3"/>
    <w:rsid w:val="003C5068"/>
    <w:rsid w:val="003C5C59"/>
    <w:rsid w:val="003C71DC"/>
    <w:rsid w:val="003C72D7"/>
    <w:rsid w:val="003C7FAE"/>
    <w:rsid w:val="003D253C"/>
    <w:rsid w:val="003D36D3"/>
    <w:rsid w:val="003D486A"/>
    <w:rsid w:val="003E0BF9"/>
    <w:rsid w:val="003E1839"/>
    <w:rsid w:val="003E1C93"/>
    <w:rsid w:val="003E293E"/>
    <w:rsid w:val="003E4628"/>
    <w:rsid w:val="003E5151"/>
    <w:rsid w:val="003E5424"/>
    <w:rsid w:val="003E7100"/>
    <w:rsid w:val="003E77A2"/>
    <w:rsid w:val="003F031A"/>
    <w:rsid w:val="003F1040"/>
    <w:rsid w:val="003F207D"/>
    <w:rsid w:val="003F347D"/>
    <w:rsid w:val="003F4220"/>
    <w:rsid w:val="003F4717"/>
    <w:rsid w:val="003F5344"/>
    <w:rsid w:val="003F7936"/>
    <w:rsid w:val="00400B45"/>
    <w:rsid w:val="00400C05"/>
    <w:rsid w:val="00402ADE"/>
    <w:rsid w:val="00402B41"/>
    <w:rsid w:val="004044D5"/>
    <w:rsid w:val="00404C8B"/>
    <w:rsid w:val="00405894"/>
    <w:rsid w:val="00407454"/>
    <w:rsid w:val="0040756D"/>
    <w:rsid w:val="00410B81"/>
    <w:rsid w:val="00410D20"/>
    <w:rsid w:val="0041164A"/>
    <w:rsid w:val="0041270C"/>
    <w:rsid w:val="00413091"/>
    <w:rsid w:val="00413615"/>
    <w:rsid w:val="004137BF"/>
    <w:rsid w:val="004138A1"/>
    <w:rsid w:val="00413A33"/>
    <w:rsid w:val="00416004"/>
    <w:rsid w:val="00416EE0"/>
    <w:rsid w:val="00417060"/>
    <w:rsid w:val="004170E1"/>
    <w:rsid w:val="00421483"/>
    <w:rsid w:val="00421EF9"/>
    <w:rsid w:val="00422EA7"/>
    <w:rsid w:val="004247F5"/>
    <w:rsid w:val="004274A6"/>
    <w:rsid w:val="00427D34"/>
    <w:rsid w:val="004306E1"/>
    <w:rsid w:val="00430BED"/>
    <w:rsid w:val="00431A94"/>
    <w:rsid w:val="00431C87"/>
    <w:rsid w:val="00433589"/>
    <w:rsid w:val="004335A6"/>
    <w:rsid w:val="004342CB"/>
    <w:rsid w:val="00435274"/>
    <w:rsid w:val="00435C55"/>
    <w:rsid w:val="00436B2F"/>
    <w:rsid w:val="00436CA9"/>
    <w:rsid w:val="004371A7"/>
    <w:rsid w:val="00437824"/>
    <w:rsid w:val="00437CCC"/>
    <w:rsid w:val="00437D82"/>
    <w:rsid w:val="00440288"/>
    <w:rsid w:val="00440B51"/>
    <w:rsid w:val="00440C00"/>
    <w:rsid w:val="00442242"/>
    <w:rsid w:val="004443DE"/>
    <w:rsid w:val="004446EB"/>
    <w:rsid w:val="00444D9F"/>
    <w:rsid w:val="00445CFC"/>
    <w:rsid w:val="0044680C"/>
    <w:rsid w:val="004471F8"/>
    <w:rsid w:val="004509B4"/>
    <w:rsid w:val="0045173A"/>
    <w:rsid w:val="004528F4"/>
    <w:rsid w:val="0045330E"/>
    <w:rsid w:val="004536DF"/>
    <w:rsid w:val="00455AC0"/>
    <w:rsid w:val="00455F12"/>
    <w:rsid w:val="00457209"/>
    <w:rsid w:val="004578FA"/>
    <w:rsid w:val="00457B34"/>
    <w:rsid w:val="004624EA"/>
    <w:rsid w:val="0046258B"/>
    <w:rsid w:val="00463362"/>
    <w:rsid w:val="00465780"/>
    <w:rsid w:val="0046592A"/>
    <w:rsid w:val="00465C26"/>
    <w:rsid w:val="004661D1"/>
    <w:rsid w:val="00466D4D"/>
    <w:rsid w:val="00466D83"/>
    <w:rsid w:val="0046710A"/>
    <w:rsid w:val="004679AB"/>
    <w:rsid w:val="0047035C"/>
    <w:rsid w:val="00470E7D"/>
    <w:rsid w:val="004714C4"/>
    <w:rsid w:val="00473879"/>
    <w:rsid w:val="00473A94"/>
    <w:rsid w:val="004745FF"/>
    <w:rsid w:val="00477BB6"/>
    <w:rsid w:val="00480B19"/>
    <w:rsid w:val="00481A63"/>
    <w:rsid w:val="0048233D"/>
    <w:rsid w:val="004841F8"/>
    <w:rsid w:val="00484BE7"/>
    <w:rsid w:val="00486D36"/>
    <w:rsid w:val="00487EC8"/>
    <w:rsid w:val="00487F7A"/>
    <w:rsid w:val="00491585"/>
    <w:rsid w:val="00492657"/>
    <w:rsid w:val="00496F0E"/>
    <w:rsid w:val="004971E3"/>
    <w:rsid w:val="0049754B"/>
    <w:rsid w:val="004978FC"/>
    <w:rsid w:val="004A0207"/>
    <w:rsid w:val="004A1E00"/>
    <w:rsid w:val="004A22E2"/>
    <w:rsid w:val="004A257A"/>
    <w:rsid w:val="004A26AB"/>
    <w:rsid w:val="004A30B9"/>
    <w:rsid w:val="004A550C"/>
    <w:rsid w:val="004A607B"/>
    <w:rsid w:val="004A62F2"/>
    <w:rsid w:val="004A6D0B"/>
    <w:rsid w:val="004A79D2"/>
    <w:rsid w:val="004A7E32"/>
    <w:rsid w:val="004B0F3A"/>
    <w:rsid w:val="004B2E1B"/>
    <w:rsid w:val="004B4718"/>
    <w:rsid w:val="004B47F9"/>
    <w:rsid w:val="004B57BB"/>
    <w:rsid w:val="004C0867"/>
    <w:rsid w:val="004C1494"/>
    <w:rsid w:val="004C23A3"/>
    <w:rsid w:val="004C23B0"/>
    <w:rsid w:val="004C2609"/>
    <w:rsid w:val="004C3212"/>
    <w:rsid w:val="004C372C"/>
    <w:rsid w:val="004C56A6"/>
    <w:rsid w:val="004C56DA"/>
    <w:rsid w:val="004C580E"/>
    <w:rsid w:val="004C66B5"/>
    <w:rsid w:val="004D11D2"/>
    <w:rsid w:val="004D167B"/>
    <w:rsid w:val="004D21CD"/>
    <w:rsid w:val="004D2717"/>
    <w:rsid w:val="004D3A47"/>
    <w:rsid w:val="004D3E22"/>
    <w:rsid w:val="004D5834"/>
    <w:rsid w:val="004D71A2"/>
    <w:rsid w:val="004D7653"/>
    <w:rsid w:val="004E0CF6"/>
    <w:rsid w:val="004E0EF1"/>
    <w:rsid w:val="004E22D0"/>
    <w:rsid w:val="004E2B95"/>
    <w:rsid w:val="004E3C2C"/>
    <w:rsid w:val="004E5B55"/>
    <w:rsid w:val="004E664F"/>
    <w:rsid w:val="004E6888"/>
    <w:rsid w:val="004E797C"/>
    <w:rsid w:val="004F066F"/>
    <w:rsid w:val="004F2553"/>
    <w:rsid w:val="004F2BB5"/>
    <w:rsid w:val="004F4756"/>
    <w:rsid w:val="004F4DF4"/>
    <w:rsid w:val="004F572C"/>
    <w:rsid w:val="004F5FE8"/>
    <w:rsid w:val="004F6B8C"/>
    <w:rsid w:val="004F7F99"/>
    <w:rsid w:val="00500E9D"/>
    <w:rsid w:val="005013EC"/>
    <w:rsid w:val="00501ABD"/>
    <w:rsid w:val="005020AA"/>
    <w:rsid w:val="00502AC4"/>
    <w:rsid w:val="00503A83"/>
    <w:rsid w:val="00503F62"/>
    <w:rsid w:val="00504275"/>
    <w:rsid w:val="0050769F"/>
    <w:rsid w:val="00507782"/>
    <w:rsid w:val="00507F90"/>
    <w:rsid w:val="00510502"/>
    <w:rsid w:val="00510FB7"/>
    <w:rsid w:val="00513C52"/>
    <w:rsid w:val="00513E41"/>
    <w:rsid w:val="0051402E"/>
    <w:rsid w:val="005144D5"/>
    <w:rsid w:val="00514816"/>
    <w:rsid w:val="00517234"/>
    <w:rsid w:val="00517405"/>
    <w:rsid w:val="005178DF"/>
    <w:rsid w:val="00517939"/>
    <w:rsid w:val="00517B83"/>
    <w:rsid w:val="00517FBA"/>
    <w:rsid w:val="005211F6"/>
    <w:rsid w:val="00522BF6"/>
    <w:rsid w:val="00524BA9"/>
    <w:rsid w:val="00525365"/>
    <w:rsid w:val="00525521"/>
    <w:rsid w:val="00525A08"/>
    <w:rsid w:val="00525EE8"/>
    <w:rsid w:val="00530D51"/>
    <w:rsid w:val="00531228"/>
    <w:rsid w:val="00531EBE"/>
    <w:rsid w:val="0053212B"/>
    <w:rsid w:val="00533C54"/>
    <w:rsid w:val="0053530B"/>
    <w:rsid w:val="005356D9"/>
    <w:rsid w:val="005372A9"/>
    <w:rsid w:val="00540762"/>
    <w:rsid w:val="00540BB0"/>
    <w:rsid w:val="00543898"/>
    <w:rsid w:val="005461E7"/>
    <w:rsid w:val="00547097"/>
    <w:rsid w:val="00550093"/>
    <w:rsid w:val="005505AD"/>
    <w:rsid w:val="00550861"/>
    <w:rsid w:val="00550E9F"/>
    <w:rsid w:val="00550F27"/>
    <w:rsid w:val="00551557"/>
    <w:rsid w:val="00553AAF"/>
    <w:rsid w:val="005574FB"/>
    <w:rsid w:val="00557543"/>
    <w:rsid w:val="005575F4"/>
    <w:rsid w:val="00557B67"/>
    <w:rsid w:val="00557E64"/>
    <w:rsid w:val="00560849"/>
    <w:rsid w:val="00561093"/>
    <w:rsid w:val="0056166A"/>
    <w:rsid w:val="00561992"/>
    <w:rsid w:val="00561D4C"/>
    <w:rsid w:val="005633B0"/>
    <w:rsid w:val="005647CF"/>
    <w:rsid w:val="005655BD"/>
    <w:rsid w:val="00565E0D"/>
    <w:rsid w:val="00565FBA"/>
    <w:rsid w:val="00566053"/>
    <w:rsid w:val="00566D6F"/>
    <w:rsid w:val="00566FE3"/>
    <w:rsid w:val="00570487"/>
    <w:rsid w:val="005705DC"/>
    <w:rsid w:val="005705F5"/>
    <w:rsid w:val="0057064C"/>
    <w:rsid w:val="00571446"/>
    <w:rsid w:val="00572E86"/>
    <w:rsid w:val="00574F6D"/>
    <w:rsid w:val="00575350"/>
    <w:rsid w:val="00576C1D"/>
    <w:rsid w:val="00576C25"/>
    <w:rsid w:val="00577455"/>
    <w:rsid w:val="0057781D"/>
    <w:rsid w:val="0057798B"/>
    <w:rsid w:val="00581084"/>
    <w:rsid w:val="005819DB"/>
    <w:rsid w:val="0058242D"/>
    <w:rsid w:val="005831F3"/>
    <w:rsid w:val="00583A5E"/>
    <w:rsid w:val="00584C1F"/>
    <w:rsid w:val="00585EE1"/>
    <w:rsid w:val="00590601"/>
    <w:rsid w:val="00590EF3"/>
    <w:rsid w:val="0059197D"/>
    <w:rsid w:val="0059201F"/>
    <w:rsid w:val="00595583"/>
    <w:rsid w:val="00595B02"/>
    <w:rsid w:val="00595D32"/>
    <w:rsid w:val="00596597"/>
    <w:rsid w:val="00597BE4"/>
    <w:rsid w:val="005A0BF6"/>
    <w:rsid w:val="005A1FD2"/>
    <w:rsid w:val="005A2157"/>
    <w:rsid w:val="005A2D76"/>
    <w:rsid w:val="005A3CBF"/>
    <w:rsid w:val="005A68D0"/>
    <w:rsid w:val="005A74A3"/>
    <w:rsid w:val="005A7532"/>
    <w:rsid w:val="005A7D68"/>
    <w:rsid w:val="005A7ECC"/>
    <w:rsid w:val="005B046E"/>
    <w:rsid w:val="005B0601"/>
    <w:rsid w:val="005B08BB"/>
    <w:rsid w:val="005B0E7C"/>
    <w:rsid w:val="005B40BB"/>
    <w:rsid w:val="005B41FD"/>
    <w:rsid w:val="005B4E22"/>
    <w:rsid w:val="005B6926"/>
    <w:rsid w:val="005C0C61"/>
    <w:rsid w:val="005C17A0"/>
    <w:rsid w:val="005C19C6"/>
    <w:rsid w:val="005C55FE"/>
    <w:rsid w:val="005C79A8"/>
    <w:rsid w:val="005D03C8"/>
    <w:rsid w:val="005D1E44"/>
    <w:rsid w:val="005D282D"/>
    <w:rsid w:val="005D5279"/>
    <w:rsid w:val="005E0197"/>
    <w:rsid w:val="005E17A5"/>
    <w:rsid w:val="005E22FF"/>
    <w:rsid w:val="005E2C8F"/>
    <w:rsid w:val="005E35C6"/>
    <w:rsid w:val="005E35DC"/>
    <w:rsid w:val="005E38AC"/>
    <w:rsid w:val="005E74C2"/>
    <w:rsid w:val="005F0419"/>
    <w:rsid w:val="005F0AE2"/>
    <w:rsid w:val="005F1520"/>
    <w:rsid w:val="005F2975"/>
    <w:rsid w:val="005F2EEF"/>
    <w:rsid w:val="005F313A"/>
    <w:rsid w:val="005F410D"/>
    <w:rsid w:val="005F50E7"/>
    <w:rsid w:val="005F55AD"/>
    <w:rsid w:val="005F5F81"/>
    <w:rsid w:val="005F6C9F"/>
    <w:rsid w:val="005F6E89"/>
    <w:rsid w:val="00601EFD"/>
    <w:rsid w:val="006034A0"/>
    <w:rsid w:val="006039A4"/>
    <w:rsid w:val="00606451"/>
    <w:rsid w:val="00606707"/>
    <w:rsid w:val="00607849"/>
    <w:rsid w:val="00607A4C"/>
    <w:rsid w:val="00611627"/>
    <w:rsid w:val="006119AA"/>
    <w:rsid w:val="00613B75"/>
    <w:rsid w:val="006161E9"/>
    <w:rsid w:val="00622161"/>
    <w:rsid w:val="0062277F"/>
    <w:rsid w:val="00622FE5"/>
    <w:rsid w:val="00623883"/>
    <w:rsid w:val="00624682"/>
    <w:rsid w:val="006247E1"/>
    <w:rsid w:val="00624EAC"/>
    <w:rsid w:val="00624EEF"/>
    <w:rsid w:val="006269B6"/>
    <w:rsid w:val="00627064"/>
    <w:rsid w:val="00627A99"/>
    <w:rsid w:val="00630060"/>
    <w:rsid w:val="006303E7"/>
    <w:rsid w:val="006309A9"/>
    <w:rsid w:val="00632BDA"/>
    <w:rsid w:val="00632F53"/>
    <w:rsid w:val="00633FA6"/>
    <w:rsid w:val="006340D8"/>
    <w:rsid w:val="00634584"/>
    <w:rsid w:val="00634B0D"/>
    <w:rsid w:val="0063517B"/>
    <w:rsid w:val="0063689D"/>
    <w:rsid w:val="0064036C"/>
    <w:rsid w:val="00640671"/>
    <w:rsid w:val="0064094A"/>
    <w:rsid w:val="00640EE6"/>
    <w:rsid w:val="006418C2"/>
    <w:rsid w:val="00642130"/>
    <w:rsid w:val="00642596"/>
    <w:rsid w:val="00643ED4"/>
    <w:rsid w:val="0064704C"/>
    <w:rsid w:val="00647EDD"/>
    <w:rsid w:val="00650228"/>
    <w:rsid w:val="006502F5"/>
    <w:rsid w:val="0065086D"/>
    <w:rsid w:val="00650B14"/>
    <w:rsid w:val="00651A9C"/>
    <w:rsid w:val="00652CF3"/>
    <w:rsid w:val="0065317A"/>
    <w:rsid w:val="00656E15"/>
    <w:rsid w:val="0066037E"/>
    <w:rsid w:val="0066202E"/>
    <w:rsid w:val="006624E6"/>
    <w:rsid w:val="00663BAD"/>
    <w:rsid w:val="006650D3"/>
    <w:rsid w:val="00665683"/>
    <w:rsid w:val="006657B2"/>
    <w:rsid w:val="00665E70"/>
    <w:rsid w:val="006713DC"/>
    <w:rsid w:val="006736DE"/>
    <w:rsid w:val="0067421F"/>
    <w:rsid w:val="00674FD6"/>
    <w:rsid w:val="00675636"/>
    <w:rsid w:val="00675758"/>
    <w:rsid w:val="006768A2"/>
    <w:rsid w:val="00677847"/>
    <w:rsid w:val="00677C02"/>
    <w:rsid w:val="00680549"/>
    <w:rsid w:val="00680AE1"/>
    <w:rsid w:val="00681463"/>
    <w:rsid w:val="006835FE"/>
    <w:rsid w:val="006850F1"/>
    <w:rsid w:val="00685578"/>
    <w:rsid w:val="006858C1"/>
    <w:rsid w:val="00685AE6"/>
    <w:rsid w:val="0068663F"/>
    <w:rsid w:val="00687ED5"/>
    <w:rsid w:val="00690A70"/>
    <w:rsid w:val="00690BF8"/>
    <w:rsid w:val="00690F8E"/>
    <w:rsid w:val="006947EE"/>
    <w:rsid w:val="0069525E"/>
    <w:rsid w:val="00696677"/>
    <w:rsid w:val="006968EE"/>
    <w:rsid w:val="00696B0F"/>
    <w:rsid w:val="006A23D6"/>
    <w:rsid w:val="006A2664"/>
    <w:rsid w:val="006A26BE"/>
    <w:rsid w:val="006A28AC"/>
    <w:rsid w:val="006A32D5"/>
    <w:rsid w:val="006A45C9"/>
    <w:rsid w:val="006A4AD7"/>
    <w:rsid w:val="006A58C9"/>
    <w:rsid w:val="006A5C01"/>
    <w:rsid w:val="006A5FF1"/>
    <w:rsid w:val="006A6623"/>
    <w:rsid w:val="006B3519"/>
    <w:rsid w:val="006B4624"/>
    <w:rsid w:val="006B51C4"/>
    <w:rsid w:val="006B6105"/>
    <w:rsid w:val="006B630C"/>
    <w:rsid w:val="006B7F97"/>
    <w:rsid w:val="006C03AF"/>
    <w:rsid w:val="006C088A"/>
    <w:rsid w:val="006C2154"/>
    <w:rsid w:val="006C2C00"/>
    <w:rsid w:val="006C3999"/>
    <w:rsid w:val="006C4986"/>
    <w:rsid w:val="006C50D6"/>
    <w:rsid w:val="006C59ED"/>
    <w:rsid w:val="006C59FD"/>
    <w:rsid w:val="006C5A08"/>
    <w:rsid w:val="006C7AFA"/>
    <w:rsid w:val="006D0485"/>
    <w:rsid w:val="006D43DE"/>
    <w:rsid w:val="006D467B"/>
    <w:rsid w:val="006D4B47"/>
    <w:rsid w:val="006D4B89"/>
    <w:rsid w:val="006D613B"/>
    <w:rsid w:val="006D6DC6"/>
    <w:rsid w:val="006E0156"/>
    <w:rsid w:val="006E07D9"/>
    <w:rsid w:val="006E2646"/>
    <w:rsid w:val="006E37ED"/>
    <w:rsid w:val="006E3D2C"/>
    <w:rsid w:val="006E67FF"/>
    <w:rsid w:val="006E6CE0"/>
    <w:rsid w:val="006E74C7"/>
    <w:rsid w:val="006F026B"/>
    <w:rsid w:val="006F027E"/>
    <w:rsid w:val="006F0E6B"/>
    <w:rsid w:val="006F3703"/>
    <w:rsid w:val="006F4111"/>
    <w:rsid w:val="006F5618"/>
    <w:rsid w:val="006F635D"/>
    <w:rsid w:val="006F657B"/>
    <w:rsid w:val="006F707D"/>
    <w:rsid w:val="006F714F"/>
    <w:rsid w:val="006F7430"/>
    <w:rsid w:val="006F77C5"/>
    <w:rsid w:val="0070003C"/>
    <w:rsid w:val="00701622"/>
    <w:rsid w:val="0070256C"/>
    <w:rsid w:val="00703BAA"/>
    <w:rsid w:val="00704B8F"/>
    <w:rsid w:val="007063A8"/>
    <w:rsid w:val="00706E7C"/>
    <w:rsid w:val="0071041E"/>
    <w:rsid w:val="007106A0"/>
    <w:rsid w:val="00710C5E"/>
    <w:rsid w:val="00712027"/>
    <w:rsid w:val="00713D84"/>
    <w:rsid w:val="00715DA4"/>
    <w:rsid w:val="00715E46"/>
    <w:rsid w:val="00716950"/>
    <w:rsid w:val="00717DA0"/>
    <w:rsid w:val="0072126A"/>
    <w:rsid w:val="0072180D"/>
    <w:rsid w:val="00721A55"/>
    <w:rsid w:val="0072208A"/>
    <w:rsid w:val="00722588"/>
    <w:rsid w:val="007237F9"/>
    <w:rsid w:val="00723899"/>
    <w:rsid w:val="007256B0"/>
    <w:rsid w:val="00726CF4"/>
    <w:rsid w:val="0072760D"/>
    <w:rsid w:val="00727ADD"/>
    <w:rsid w:val="0073040B"/>
    <w:rsid w:val="00731737"/>
    <w:rsid w:val="00731D35"/>
    <w:rsid w:val="00733C34"/>
    <w:rsid w:val="007346A4"/>
    <w:rsid w:val="007347F0"/>
    <w:rsid w:val="00735539"/>
    <w:rsid w:val="00735839"/>
    <w:rsid w:val="007367A1"/>
    <w:rsid w:val="00736A5E"/>
    <w:rsid w:val="0073739E"/>
    <w:rsid w:val="007373D7"/>
    <w:rsid w:val="00740C18"/>
    <w:rsid w:val="00741413"/>
    <w:rsid w:val="00741440"/>
    <w:rsid w:val="0074203D"/>
    <w:rsid w:val="00743B25"/>
    <w:rsid w:val="00744123"/>
    <w:rsid w:val="00744633"/>
    <w:rsid w:val="007450D1"/>
    <w:rsid w:val="00745152"/>
    <w:rsid w:val="0074693C"/>
    <w:rsid w:val="00746E71"/>
    <w:rsid w:val="00750375"/>
    <w:rsid w:val="0075084F"/>
    <w:rsid w:val="007508BA"/>
    <w:rsid w:val="00751730"/>
    <w:rsid w:val="00751900"/>
    <w:rsid w:val="00752444"/>
    <w:rsid w:val="00752FC9"/>
    <w:rsid w:val="0075386F"/>
    <w:rsid w:val="00754064"/>
    <w:rsid w:val="00754533"/>
    <w:rsid w:val="0075477A"/>
    <w:rsid w:val="00754988"/>
    <w:rsid w:val="00754B59"/>
    <w:rsid w:val="00754ED8"/>
    <w:rsid w:val="00756071"/>
    <w:rsid w:val="0075703A"/>
    <w:rsid w:val="00757FD0"/>
    <w:rsid w:val="00762125"/>
    <w:rsid w:val="00762EC0"/>
    <w:rsid w:val="00763214"/>
    <w:rsid w:val="00763900"/>
    <w:rsid w:val="00765222"/>
    <w:rsid w:val="0076586F"/>
    <w:rsid w:val="00765A88"/>
    <w:rsid w:val="007662E5"/>
    <w:rsid w:val="00766522"/>
    <w:rsid w:val="0076747B"/>
    <w:rsid w:val="00767F2D"/>
    <w:rsid w:val="00770C11"/>
    <w:rsid w:val="007716D0"/>
    <w:rsid w:val="00775025"/>
    <w:rsid w:val="00775291"/>
    <w:rsid w:val="007758AD"/>
    <w:rsid w:val="00775D1C"/>
    <w:rsid w:val="00776551"/>
    <w:rsid w:val="00776911"/>
    <w:rsid w:val="00776962"/>
    <w:rsid w:val="0077794C"/>
    <w:rsid w:val="00777EEF"/>
    <w:rsid w:val="00780428"/>
    <w:rsid w:val="007804EF"/>
    <w:rsid w:val="0078094D"/>
    <w:rsid w:val="00780E95"/>
    <w:rsid w:val="007818F4"/>
    <w:rsid w:val="00782D18"/>
    <w:rsid w:val="00782F73"/>
    <w:rsid w:val="007839D7"/>
    <w:rsid w:val="0078401E"/>
    <w:rsid w:val="007863DE"/>
    <w:rsid w:val="00787030"/>
    <w:rsid w:val="00787A65"/>
    <w:rsid w:val="00791257"/>
    <w:rsid w:val="00791A1D"/>
    <w:rsid w:val="00792281"/>
    <w:rsid w:val="0079278B"/>
    <w:rsid w:val="00796328"/>
    <w:rsid w:val="00796527"/>
    <w:rsid w:val="00796EA3"/>
    <w:rsid w:val="00797315"/>
    <w:rsid w:val="00797403"/>
    <w:rsid w:val="007A021F"/>
    <w:rsid w:val="007A0DC0"/>
    <w:rsid w:val="007A2E97"/>
    <w:rsid w:val="007A3996"/>
    <w:rsid w:val="007A40A5"/>
    <w:rsid w:val="007A4BA7"/>
    <w:rsid w:val="007A6177"/>
    <w:rsid w:val="007A7831"/>
    <w:rsid w:val="007B011D"/>
    <w:rsid w:val="007B0211"/>
    <w:rsid w:val="007B0244"/>
    <w:rsid w:val="007B043E"/>
    <w:rsid w:val="007B04C6"/>
    <w:rsid w:val="007B2BF8"/>
    <w:rsid w:val="007B2F94"/>
    <w:rsid w:val="007B3F1B"/>
    <w:rsid w:val="007B5192"/>
    <w:rsid w:val="007B5668"/>
    <w:rsid w:val="007B5BAB"/>
    <w:rsid w:val="007B6D6B"/>
    <w:rsid w:val="007B7208"/>
    <w:rsid w:val="007C0840"/>
    <w:rsid w:val="007C095E"/>
    <w:rsid w:val="007C0E9C"/>
    <w:rsid w:val="007C11A8"/>
    <w:rsid w:val="007C3121"/>
    <w:rsid w:val="007C322A"/>
    <w:rsid w:val="007C3BB5"/>
    <w:rsid w:val="007C425C"/>
    <w:rsid w:val="007C4958"/>
    <w:rsid w:val="007C571A"/>
    <w:rsid w:val="007C5A38"/>
    <w:rsid w:val="007C73D7"/>
    <w:rsid w:val="007C764A"/>
    <w:rsid w:val="007D1C1E"/>
    <w:rsid w:val="007D21D6"/>
    <w:rsid w:val="007D246E"/>
    <w:rsid w:val="007D3498"/>
    <w:rsid w:val="007D3799"/>
    <w:rsid w:val="007D4AF2"/>
    <w:rsid w:val="007D642E"/>
    <w:rsid w:val="007D6C21"/>
    <w:rsid w:val="007D6D55"/>
    <w:rsid w:val="007D6E36"/>
    <w:rsid w:val="007E0A2A"/>
    <w:rsid w:val="007E0C92"/>
    <w:rsid w:val="007E24EC"/>
    <w:rsid w:val="007E2CC1"/>
    <w:rsid w:val="007E2D2B"/>
    <w:rsid w:val="007E307E"/>
    <w:rsid w:val="007E36CA"/>
    <w:rsid w:val="007E539A"/>
    <w:rsid w:val="007E6FA7"/>
    <w:rsid w:val="007E7A83"/>
    <w:rsid w:val="007F0DF2"/>
    <w:rsid w:val="007F1189"/>
    <w:rsid w:val="007F137D"/>
    <w:rsid w:val="007F1511"/>
    <w:rsid w:val="007F38C7"/>
    <w:rsid w:val="007F528B"/>
    <w:rsid w:val="007F541A"/>
    <w:rsid w:val="007F5E46"/>
    <w:rsid w:val="007F7CA8"/>
    <w:rsid w:val="008003E3"/>
    <w:rsid w:val="00800CED"/>
    <w:rsid w:val="00800DC8"/>
    <w:rsid w:val="0080131C"/>
    <w:rsid w:val="00801A56"/>
    <w:rsid w:val="00801C4D"/>
    <w:rsid w:val="00802178"/>
    <w:rsid w:val="0080272E"/>
    <w:rsid w:val="00802999"/>
    <w:rsid w:val="0080299E"/>
    <w:rsid w:val="00803306"/>
    <w:rsid w:val="008036AD"/>
    <w:rsid w:val="008039FA"/>
    <w:rsid w:val="00805556"/>
    <w:rsid w:val="00807E7F"/>
    <w:rsid w:val="008115BF"/>
    <w:rsid w:val="008116FF"/>
    <w:rsid w:val="0081187C"/>
    <w:rsid w:val="00811D3F"/>
    <w:rsid w:val="008125B2"/>
    <w:rsid w:val="0081358C"/>
    <w:rsid w:val="0081570E"/>
    <w:rsid w:val="00815DD4"/>
    <w:rsid w:val="00815FFA"/>
    <w:rsid w:val="00817744"/>
    <w:rsid w:val="00820126"/>
    <w:rsid w:val="0082052F"/>
    <w:rsid w:val="00820E98"/>
    <w:rsid w:val="00821FF6"/>
    <w:rsid w:val="00823009"/>
    <w:rsid w:val="008231E7"/>
    <w:rsid w:val="00823E6F"/>
    <w:rsid w:val="008251FD"/>
    <w:rsid w:val="00825C64"/>
    <w:rsid w:val="00826D97"/>
    <w:rsid w:val="008275D9"/>
    <w:rsid w:val="008279A5"/>
    <w:rsid w:val="00830002"/>
    <w:rsid w:val="008302A9"/>
    <w:rsid w:val="008304D8"/>
    <w:rsid w:val="008319B3"/>
    <w:rsid w:val="00831B62"/>
    <w:rsid w:val="00832093"/>
    <w:rsid w:val="0083347D"/>
    <w:rsid w:val="0083376D"/>
    <w:rsid w:val="0083408B"/>
    <w:rsid w:val="0083541B"/>
    <w:rsid w:val="00836956"/>
    <w:rsid w:val="0083774D"/>
    <w:rsid w:val="00837C0E"/>
    <w:rsid w:val="00837ECD"/>
    <w:rsid w:val="008401B9"/>
    <w:rsid w:val="008408F2"/>
    <w:rsid w:val="00840C4A"/>
    <w:rsid w:val="00840E9C"/>
    <w:rsid w:val="00841686"/>
    <w:rsid w:val="00842339"/>
    <w:rsid w:val="0084288D"/>
    <w:rsid w:val="0084354E"/>
    <w:rsid w:val="00843A28"/>
    <w:rsid w:val="00843B9C"/>
    <w:rsid w:val="008449BA"/>
    <w:rsid w:val="00844A8E"/>
    <w:rsid w:val="00844C4C"/>
    <w:rsid w:val="00845CBD"/>
    <w:rsid w:val="008469FF"/>
    <w:rsid w:val="008472FC"/>
    <w:rsid w:val="00847A1E"/>
    <w:rsid w:val="00847E25"/>
    <w:rsid w:val="00850666"/>
    <w:rsid w:val="00850C3F"/>
    <w:rsid w:val="00851B2F"/>
    <w:rsid w:val="00852A30"/>
    <w:rsid w:val="00853162"/>
    <w:rsid w:val="00853A27"/>
    <w:rsid w:val="00856855"/>
    <w:rsid w:val="008575F4"/>
    <w:rsid w:val="008604AB"/>
    <w:rsid w:val="008613C1"/>
    <w:rsid w:val="0086224D"/>
    <w:rsid w:val="00863576"/>
    <w:rsid w:val="00863A97"/>
    <w:rsid w:val="008655D7"/>
    <w:rsid w:val="00865C1F"/>
    <w:rsid w:val="00866244"/>
    <w:rsid w:val="00867230"/>
    <w:rsid w:val="0086743A"/>
    <w:rsid w:val="00867740"/>
    <w:rsid w:val="00871EC3"/>
    <w:rsid w:val="008724EC"/>
    <w:rsid w:val="00874217"/>
    <w:rsid w:val="008742BE"/>
    <w:rsid w:val="00875F8F"/>
    <w:rsid w:val="00876D82"/>
    <w:rsid w:val="008805EE"/>
    <w:rsid w:val="00880E5E"/>
    <w:rsid w:val="008819A1"/>
    <w:rsid w:val="00881E29"/>
    <w:rsid w:val="00882602"/>
    <w:rsid w:val="0088653D"/>
    <w:rsid w:val="0088694B"/>
    <w:rsid w:val="008879AD"/>
    <w:rsid w:val="00892E3A"/>
    <w:rsid w:val="00893705"/>
    <w:rsid w:val="00893C86"/>
    <w:rsid w:val="008941DC"/>
    <w:rsid w:val="00894FF0"/>
    <w:rsid w:val="00895B9B"/>
    <w:rsid w:val="00896E2D"/>
    <w:rsid w:val="00897210"/>
    <w:rsid w:val="0089749D"/>
    <w:rsid w:val="008A0A1F"/>
    <w:rsid w:val="008A1678"/>
    <w:rsid w:val="008A16D2"/>
    <w:rsid w:val="008A19EB"/>
    <w:rsid w:val="008A23C6"/>
    <w:rsid w:val="008A2500"/>
    <w:rsid w:val="008A2BD0"/>
    <w:rsid w:val="008A3EA4"/>
    <w:rsid w:val="008A6478"/>
    <w:rsid w:val="008A65A6"/>
    <w:rsid w:val="008A6859"/>
    <w:rsid w:val="008A69EF"/>
    <w:rsid w:val="008A6B6B"/>
    <w:rsid w:val="008A6BBA"/>
    <w:rsid w:val="008A714C"/>
    <w:rsid w:val="008A7D99"/>
    <w:rsid w:val="008A7E20"/>
    <w:rsid w:val="008B01D2"/>
    <w:rsid w:val="008B0682"/>
    <w:rsid w:val="008B0B6A"/>
    <w:rsid w:val="008B11D6"/>
    <w:rsid w:val="008B1C0C"/>
    <w:rsid w:val="008B1C95"/>
    <w:rsid w:val="008B1E21"/>
    <w:rsid w:val="008B2E25"/>
    <w:rsid w:val="008B3AF6"/>
    <w:rsid w:val="008B3C1C"/>
    <w:rsid w:val="008B4D2B"/>
    <w:rsid w:val="008B5E74"/>
    <w:rsid w:val="008B60A8"/>
    <w:rsid w:val="008B61B5"/>
    <w:rsid w:val="008B6A91"/>
    <w:rsid w:val="008B7145"/>
    <w:rsid w:val="008B7D01"/>
    <w:rsid w:val="008C18DA"/>
    <w:rsid w:val="008C1E19"/>
    <w:rsid w:val="008C2A8D"/>
    <w:rsid w:val="008C345D"/>
    <w:rsid w:val="008C3C54"/>
    <w:rsid w:val="008C42E6"/>
    <w:rsid w:val="008C4522"/>
    <w:rsid w:val="008C5E29"/>
    <w:rsid w:val="008D094B"/>
    <w:rsid w:val="008D09F0"/>
    <w:rsid w:val="008D3F80"/>
    <w:rsid w:val="008D41EB"/>
    <w:rsid w:val="008D438E"/>
    <w:rsid w:val="008D470E"/>
    <w:rsid w:val="008D4E79"/>
    <w:rsid w:val="008D5A36"/>
    <w:rsid w:val="008D5ABD"/>
    <w:rsid w:val="008D5AE2"/>
    <w:rsid w:val="008D7533"/>
    <w:rsid w:val="008D76D1"/>
    <w:rsid w:val="008D7918"/>
    <w:rsid w:val="008E115A"/>
    <w:rsid w:val="008E292E"/>
    <w:rsid w:val="008E30BD"/>
    <w:rsid w:val="008E3A43"/>
    <w:rsid w:val="008E3B79"/>
    <w:rsid w:val="008E5E98"/>
    <w:rsid w:val="008E64CD"/>
    <w:rsid w:val="008E65D4"/>
    <w:rsid w:val="008F1D9A"/>
    <w:rsid w:val="008F1ED3"/>
    <w:rsid w:val="008F22FB"/>
    <w:rsid w:val="008F2E82"/>
    <w:rsid w:val="008F30E6"/>
    <w:rsid w:val="008F4372"/>
    <w:rsid w:val="008F4932"/>
    <w:rsid w:val="008F5917"/>
    <w:rsid w:val="008F5C4D"/>
    <w:rsid w:val="008F74FE"/>
    <w:rsid w:val="009003C5"/>
    <w:rsid w:val="0090085C"/>
    <w:rsid w:val="0090189E"/>
    <w:rsid w:val="00903522"/>
    <w:rsid w:val="009046B1"/>
    <w:rsid w:val="00904C70"/>
    <w:rsid w:val="009057B4"/>
    <w:rsid w:val="0090639A"/>
    <w:rsid w:val="0090656D"/>
    <w:rsid w:val="0090719E"/>
    <w:rsid w:val="00910EC2"/>
    <w:rsid w:val="00911655"/>
    <w:rsid w:val="00911AF5"/>
    <w:rsid w:val="009144B0"/>
    <w:rsid w:val="0091659A"/>
    <w:rsid w:val="00920300"/>
    <w:rsid w:val="00920DF4"/>
    <w:rsid w:val="009210E4"/>
    <w:rsid w:val="00921863"/>
    <w:rsid w:val="00921C6E"/>
    <w:rsid w:val="00921EBE"/>
    <w:rsid w:val="009225D4"/>
    <w:rsid w:val="0092473B"/>
    <w:rsid w:val="00924B6E"/>
    <w:rsid w:val="00926491"/>
    <w:rsid w:val="00926640"/>
    <w:rsid w:val="00926BDE"/>
    <w:rsid w:val="00931595"/>
    <w:rsid w:val="00931DDA"/>
    <w:rsid w:val="009354F3"/>
    <w:rsid w:val="009368DF"/>
    <w:rsid w:val="00937261"/>
    <w:rsid w:val="00942570"/>
    <w:rsid w:val="00942D93"/>
    <w:rsid w:val="00943F3B"/>
    <w:rsid w:val="009440DF"/>
    <w:rsid w:val="00944F88"/>
    <w:rsid w:val="009464AA"/>
    <w:rsid w:val="00947245"/>
    <w:rsid w:val="00951623"/>
    <w:rsid w:val="00951693"/>
    <w:rsid w:val="00951DF1"/>
    <w:rsid w:val="009529D0"/>
    <w:rsid w:val="009535D5"/>
    <w:rsid w:val="009545D3"/>
    <w:rsid w:val="00956A61"/>
    <w:rsid w:val="00956AEB"/>
    <w:rsid w:val="009575FF"/>
    <w:rsid w:val="009601A7"/>
    <w:rsid w:val="00960347"/>
    <w:rsid w:val="0096191C"/>
    <w:rsid w:val="00962D3B"/>
    <w:rsid w:val="00963330"/>
    <w:rsid w:val="00963A50"/>
    <w:rsid w:val="00966486"/>
    <w:rsid w:val="00966C48"/>
    <w:rsid w:val="00966D5E"/>
    <w:rsid w:val="00967503"/>
    <w:rsid w:val="00970CE1"/>
    <w:rsid w:val="009714A8"/>
    <w:rsid w:val="00971E21"/>
    <w:rsid w:val="00972F76"/>
    <w:rsid w:val="009730D5"/>
    <w:rsid w:val="00973736"/>
    <w:rsid w:val="00974429"/>
    <w:rsid w:val="00975008"/>
    <w:rsid w:val="00975653"/>
    <w:rsid w:val="00976804"/>
    <w:rsid w:val="00977713"/>
    <w:rsid w:val="00980E26"/>
    <w:rsid w:val="00981ABE"/>
    <w:rsid w:val="00981EA2"/>
    <w:rsid w:val="00982262"/>
    <w:rsid w:val="00982A00"/>
    <w:rsid w:val="00982B80"/>
    <w:rsid w:val="00982DAA"/>
    <w:rsid w:val="00982FD6"/>
    <w:rsid w:val="00983A81"/>
    <w:rsid w:val="00984EC7"/>
    <w:rsid w:val="00985AB8"/>
    <w:rsid w:val="0098672F"/>
    <w:rsid w:val="009867AE"/>
    <w:rsid w:val="009867B4"/>
    <w:rsid w:val="00986CAA"/>
    <w:rsid w:val="00987772"/>
    <w:rsid w:val="00990663"/>
    <w:rsid w:val="00991096"/>
    <w:rsid w:val="00991C27"/>
    <w:rsid w:val="00992BDA"/>
    <w:rsid w:val="00994256"/>
    <w:rsid w:val="00994F12"/>
    <w:rsid w:val="00995AD5"/>
    <w:rsid w:val="00996A37"/>
    <w:rsid w:val="00997693"/>
    <w:rsid w:val="009977A7"/>
    <w:rsid w:val="0099794C"/>
    <w:rsid w:val="009A05DE"/>
    <w:rsid w:val="009A1300"/>
    <w:rsid w:val="009A4A17"/>
    <w:rsid w:val="009A4C85"/>
    <w:rsid w:val="009A55F4"/>
    <w:rsid w:val="009A6794"/>
    <w:rsid w:val="009A693C"/>
    <w:rsid w:val="009B1D4D"/>
    <w:rsid w:val="009B3B87"/>
    <w:rsid w:val="009B3BDF"/>
    <w:rsid w:val="009B40C2"/>
    <w:rsid w:val="009B4E6A"/>
    <w:rsid w:val="009B68A9"/>
    <w:rsid w:val="009B6D8F"/>
    <w:rsid w:val="009B72F8"/>
    <w:rsid w:val="009C2ACE"/>
    <w:rsid w:val="009C3727"/>
    <w:rsid w:val="009C4216"/>
    <w:rsid w:val="009C4465"/>
    <w:rsid w:val="009C514E"/>
    <w:rsid w:val="009C672D"/>
    <w:rsid w:val="009C6878"/>
    <w:rsid w:val="009C77A3"/>
    <w:rsid w:val="009C7D2D"/>
    <w:rsid w:val="009D11A3"/>
    <w:rsid w:val="009D1264"/>
    <w:rsid w:val="009D18C7"/>
    <w:rsid w:val="009D21A3"/>
    <w:rsid w:val="009D2684"/>
    <w:rsid w:val="009D303E"/>
    <w:rsid w:val="009D35B7"/>
    <w:rsid w:val="009D4709"/>
    <w:rsid w:val="009D4D64"/>
    <w:rsid w:val="009D4FA6"/>
    <w:rsid w:val="009D61CA"/>
    <w:rsid w:val="009D6B0A"/>
    <w:rsid w:val="009D6EBD"/>
    <w:rsid w:val="009D75B6"/>
    <w:rsid w:val="009D77BB"/>
    <w:rsid w:val="009E1C18"/>
    <w:rsid w:val="009E2377"/>
    <w:rsid w:val="009E30A2"/>
    <w:rsid w:val="009E4262"/>
    <w:rsid w:val="009E47AE"/>
    <w:rsid w:val="009E63EF"/>
    <w:rsid w:val="009E688A"/>
    <w:rsid w:val="009E6BD1"/>
    <w:rsid w:val="009E7A30"/>
    <w:rsid w:val="009E7B76"/>
    <w:rsid w:val="009F1422"/>
    <w:rsid w:val="009F342D"/>
    <w:rsid w:val="009F3976"/>
    <w:rsid w:val="009F404C"/>
    <w:rsid w:val="009F4E32"/>
    <w:rsid w:val="009F61FE"/>
    <w:rsid w:val="00A0021E"/>
    <w:rsid w:val="00A00D4C"/>
    <w:rsid w:val="00A023AE"/>
    <w:rsid w:val="00A03F1F"/>
    <w:rsid w:val="00A041FF"/>
    <w:rsid w:val="00A04614"/>
    <w:rsid w:val="00A047C9"/>
    <w:rsid w:val="00A050E9"/>
    <w:rsid w:val="00A06444"/>
    <w:rsid w:val="00A064CA"/>
    <w:rsid w:val="00A068E6"/>
    <w:rsid w:val="00A114E6"/>
    <w:rsid w:val="00A140EA"/>
    <w:rsid w:val="00A144B6"/>
    <w:rsid w:val="00A14B2F"/>
    <w:rsid w:val="00A1518C"/>
    <w:rsid w:val="00A1529A"/>
    <w:rsid w:val="00A1577F"/>
    <w:rsid w:val="00A15796"/>
    <w:rsid w:val="00A16B9D"/>
    <w:rsid w:val="00A20D61"/>
    <w:rsid w:val="00A21319"/>
    <w:rsid w:val="00A23A47"/>
    <w:rsid w:val="00A243B9"/>
    <w:rsid w:val="00A255A1"/>
    <w:rsid w:val="00A2598B"/>
    <w:rsid w:val="00A25A45"/>
    <w:rsid w:val="00A273BA"/>
    <w:rsid w:val="00A27506"/>
    <w:rsid w:val="00A27C3E"/>
    <w:rsid w:val="00A3000C"/>
    <w:rsid w:val="00A3098B"/>
    <w:rsid w:val="00A30D08"/>
    <w:rsid w:val="00A31FA5"/>
    <w:rsid w:val="00A33D88"/>
    <w:rsid w:val="00A33D8A"/>
    <w:rsid w:val="00A35675"/>
    <w:rsid w:val="00A35BA5"/>
    <w:rsid w:val="00A36FD2"/>
    <w:rsid w:val="00A378C9"/>
    <w:rsid w:val="00A37BFA"/>
    <w:rsid w:val="00A40003"/>
    <w:rsid w:val="00A40062"/>
    <w:rsid w:val="00A40F85"/>
    <w:rsid w:val="00A4160B"/>
    <w:rsid w:val="00A42AA9"/>
    <w:rsid w:val="00A43631"/>
    <w:rsid w:val="00A43966"/>
    <w:rsid w:val="00A43C76"/>
    <w:rsid w:val="00A44130"/>
    <w:rsid w:val="00A4543A"/>
    <w:rsid w:val="00A45F79"/>
    <w:rsid w:val="00A4659C"/>
    <w:rsid w:val="00A4702B"/>
    <w:rsid w:val="00A4712E"/>
    <w:rsid w:val="00A4770D"/>
    <w:rsid w:val="00A47A4B"/>
    <w:rsid w:val="00A47EC0"/>
    <w:rsid w:val="00A5061C"/>
    <w:rsid w:val="00A517BD"/>
    <w:rsid w:val="00A52109"/>
    <w:rsid w:val="00A52497"/>
    <w:rsid w:val="00A526D1"/>
    <w:rsid w:val="00A532BB"/>
    <w:rsid w:val="00A54E56"/>
    <w:rsid w:val="00A60CCB"/>
    <w:rsid w:val="00A60DE1"/>
    <w:rsid w:val="00A62428"/>
    <w:rsid w:val="00A63A81"/>
    <w:rsid w:val="00A64EDF"/>
    <w:rsid w:val="00A65337"/>
    <w:rsid w:val="00A65D33"/>
    <w:rsid w:val="00A67436"/>
    <w:rsid w:val="00A67D11"/>
    <w:rsid w:val="00A67E2B"/>
    <w:rsid w:val="00A70224"/>
    <w:rsid w:val="00A71953"/>
    <w:rsid w:val="00A730A4"/>
    <w:rsid w:val="00A735F0"/>
    <w:rsid w:val="00A7379A"/>
    <w:rsid w:val="00A73D98"/>
    <w:rsid w:val="00A74020"/>
    <w:rsid w:val="00A74331"/>
    <w:rsid w:val="00A74AEE"/>
    <w:rsid w:val="00A74DB0"/>
    <w:rsid w:val="00A74E42"/>
    <w:rsid w:val="00A75160"/>
    <w:rsid w:val="00A76633"/>
    <w:rsid w:val="00A7720E"/>
    <w:rsid w:val="00A772D3"/>
    <w:rsid w:val="00A77556"/>
    <w:rsid w:val="00A77A13"/>
    <w:rsid w:val="00A80246"/>
    <w:rsid w:val="00A80659"/>
    <w:rsid w:val="00A817A2"/>
    <w:rsid w:val="00A81C32"/>
    <w:rsid w:val="00A82951"/>
    <w:rsid w:val="00A82A1C"/>
    <w:rsid w:val="00A841A8"/>
    <w:rsid w:val="00A84DFA"/>
    <w:rsid w:val="00A84F0C"/>
    <w:rsid w:val="00A85081"/>
    <w:rsid w:val="00A85977"/>
    <w:rsid w:val="00A87D2A"/>
    <w:rsid w:val="00A91C8E"/>
    <w:rsid w:val="00A91D04"/>
    <w:rsid w:val="00A94332"/>
    <w:rsid w:val="00A949D2"/>
    <w:rsid w:val="00A94AB2"/>
    <w:rsid w:val="00A94D24"/>
    <w:rsid w:val="00A94DF3"/>
    <w:rsid w:val="00A94EC1"/>
    <w:rsid w:val="00A94F45"/>
    <w:rsid w:val="00A9581F"/>
    <w:rsid w:val="00A95F81"/>
    <w:rsid w:val="00A9622B"/>
    <w:rsid w:val="00A9638C"/>
    <w:rsid w:val="00A96A8F"/>
    <w:rsid w:val="00A96C0F"/>
    <w:rsid w:val="00A9728D"/>
    <w:rsid w:val="00A9753D"/>
    <w:rsid w:val="00AA15FC"/>
    <w:rsid w:val="00AA168B"/>
    <w:rsid w:val="00AA1A57"/>
    <w:rsid w:val="00AA27C1"/>
    <w:rsid w:val="00AA289E"/>
    <w:rsid w:val="00AA2F89"/>
    <w:rsid w:val="00AA37A9"/>
    <w:rsid w:val="00AA3AC6"/>
    <w:rsid w:val="00AA5968"/>
    <w:rsid w:val="00AB0232"/>
    <w:rsid w:val="00AB0BF9"/>
    <w:rsid w:val="00AB0CEC"/>
    <w:rsid w:val="00AB215D"/>
    <w:rsid w:val="00AB3E16"/>
    <w:rsid w:val="00AB4804"/>
    <w:rsid w:val="00AB640F"/>
    <w:rsid w:val="00AB7013"/>
    <w:rsid w:val="00AB73A3"/>
    <w:rsid w:val="00AB7602"/>
    <w:rsid w:val="00AB78A5"/>
    <w:rsid w:val="00AC0C99"/>
    <w:rsid w:val="00AC17F6"/>
    <w:rsid w:val="00AC195C"/>
    <w:rsid w:val="00AC4916"/>
    <w:rsid w:val="00AC6B1B"/>
    <w:rsid w:val="00AC6C49"/>
    <w:rsid w:val="00AC7747"/>
    <w:rsid w:val="00AD1549"/>
    <w:rsid w:val="00AD1616"/>
    <w:rsid w:val="00AD1A5D"/>
    <w:rsid w:val="00AD324E"/>
    <w:rsid w:val="00AD3B14"/>
    <w:rsid w:val="00AD3B26"/>
    <w:rsid w:val="00AD44E7"/>
    <w:rsid w:val="00AD4A35"/>
    <w:rsid w:val="00AD565E"/>
    <w:rsid w:val="00AD64B9"/>
    <w:rsid w:val="00AD6919"/>
    <w:rsid w:val="00AD6BC6"/>
    <w:rsid w:val="00AE04BC"/>
    <w:rsid w:val="00AE197B"/>
    <w:rsid w:val="00AE2C09"/>
    <w:rsid w:val="00AE37B5"/>
    <w:rsid w:val="00AE3BCA"/>
    <w:rsid w:val="00AE611D"/>
    <w:rsid w:val="00AE696B"/>
    <w:rsid w:val="00AE6FCF"/>
    <w:rsid w:val="00AE7685"/>
    <w:rsid w:val="00AE7B03"/>
    <w:rsid w:val="00AF2D45"/>
    <w:rsid w:val="00AF30D8"/>
    <w:rsid w:val="00AF3986"/>
    <w:rsid w:val="00AF42A1"/>
    <w:rsid w:val="00AF44F0"/>
    <w:rsid w:val="00AF487A"/>
    <w:rsid w:val="00AF4DB4"/>
    <w:rsid w:val="00AF5DAF"/>
    <w:rsid w:val="00AF62C3"/>
    <w:rsid w:val="00AF7962"/>
    <w:rsid w:val="00B025B6"/>
    <w:rsid w:val="00B02A9B"/>
    <w:rsid w:val="00B04420"/>
    <w:rsid w:val="00B06452"/>
    <w:rsid w:val="00B102F0"/>
    <w:rsid w:val="00B106DA"/>
    <w:rsid w:val="00B107B3"/>
    <w:rsid w:val="00B1285C"/>
    <w:rsid w:val="00B13AE2"/>
    <w:rsid w:val="00B13C38"/>
    <w:rsid w:val="00B14B9A"/>
    <w:rsid w:val="00B1691B"/>
    <w:rsid w:val="00B20AC9"/>
    <w:rsid w:val="00B223C5"/>
    <w:rsid w:val="00B23911"/>
    <w:rsid w:val="00B24721"/>
    <w:rsid w:val="00B25AD8"/>
    <w:rsid w:val="00B25EE9"/>
    <w:rsid w:val="00B270C8"/>
    <w:rsid w:val="00B27C27"/>
    <w:rsid w:val="00B27FAD"/>
    <w:rsid w:val="00B3011D"/>
    <w:rsid w:val="00B30322"/>
    <w:rsid w:val="00B3061B"/>
    <w:rsid w:val="00B32165"/>
    <w:rsid w:val="00B32424"/>
    <w:rsid w:val="00B32D20"/>
    <w:rsid w:val="00B32FD0"/>
    <w:rsid w:val="00B33849"/>
    <w:rsid w:val="00B34CB6"/>
    <w:rsid w:val="00B3631D"/>
    <w:rsid w:val="00B36D90"/>
    <w:rsid w:val="00B374CE"/>
    <w:rsid w:val="00B412F2"/>
    <w:rsid w:val="00B41380"/>
    <w:rsid w:val="00B41845"/>
    <w:rsid w:val="00B42B20"/>
    <w:rsid w:val="00B44EA9"/>
    <w:rsid w:val="00B4507F"/>
    <w:rsid w:val="00B4599B"/>
    <w:rsid w:val="00B46CCB"/>
    <w:rsid w:val="00B46FF1"/>
    <w:rsid w:val="00B47265"/>
    <w:rsid w:val="00B47F27"/>
    <w:rsid w:val="00B47FEF"/>
    <w:rsid w:val="00B50623"/>
    <w:rsid w:val="00B508B8"/>
    <w:rsid w:val="00B508D5"/>
    <w:rsid w:val="00B50A95"/>
    <w:rsid w:val="00B5151F"/>
    <w:rsid w:val="00B52077"/>
    <w:rsid w:val="00B53C79"/>
    <w:rsid w:val="00B5505A"/>
    <w:rsid w:val="00B55341"/>
    <w:rsid w:val="00B558FD"/>
    <w:rsid w:val="00B55FDF"/>
    <w:rsid w:val="00B5600F"/>
    <w:rsid w:val="00B56232"/>
    <w:rsid w:val="00B57E74"/>
    <w:rsid w:val="00B60373"/>
    <w:rsid w:val="00B61042"/>
    <w:rsid w:val="00B62A89"/>
    <w:rsid w:val="00B633DA"/>
    <w:rsid w:val="00B657B1"/>
    <w:rsid w:val="00B65F48"/>
    <w:rsid w:val="00B676FA"/>
    <w:rsid w:val="00B7011F"/>
    <w:rsid w:val="00B72134"/>
    <w:rsid w:val="00B73161"/>
    <w:rsid w:val="00B741AD"/>
    <w:rsid w:val="00B75952"/>
    <w:rsid w:val="00B75D06"/>
    <w:rsid w:val="00B76D4C"/>
    <w:rsid w:val="00B76E0F"/>
    <w:rsid w:val="00B77B33"/>
    <w:rsid w:val="00B80C09"/>
    <w:rsid w:val="00B829D3"/>
    <w:rsid w:val="00B8436E"/>
    <w:rsid w:val="00B849B9"/>
    <w:rsid w:val="00B86619"/>
    <w:rsid w:val="00B86C77"/>
    <w:rsid w:val="00B87405"/>
    <w:rsid w:val="00B8764E"/>
    <w:rsid w:val="00B91783"/>
    <w:rsid w:val="00B91BA7"/>
    <w:rsid w:val="00B9292E"/>
    <w:rsid w:val="00B92968"/>
    <w:rsid w:val="00B93276"/>
    <w:rsid w:val="00B9408C"/>
    <w:rsid w:val="00B943EA"/>
    <w:rsid w:val="00B9442D"/>
    <w:rsid w:val="00B96646"/>
    <w:rsid w:val="00B97FB4"/>
    <w:rsid w:val="00BA1094"/>
    <w:rsid w:val="00BA1352"/>
    <w:rsid w:val="00BA38C3"/>
    <w:rsid w:val="00BA3AD7"/>
    <w:rsid w:val="00BA4E81"/>
    <w:rsid w:val="00BA651E"/>
    <w:rsid w:val="00BA6530"/>
    <w:rsid w:val="00BA6F2C"/>
    <w:rsid w:val="00BA74B6"/>
    <w:rsid w:val="00BA7716"/>
    <w:rsid w:val="00BB17A9"/>
    <w:rsid w:val="00BB27A5"/>
    <w:rsid w:val="00BB3053"/>
    <w:rsid w:val="00BB3608"/>
    <w:rsid w:val="00BB37E4"/>
    <w:rsid w:val="00BB4042"/>
    <w:rsid w:val="00BB4C1E"/>
    <w:rsid w:val="00BB4E1E"/>
    <w:rsid w:val="00BB6A87"/>
    <w:rsid w:val="00BB7A01"/>
    <w:rsid w:val="00BC19FC"/>
    <w:rsid w:val="00BC2047"/>
    <w:rsid w:val="00BC3572"/>
    <w:rsid w:val="00BC36D9"/>
    <w:rsid w:val="00BC3D21"/>
    <w:rsid w:val="00BC4D25"/>
    <w:rsid w:val="00BC64A5"/>
    <w:rsid w:val="00BC7DC1"/>
    <w:rsid w:val="00BD059E"/>
    <w:rsid w:val="00BD0CEB"/>
    <w:rsid w:val="00BD1F3D"/>
    <w:rsid w:val="00BD2D11"/>
    <w:rsid w:val="00BD2D1B"/>
    <w:rsid w:val="00BD2D86"/>
    <w:rsid w:val="00BD49ED"/>
    <w:rsid w:val="00BD581E"/>
    <w:rsid w:val="00BD60B6"/>
    <w:rsid w:val="00BD65E3"/>
    <w:rsid w:val="00BD676D"/>
    <w:rsid w:val="00BD688F"/>
    <w:rsid w:val="00BD6C6E"/>
    <w:rsid w:val="00BD7123"/>
    <w:rsid w:val="00BD7198"/>
    <w:rsid w:val="00BD7A4E"/>
    <w:rsid w:val="00BD7FC6"/>
    <w:rsid w:val="00BE00AA"/>
    <w:rsid w:val="00BE29E5"/>
    <w:rsid w:val="00BE3DC9"/>
    <w:rsid w:val="00BE3F70"/>
    <w:rsid w:val="00BE4C35"/>
    <w:rsid w:val="00BE541D"/>
    <w:rsid w:val="00BE575B"/>
    <w:rsid w:val="00BE65A4"/>
    <w:rsid w:val="00BE6762"/>
    <w:rsid w:val="00BE7647"/>
    <w:rsid w:val="00BF1CF1"/>
    <w:rsid w:val="00BF21B5"/>
    <w:rsid w:val="00BF454B"/>
    <w:rsid w:val="00BF4BBA"/>
    <w:rsid w:val="00BF6603"/>
    <w:rsid w:val="00BF70FC"/>
    <w:rsid w:val="00BF7DFE"/>
    <w:rsid w:val="00C00008"/>
    <w:rsid w:val="00C005CE"/>
    <w:rsid w:val="00C01514"/>
    <w:rsid w:val="00C0173A"/>
    <w:rsid w:val="00C03D7A"/>
    <w:rsid w:val="00C0485C"/>
    <w:rsid w:val="00C0673B"/>
    <w:rsid w:val="00C06790"/>
    <w:rsid w:val="00C0685F"/>
    <w:rsid w:val="00C0688A"/>
    <w:rsid w:val="00C079CE"/>
    <w:rsid w:val="00C10CB8"/>
    <w:rsid w:val="00C11190"/>
    <w:rsid w:val="00C1159A"/>
    <w:rsid w:val="00C12866"/>
    <w:rsid w:val="00C12FCE"/>
    <w:rsid w:val="00C131CD"/>
    <w:rsid w:val="00C13320"/>
    <w:rsid w:val="00C15671"/>
    <w:rsid w:val="00C169AF"/>
    <w:rsid w:val="00C16DA2"/>
    <w:rsid w:val="00C16DF2"/>
    <w:rsid w:val="00C218C5"/>
    <w:rsid w:val="00C219F2"/>
    <w:rsid w:val="00C22D3E"/>
    <w:rsid w:val="00C25803"/>
    <w:rsid w:val="00C260B1"/>
    <w:rsid w:val="00C26741"/>
    <w:rsid w:val="00C27416"/>
    <w:rsid w:val="00C279B2"/>
    <w:rsid w:val="00C27B6E"/>
    <w:rsid w:val="00C27DCD"/>
    <w:rsid w:val="00C305C1"/>
    <w:rsid w:val="00C31D44"/>
    <w:rsid w:val="00C34436"/>
    <w:rsid w:val="00C348A8"/>
    <w:rsid w:val="00C36278"/>
    <w:rsid w:val="00C36FC3"/>
    <w:rsid w:val="00C3773F"/>
    <w:rsid w:val="00C37D25"/>
    <w:rsid w:val="00C40914"/>
    <w:rsid w:val="00C40B8E"/>
    <w:rsid w:val="00C40D68"/>
    <w:rsid w:val="00C40EDC"/>
    <w:rsid w:val="00C41BC0"/>
    <w:rsid w:val="00C41CDD"/>
    <w:rsid w:val="00C41DDB"/>
    <w:rsid w:val="00C425C5"/>
    <w:rsid w:val="00C42D27"/>
    <w:rsid w:val="00C43C0D"/>
    <w:rsid w:val="00C4432A"/>
    <w:rsid w:val="00C448F3"/>
    <w:rsid w:val="00C46292"/>
    <w:rsid w:val="00C4669F"/>
    <w:rsid w:val="00C46947"/>
    <w:rsid w:val="00C46B5E"/>
    <w:rsid w:val="00C470DA"/>
    <w:rsid w:val="00C47306"/>
    <w:rsid w:val="00C51217"/>
    <w:rsid w:val="00C5134B"/>
    <w:rsid w:val="00C52BBF"/>
    <w:rsid w:val="00C545D4"/>
    <w:rsid w:val="00C546E0"/>
    <w:rsid w:val="00C54AC1"/>
    <w:rsid w:val="00C551A0"/>
    <w:rsid w:val="00C573AD"/>
    <w:rsid w:val="00C57BA8"/>
    <w:rsid w:val="00C6205C"/>
    <w:rsid w:val="00C62115"/>
    <w:rsid w:val="00C62E85"/>
    <w:rsid w:val="00C644EC"/>
    <w:rsid w:val="00C65F01"/>
    <w:rsid w:val="00C66110"/>
    <w:rsid w:val="00C66E4A"/>
    <w:rsid w:val="00C6780C"/>
    <w:rsid w:val="00C703F4"/>
    <w:rsid w:val="00C70657"/>
    <w:rsid w:val="00C70797"/>
    <w:rsid w:val="00C71217"/>
    <w:rsid w:val="00C71B1C"/>
    <w:rsid w:val="00C72B31"/>
    <w:rsid w:val="00C737A1"/>
    <w:rsid w:val="00C7384A"/>
    <w:rsid w:val="00C739C8"/>
    <w:rsid w:val="00C741C6"/>
    <w:rsid w:val="00C75C73"/>
    <w:rsid w:val="00C76DA3"/>
    <w:rsid w:val="00C772CA"/>
    <w:rsid w:val="00C77510"/>
    <w:rsid w:val="00C77747"/>
    <w:rsid w:val="00C779CF"/>
    <w:rsid w:val="00C77A92"/>
    <w:rsid w:val="00C801E2"/>
    <w:rsid w:val="00C80B36"/>
    <w:rsid w:val="00C82F19"/>
    <w:rsid w:val="00C84672"/>
    <w:rsid w:val="00C855E8"/>
    <w:rsid w:val="00C85F5F"/>
    <w:rsid w:val="00C866BC"/>
    <w:rsid w:val="00C90329"/>
    <w:rsid w:val="00C90CE1"/>
    <w:rsid w:val="00C91015"/>
    <w:rsid w:val="00C9172F"/>
    <w:rsid w:val="00C91B52"/>
    <w:rsid w:val="00C933D4"/>
    <w:rsid w:val="00C93834"/>
    <w:rsid w:val="00C9453F"/>
    <w:rsid w:val="00C94BA5"/>
    <w:rsid w:val="00C95C58"/>
    <w:rsid w:val="00CA004E"/>
    <w:rsid w:val="00CA19B7"/>
    <w:rsid w:val="00CA37AE"/>
    <w:rsid w:val="00CA4CB7"/>
    <w:rsid w:val="00CA5BBE"/>
    <w:rsid w:val="00CA651E"/>
    <w:rsid w:val="00CA77CB"/>
    <w:rsid w:val="00CB013A"/>
    <w:rsid w:val="00CB185A"/>
    <w:rsid w:val="00CB1CE7"/>
    <w:rsid w:val="00CB2060"/>
    <w:rsid w:val="00CB28E5"/>
    <w:rsid w:val="00CB2B23"/>
    <w:rsid w:val="00CB319D"/>
    <w:rsid w:val="00CB33BB"/>
    <w:rsid w:val="00CB4609"/>
    <w:rsid w:val="00CB4EE2"/>
    <w:rsid w:val="00CB59DC"/>
    <w:rsid w:val="00CB66C2"/>
    <w:rsid w:val="00CB6E9F"/>
    <w:rsid w:val="00CC05DD"/>
    <w:rsid w:val="00CC0B7E"/>
    <w:rsid w:val="00CC18FC"/>
    <w:rsid w:val="00CC1AD7"/>
    <w:rsid w:val="00CC355C"/>
    <w:rsid w:val="00CC49FC"/>
    <w:rsid w:val="00CC4DEE"/>
    <w:rsid w:val="00CC50A9"/>
    <w:rsid w:val="00CD1842"/>
    <w:rsid w:val="00CD1BDF"/>
    <w:rsid w:val="00CD1EC9"/>
    <w:rsid w:val="00CD2865"/>
    <w:rsid w:val="00CD36F3"/>
    <w:rsid w:val="00CD3A25"/>
    <w:rsid w:val="00CD3D1D"/>
    <w:rsid w:val="00CD41AF"/>
    <w:rsid w:val="00CD4EC7"/>
    <w:rsid w:val="00CD62C8"/>
    <w:rsid w:val="00CD647C"/>
    <w:rsid w:val="00CD6DCE"/>
    <w:rsid w:val="00CD761E"/>
    <w:rsid w:val="00CE0F6A"/>
    <w:rsid w:val="00CE13F4"/>
    <w:rsid w:val="00CE4543"/>
    <w:rsid w:val="00CE56EE"/>
    <w:rsid w:val="00CE6306"/>
    <w:rsid w:val="00CE6CD0"/>
    <w:rsid w:val="00CE7CFA"/>
    <w:rsid w:val="00CF0537"/>
    <w:rsid w:val="00CF0BA2"/>
    <w:rsid w:val="00CF1F75"/>
    <w:rsid w:val="00CF2B0A"/>
    <w:rsid w:val="00CF34D9"/>
    <w:rsid w:val="00CF3B6C"/>
    <w:rsid w:val="00CF3DF6"/>
    <w:rsid w:val="00CF4F4F"/>
    <w:rsid w:val="00D00815"/>
    <w:rsid w:val="00D01CDD"/>
    <w:rsid w:val="00D0200C"/>
    <w:rsid w:val="00D03617"/>
    <w:rsid w:val="00D03B43"/>
    <w:rsid w:val="00D03E34"/>
    <w:rsid w:val="00D04279"/>
    <w:rsid w:val="00D04FAA"/>
    <w:rsid w:val="00D05460"/>
    <w:rsid w:val="00D05A9F"/>
    <w:rsid w:val="00D05CBF"/>
    <w:rsid w:val="00D0602D"/>
    <w:rsid w:val="00D062ED"/>
    <w:rsid w:val="00D07098"/>
    <w:rsid w:val="00D07706"/>
    <w:rsid w:val="00D07950"/>
    <w:rsid w:val="00D07E53"/>
    <w:rsid w:val="00D107F9"/>
    <w:rsid w:val="00D113FE"/>
    <w:rsid w:val="00D123B4"/>
    <w:rsid w:val="00D12E7E"/>
    <w:rsid w:val="00D1327F"/>
    <w:rsid w:val="00D1343E"/>
    <w:rsid w:val="00D14A18"/>
    <w:rsid w:val="00D14B0E"/>
    <w:rsid w:val="00D15382"/>
    <w:rsid w:val="00D2000D"/>
    <w:rsid w:val="00D200A3"/>
    <w:rsid w:val="00D204BC"/>
    <w:rsid w:val="00D20920"/>
    <w:rsid w:val="00D20CFE"/>
    <w:rsid w:val="00D210EE"/>
    <w:rsid w:val="00D21124"/>
    <w:rsid w:val="00D21824"/>
    <w:rsid w:val="00D226D0"/>
    <w:rsid w:val="00D23434"/>
    <w:rsid w:val="00D2462D"/>
    <w:rsid w:val="00D253EA"/>
    <w:rsid w:val="00D260CB"/>
    <w:rsid w:val="00D2670A"/>
    <w:rsid w:val="00D279FF"/>
    <w:rsid w:val="00D27E8E"/>
    <w:rsid w:val="00D32E1F"/>
    <w:rsid w:val="00D33E8E"/>
    <w:rsid w:val="00D34CE7"/>
    <w:rsid w:val="00D37601"/>
    <w:rsid w:val="00D402C7"/>
    <w:rsid w:val="00D41B61"/>
    <w:rsid w:val="00D41F64"/>
    <w:rsid w:val="00D47706"/>
    <w:rsid w:val="00D47BFD"/>
    <w:rsid w:val="00D47C83"/>
    <w:rsid w:val="00D519DD"/>
    <w:rsid w:val="00D53338"/>
    <w:rsid w:val="00D53667"/>
    <w:rsid w:val="00D553D1"/>
    <w:rsid w:val="00D558A6"/>
    <w:rsid w:val="00D55BD7"/>
    <w:rsid w:val="00D57604"/>
    <w:rsid w:val="00D579DE"/>
    <w:rsid w:val="00D57DAF"/>
    <w:rsid w:val="00D57FF0"/>
    <w:rsid w:val="00D60718"/>
    <w:rsid w:val="00D60E48"/>
    <w:rsid w:val="00D6110B"/>
    <w:rsid w:val="00D61D96"/>
    <w:rsid w:val="00D6364F"/>
    <w:rsid w:val="00D640C9"/>
    <w:rsid w:val="00D65595"/>
    <w:rsid w:val="00D66586"/>
    <w:rsid w:val="00D666E7"/>
    <w:rsid w:val="00D66E83"/>
    <w:rsid w:val="00D71734"/>
    <w:rsid w:val="00D72F16"/>
    <w:rsid w:val="00D73482"/>
    <w:rsid w:val="00D739F4"/>
    <w:rsid w:val="00D75658"/>
    <w:rsid w:val="00D75D97"/>
    <w:rsid w:val="00D7614B"/>
    <w:rsid w:val="00D80FB9"/>
    <w:rsid w:val="00D81070"/>
    <w:rsid w:val="00D8236E"/>
    <w:rsid w:val="00D8246D"/>
    <w:rsid w:val="00D831F0"/>
    <w:rsid w:val="00D83752"/>
    <w:rsid w:val="00D849CE"/>
    <w:rsid w:val="00D84D21"/>
    <w:rsid w:val="00D85266"/>
    <w:rsid w:val="00D8542E"/>
    <w:rsid w:val="00D86C3B"/>
    <w:rsid w:val="00D906BA"/>
    <w:rsid w:val="00D90D3D"/>
    <w:rsid w:val="00D90F60"/>
    <w:rsid w:val="00D91019"/>
    <w:rsid w:val="00D913D7"/>
    <w:rsid w:val="00D91774"/>
    <w:rsid w:val="00D920BA"/>
    <w:rsid w:val="00D923BD"/>
    <w:rsid w:val="00D92B19"/>
    <w:rsid w:val="00D93E24"/>
    <w:rsid w:val="00D95343"/>
    <w:rsid w:val="00D95DEB"/>
    <w:rsid w:val="00D9706E"/>
    <w:rsid w:val="00DA0042"/>
    <w:rsid w:val="00DA04B1"/>
    <w:rsid w:val="00DA05F5"/>
    <w:rsid w:val="00DA0ABF"/>
    <w:rsid w:val="00DA12E4"/>
    <w:rsid w:val="00DA2679"/>
    <w:rsid w:val="00DA3536"/>
    <w:rsid w:val="00DA4A52"/>
    <w:rsid w:val="00DA5764"/>
    <w:rsid w:val="00DA6B00"/>
    <w:rsid w:val="00DA6BB4"/>
    <w:rsid w:val="00DA7D7F"/>
    <w:rsid w:val="00DB01B6"/>
    <w:rsid w:val="00DB026C"/>
    <w:rsid w:val="00DB068B"/>
    <w:rsid w:val="00DB084B"/>
    <w:rsid w:val="00DB1515"/>
    <w:rsid w:val="00DB22D5"/>
    <w:rsid w:val="00DB2B2F"/>
    <w:rsid w:val="00DB3335"/>
    <w:rsid w:val="00DB48D6"/>
    <w:rsid w:val="00DB5B54"/>
    <w:rsid w:val="00DC051D"/>
    <w:rsid w:val="00DC094A"/>
    <w:rsid w:val="00DC1725"/>
    <w:rsid w:val="00DC196C"/>
    <w:rsid w:val="00DC2447"/>
    <w:rsid w:val="00DC4C4F"/>
    <w:rsid w:val="00DC56AF"/>
    <w:rsid w:val="00DC5C68"/>
    <w:rsid w:val="00DC5E72"/>
    <w:rsid w:val="00DC65EA"/>
    <w:rsid w:val="00DC73D4"/>
    <w:rsid w:val="00DC7F99"/>
    <w:rsid w:val="00DD0189"/>
    <w:rsid w:val="00DD0944"/>
    <w:rsid w:val="00DD23A2"/>
    <w:rsid w:val="00DD2FCC"/>
    <w:rsid w:val="00DD3736"/>
    <w:rsid w:val="00DD4019"/>
    <w:rsid w:val="00DD4D27"/>
    <w:rsid w:val="00DD64AE"/>
    <w:rsid w:val="00DD7ADD"/>
    <w:rsid w:val="00DE01BF"/>
    <w:rsid w:val="00DE1337"/>
    <w:rsid w:val="00DE16CD"/>
    <w:rsid w:val="00DE16DA"/>
    <w:rsid w:val="00DE182C"/>
    <w:rsid w:val="00DE3136"/>
    <w:rsid w:val="00DE3D2C"/>
    <w:rsid w:val="00DE3FDE"/>
    <w:rsid w:val="00DE423F"/>
    <w:rsid w:val="00DE5866"/>
    <w:rsid w:val="00DE655F"/>
    <w:rsid w:val="00DE7BFC"/>
    <w:rsid w:val="00DF0074"/>
    <w:rsid w:val="00DF1851"/>
    <w:rsid w:val="00DF217F"/>
    <w:rsid w:val="00DF2564"/>
    <w:rsid w:val="00DF41C1"/>
    <w:rsid w:val="00DF4240"/>
    <w:rsid w:val="00DF5E3C"/>
    <w:rsid w:val="00DF668C"/>
    <w:rsid w:val="00DF79B5"/>
    <w:rsid w:val="00DF7C3A"/>
    <w:rsid w:val="00E00838"/>
    <w:rsid w:val="00E030B6"/>
    <w:rsid w:val="00E037BD"/>
    <w:rsid w:val="00E040C5"/>
    <w:rsid w:val="00E113AF"/>
    <w:rsid w:val="00E11C2B"/>
    <w:rsid w:val="00E127AE"/>
    <w:rsid w:val="00E15EF0"/>
    <w:rsid w:val="00E1641B"/>
    <w:rsid w:val="00E207D7"/>
    <w:rsid w:val="00E20D8B"/>
    <w:rsid w:val="00E21680"/>
    <w:rsid w:val="00E21E28"/>
    <w:rsid w:val="00E22052"/>
    <w:rsid w:val="00E2347A"/>
    <w:rsid w:val="00E257F2"/>
    <w:rsid w:val="00E26E6A"/>
    <w:rsid w:val="00E26F3A"/>
    <w:rsid w:val="00E27078"/>
    <w:rsid w:val="00E271BE"/>
    <w:rsid w:val="00E27FB7"/>
    <w:rsid w:val="00E30A7E"/>
    <w:rsid w:val="00E325E7"/>
    <w:rsid w:val="00E32C1A"/>
    <w:rsid w:val="00E3428D"/>
    <w:rsid w:val="00E34370"/>
    <w:rsid w:val="00E34CA0"/>
    <w:rsid w:val="00E35B29"/>
    <w:rsid w:val="00E40131"/>
    <w:rsid w:val="00E40314"/>
    <w:rsid w:val="00E41257"/>
    <w:rsid w:val="00E41474"/>
    <w:rsid w:val="00E4299A"/>
    <w:rsid w:val="00E42C8E"/>
    <w:rsid w:val="00E42ECC"/>
    <w:rsid w:val="00E43410"/>
    <w:rsid w:val="00E44745"/>
    <w:rsid w:val="00E45F39"/>
    <w:rsid w:val="00E4677B"/>
    <w:rsid w:val="00E500BE"/>
    <w:rsid w:val="00E50691"/>
    <w:rsid w:val="00E51072"/>
    <w:rsid w:val="00E531CC"/>
    <w:rsid w:val="00E53B66"/>
    <w:rsid w:val="00E53F94"/>
    <w:rsid w:val="00E54052"/>
    <w:rsid w:val="00E55A1F"/>
    <w:rsid w:val="00E56D27"/>
    <w:rsid w:val="00E613B7"/>
    <w:rsid w:val="00E618DE"/>
    <w:rsid w:val="00E619AC"/>
    <w:rsid w:val="00E623FC"/>
    <w:rsid w:val="00E62594"/>
    <w:rsid w:val="00E6278D"/>
    <w:rsid w:val="00E630D3"/>
    <w:rsid w:val="00E63924"/>
    <w:rsid w:val="00E66626"/>
    <w:rsid w:val="00E66858"/>
    <w:rsid w:val="00E6711D"/>
    <w:rsid w:val="00E673C4"/>
    <w:rsid w:val="00E71CF2"/>
    <w:rsid w:val="00E729C0"/>
    <w:rsid w:val="00E72D66"/>
    <w:rsid w:val="00E74EAF"/>
    <w:rsid w:val="00E75AA2"/>
    <w:rsid w:val="00E761BA"/>
    <w:rsid w:val="00E761C3"/>
    <w:rsid w:val="00E769A4"/>
    <w:rsid w:val="00E8147D"/>
    <w:rsid w:val="00E81D3B"/>
    <w:rsid w:val="00E81D3D"/>
    <w:rsid w:val="00E83113"/>
    <w:rsid w:val="00E833B6"/>
    <w:rsid w:val="00E83674"/>
    <w:rsid w:val="00E83830"/>
    <w:rsid w:val="00E83929"/>
    <w:rsid w:val="00E8448C"/>
    <w:rsid w:val="00E84757"/>
    <w:rsid w:val="00E852B4"/>
    <w:rsid w:val="00E873A6"/>
    <w:rsid w:val="00E87CB9"/>
    <w:rsid w:val="00E90924"/>
    <w:rsid w:val="00E90A31"/>
    <w:rsid w:val="00E95E4D"/>
    <w:rsid w:val="00E97951"/>
    <w:rsid w:val="00EA0BDD"/>
    <w:rsid w:val="00EA136C"/>
    <w:rsid w:val="00EA172F"/>
    <w:rsid w:val="00EA1FC9"/>
    <w:rsid w:val="00EA2A18"/>
    <w:rsid w:val="00EA2DA6"/>
    <w:rsid w:val="00EA31C2"/>
    <w:rsid w:val="00EA334C"/>
    <w:rsid w:val="00EA3DE8"/>
    <w:rsid w:val="00EA4AEF"/>
    <w:rsid w:val="00EA5C35"/>
    <w:rsid w:val="00EA63CE"/>
    <w:rsid w:val="00EA6D2C"/>
    <w:rsid w:val="00EA7A6C"/>
    <w:rsid w:val="00EA7AD9"/>
    <w:rsid w:val="00EB08D9"/>
    <w:rsid w:val="00EB0984"/>
    <w:rsid w:val="00EB12FF"/>
    <w:rsid w:val="00EB1FE7"/>
    <w:rsid w:val="00EB2E66"/>
    <w:rsid w:val="00EB3AF0"/>
    <w:rsid w:val="00EB4924"/>
    <w:rsid w:val="00EB5397"/>
    <w:rsid w:val="00EB58D5"/>
    <w:rsid w:val="00EB619D"/>
    <w:rsid w:val="00EB67FC"/>
    <w:rsid w:val="00EB69BA"/>
    <w:rsid w:val="00EB75EA"/>
    <w:rsid w:val="00EC0147"/>
    <w:rsid w:val="00EC09B9"/>
    <w:rsid w:val="00EC54CA"/>
    <w:rsid w:val="00EC69EA"/>
    <w:rsid w:val="00EC6E9C"/>
    <w:rsid w:val="00EC6F19"/>
    <w:rsid w:val="00EC7B8F"/>
    <w:rsid w:val="00ED171D"/>
    <w:rsid w:val="00ED321E"/>
    <w:rsid w:val="00ED4B35"/>
    <w:rsid w:val="00ED5B67"/>
    <w:rsid w:val="00ED5BF5"/>
    <w:rsid w:val="00ED6AB6"/>
    <w:rsid w:val="00ED751F"/>
    <w:rsid w:val="00EE04F8"/>
    <w:rsid w:val="00EE0F91"/>
    <w:rsid w:val="00EE3013"/>
    <w:rsid w:val="00EE32B6"/>
    <w:rsid w:val="00EE3575"/>
    <w:rsid w:val="00EE41FE"/>
    <w:rsid w:val="00EE4D54"/>
    <w:rsid w:val="00EE6352"/>
    <w:rsid w:val="00EE69D4"/>
    <w:rsid w:val="00EE717D"/>
    <w:rsid w:val="00EE76A1"/>
    <w:rsid w:val="00EE7D41"/>
    <w:rsid w:val="00EE7FFE"/>
    <w:rsid w:val="00EF0F1B"/>
    <w:rsid w:val="00EF13AE"/>
    <w:rsid w:val="00EF149C"/>
    <w:rsid w:val="00EF1770"/>
    <w:rsid w:val="00EF28D4"/>
    <w:rsid w:val="00EF303B"/>
    <w:rsid w:val="00EF3934"/>
    <w:rsid w:val="00EF3938"/>
    <w:rsid w:val="00EF3DC5"/>
    <w:rsid w:val="00EF5D98"/>
    <w:rsid w:val="00EF6205"/>
    <w:rsid w:val="00EF6A7A"/>
    <w:rsid w:val="00EF7CED"/>
    <w:rsid w:val="00F01BF0"/>
    <w:rsid w:val="00F02F54"/>
    <w:rsid w:val="00F051B7"/>
    <w:rsid w:val="00F066CC"/>
    <w:rsid w:val="00F101D6"/>
    <w:rsid w:val="00F115C4"/>
    <w:rsid w:val="00F11D4E"/>
    <w:rsid w:val="00F123E6"/>
    <w:rsid w:val="00F124DF"/>
    <w:rsid w:val="00F13058"/>
    <w:rsid w:val="00F13BE2"/>
    <w:rsid w:val="00F14602"/>
    <w:rsid w:val="00F1603F"/>
    <w:rsid w:val="00F166EC"/>
    <w:rsid w:val="00F1696F"/>
    <w:rsid w:val="00F17F45"/>
    <w:rsid w:val="00F200F1"/>
    <w:rsid w:val="00F221DA"/>
    <w:rsid w:val="00F226AC"/>
    <w:rsid w:val="00F2425D"/>
    <w:rsid w:val="00F24530"/>
    <w:rsid w:val="00F254C0"/>
    <w:rsid w:val="00F27D75"/>
    <w:rsid w:val="00F30040"/>
    <w:rsid w:val="00F3080E"/>
    <w:rsid w:val="00F3146A"/>
    <w:rsid w:val="00F31ACB"/>
    <w:rsid w:val="00F33A68"/>
    <w:rsid w:val="00F33D99"/>
    <w:rsid w:val="00F35791"/>
    <w:rsid w:val="00F35DEA"/>
    <w:rsid w:val="00F37503"/>
    <w:rsid w:val="00F37DB5"/>
    <w:rsid w:val="00F41C7A"/>
    <w:rsid w:val="00F4202B"/>
    <w:rsid w:val="00F42C93"/>
    <w:rsid w:val="00F43033"/>
    <w:rsid w:val="00F4457C"/>
    <w:rsid w:val="00F44BA3"/>
    <w:rsid w:val="00F45228"/>
    <w:rsid w:val="00F45881"/>
    <w:rsid w:val="00F46148"/>
    <w:rsid w:val="00F471B0"/>
    <w:rsid w:val="00F47D18"/>
    <w:rsid w:val="00F50943"/>
    <w:rsid w:val="00F518C1"/>
    <w:rsid w:val="00F5197A"/>
    <w:rsid w:val="00F5209D"/>
    <w:rsid w:val="00F521C6"/>
    <w:rsid w:val="00F550ED"/>
    <w:rsid w:val="00F5683B"/>
    <w:rsid w:val="00F60C8D"/>
    <w:rsid w:val="00F61037"/>
    <w:rsid w:val="00F61142"/>
    <w:rsid w:val="00F6120F"/>
    <w:rsid w:val="00F61373"/>
    <w:rsid w:val="00F618CF"/>
    <w:rsid w:val="00F6205D"/>
    <w:rsid w:val="00F6428C"/>
    <w:rsid w:val="00F649B6"/>
    <w:rsid w:val="00F6500D"/>
    <w:rsid w:val="00F65407"/>
    <w:rsid w:val="00F6549D"/>
    <w:rsid w:val="00F66002"/>
    <w:rsid w:val="00F66A2D"/>
    <w:rsid w:val="00F67893"/>
    <w:rsid w:val="00F7112F"/>
    <w:rsid w:val="00F7127C"/>
    <w:rsid w:val="00F73E84"/>
    <w:rsid w:val="00F744B4"/>
    <w:rsid w:val="00F75C82"/>
    <w:rsid w:val="00F765D8"/>
    <w:rsid w:val="00F76A02"/>
    <w:rsid w:val="00F77AB6"/>
    <w:rsid w:val="00F808AC"/>
    <w:rsid w:val="00F810BD"/>
    <w:rsid w:val="00F811B5"/>
    <w:rsid w:val="00F8337D"/>
    <w:rsid w:val="00F83EF0"/>
    <w:rsid w:val="00F84102"/>
    <w:rsid w:val="00F84D4F"/>
    <w:rsid w:val="00F84D69"/>
    <w:rsid w:val="00F85147"/>
    <w:rsid w:val="00F85AEC"/>
    <w:rsid w:val="00F85F69"/>
    <w:rsid w:val="00F86946"/>
    <w:rsid w:val="00F87548"/>
    <w:rsid w:val="00F87C68"/>
    <w:rsid w:val="00F87F63"/>
    <w:rsid w:val="00F90092"/>
    <w:rsid w:val="00F91CCD"/>
    <w:rsid w:val="00F92105"/>
    <w:rsid w:val="00F92A74"/>
    <w:rsid w:val="00F93DA0"/>
    <w:rsid w:val="00F957B6"/>
    <w:rsid w:val="00F95C7C"/>
    <w:rsid w:val="00F95DD8"/>
    <w:rsid w:val="00F968EA"/>
    <w:rsid w:val="00F9772C"/>
    <w:rsid w:val="00FA0E61"/>
    <w:rsid w:val="00FA241E"/>
    <w:rsid w:val="00FA56CD"/>
    <w:rsid w:val="00FA668A"/>
    <w:rsid w:val="00FA7359"/>
    <w:rsid w:val="00FA7E15"/>
    <w:rsid w:val="00FB0B32"/>
    <w:rsid w:val="00FB11E6"/>
    <w:rsid w:val="00FB1756"/>
    <w:rsid w:val="00FB2268"/>
    <w:rsid w:val="00FB2763"/>
    <w:rsid w:val="00FB2ECD"/>
    <w:rsid w:val="00FB3C7E"/>
    <w:rsid w:val="00FB4E43"/>
    <w:rsid w:val="00FB5B0E"/>
    <w:rsid w:val="00FB5F62"/>
    <w:rsid w:val="00FB655C"/>
    <w:rsid w:val="00FC02F4"/>
    <w:rsid w:val="00FC06BC"/>
    <w:rsid w:val="00FC1164"/>
    <w:rsid w:val="00FC1377"/>
    <w:rsid w:val="00FC1ED4"/>
    <w:rsid w:val="00FC2DDE"/>
    <w:rsid w:val="00FC37A3"/>
    <w:rsid w:val="00FC38C3"/>
    <w:rsid w:val="00FC3CBE"/>
    <w:rsid w:val="00FC43B6"/>
    <w:rsid w:val="00FC4E73"/>
    <w:rsid w:val="00FC65BC"/>
    <w:rsid w:val="00FC6A12"/>
    <w:rsid w:val="00FC7485"/>
    <w:rsid w:val="00FD145C"/>
    <w:rsid w:val="00FD1C6D"/>
    <w:rsid w:val="00FD1D70"/>
    <w:rsid w:val="00FD2A4A"/>
    <w:rsid w:val="00FD344D"/>
    <w:rsid w:val="00FD346A"/>
    <w:rsid w:val="00FD47F8"/>
    <w:rsid w:val="00FD4848"/>
    <w:rsid w:val="00FD48EB"/>
    <w:rsid w:val="00FD5AED"/>
    <w:rsid w:val="00FD5FFD"/>
    <w:rsid w:val="00FD6273"/>
    <w:rsid w:val="00FD6985"/>
    <w:rsid w:val="00FD6A29"/>
    <w:rsid w:val="00FD6DF8"/>
    <w:rsid w:val="00FD7103"/>
    <w:rsid w:val="00FD7DB8"/>
    <w:rsid w:val="00FE0439"/>
    <w:rsid w:val="00FE1B62"/>
    <w:rsid w:val="00FE229F"/>
    <w:rsid w:val="00FE2E29"/>
    <w:rsid w:val="00FE4011"/>
    <w:rsid w:val="00FE6918"/>
    <w:rsid w:val="00FE7967"/>
    <w:rsid w:val="00FF01AC"/>
    <w:rsid w:val="00FF1DB9"/>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lsdException w:name="footer" w:uiPriority="99"/>
    <w:lsdException w:name="index heading" w:semiHidden="1"/>
    <w:lsdException w:name="caption" w:semiHidden="1" w:uiPriority="35" w:unhideWhenUsed="1" w:qFormat="1"/>
    <w:lsdException w:name="table of figures" w:semiHidden="1" w:uiPriority="99"/>
    <w:lsdException w:name="annotation reference" w:uiPriority="99"/>
    <w:lsdException w:name="endnote reference" w:semiHidden="1" w:uiPriority="99"/>
    <w:lsdException w:name="endnote text" w:semiHidden="1" w:uiPriority="99"/>
    <w:lsdException w:name="table of authorities" w:semiHidden="1"/>
    <w:lsdException w:name="macro" w:semiHidden="1"/>
    <w:lsdException w:name="toa heading" w:semiHidden="1"/>
    <w:lsdException w:name="Title" w:uiPriority="10" w:qFormat="1"/>
    <w:lsdException w:name="Default Paragraph Font" w:uiPriority="1"/>
    <w:lsdException w:name="Hyperlink" w:uiPriority="99"/>
    <w:lsdException w:name="Emphasis" w:uiPriority="20"/>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atentStyles>
  <w:style w:type="paragraph" w:default="1" w:styleId="Normal">
    <w:name w:val="Normal"/>
    <w:qFormat/>
    <w:rsid w:val="003536E1"/>
    <w:rPr>
      <w:rFonts w:ascii="Calibri" w:hAnsi="Calibri"/>
      <w:sz w:val="22"/>
      <w:lang w:eastAsia="en-US"/>
    </w:rPr>
  </w:style>
  <w:style w:type="paragraph" w:styleId="Heading1">
    <w:name w:val="heading 1"/>
    <w:basedOn w:val="HA"/>
    <w:next w:val="Normal"/>
    <w:link w:val="Heading1Char"/>
    <w:uiPriority w:val="9"/>
    <w:qFormat/>
    <w:rsid w:val="00FB2763"/>
    <w:rPr>
      <w:rFonts w:ascii="Arial" w:hAnsi="Arial"/>
      <w:bCs/>
      <w:kern w:val="32"/>
      <w:lang w:val="en-AU"/>
    </w:rPr>
  </w:style>
  <w:style w:type="paragraph" w:styleId="Heading2">
    <w:name w:val="heading 2"/>
    <w:basedOn w:val="Normal"/>
    <w:next w:val="Normal"/>
    <w:link w:val="Heading2Char"/>
    <w:uiPriority w:val="9"/>
    <w:rsid w:val="00FB27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FB2763"/>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B2763"/>
    <w:pPr>
      <w:keepNext/>
      <w:spacing w:before="240" w:after="60"/>
      <w:outlineLvl w:val="3"/>
    </w:pPr>
    <w:rPr>
      <w:b/>
      <w:bCs/>
      <w:sz w:val="28"/>
      <w:szCs w:val="28"/>
    </w:rPr>
  </w:style>
  <w:style w:type="paragraph" w:styleId="Heading5">
    <w:name w:val="heading 5"/>
    <w:aliases w:val="- Title"/>
    <w:basedOn w:val="Normal"/>
    <w:next w:val="Normal"/>
    <w:link w:val="Heading5Char"/>
    <w:rsid w:val="00FB2763"/>
    <w:pPr>
      <w:spacing w:before="240" w:after="60"/>
      <w:outlineLvl w:val="4"/>
    </w:pPr>
    <w:rPr>
      <w:b/>
      <w:bCs/>
      <w:i/>
      <w:iCs/>
      <w:sz w:val="26"/>
      <w:szCs w:val="26"/>
    </w:rPr>
  </w:style>
  <w:style w:type="paragraph" w:styleId="Heading6">
    <w:name w:val="heading 6"/>
    <w:aliases w:val="App 2"/>
    <w:basedOn w:val="Normal"/>
    <w:next w:val="Normal"/>
    <w:link w:val="Heading6Char"/>
    <w:rsid w:val="00FB2763"/>
    <w:pPr>
      <w:spacing w:before="240" w:after="60"/>
      <w:outlineLvl w:val="5"/>
    </w:pPr>
    <w:rPr>
      <w:b/>
      <w:bCs/>
      <w:szCs w:val="22"/>
    </w:rPr>
  </w:style>
  <w:style w:type="paragraph" w:styleId="Heading7">
    <w:name w:val="heading 7"/>
    <w:aliases w:val="App 3"/>
    <w:basedOn w:val="Normal"/>
    <w:next w:val="Normal"/>
    <w:link w:val="Heading7Char"/>
    <w:rsid w:val="00FB2763"/>
    <w:pPr>
      <w:spacing w:before="240" w:after="60"/>
      <w:outlineLvl w:val="6"/>
    </w:pPr>
  </w:style>
  <w:style w:type="paragraph" w:styleId="Heading8">
    <w:name w:val="heading 8"/>
    <w:aliases w:val="App 4"/>
    <w:basedOn w:val="Normal"/>
    <w:next w:val="Normal"/>
    <w:link w:val="Heading8Char"/>
    <w:rsid w:val="00FB2763"/>
    <w:pPr>
      <w:spacing w:before="240" w:after="60"/>
      <w:outlineLvl w:val="7"/>
    </w:pPr>
    <w:rPr>
      <w:i/>
      <w:iCs/>
    </w:rPr>
  </w:style>
  <w:style w:type="paragraph" w:styleId="Heading9">
    <w:name w:val="heading 9"/>
    <w:aliases w:val="ARIER_Inst_address"/>
    <w:basedOn w:val="Normal"/>
    <w:next w:val="Normal"/>
    <w:link w:val="Heading9Char"/>
    <w:qFormat/>
    <w:rsid w:val="003536E1"/>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B2763"/>
    <w:pPr>
      <w:numPr>
        <w:ilvl w:val="1"/>
        <w:numId w:val="23"/>
      </w:numPr>
      <w:tabs>
        <w:tab w:val="clear" w:pos="170"/>
      </w:tabs>
    </w:pPr>
  </w:style>
  <w:style w:type="paragraph" w:styleId="Header">
    <w:name w:val="header"/>
    <w:basedOn w:val="Normal"/>
    <w:link w:val="HeaderChar"/>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B2763"/>
    <w:pPr>
      <w:numPr>
        <w:numId w:val="14"/>
      </w:numPr>
      <w:tabs>
        <w:tab w:val="clear" w:pos="720"/>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rsid w:val="00FB2763"/>
    <w:rPr>
      <w:rFonts w:ascii="Calibri" w:hAnsi="Calibri" w:cs="Arial"/>
      <w:sz w:val="22"/>
      <w:lang w:eastAsia="en-US"/>
    </w:rPr>
  </w:style>
  <w:style w:type="paragraph" w:customStyle="1" w:styleId="Caption">
    <w:name w:val="_Caption"/>
    <w:rsid w:val="00FB2763"/>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customStyle="1" w:styleId="HA">
    <w:name w:val="_HA"/>
    <w:next w:val="Normal"/>
    <w:uiPriority w:val="99"/>
    <w:rsid w:val="00FB2763"/>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rsid w:val="00FB2763"/>
    <w:pPr>
      <w:spacing w:before="360" w:after="113" w:line="300" w:lineRule="atLeast"/>
      <w:outlineLvl w:val="0"/>
    </w:pPr>
    <w:rPr>
      <w:rFonts w:ascii="Calibri" w:hAnsi="Calibri" w:cs="Arial"/>
      <w:b/>
      <w:color w:val="228591"/>
      <w:sz w:val="28"/>
      <w:lang w:eastAsia="en-US"/>
    </w:rPr>
  </w:style>
  <w:style w:type="paragraph" w:customStyle="1" w:styleId="HC">
    <w:name w:val="_HC"/>
    <w:next w:val="Normal"/>
    <w:uiPriority w:val="2"/>
    <w:rsid w:val="00FB2763"/>
    <w:pPr>
      <w:spacing w:before="140" w:after="57" w:line="220" w:lineRule="atLeast"/>
    </w:pPr>
    <w:rPr>
      <w:rFonts w:ascii="Calibri" w:hAnsi="Calibri" w:cs="Arial"/>
      <w:b/>
      <w:lang w:eastAsia="en-US"/>
    </w:rPr>
  </w:style>
  <w:style w:type="paragraph" w:customStyle="1" w:styleId="ARIERHD">
    <w:name w:val="ARIER_HD"/>
    <w:basedOn w:val="HD"/>
    <w:qFormat/>
    <w:rsid w:val="003536E1"/>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blBdy"/>
    <w:uiPriority w:val="1"/>
    <w:rsid w:val="00FB2763"/>
    <w:pPr>
      <w:numPr>
        <w:numId w:val="24"/>
      </w:numPr>
    </w:pPr>
  </w:style>
  <w:style w:type="paragraph" w:customStyle="1" w:styleId="TblBdy">
    <w:name w:val="_TblBdy"/>
    <w:uiPriority w:val="1"/>
    <w:qFormat/>
    <w:rsid w:val="00FB2763"/>
    <w:pPr>
      <w:spacing w:before="80" w:after="60"/>
    </w:pPr>
    <w:rPr>
      <w:rFonts w:ascii="Calibri" w:hAnsi="Calibri" w:cs="Arial"/>
      <w:sz w:val="22"/>
      <w:lang w:eastAsia="en-US"/>
    </w:rPr>
  </w:style>
  <w:style w:type="paragraph" w:customStyle="1" w:styleId="TblHd">
    <w:name w:val="_TblHd"/>
    <w:rsid w:val="00FB2763"/>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B2763"/>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tabs>
        <w:tab w:val="clear" w:pos="1209"/>
        <w:tab w:val="num" w:pos="360"/>
      </w:tabs>
      <w:ind w:left="0" w:firstLine="0"/>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B2763"/>
    <w:rPr>
      <w:b/>
      <w:bCs/>
    </w:rPr>
  </w:style>
  <w:style w:type="paragraph" w:styleId="Subtitle">
    <w:name w:val="Subtitle"/>
    <w:basedOn w:val="Normal"/>
    <w:link w:val="SubtitleChar"/>
    <w:rsid w:val="00FB2763"/>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FB2763"/>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375260"/>
    <w:pPr>
      <w:tabs>
        <w:tab w:val="left" w:pos="462"/>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rsid w:val="00E90924"/>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A144B6"/>
    <w:pPr>
      <w:tabs>
        <w:tab w:val="left" w:pos="1134"/>
        <w:tab w:val="right" w:leader="dot" w:pos="9629"/>
      </w:tabs>
      <w:ind w:left="480"/>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B2763"/>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B2763"/>
    <w:rPr>
      <w:rFonts w:ascii="Calibri" w:hAnsi="Calibri"/>
      <w:i/>
      <w:iCs/>
      <w:color w:val="808080" w:themeColor="text1" w:themeTint="7F"/>
    </w:rPr>
  </w:style>
  <w:style w:type="character" w:styleId="IntenseEmphasis">
    <w:name w:val="Intense Emphasis"/>
    <w:basedOn w:val="DefaultParagraphFont"/>
    <w:uiPriority w:val="21"/>
    <w:rsid w:val="00FB2763"/>
    <w:rPr>
      <w:rFonts w:ascii="Calibri" w:hAnsi="Calibri"/>
      <w:b/>
      <w:bCs/>
      <w:i/>
      <w:iCs/>
      <w:color w:val="228591"/>
    </w:rPr>
  </w:style>
  <w:style w:type="character" w:styleId="BookTitle">
    <w:name w:val="Book Title"/>
    <w:basedOn w:val="DefaultParagraphFont"/>
    <w:uiPriority w:val="33"/>
    <w:rsid w:val="00FB2763"/>
    <w:rPr>
      <w:rFonts w:ascii="Calibri" w:hAnsi="Calibri"/>
      <w:b/>
      <w:bCs/>
      <w:smallCaps/>
      <w:spacing w:val="5"/>
    </w:rPr>
  </w:style>
  <w:style w:type="paragraph" w:customStyle="1" w:styleId="Body2">
    <w:name w:val="_Body2"/>
    <w:basedOn w:val="Normal"/>
    <w:link w:val="Body2Char"/>
    <w:uiPriority w:val="9"/>
    <w:rsid w:val="00FB2763"/>
    <w:pPr>
      <w:spacing w:after="113" w:line="240" w:lineRule="atLeast"/>
    </w:pPr>
    <w:rPr>
      <w:rFonts w:cs="Arial"/>
      <w:szCs w:val="22"/>
    </w:rPr>
  </w:style>
  <w:style w:type="character" w:customStyle="1" w:styleId="Body2Char">
    <w:name w:val="_Body2 Char"/>
    <w:basedOn w:val="DefaultParagraphFont"/>
    <w:link w:val="Body2"/>
    <w:uiPriority w:val="9"/>
    <w:rsid w:val="00FB2763"/>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B2763"/>
    <w:rPr>
      <w:rFonts w:ascii="Calibri" w:hAnsi="Calibri"/>
      <w:b/>
      <w:bCs/>
      <w:i/>
      <w:iCs/>
      <w:sz w:val="26"/>
      <w:szCs w:val="26"/>
      <w:lang w:eastAsia="en-US"/>
    </w:rPr>
  </w:style>
  <w:style w:type="paragraph" w:styleId="ListParagraph">
    <w:name w:val="List Paragraph"/>
    <w:basedOn w:val="Normal"/>
    <w:uiPriority w:val="34"/>
    <w:qFormat/>
    <w:rsid w:val="00FB2763"/>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iPriority w:val="35"/>
    <w:unhideWhenUsed/>
    <w:qFormat/>
    <w:rsid w:val="00FB2763"/>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B2763"/>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
    <w:rsid w:val="00FB2763"/>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
      <w:bCs/>
      <w:color w:val="228591"/>
      <w:kern w:val="32"/>
      <w:sz w:val="28"/>
      <w:szCs w:val="32"/>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B2763"/>
    <w:pPr>
      <w:numPr>
        <w:numId w:val="0"/>
      </w:numPr>
      <w:spacing w:after="120"/>
    </w:pPr>
  </w:style>
  <w:style w:type="paragraph" w:customStyle="1" w:styleId="Caption-Table">
    <w:name w:val="Caption - Table"/>
    <w:basedOn w:val="Caption0"/>
    <w:next w:val="Normal"/>
    <w:rsid w:val="00FB2763"/>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B2763"/>
    <w:pPr>
      <w:spacing w:before="240" w:line="240" w:lineRule="atLeast"/>
    </w:pPr>
    <w:rPr>
      <w:rFonts w:ascii="Arial" w:eastAsiaTheme="minorEastAsia" w:hAnsi="Arial" w:cstheme="minorBidi"/>
      <w:sz w:val="24"/>
    </w:rPr>
  </w:style>
  <w:style w:type="character" w:customStyle="1" w:styleId="Para0Char">
    <w:name w:val="Para 0 Char"/>
    <w:aliases w:val="Auto Char,After:  3 pt Char Char"/>
    <w:basedOn w:val="DefaultParagraphFont"/>
    <w:link w:val="Para0"/>
    <w:rsid w:val="00FB2763"/>
    <w:rPr>
      <w:rFonts w:ascii="Arial" w:eastAsiaTheme="minorEastAsia" w:hAnsi="Arial" w:cstheme="minorBidi"/>
      <w:lang w:eastAsia="en-US"/>
    </w:rPr>
  </w:style>
  <w:style w:type="paragraph" w:customStyle="1" w:styleId="Caption-Figure">
    <w:name w:val="Caption - Figure"/>
    <w:basedOn w:val="Caption0"/>
    <w:next w:val="Normal"/>
    <w:rsid w:val="00FB2763"/>
    <w:pPr>
      <w:keepLines/>
      <w:spacing w:before="80" w:after="120"/>
    </w:pPr>
    <w:rPr>
      <w:rFonts w:asciiTheme="minorHAnsi" w:hAnsiTheme="minorHAnsi"/>
      <w:color w:val="auto"/>
      <w:sz w:val="22"/>
      <w:szCs w:val="22"/>
    </w:rPr>
  </w:style>
  <w:style w:type="paragraph" w:customStyle="1" w:styleId="Figure">
    <w:name w:val="Figure"/>
    <w:basedOn w:val="Normal"/>
    <w:rsid w:val="00FB2763"/>
    <w:pPr>
      <w:keepNext/>
      <w:jc w:val="center"/>
    </w:pPr>
    <w:rPr>
      <w:rFonts w:asciiTheme="minorHAnsi" w:hAnsiTheme="minorHAnsi"/>
      <w:noProof/>
    </w:rPr>
  </w:style>
  <w:style w:type="paragraph" w:customStyle="1" w:styleId="Table-Bullets">
    <w:name w:val="Table-Bullets"/>
    <w:basedOn w:val="Tabletext"/>
    <w:rsid w:val="00FB2763"/>
    <w:pPr>
      <w:numPr>
        <w:numId w:val="25"/>
      </w:numPr>
      <w:spacing w:after="80"/>
      <w:contextualSpacing/>
    </w:pPr>
    <w:rPr>
      <w:rFonts w:asciiTheme="minorHAnsi" w:hAnsiTheme="minorHAnsi"/>
      <w:sz w:val="18"/>
      <w:szCs w:val="18"/>
    </w:rPr>
  </w:style>
  <w:style w:type="paragraph" w:customStyle="1" w:styleId="NormalNoSpaceAfter">
    <w:name w:val="Normal No Space After"/>
    <w:basedOn w:val="Normal"/>
    <w:rsid w:val="00FB2763"/>
    <w:pPr>
      <w:spacing w:after="40"/>
    </w:pPr>
  </w:style>
  <w:style w:type="paragraph" w:customStyle="1" w:styleId="TOCtitle0">
    <w:name w:val="TOC_title"/>
    <w:basedOn w:val="Heading1"/>
    <w:rsid w:val="00FB2763"/>
    <w:pPr>
      <w:spacing w:before="360"/>
    </w:pPr>
    <w:rPr>
      <w:rFonts w:asciiTheme="minorHAnsi" w:hAnsiTheme="minorHAnsi"/>
      <w:sz w:val="40"/>
      <w:szCs w:val="40"/>
      <w:lang w:val="en-US"/>
    </w:rPr>
  </w:style>
  <w:style w:type="paragraph" w:customStyle="1" w:styleId="HAnotnumbered">
    <w:name w:val="_HA not numbered"/>
    <w:basedOn w:val="HA"/>
    <w:autoRedefine/>
    <w:rsid w:val="00FB2763"/>
    <w:pPr>
      <w:spacing w:before="300" w:after="300"/>
    </w:pPr>
  </w:style>
  <w:style w:type="paragraph" w:customStyle="1" w:styleId="bodynumbered">
    <w:name w:val="_body_numbered"/>
    <w:basedOn w:val="ListParagraph"/>
    <w:rsid w:val="00FB2763"/>
    <w:pPr>
      <w:numPr>
        <w:numId w:val="26"/>
      </w:numPr>
      <w:spacing w:after="113" w:line="240" w:lineRule="atLeast"/>
      <w:contextualSpacing w:val="0"/>
    </w:pPr>
    <w:rPr>
      <w:rFonts w:asciiTheme="minorHAnsi" w:hAnsiTheme="minorHAnsi"/>
      <w:szCs w:val="22"/>
    </w:rPr>
  </w:style>
  <w:style w:type="paragraph" w:customStyle="1" w:styleId="References0">
    <w:name w:val="_References"/>
    <w:basedOn w:val="Normal"/>
    <w:rsid w:val="00FB2763"/>
    <w:pPr>
      <w:ind w:left="720" w:hanging="720"/>
    </w:pPr>
    <w:rPr>
      <w:rFonts w:cs="Calibri"/>
      <w:noProof/>
    </w:rPr>
  </w:style>
  <w:style w:type="paragraph" w:customStyle="1" w:styleId="BoxHeading">
    <w:name w:val="Box Heading"/>
    <w:basedOn w:val="Normal"/>
    <w:rsid w:val="00FB2763"/>
    <w:pPr>
      <w:spacing w:after="80"/>
    </w:pPr>
    <w:rPr>
      <w:rFonts w:asciiTheme="minorHAnsi" w:hAnsiTheme="minorHAnsi"/>
      <w:b/>
    </w:rPr>
  </w:style>
  <w:style w:type="paragraph" w:customStyle="1" w:styleId="Bullettedbody">
    <w:name w:val="Bulletted body"/>
    <w:basedOn w:val="Body2"/>
    <w:qFormat/>
    <w:rsid w:val="00FB2763"/>
    <w:pPr>
      <w:numPr>
        <w:numId w:val="27"/>
      </w:numPr>
      <w:spacing w:before="113"/>
    </w:pPr>
  </w:style>
  <w:style w:type="paragraph" w:customStyle="1" w:styleId="Sub-bullets">
    <w:name w:val="Sub-bullets"/>
    <w:basedOn w:val="Body2"/>
    <w:rsid w:val="00FB2763"/>
    <w:pPr>
      <w:numPr>
        <w:numId w:val="28"/>
      </w:numPr>
    </w:pPr>
  </w:style>
  <w:style w:type="paragraph" w:customStyle="1" w:styleId="Indentedbullets">
    <w:name w:val="Indented bullets"/>
    <w:basedOn w:val="Bullettedbody"/>
    <w:qFormat/>
    <w:rsid w:val="003536E1"/>
    <w:pPr>
      <w:numPr>
        <w:numId w:val="31"/>
      </w:numPr>
    </w:pPr>
  </w:style>
  <w:style w:type="paragraph" w:customStyle="1" w:styleId="Z">
    <w:name w:val="Z"/>
    <w:basedOn w:val="Normal"/>
    <w:rsid w:val="00FB2763"/>
    <w:rPr>
      <w:b/>
      <w:u w:val="single"/>
    </w:rPr>
  </w:style>
  <w:style w:type="paragraph" w:customStyle="1" w:styleId="HCtrue">
    <w:name w:val="_HC true"/>
    <w:basedOn w:val="Normal"/>
    <w:rsid w:val="00FB2763"/>
    <w:pPr>
      <w:spacing w:before="240"/>
    </w:pPr>
    <w:rPr>
      <w:rFonts w:asciiTheme="minorHAnsi" w:hAnsiTheme="minorHAnsi"/>
      <w:b/>
    </w:rPr>
  </w:style>
  <w:style w:type="paragraph" w:customStyle="1" w:styleId="TableHeadingFilled">
    <w:name w:val="Table Heading Filled"/>
    <w:basedOn w:val="Normal"/>
    <w:rsid w:val="00FB2763"/>
    <w:rPr>
      <w:rFonts w:asciiTheme="minorHAnsi" w:eastAsiaTheme="minorHAnsi" w:hAnsiTheme="minorHAnsi" w:cs="Tahoma"/>
      <w:b/>
      <w:color w:val="000000"/>
      <w:szCs w:val="22"/>
    </w:rPr>
  </w:style>
  <w:style w:type="paragraph" w:customStyle="1" w:styleId="TableHeadingBold">
    <w:name w:val="Table Heading Bold"/>
    <w:basedOn w:val="TableHeadingFilled"/>
    <w:rsid w:val="00FB2763"/>
  </w:style>
  <w:style w:type="paragraph" w:customStyle="1" w:styleId="Figurecaption">
    <w:name w:val="Figure caption"/>
    <w:basedOn w:val="Caption-Figure"/>
    <w:rsid w:val="00FB2763"/>
    <w:rPr>
      <w:sz w:val="20"/>
      <w:szCs w:val="20"/>
    </w:rPr>
  </w:style>
  <w:style w:type="paragraph" w:customStyle="1" w:styleId="Figuretitle">
    <w:name w:val="Figure title"/>
    <w:basedOn w:val="Caption-Figure"/>
    <w:rsid w:val="00FB2763"/>
  </w:style>
  <w:style w:type="paragraph" w:customStyle="1" w:styleId="Thefiguretitle">
    <w:name w:val="The figure title"/>
    <w:basedOn w:val="Caption-Figure"/>
    <w:rsid w:val="00FB2763"/>
    <w:rPr>
      <w:b w:val="0"/>
      <w:sz w:val="20"/>
    </w:rPr>
  </w:style>
  <w:style w:type="paragraph" w:customStyle="1" w:styleId="Thetabletitle">
    <w:name w:val="The table title"/>
    <w:basedOn w:val="Caption-Table"/>
    <w:rsid w:val="00FB2763"/>
    <w:rPr>
      <w:sz w:val="20"/>
    </w:rPr>
  </w:style>
  <w:style w:type="paragraph" w:customStyle="1" w:styleId="Thetablecaption">
    <w:name w:val="The table caption"/>
    <w:basedOn w:val="Thetabletitle"/>
    <w:rsid w:val="00FB2763"/>
    <w:rPr>
      <w:b w:val="0"/>
      <w:szCs w:val="20"/>
    </w:rPr>
  </w:style>
  <w:style w:type="character" w:customStyle="1" w:styleId="Heading3Char">
    <w:name w:val="Heading 3 Char"/>
    <w:basedOn w:val="DefaultParagraphFont"/>
    <w:link w:val="Heading3"/>
    <w:rsid w:val="00FB2763"/>
    <w:rPr>
      <w:rFonts w:ascii="Arial" w:hAnsi="Arial" w:cs="Arial"/>
      <w:b/>
      <w:bCs/>
      <w:sz w:val="26"/>
      <w:szCs w:val="26"/>
      <w:lang w:eastAsia="en-US"/>
    </w:rPr>
  </w:style>
  <w:style w:type="character" w:customStyle="1" w:styleId="CaptionChar">
    <w:name w:val="Caption Char"/>
    <w:link w:val="Caption0"/>
    <w:rsid w:val="00FB2763"/>
    <w:rPr>
      <w:rFonts w:ascii="Calibri" w:hAnsi="Calibri"/>
      <w:b/>
      <w:bCs/>
      <w:color w:val="4F81BD" w:themeColor="accent1"/>
      <w:sz w:val="18"/>
      <w:szCs w:val="18"/>
      <w:lang w:eastAsia="en-US"/>
    </w:rPr>
  </w:style>
  <w:style w:type="character" w:customStyle="1" w:styleId="TitleChar">
    <w:name w:val="Title Char"/>
    <w:basedOn w:val="DefaultParagraphFont"/>
    <w:link w:val="Title"/>
    <w:uiPriority w:val="10"/>
    <w:rsid w:val="00FB2763"/>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B2763"/>
    <w:rPr>
      <w:rFonts w:ascii="Calibri" w:hAnsi="Calibri" w:cs="Arial"/>
      <w:sz w:val="22"/>
      <w:lang w:eastAsia="en-US"/>
    </w:rPr>
  </w:style>
  <w:style w:type="paragraph" w:customStyle="1" w:styleId="References1">
    <w:name w:val="References"/>
    <w:basedOn w:val="Normal"/>
    <w:rsid w:val="00FB2763"/>
    <w:pPr>
      <w:spacing w:after="120"/>
      <w:ind w:left="709" w:hanging="709"/>
    </w:pPr>
    <w:rPr>
      <w:rFonts w:asciiTheme="minorHAnsi" w:hAnsiTheme="minorHAnsi" w:cs="Calibri"/>
      <w:noProof/>
    </w:rPr>
  </w:style>
  <w:style w:type="paragraph" w:customStyle="1" w:styleId="ARIERRefs">
    <w:name w:val="ARIER_Refs"/>
    <w:basedOn w:val="Normal"/>
    <w:uiPriority w:val="99"/>
    <w:qFormat/>
    <w:rsid w:val="003536E1"/>
    <w:pPr>
      <w:spacing w:after="120"/>
      <w:ind w:left="709" w:hanging="709"/>
    </w:pPr>
    <w:rPr>
      <w:rFonts w:asciiTheme="minorHAnsi" w:hAnsiTheme="minorHAnsi" w:cs="Calibri"/>
      <w:noProof/>
    </w:rPr>
  </w:style>
  <w:style w:type="paragraph" w:customStyle="1" w:styleId="ARIERimprint">
    <w:name w:val="ARIER_imprint"/>
    <w:basedOn w:val="Normal"/>
    <w:qFormat/>
    <w:rsid w:val="003536E1"/>
    <w:pPr>
      <w:autoSpaceDE w:val="0"/>
      <w:autoSpaceDN w:val="0"/>
      <w:adjustRightInd w:val="0"/>
      <w:spacing w:after="360"/>
    </w:pPr>
    <w:rPr>
      <w:rFonts w:eastAsia="Calibri" w:cs="Calibri"/>
      <w:color w:val="000000"/>
      <w:sz w:val="16"/>
      <w:szCs w:val="16"/>
    </w:rPr>
  </w:style>
  <w:style w:type="character" w:customStyle="1" w:styleId="Heading2Char">
    <w:name w:val="Heading 2 Char"/>
    <w:basedOn w:val="DefaultParagraphFont"/>
    <w:link w:val="Heading2"/>
    <w:uiPriority w:val="9"/>
    <w:rsid w:val="00FB2763"/>
    <w:rPr>
      <w:rFonts w:ascii="Arial" w:hAnsi="Arial" w:cs="Arial"/>
      <w:b/>
      <w:bCs/>
      <w:i/>
      <w:iCs/>
      <w:sz w:val="28"/>
      <w:szCs w:val="28"/>
      <w:lang w:eastAsia="en-US"/>
    </w:rPr>
  </w:style>
  <w:style w:type="character" w:customStyle="1" w:styleId="Heading6Char">
    <w:name w:val="Heading 6 Char"/>
    <w:aliases w:val="App 2 Char"/>
    <w:basedOn w:val="DefaultParagraphFont"/>
    <w:link w:val="Heading6"/>
    <w:rsid w:val="0072126A"/>
    <w:rPr>
      <w:rFonts w:ascii="Calibri" w:hAnsi="Calibri"/>
      <w:b/>
      <w:bCs/>
      <w:sz w:val="22"/>
      <w:szCs w:val="22"/>
      <w:lang w:eastAsia="en-US"/>
    </w:rPr>
  </w:style>
  <w:style w:type="character" w:customStyle="1" w:styleId="Heading7Char">
    <w:name w:val="Heading 7 Char"/>
    <w:aliases w:val="App 3 Char"/>
    <w:basedOn w:val="DefaultParagraphFont"/>
    <w:link w:val="Heading7"/>
    <w:rsid w:val="0072126A"/>
    <w:rPr>
      <w:rFonts w:ascii="Calibri" w:hAnsi="Calibri"/>
      <w:sz w:val="22"/>
      <w:lang w:eastAsia="en-US"/>
    </w:rPr>
  </w:style>
  <w:style w:type="character" w:customStyle="1" w:styleId="Heading8Char">
    <w:name w:val="Heading 8 Char"/>
    <w:aliases w:val="App 4 Char"/>
    <w:basedOn w:val="DefaultParagraphFont"/>
    <w:link w:val="Heading8"/>
    <w:rsid w:val="0072126A"/>
    <w:rPr>
      <w:rFonts w:ascii="Calibri" w:hAnsi="Calibri"/>
      <w:i/>
      <w:iCs/>
      <w:sz w:val="22"/>
      <w:lang w:eastAsia="en-US"/>
    </w:rPr>
  </w:style>
  <w:style w:type="character" w:customStyle="1" w:styleId="Heading9Char">
    <w:name w:val="Heading 9 Char"/>
    <w:aliases w:val="ARIER_Inst_address Char"/>
    <w:basedOn w:val="DefaultParagraphFont"/>
    <w:link w:val="Heading9"/>
    <w:rsid w:val="003536E1"/>
    <w:rPr>
      <w:rFonts w:ascii="Arial" w:hAnsi="Arial" w:cs="Arial"/>
      <w:sz w:val="22"/>
      <w:szCs w:val="22"/>
      <w:lang w:eastAsia="en-US"/>
    </w:rPr>
  </w:style>
  <w:style w:type="paragraph" w:styleId="NoSpacing">
    <w:name w:val="No Spacing"/>
    <w:basedOn w:val="Normal"/>
    <w:uiPriority w:val="1"/>
    <w:rsid w:val="0072126A"/>
    <w:rPr>
      <w:rFonts w:eastAsiaTheme="minorHAnsi" w:cstheme="minorBidi"/>
    </w:rPr>
  </w:style>
  <w:style w:type="character" w:customStyle="1" w:styleId="HeaderChar">
    <w:name w:val="Header Char"/>
    <w:basedOn w:val="DefaultParagraphFont"/>
    <w:link w:val="Header"/>
    <w:uiPriority w:val="99"/>
    <w:rsid w:val="0072126A"/>
    <w:rPr>
      <w:rFonts w:ascii="Calibri" w:hAnsi="Calibri"/>
      <w:sz w:val="22"/>
      <w:szCs w:val="24"/>
      <w:lang w:eastAsia="en-US"/>
    </w:rPr>
  </w:style>
  <w:style w:type="character" w:customStyle="1" w:styleId="FooterChar">
    <w:name w:val="Footer Char"/>
    <w:basedOn w:val="DefaultParagraphFont"/>
    <w:link w:val="Footer"/>
    <w:uiPriority w:val="99"/>
    <w:rsid w:val="0072126A"/>
    <w:rPr>
      <w:rFonts w:ascii="Calibri" w:hAnsi="Calibri"/>
      <w:sz w:val="22"/>
      <w:szCs w:val="24"/>
      <w:lang w:eastAsia="en-US"/>
    </w:rPr>
  </w:style>
  <w:style w:type="paragraph" w:styleId="TOCHeading">
    <w:name w:val="TOC Heading"/>
    <w:basedOn w:val="Heading1"/>
    <w:next w:val="Normal"/>
    <w:uiPriority w:val="39"/>
    <w:semiHidden/>
    <w:unhideWhenUsed/>
    <w:qFormat/>
    <w:rsid w:val="003536E1"/>
    <w:pPr>
      <w:keepNext/>
      <w:keepLines/>
      <w:spacing w:before="480" w:after="0" w:line="240" w:lineRule="auto"/>
      <w:outlineLvl w:val="9"/>
    </w:pPr>
    <w:rPr>
      <w:rFonts w:asciiTheme="majorHAnsi" w:eastAsiaTheme="majorEastAsia" w:hAnsiTheme="majorHAnsi" w:cstheme="majorBidi"/>
      <w:color w:val="345A8A" w:themeColor="accent1" w:themeShade="B5"/>
      <w:kern w:val="0"/>
    </w:rPr>
  </w:style>
  <w:style w:type="paragraph" w:customStyle="1" w:styleId="Tenderheading1">
    <w:name w:val="Tender heading 1"/>
    <w:basedOn w:val="Normal"/>
    <w:rsid w:val="0072126A"/>
    <w:pPr>
      <w:numPr>
        <w:numId w:val="19"/>
      </w:numPr>
      <w:spacing w:after="120" w:line="280" w:lineRule="exact"/>
    </w:pPr>
    <w:rPr>
      <w:rFonts w:ascii="Lucida Bright" w:hAnsi="Lucida Bright"/>
      <w:sz w:val="20"/>
      <w:szCs w:val="20"/>
      <w:lang w:val="en-US"/>
    </w:rPr>
  </w:style>
  <w:style w:type="paragraph" w:styleId="EndnoteText">
    <w:name w:val="endnote text"/>
    <w:basedOn w:val="Normal"/>
    <w:link w:val="EndnoteTextChar"/>
    <w:uiPriority w:val="99"/>
    <w:semiHidden/>
    <w:unhideWhenUsed/>
    <w:rsid w:val="0072126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2126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72126A"/>
    <w:rPr>
      <w:vertAlign w:val="superscript"/>
    </w:rPr>
  </w:style>
  <w:style w:type="paragraph" w:customStyle="1" w:styleId="TableParagraph">
    <w:name w:val="Table Paragraph"/>
    <w:basedOn w:val="Normal"/>
    <w:uiPriority w:val="1"/>
    <w:rsid w:val="0072126A"/>
    <w:pPr>
      <w:widowControl w:val="0"/>
    </w:pPr>
    <w:rPr>
      <w:rFonts w:asciiTheme="minorHAnsi" w:eastAsiaTheme="minorHAnsi" w:hAnsiTheme="minorHAnsi" w:cstheme="minorBidi"/>
      <w:szCs w:val="22"/>
      <w:lang w:val="en-US"/>
    </w:rPr>
  </w:style>
  <w:style w:type="table" w:styleId="LightShading-Accent3">
    <w:name w:val="Light Shading Accent 3"/>
    <w:basedOn w:val="TableNormal"/>
    <w:uiPriority w:val="60"/>
    <w:rsid w:val="0072126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2126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72126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ERHA">
    <w:name w:val="ARIER_HA"/>
    <w:next w:val="Normal"/>
    <w:uiPriority w:val="99"/>
    <w:qFormat/>
    <w:rsid w:val="003536E1"/>
    <w:pPr>
      <w:spacing w:after="600" w:line="460" w:lineRule="atLeast"/>
      <w:outlineLvl w:val="0"/>
    </w:pPr>
    <w:rPr>
      <w:rFonts w:ascii="Calibri" w:hAnsi="Calibri" w:cs="Arial"/>
      <w:b/>
      <w:color w:val="228591"/>
      <w:sz w:val="32"/>
      <w:szCs w:val="32"/>
      <w:lang w:val="en-US" w:eastAsia="en-US"/>
    </w:rPr>
  </w:style>
  <w:style w:type="paragraph" w:customStyle="1" w:styleId="ARIERHB">
    <w:name w:val="ARIER_HB"/>
    <w:next w:val="Normal"/>
    <w:uiPriority w:val="99"/>
    <w:qFormat/>
    <w:rsid w:val="003536E1"/>
    <w:pPr>
      <w:spacing w:before="360" w:after="113" w:line="300" w:lineRule="atLeast"/>
      <w:outlineLvl w:val="0"/>
    </w:pPr>
    <w:rPr>
      <w:rFonts w:ascii="Calibri" w:hAnsi="Calibri" w:cs="Arial"/>
      <w:b/>
      <w:color w:val="228591"/>
      <w:sz w:val="28"/>
      <w:lang w:eastAsia="en-US"/>
    </w:rPr>
  </w:style>
  <w:style w:type="paragraph" w:customStyle="1" w:styleId="ARIERHC">
    <w:name w:val="ARIER_HC"/>
    <w:next w:val="Normal"/>
    <w:uiPriority w:val="2"/>
    <w:qFormat/>
    <w:rsid w:val="003536E1"/>
    <w:pPr>
      <w:spacing w:before="140" w:after="57" w:line="220" w:lineRule="atLeast"/>
    </w:pPr>
    <w:rPr>
      <w:rFonts w:ascii="Calibri" w:eastAsiaTheme="majorEastAsia" w:hAnsi="Calibri" w:cs="Arial"/>
      <w:b/>
      <w:lang w:eastAsia="en-US"/>
    </w:rPr>
  </w:style>
  <w:style w:type="paragraph" w:customStyle="1" w:styleId="ARIERTblBdy">
    <w:name w:val="ARIER_TblBdy"/>
    <w:uiPriority w:val="1"/>
    <w:qFormat/>
    <w:rsid w:val="003536E1"/>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3536E1"/>
    <w:pPr>
      <w:spacing w:after="113" w:line="240" w:lineRule="atLeast"/>
    </w:pPr>
    <w:rPr>
      <w:rFonts w:cs="Arial"/>
      <w:szCs w:val="22"/>
    </w:rPr>
  </w:style>
  <w:style w:type="character" w:customStyle="1" w:styleId="ARIERBodyChar">
    <w:name w:val="ARIER_Body Char"/>
    <w:basedOn w:val="DefaultParagraphFont"/>
    <w:link w:val="ARIERBody"/>
    <w:uiPriority w:val="99"/>
    <w:rsid w:val="003536E1"/>
    <w:rPr>
      <w:rFonts w:ascii="Calibri" w:hAnsi="Calibri" w:cs="Arial"/>
      <w:sz w:val="22"/>
      <w:szCs w:val="22"/>
      <w:lang w:eastAsia="en-US"/>
    </w:rPr>
  </w:style>
  <w:style w:type="paragraph" w:customStyle="1" w:styleId="ARIERCaption-Table">
    <w:name w:val="ARIER_Caption - Table"/>
    <w:basedOn w:val="ARIERCaption-Figure"/>
    <w:next w:val="Normal"/>
    <w:qFormat/>
    <w:rsid w:val="00853162"/>
    <w:pPr>
      <w:spacing w:after="120"/>
    </w:pPr>
  </w:style>
  <w:style w:type="paragraph" w:customStyle="1" w:styleId="ARIERCaption-Figure">
    <w:name w:val="ARIER_Caption - Figure"/>
    <w:basedOn w:val="Caption0"/>
    <w:next w:val="Normal"/>
    <w:qFormat/>
    <w:rsid w:val="00853162"/>
    <w:pPr>
      <w:keepLines/>
      <w:spacing w:before="80" w:after="0"/>
    </w:pPr>
    <w:rPr>
      <w:rFonts w:asciiTheme="minorHAnsi" w:hAnsiTheme="minorHAnsi"/>
      <w:color w:val="228591"/>
      <w:sz w:val="20"/>
      <w:szCs w:val="20"/>
    </w:rPr>
  </w:style>
  <w:style w:type="paragraph" w:customStyle="1" w:styleId="ARIERbodynumbered">
    <w:name w:val="ARIER_body_numbered"/>
    <w:basedOn w:val="ListParagraph"/>
    <w:qFormat/>
    <w:rsid w:val="003536E1"/>
    <w:pPr>
      <w:spacing w:after="113" w:line="240" w:lineRule="atLeast"/>
      <w:ind w:left="0"/>
      <w:contextualSpacing w:val="0"/>
    </w:pPr>
    <w:rPr>
      <w:rFonts w:asciiTheme="minorHAnsi" w:hAnsiTheme="minorHAnsi"/>
      <w:szCs w:val="22"/>
    </w:rPr>
  </w:style>
  <w:style w:type="paragraph" w:customStyle="1" w:styleId="ARIERBullettedbody">
    <w:name w:val="ARIER_Bulletted body"/>
    <w:basedOn w:val="ARIERBody"/>
    <w:qFormat/>
    <w:rsid w:val="003536E1"/>
    <w:pPr>
      <w:tabs>
        <w:tab w:val="num" w:pos="360"/>
        <w:tab w:val="num" w:pos="397"/>
      </w:tabs>
      <w:spacing w:before="113"/>
    </w:pPr>
  </w:style>
  <w:style w:type="paragraph" w:customStyle="1" w:styleId="ARIERIndentedbullets">
    <w:name w:val="ARIER_Indented bullets"/>
    <w:basedOn w:val="ARIERBullettedbody"/>
    <w:qFormat/>
    <w:rsid w:val="003536E1"/>
    <w:pPr>
      <w:ind w:left="363" w:hanging="363"/>
    </w:pPr>
  </w:style>
  <w:style w:type="paragraph" w:customStyle="1" w:styleId="ARIERheader">
    <w:name w:val="ARIER header"/>
    <w:basedOn w:val="Header"/>
    <w:qFormat/>
    <w:rsid w:val="003536E1"/>
    <w:pPr>
      <w:jc w:val="center"/>
    </w:pPr>
    <w:rPr>
      <w:sz w:val="18"/>
      <w:szCs w:val="20"/>
    </w:rPr>
  </w:style>
  <w:style w:type="paragraph" w:customStyle="1" w:styleId="ARIERtitlepageauthors">
    <w:name w:val="ARIER_title_page_authors"/>
    <w:basedOn w:val="Normal"/>
    <w:qFormat/>
    <w:rsid w:val="003536E1"/>
    <w:pPr>
      <w:keepNext/>
      <w:spacing w:before="160" w:after="1200" w:line="240" w:lineRule="atLeast"/>
      <w:jc w:val="center"/>
      <w:outlineLvl w:val="1"/>
    </w:pPr>
    <w:rPr>
      <w:rFonts w:asciiTheme="minorHAnsi" w:hAnsiTheme="minorHAnsi" w:cs="Arial"/>
      <w:bCs/>
      <w:iCs/>
      <w:sz w:val="32"/>
      <w:szCs w:val="28"/>
      <w:lang w:eastAsia="en-AU"/>
    </w:rPr>
  </w:style>
  <w:style w:type="paragraph" w:customStyle="1" w:styleId="ARIERtitlepageaffiliations">
    <w:name w:val="ARIER_title_page_affiliations"/>
    <w:basedOn w:val="Normal"/>
    <w:qFormat/>
    <w:rsid w:val="003536E1"/>
    <w:pPr>
      <w:keepNext/>
      <w:spacing w:before="80" w:after="480" w:line="240" w:lineRule="atLeast"/>
      <w:jc w:val="center"/>
      <w:outlineLvl w:val="2"/>
    </w:pPr>
    <w:rPr>
      <w:rFonts w:asciiTheme="minorHAnsi" w:hAnsiTheme="minorHAnsi" w:cs="Arial"/>
      <w:bCs/>
      <w:sz w:val="24"/>
      <w:szCs w:val="22"/>
      <w:lang w:eastAsia="en-AU"/>
    </w:rPr>
  </w:style>
  <w:style w:type="paragraph" w:styleId="Quote">
    <w:name w:val="Quote"/>
    <w:basedOn w:val="Normal"/>
    <w:link w:val="QuoteChar"/>
    <w:rsid w:val="00FB2763"/>
    <w:pPr>
      <w:spacing w:before="120" w:line="360" w:lineRule="auto"/>
      <w:ind w:left="230" w:right="230"/>
    </w:pPr>
    <w:rPr>
      <w:rFonts w:ascii="Times New Roman" w:hAnsi="Times New Roman"/>
    </w:rPr>
  </w:style>
  <w:style w:type="character" w:customStyle="1" w:styleId="QuoteChar">
    <w:name w:val="Quote Char"/>
    <w:basedOn w:val="DefaultParagraphFont"/>
    <w:link w:val="Quote"/>
    <w:rsid w:val="00FB2763"/>
    <w:rPr>
      <w:sz w:val="22"/>
      <w:lang w:eastAsia="en-US"/>
    </w:rPr>
  </w:style>
  <w:style w:type="paragraph" w:customStyle="1" w:styleId="ARIERfootnote">
    <w:name w:val="ARIER footnote"/>
    <w:basedOn w:val="FootnoteText"/>
    <w:rsid w:val="008E3A43"/>
    <w:rPr>
      <w:rFonts w:ascii="Calibri" w:hAnsi="Calibri"/>
      <w:sz w:val="16"/>
    </w:rPr>
  </w:style>
  <w:style w:type="paragraph" w:customStyle="1" w:styleId="ARIERtitlepagetitle">
    <w:name w:val="ARIER_title_page_title"/>
    <w:basedOn w:val="Normal"/>
    <w:qFormat/>
    <w:rsid w:val="003536E1"/>
    <w:pPr>
      <w:spacing w:after="720" w:line="240" w:lineRule="atLeast"/>
      <w:jc w:val="center"/>
      <w:outlineLvl w:val="4"/>
    </w:pPr>
    <w:rPr>
      <w:rFonts w:asciiTheme="minorHAnsi" w:hAnsiTheme="minorHAnsi"/>
      <w:b/>
      <w:bCs/>
      <w:iCs/>
      <w:sz w:val="40"/>
      <w:szCs w:val="26"/>
      <w:lang w:eastAsia="en-AU"/>
    </w:rPr>
  </w:style>
  <w:style w:type="paragraph" w:customStyle="1" w:styleId="ARIERtitlepagedate">
    <w:name w:val="ARIER_title_page_date"/>
    <w:basedOn w:val="Normal"/>
    <w:qFormat/>
    <w:rsid w:val="003536E1"/>
    <w:pPr>
      <w:keepNext/>
      <w:spacing w:before="240" w:after="240" w:line="240" w:lineRule="atLeast"/>
      <w:jc w:val="center"/>
      <w:outlineLvl w:val="2"/>
    </w:pPr>
    <w:rPr>
      <w:rFonts w:asciiTheme="minorHAnsi" w:hAnsiTheme="minorHAnsi" w:cs="Arial"/>
      <w:bCs/>
      <w:sz w:val="32"/>
      <w:szCs w:val="32"/>
      <w:lang w:eastAsia="en-AU"/>
    </w:rPr>
  </w:style>
  <w:style w:type="paragraph" w:customStyle="1" w:styleId="ARIERtitlepageARI">
    <w:name w:val="ARIER_title_page_ARI"/>
    <w:basedOn w:val="Heading9"/>
    <w:qFormat/>
    <w:rsid w:val="003536E1"/>
    <w:pPr>
      <w:jc w:val="center"/>
    </w:pPr>
    <w:rPr>
      <w:rFonts w:asciiTheme="minorHAnsi" w:hAnsiTheme="minorHAnsi"/>
    </w:rPr>
  </w:style>
  <w:style w:type="paragraph" w:customStyle="1" w:styleId="ARIERTblHd">
    <w:name w:val="ARIER_TblHd"/>
    <w:qFormat/>
    <w:rsid w:val="003536E1"/>
    <w:pPr>
      <w:spacing w:before="60" w:after="60" w:line="230" w:lineRule="atLeast"/>
    </w:pPr>
    <w:rPr>
      <w:rFonts w:ascii="Calibri" w:hAnsi="Calibri" w:cs="Arial"/>
      <w:color w:val="FFFFFF" w:themeColor="background1"/>
      <w:sz w:val="22"/>
      <w:lang w:eastAsia="en-US"/>
    </w:rPr>
  </w:style>
  <w:style w:type="paragraph" w:customStyle="1" w:styleId="HD">
    <w:name w:val="_HD"/>
    <w:next w:val="Normal"/>
    <w:uiPriority w:val="2"/>
    <w:rsid w:val="00FB2763"/>
    <w:pPr>
      <w:spacing w:before="57" w:after="57" w:line="220" w:lineRule="atLeast"/>
    </w:pPr>
    <w:rPr>
      <w:rFonts w:ascii="Calibri" w:hAnsi="Calibri" w:cs="Arial"/>
      <w:b/>
      <w:i/>
      <w:sz w:val="22"/>
      <w:lang w:eastAsia="en-US"/>
    </w:rPr>
  </w:style>
  <w:style w:type="paragraph" w:customStyle="1" w:styleId="ARIERindentedlettered">
    <w:name w:val="ARIER_indented lettered"/>
    <w:basedOn w:val="ARIERbodynumbered"/>
    <w:qFormat/>
    <w:rsid w:val="003536E1"/>
    <w:pPr>
      <w:numPr>
        <w:numId w:val="32"/>
      </w:numPr>
    </w:pPr>
    <w:rPr>
      <w:noProof/>
    </w:rPr>
  </w:style>
  <w:style w:type="paragraph" w:customStyle="1" w:styleId="ARIERcirclebullets">
    <w:name w:val="ARIER_circle_bullets"/>
    <w:basedOn w:val="ListParagraph"/>
    <w:rsid w:val="00956A61"/>
    <w:pPr>
      <w:numPr>
        <w:ilvl w:val="1"/>
        <w:numId w:val="20"/>
      </w:numPr>
      <w:spacing w:before="120" w:line="240" w:lineRule="auto"/>
    </w:pPr>
    <w:rPr>
      <w:rFonts w:asciiTheme="minorHAnsi" w:hAnsiTheme="minorHAnsi"/>
    </w:rPr>
  </w:style>
  <w:style w:type="paragraph" w:customStyle="1" w:styleId="ARIERboxtext">
    <w:name w:val="ARIER_box_text"/>
    <w:basedOn w:val="ARIERBody"/>
    <w:rsid w:val="004624EA"/>
    <w:rPr>
      <w:sz w:val="20"/>
      <w:szCs w:val="20"/>
      <w:lang w:eastAsia="en-AU"/>
    </w:rPr>
  </w:style>
  <w:style w:type="paragraph" w:customStyle="1" w:styleId="ARIERboxbullets">
    <w:name w:val="ARIER_box_bullets"/>
    <w:basedOn w:val="ARIERboxtext"/>
    <w:rsid w:val="004624EA"/>
    <w:pPr>
      <w:numPr>
        <w:numId w:val="22"/>
      </w:numPr>
      <w:ind w:left="284" w:hanging="284"/>
    </w:pPr>
  </w:style>
  <w:style w:type="paragraph" w:customStyle="1" w:styleId="ReportReference">
    <w:name w:val="Report Reference"/>
    <w:basedOn w:val="Normal"/>
    <w:rsid w:val="00FB2763"/>
    <w:pPr>
      <w:spacing w:after="120"/>
      <w:ind w:left="709" w:hanging="709"/>
    </w:pPr>
    <w:rPr>
      <w:rFonts w:asciiTheme="minorHAnsi" w:hAnsiTheme="minorHAnsi" w:cs="Calibri"/>
      <w:noProof/>
    </w:rPr>
  </w:style>
  <w:style w:type="paragraph" w:customStyle="1" w:styleId="ARIheader">
    <w:name w:val="ARI header"/>
    <w:basedOn w:val="zFooter"/>
    <w:rsid w:val="00A9622B"/>
    <w:rPr>
      <w:sz w:val="18"/>
      <w:szCs w:val="18"/>
    </w:rPr>
  </w:style>
  <w:style w:type="paragraph" w:customStyle="1" w:styleId="ARIheader0">
    <w:name w:val="ARI_header"/>
    <w:basedOn w:val="zFooter"/>
    <w:rsid w:val="00A9622B"/>
    <w:rPr>
      <w:sz w:val="18"/>
      <w:szCs w:val="18"/>
    </w:rPr>
  </w:style>
  <w:style w:type="paragraph" w:customStyle="1" w:styleId="ARIERheader0">
    <w:name w:val="ARIER_header"/>
    <w:basedOn w:val="zFooter"/>
    <w:rsid w:val="00A9622B"/>
    <w:rPr>
      <w:sz w:val="18"/>
      <w:szCs w:val="18"/>
    </w:rPr>
  </w:style>
  <w:style w:type="paragraph" w:customStyle="1" w:styleId="ARIfooter">
    <w:name w:val="ARI_footer"/>
    <w:basedOn w:val="zFooter"/>
    <w:qFormat/>
    <w:rsid w:val="003536E1"/>
    <w:pPr>
      <w:pBdr>
        <w:top w:val="single" w:sz="4" w:space="1" w:color="auto"/>
      </w:pBdr>
    </w:pPr>
    <w:rPr>
      <w:sz w:val="18"/>
      <w:szCs w:val="18"/>
    </w:rPr>
  </w:style>
  <w:style w:type="paragraph" w:customStyle="1" w:styleId="ARIERFigTabNotes">
    <w:name w:val="ARIER_FigTabNotes"/>
    <w:basedOn w:val="Normal"/>
    <w:autoRedefine/>
    <w:qFormat/>
    <w:rsid w:val="002E7328"/>
    <w:pPr>
      <w:spacing w:after="120"/>
    </w:pPr>
    <w:rPr>
      <w:color w:val="228591"/>
      <w:sz w:val="20"/>
      <w:szCs w:val="20"/>
    </w:rPr>
  </w:style>
  <w:style w:type="paragraph" w:customStyle="1" w:styleId="ArtSubtitle">
    <w:name w:val="ArtSubtitle"/>
    <w:basedOn w:val="Normal"/>
    <w:rsid w:val="00FB2763"/>
    <w:pPr>
      <w:keepNext/>
      <w:spacing w:before="240"/>
      <w:outlineLvl w:val="0"/>
    </w:pPr>
    <w:rPr>
      <w:rFonts w:ascii="Times New Roman" w:hAnsi="Times New Roman"/>
      <w:b/>
      <w:i/>
      <w:kern w:val="28"/>
    </w:rPr>
  </w:style>
  <w:style w:type="paragraph" w:customStyle="1" w:styleId="Intro">
    <w:name w:val="Intro"/>
    <w:basedOn w:val="Normal"/>
    <w:rsid w:val="00FB2763"/>
    <w:pPr>
      <w:spacing w:before="120" w:line="360" w:lineRule="auto"/>
    </w:pPr>
    <w:rPr>
      <w:rFonts w:ascii="Times New Roman" w:hAnsi="Times New Roman"/>
      <w:sz w:val="24"/>
    </w:rPr>
  </w:style>
  <w:style w:type="paragraph" w:customStyle="1" w:styleId="PulloutIntro">
    <w:name w:val="PulloutIntro"/>
    <w:basedOn w:val="Normal"/>
    <w:rsid w:val="00FB2763"/>
    <w:pPr>
      <w:spacing w:before="120" w:line="360" w:lineRule="auto"/>
    </w:pPr>
    <w:rPr>
      <w:rFonts w:ascii="Times New Roman" w:hAnsi="Times New Roman"/>
      <w:sz w:val="24"/>
    </w:rPr>
  </w:style>
  <w:style w:type="paragraph" w:customStyle="1" w:styleId="Point1Cont">
    <w:name w:val="Point1Cont"/>
    <w:basedOn w:val="Normal"/>
    <w:rsid w:val="00FB2763"/>
    <w:pPr>
      <w:tabs>
        <w:tab w:val="left" w:pos="360"/>
      </w:tabs>
      <w:spacing w:before="40" w:after="40" w:line="360" w:lineRule="auto"/>
      <w:ind w:left="360" w:hanging="360"/>
    </w:pPr>
    <w:rPr>
      <w:rFonts w:ascii="Times New Roman" w:hAnsi="Times New Roman"/>
    </w:rPr>
  </w:style>
  <w:style w:type="paragraph" w:customStyle="1" w:styleId="Pointi">
    <w:name w:val="Pointi"/>
    <w:basedOn w:val="Normal"/>
    <w:rsid w:val="00FB2763"/>
    <w:pPr>
      <w:spacing w:before="120" w:line="360" w:lineRule="auto"/>
      <w:ind w:left="1584" w:hanging="864"/>
    </w:pPr>
    <w:rPr>
      <w:rFonts w:ascii="Times New Roman" w:hAnsi="Times New Roman"/>
    </w:rPr>
  </w:style>
  <w:style w:type="paragraph" w:customStyle="1" w:styleId="FigCredit">
    <w:name w:val="FigCredit"/>
    <w:basedOn w:val="Normal"/>
    <w:rsid w:val="00FB2763"/>
    <w:pPr>
      <w:spacing w:before="120" w:line="360" w:lineRule="auto"/>
    </w:pPr>
    <w:rPr>
      <w:rFonts w:ascii="Times New Roman" w:hAnsi="Times New Roman"/>
      <w:sz w:val="24"/>
    </w:rPr>
  </w:style>
  <w:style w:type="paragraph" w:customStyle="1" w:styleId="InfotextHead">
    <w:name w:val="InfotextHead"/>
    <w:basedOn w:val="Normal"/>
    <w:rsid w:val="00FB2763"/>
    <w:pPr>
      <w:keepNext/>
      <w:spacing w:before="240" w:after="80"/>
      <w:ind w:left="230" w:hanging="230"/>
      <w:outlineLvl w:val="0"/>
    </w:pPr>
    <w:rPr>
      <w:rFonts w:ascii="Times New Roman" w:hAnsi="Times New Roman"/>
      <w:b/>
      <w:kern w:val="28"/>
    </w:rPr>
  </w:style>
  <w:style w:type="paragraph" w:customStyle="1" w:styleId="Infotext">
    <w:name w:val="Infotext"/>
    <w:basedOn w:val="Normal"/>
    <w:rsid w:val="00FB2763"/>
    <w:pPr>
      <w:spacing w:before="120" w:line="360" w:lineRule="auto"/>
    </w:pPr>
    <w:rPr>
      <w:rFonts w:ascii="Times New Roman" w:hAnsi="Times New Roman"/>
    </w:rPr>
  </w:style>
  <w:style w:type="paragraph" w:customStyle="1" w:styleId="ReviewData">
    <w:name w:val="ReviewData"/>
    <w:basedOn w:val="Normal"/>
    <w:rsid w:val="00FB2763"/>
    <w:pPr>
      <w:spacing w:before="120" w:line="360" w:lineRule="auto"/>
    </w:pPr>
    <w:rPr>
      <w:rFonts w:ascii="Times New Roman" w:hAnsi="Times New Roman"/>
    </w:rPr>
  </w:style>
  <w:style w:type="paragraph" w:customStyle="1" w:styleId="BoxTitle">
    <w:name w:val="BoxTitle"/>
    <w:basedOn w:val="Normal"/>
    <w:rsid w:val="00FB2763"/>
    <w:pPr>
      <w:keepNext/>
      <w:shd w:val="pct10" w:color="auto" w:fill="auto"/>
      <w:spacing w:before="240"/>
      <w:jc w:val="center"/>
      <w:outlineLvl w:val="0"/>
    </w:pPr>
    <w:rPr>
      <w:rFonts w:ascii="Times New Roman" w:hAnsi="Times New Roman"/>
      <w:b/>
      <w:kern w:val="28"/>
    </w:rPr>
  </w:style>
  <w:style w:type="paragraph" w:customStyle="1" w:styleId="BoxSubtitle">
    <w:name w:val="BoxSubtitle"/>
    <w:basedOn w:val="Normal"/>
    <w:rsid w:val="00FB2763"/>
    <w:pPr>
      <w:keepNext/>
      <w:shd w:val="pct10" w:color="auto" w:fill="auto"/>
      <w:spacing w:before="240"/>
      <w:jc w:val="center"/>
      <w:outlineLvl w:val="1"/>
    </w:pPr>
    <w:rPr>
      <w:rFonts w:ascii="Times New Roman" w:hAnsi="Times New Roman"/>
      <w:i/>
      <w:kern w:val="28"/>
      <w:sz w:val="20"/>
    </w:rPr>
  </w:style>
  <w:style w:type="paragraph" w:customStyle="1" w:styleId="BoxHeading1">
    <w:name w:val="BoxHeading1"/>
    <w:basedOn w:val="Normal"/>
    <w:rsid w:val="00FB2763"/>
    <w:pPr>
      <w:keepNext/>
      <w:shd w:val="pct10" w:color="auto" w:fill="auto"/>
      <w:spacing w:before="240"/>
      <w:outlineLvl w:val="2"/>
    </w:pPr>
    <w:rPr>
      <w:rFonts w:ascii="Times New Roman" w:hAnsi="Times New Roman"/>
      <w:b/>
      <w:kern w:val="28"/>
      <w:sz w:val="20"/>
    </w:rPr>
  </w:style>
  <w:style w:type="paragraph" w:customStyle="1" w:styleId="BoxIntro">
    <w:name w:val="BoxIntro"/>
    <w:basedOn w:val="Normal"/>
    <w:rsid w:val="00FB2763"/>
    <w:pPr>
      <w:shd w:val="pct10" w:color="auto" w:fill="auto"/>
      <w:spacing w:before="120" w:line="360" w:lineRule="auto"/>
    </w:pPr>
    <w:rPr>
      <w:rFonts w:ascii="Times New Roman" w:hAnsi="Times New Roman"/>
      <w:sz w:val="24"/>
    </w:rPr>
  </w:style>
  <w:style w:type="paragraph" w:customStyle="1" w:styleId="BoxParaFirst">
    <w:name w:val="BoxParaFirst"/>
    <w:basedOn w:val="Normal"/>
    <w:rsid w:val="00FB2763"/>
    <w:pPr>
      <w:shd w:val="pct10" w:color="auto" w:fill="auto"/>
      <w:spacing w:before="120" w:line="360" w:lineRule="auto"/>
    </w:pPr>
    <w:rPr>
      <w:rFonts w:ascii="Times New Roman" w:hAnsi="Times New Roman"/>
      <w:sz w:val="24"/>
    </w:rPr>
  </w:style>
  <w:style w:type="paragraph" w:customStyle="1" w:styleId="BoxPara">
    <w:name w:val="BoxPara"/>
    <w:basedOn w:val="Normal"/>
    <w:rsid w:val="00FB2763"/>
    <w:pPr>
      <w:shd w:val="pct10" w:color="auto" w:fill="auto"/>
      <w:spacing w:before="120" w:line="360" w:lineRule="auto"/>
      <w:ind w:firstLine="230"/>
    </w:pPr>
    <w:rPr>
      <w:rFonts w:ascii="Times New Roman" w:hAnsi="Times New Roman"/>
      <w:sz w:val="24"/>
    </w:rPr>
  </w:style>
  <w:style w:type="paragraph" w:customStyle="1" w:styleId="BoxList1">
    <w:name w:val="BoxList1"/>
    <w:basedOn w:val="Normal"/>
    <w:rsid w:val="00FB2763"/>
    <w:pPr>
      <w:shd w:val="pct10" w:color="auto" w:fill="auto"/>
      <w:spacing w:before="120" w:line="360" w:lineRule="auto"/>
      <w:ind w:left="360" w:hanging="360"/>
    </w:pPr>
    <w:rPr>
      <w:rFonts w:ascii="Times New Roman" w:hAnsi="Times New Roman"/>
      <w:sz w:val="24"/>
    </w:rPr>
  </w:style>
  <w:style w:type="paragraph" w:customStyle="1" w:styleId="BoxList1Cont">
    <w:name w:val="BoxList1Cont"/>
    <w:basedOn w:val="Normal"/>
    <w:rsid w:val="00FB2763"/>
    <w:pPr>
      <w:shd w:val="pct10" w:color="auto" w:fill="auto"/>
      <w:autoSpaceDE w:val="0"/>
      <w:autoSpaceDN w:val="0"/>
      <w:adjustRightInd w:val="0"/>
      <w:spacing w:before="120" w:line="360" w:lineRule="auto"/>
      <w:ind w:left="360"/>
    </w:pPr>
    <w:rPr>
      <w:rFonts w:ascii="Times New Roman" w:hAnsi="Times New Roman"/>
      <w:sz w:val="24"/>
    </w:rPr>
  </w:style>
  <w:style w:type="paragraph" w:customStyle="1" w:styleId="BoxFigCap">
    <w:name w:val="BoxFigCap"/>
    <w:basedOn w:val="Normal"/>
    <w:rsid w:val="00FB2763"/>
    <w:pPr>
      <w:shd w:val="pct10" w:color="auto" w:fill="auto"/>
      <w:spacing w:before="120" w:line="360" w:lineRule="auto"/>
    </w:pPr>
    <w:rPr>
      <w:rFonts w:ascii="Times New Roman" w:hAnsi="Times New Roman"/>
      <w:sz w:val="24"/>
    </w:rPr>
  </w:style>
  <w:style w:type="paragraph" w:customStyle="1" w:styleId="BoxFigCred">
    <w:name w:val="BoxFigCred"/>
    <w:basedOn w:val="Normal"/>
    <w:rsid w:val="00FB2763"/>
    <w:pPr>
      <w:shd w:val="pct10" w:color="auto" w:fill="auto"/>
      <w:spacing w:before="120" w:line="360" w:lineRule="auto"/>
    </w:pPr>
    <w:rPr>
      <w:rFonts w:ascii="Times New Roman" w:hAnsi="Times New Roman"/>
      <w:sz w:val="24"/>
    </w:rPr>
  </w:style>
  <w:style w:type="paragraph" w:customStyle="1" w:styleId="BoxInfotextHead">
    <w:name w:val="BoxInfotextHead"/>
    <w:basedOn w:val="Normal"/>
    <w:rsid w:val="00FB2763"/>
    <w:pPr>
      <w:shd w:val="pct10" w:color="auto" w:fill="auto"/>
      <w:spacing w:before="120" w:line="360" w:lineRule="auto"/>
    </w:pPr>
    <w:rPr>
      <w:rFonts w:ascii="Times New Roman" w:hAnsi="Times New Roman"/>
      <w:b/>
      <w:sz w:val="24"/>
    </w:rPr>
  </w:style>
  <w:style w:type="paragraph" w:customStyle="1" w:styleId="BoxInfotext">
    <w:name w:val="BoxInfotext"/>
    <w:basedOn w:val="Normal"/>
    <w:rsid w:val="00FB2763"/>
    <w:pPr>
      <w:shd w:val="pct10" w:color="auto" w:fill="auto"/>
      <w:spacing w:before="120" w:line="360" w:lineRule="auto"/>
    </w:pPr>
    <w:rPr>
      <w:rFonts w:ascii="Times New Roman" w:hAnsi="Times New Roman"/>
      <w:sz w:val="24"/>
    </w:rPr>
  </w:style>
  <w:style w:type="paragraph" w:customStyle="1" w:styleId="BoxSourceInfo">
    <w:name w:val="BoxSourceInfo"/>
    <w:basedOn w:val="Normal"/>
    <w:rsid w:val="00FB2763"/>
    <w:pPr>
      <w:shd w:val="pct10" w:color="auto" w:fill="auto"/>
      <w:spacing w:before="120" w:line="360" w:lineRule="auto"/>
    </w:pPr>
    <w:rPr>
      <w:rFonts w:ascii="Times New Roman" w:hAnsi="Times New Roman"/>
      <w:sz w:val="24"/>
    </w:rPr>
  </w:style>
  <w:style w:type="paragraph" w:customStyle="1" w:styleId="BoxExtractQuote">
    <w:name w:val="BoxExtractQuote"/>
    <w:basedOn w:val="Normal"/>
    <w:rsid w:val="00FB2763"/>
    <w:pPr>
      <w:shd w:val="pct10" w:color="auto" w:fill="auto"/>
      <w:spacing w:before="120" w:line="360" w:lineRule="auto"/>
      <w:ind w:left="720" w:right="720"/>
      <w:jc w:val="both"/>
    </w:pPr>
    <w:rPr>
      <w:rFonts w:ascii="Times New Roman" w:hAnsi="Times New Roman"/>
      <w:sz w:val="24"/>
    </w:rPr>
  </w:style>
  <w:style w:type="paragraph" w:customStyle="1" w:styleId="BoxFootnote">
    <w:name w:val="BoxFootnote"/>
    <w:basedOn w:val="Normal"/>
    <w:rsid w:val="00FB2763"/>
    <w:pPr>
      <w:shd w:val="pct10" w:color="auto" w:fill="auto"/>
      <w:spacing w:before="120" w:line="360" w:lineRule="auto"/>
      <w:ind w:left="230" w:hanging="230"/>
    </w:pPr>
    <w:rPr>
      <w:rFonts w:ascii="Times New Roman" w:hAnsi="Times New Roman"/>
      <w:sz w:val="24"/>
    </w:rPr>
  </w:style>
  <w:style w:type="paragraph" w:customStyle="1" w:styleId="BoxList2">
    <w:name w:val="BoxList2"/>
    <w:basedOn w:val="Normal"/>
    <w:rsid w:val="00FB2763"/>
    <w:pPr>
      <w:shd w:val="pct10" w:color="auto" w:fill="auto"/>
      <w:ind w:left="720" w:hanging="360"/>
    </w:pPr>
    <w:rPr>
      <w:rFonts w:ascii="Times New Roman" w:hAnsi="Times New Roman"/>
      <w:sz w:val="20"/>
      <w:szCs w:val="20"/>
      <w:lang w:val="en-US"/>
    </w:rPr>
  </w:style>
  <w:style w:type="paragraph" w:customStyle="1" w:styleId="BoxList3">
    <w:name w:val="BoxList3"/>
    <w:basedOn w:val="Normal"/>
    <w:rsid w:val="00FB2763"/>
    <w:pPr>
      <w:shd w:val="pct10" w:color="auto" w:fill="auto"/>
      <w:spacing w:before="120" w:line="360" w:lineRule="auto"/>
      <w:ind w:left="1080" w:hanging="360"/>
    </w:pPr>
    <w:rPr>
      <w:rFonts w:ascii="Times New Roman" w:hAnsi="Times New Roman"/>
      <w:sz w:val="24"/>
    </w:rPr>
  </w:style>
  <w:style w:type="paragraph" w:customStyle="1" w:styleId="ReviewAuthors">
    <w:name w:val="ReviewAuthors"/>
    <w:basedOn w:val="Normal"/>
    <w:rsid w:val="00FB2763"/>
    <w:pPr>
      <w:spacing w:before="120" w:line="360" w:lineRule="auto"/>
    </w:pPr>
    <w:rPr>
      <w:rFonts w:ascii="Times New Roman" w:hAnsi="Times New Roman"/>
    </w:rPr>
  </w:style>
  <w:style w:type="paragraph" w:customStyle="1" w:styleId="ReviewTitle">
    <w:name w:val="ReviewTitle"/>
    <w:basedOn w:val="Normal"/>
    <w:rsid w:val="00FB2763"/>
    <w:pPr>
      <w:spacing w:before="120" w:line="360" w:lineRule="auto"/>
    </w:pPr>
    <w:rPr>
      <w:rFonts w:ascii="Times New Roman" w:hAnsi="Times New Roman"/>
    </w:rPr>
  </w:style>
  <w:style w:type="paragraph" w:customStyle="1" w:styleId="ARIERcovertitle">
    <w:name w:val="ARIER_covertitle"/>
    <w:basedOn w:val="Title"/>
    <w:qFormat/>
    <w:rsid w:val="003536E1"/>
    <w:rPr>
      <w:rFonts w:asciiTheme="minorHAnsi" w:hAnsiTheme="minorHAnsi"/>
      <w:b/>
      <w:sz w:val="56"/>
      <w:szCs w:val="56"/>
    </w:rPr>
  </w:style>
  <w:style w:type="paragraph" w:customStyle="1" w:styleId="ARIERcoverdate">
    <w:name w:val="ARIER_coverdate"/>
    <w:basedOn w:val="Frontcoverreportseries"/>
    <w:qFormat/>
    <w:rsid w:val="003536E1"/>
    <w:pPr>
      <w:spacing w:after="360"/>
    </w:pPr>
    <w:rPr>
      <w:rFonts w:asciiTheme="minorHAnsi" w:hAnsiTheme="minorHAnsi"/>
      <w:color w:val="FFFFFF" w:themeColor="background1"/>
      <w:sz w:val="32"/>
      <w:szCs w:val="28"/>
    </w:rPr>
  </w:style>
  <w:style w:type="paragraph" w:customStyle="1" w:styleId="ARIERcoverreptype">
    <w:name w:val="ARIER_coverreptype"/>
    <w:basedOn w:val="Normal"/>
    <w:qFormat/>
    <w:rsid w:val="003536E1"/>
    <w:pPr>
      <w:spacing w:after="240" w:line="240" w:lineRule="atLeast"/>
    </w:pPr>
    <w:rPr>
      <w:rFonts w:asciiTheme="minorHAnsi" w:hAnsiTheme="minorHAnsi"/>
      <w:color w:val="FFFFFF" w:themeColor="background1"/>
      <w:sz w:val="28"/>
    </w:rPr>
  </w:style>
  <w:style w:type="paragraph" w:customStyle="1" w:styleId="ARIERcovauthors">
    <w:name w:val="ARIER_covauthors"/>
    <w:basedOn w:val="Title"/>
    <w:qFormat/>
    <w:rsid w:val="003536E1"/>
    <w:rPr>
      <w:rFonts w:asciiTheme="minorHAnsi" w:hAnsiTheme="minorHAnsi"/>
      <w:sz w:val="44"/>
      <w:szCs w:val="44"/>
    </w:rPr>
  </w:style>
  <w:style w:type="paragraph" w:customStyle="1" w:styleId="ARIimpcitation">
    <w:name w:val="ARI_imp_citation"/>
    <w:basedOn w:val="Normal"/>
    <w:qFormat/>
    <w:rsid w:val="003536E1"/>
    <w:pPr>
      <w:autoSpaceDE w:val="0"/>
      <w:autoSpaceDN w:val="0"/>
      <w:adjustRightInd w:val="0"/>
      <w:spacing w:after="320"/>
    </w:pPr>
    <w:rPr>
      <w:color w:val="FF0000"/>
      <w:sz w:val="16"/>
      <w:szCs w:val="16"/>
    </w:rPr>
  </w:style>
  <w:style w:type="paragraph" w:customStyle="1" w:styleId="ARIimpcoverphoto">
    <w:name w:val="ARI_imp_coverphoto"/>
    <w:basedOn w:val="Normal"/>
    <w:qFormat/>
    <w:rsid w:val="003536E1"/>
    <w:pPr>
      <w:autoSpaceDE w:val="0"/>
      <w:autoSpaceDN w:val="0"/>
      <w:adjustRightInd w:val="0"/>
      <w:spacing w:after="320"/>
    </w:pPr>
    <w:rPr>
      <w:color w:val="FF0000"/>
      <w:sz w:val="16"/>
      <w:szCs w:val="16"/>
    </w:rPr>
  </w:style>
  <w:style w:type="paragraph" w:customStyle="1" w:styleId="ARIimpcopyright">
    <w:name w:val="ARI_impcopyright"/>
    <w:basedOn w:val="Normal"/>
    <w:qFormat/>
    <w:rsid w:val="003536E1"/>
    <w:pPr>
      <w:autoSpaceDE w:val="0"/>
      <w:autoSpaceDN w:val="0"/>
      <w:adjustRightInd w:val="0"/>
      <w:spacing w:after="120"/>
    </w:pPr>
    <w:rPr>
      <w:rFonts w:cstheme="minorHAnsi"/>
      <w:sz w:val="16"/>
      <w:szCs w:val="16"/>
    </w:rPr>
  </w:style>
  <w:style w:type="paragraph" w:customStyle="1" w:styleId="ARIimprintpubdetails">
    <w:name w:val="ARI_imprintpubdetails"/>
    <w:basedOn w:val="Normal"/>
    <w:qFormat/>
    <w:rsid w:val="003536E1"/>
    <w:pPr>
      <w:autoSpaceDE w:val="0"/>
      <w:autoSpaceDN w:val="0"/>
      <w:adjustRightInd w:val="0"/>
    </w:pPr>
    <w:rPr>
      <w:rFonts w:cstheme="minorHAnsi"/>
      <w:sz w:val="16"/>
      <w:szCs w:val="16"/>
    </w:rPr>
  </w:style>
  <w:style w:type="paragraph" w:customStyle="1" w:styleId="ARIimprintheading">
    <w:name w:val="ARI_imprintheading"/>
    <w:basedOn w:val="Normal"/>
    <w:qFormat/>
    <w:rsid w:val="003536E1"/>
    <w:pPr>
      <w:autoSpaceDE w:val="0"/>
      <w:autoSpaceDN w:val="0"/>
      <w:adjustRightInd w:val="0"/>
      <w:spacing w:after="60"/>
    </w:pPr>
    <w:rPr>
      <w:rFonts w:eastAsia="Calibri" w:cstheme="minorHAnsi"/>
      <w:b/>
      <w:bCs/>
      <w:color w:val="000000"/>
      <w:sz w:val="16"/>
      <w:szCs w:val="16"/>
    </w:rPr>
  </w:style>
  <w:style w:type="paragraph" w:customStyle="1" w:styleId="ARIERcoverauthors">
    <w:name w:val="ARIER_coverauthors"/>
    <w:basedOn w:val="Title"/>
    <w:qFormat/>
    <w:rsid w:val="00606707"/>
    <w:rPr>
      <w:rFonts w:asciiTheme="minorHAnsi" w:hAnsiTheme="minorHAnsi"/>
      <w:sz w:val="40"/>
      <w:szCs w:val="40"/>
    </w:rPr>
  </w:style>
  <w:style w:type="paragraph" w:customStyle="1" w:styleId="TheARIfooter">
    <w:name w:val="The ARI footer"/>
    <w:basedOn w:val="Footer"/>
    <w:rsid w:val="00606707"/>
    <w:pPr>
      <w:pBdr>
        <w:top w:val="single" w:sz="4" w:space="1" w:color="auto"/>
      </w:pBdr>
      <w:jc w:val="center"/>
    </w:pPr>
    <w:rPr>
      <w:sz w:val="18"/>
      <w:szCs w:val="18"/>
    </w:rPr>
  </w:style>
  <w:style w:type="paragraph" w:customStyle="1" w:styleId="ARIERcoverAuthors0">
    <w:name w:val="ARIER_coverAuthors"/>
    <w:basedOn w:val="Title"/>
    <w:rsid w:val="00606707"/>
    <w:rPr>
      <w:rFonts w:asciiTheme="minorHAnsi" w:hAnsiTheme="minorHAnsi"/>
      <w:sz w:val="40"/>
      <w:szCs w:val="40"/>
    </w:rPr>
  </w:style>
  <w:style w:type="paragraph" w:customStyle="1" w:styleId="ARIERtitlefooter">
    <w:name w:val="ARIER_titlefooter"/>
    <w:basedOn w:val="Heading9"/>
    <w:qFormat/>
    <w:rsid w:val="00606707"/>
    <w:pPr>
      <w:jc w:val="center"/>
    </w:pPr>
    <w:rPr>
      <w:rFonts w:asciiTheme="minorHAnsi" w:hAnsiTheme="minorHAnsi"/>
    </w:rPr>
  </w:style>
  <w:style w:type="table" w:customStyle="1" w:styleId="PlainTable31">
    <w:name w:val="Plain Table 31"/>
    <w:basedOn w:val="TableNormal"/>
    <w:uiPriority w:val="43"/>
    <w:rsid w:val="00C866BC"/>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C866B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C866BC"/>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semiHidden/>
    <w:rsid w:val="00C74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lsdException w:name="footer" w:uiPriority="99"/>
    <w:lsdException w:name="index heading" w:semiHidden="1"/>
    <w:lsdException w:name="caption" w:semiHidden="1" w:uiPriority="35" w:unhideWhenUsed="1" w:qFormat="1"/>
    <w:lsdException w:name="table of figures" w:semiHidden="1" w:uiPriority="99"/>
    <w:lsdException w:name="annotation reference" w:uiPriority="99"/>
    <w:lsdException w:name="endnote reference" w:semiHidden="1" w:uiPriority="99"/>
    <w:lsdException w:name="endnote text" w:semiHidden="1" w:uiPriority="99"/>
    <w:lsdException w:name="table of authorities" w:semiHidden="1"/>
    <w:lsdException w:name="macro" w:semiHidden="1"/>
    <w:lsdException w:name="toa heading" w:semiHidden="1"/>
    <w:lsdException w:name="Title" w:uiPriority="10" w:qFormat="1"/>
    <w:lsdException w:name="Default Paragraph Font" w:uiPriority="1"/>
    <w:lsdException w:name="Hyperlink" w:uiPriority="99"/>
    <w:lsdException w:name="Emphasis" w:uiPriority="20"/>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atentStyles>
  <w:style w:type="paragraph" w:default="1" w:styleId="Normal">
    <w:name w:val="Normal"/>
    <w:qFormat/>
    <w:rsid w:val="003536E1"/>
    <w:rPr>
      <w:rFonts w:ascii="Calibri" w:hAnsi="Calibri"/>
      <w:sz w:val="22"/>
      <w:lang w:eastAsia="en-US"/>
    </w:rPr>
  </w:style>
  <w:style w:type="paragraph" w:styleId="Heading1">
    <w:name w:val="heading 1"/>
    <w:basedOn w:val="HA"/>
    <w:next w:val="Normal"/>
    <w:link w:val="Heading1Char"/>
    <w:uiPriority w:val="9"/>
    <w:qFormat/>
    <w:rsid w:val="00FB2763"/>
    <w:rPr>
      <w:rFonts w:ascii="Arial" w:hAnsi="Arial"/>
      <w:bCs/>
      <w:kern w:val="32"/>
      <w:lang w:val="en-AU"/>
    </w:rPr>
  </w:style>
  <w:style w:type="paragraph" w:styleId="Heading2">
    <w:name w:val="heading 2"/>
    <w:basedOn w:val="Normal"/>
    <w:next w:val="Normal"/>
    <w:link w:val="Heading2Char"/>
    <w:uiPriority w:val="9"/>
    <w:rsid w:val="00FB27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FB2763"/>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B2763"/>
    <w:pPr>
      <w:keepNext/>
      <w:spacing w:before="240" w:after="60"/>
      <w:outlineLvl w:val="3"/>
    </w:pPr>
    <w:rPr>
      <w:b/>
      <w:bCs/>
      <w:sz w:val="28"/>
      <w:szCs w:val="28"/>
    </w:rPr>
  </w:style>
  <w:style w:type="paragraph" w:styleId="Heading5">
    <w:name w:val="heading 5"/>
    <w:aliases w:val="- Title"/>
    <w:basedOn w:val="Normal"/>
    <w:next w:val="Normal"/>
    <w:link w:val="Heading5Char"/>
    <w:rsid w:val="00FB2763"/>
    <w:pPr>
      <w:spacing w:before="240" w:after="60"/>
      <w:outlineLvl w:val="4"/>
    </w:pPr>
    <w:rPr>
      <w:b/>
      <w:bCs/>
      <w:i/>
      <w:iCs/>
      <w:sz w:val="26"/>
      <w:szCs w:val="26"/>
    </w:rPr>
  </w:style>
  <w:style w:type="paragraph" w:styleId="Heading6">
    <w:name w:val="heading 6"/>
    <w:aliases w:val="App 2"/>
    <w:basedOn w:val="Normal"/>
    <w:next w:val="Normal"/>
    <w:link w:val="Heading6Char"/>
    <w:rsid w:val="00FB2763"/>
    <w:pPr>
      <w:spacing w:before="240" w:after="60"/>
      <w:outlineLvl w:val="5"/>
    </w:pPr>
    <w:rPr>
      <w:b/>
      <w:bCs/>
      <w:szCs w:val="22"/>
    </w:rPr>
  </w:style>
  <w:style w:type="paragraph" w:styleId="Heading7">
    <w:name w:val="heading 7"/>
    <w:aliases w:val="App 3"/>
    <w:basedOn w:val="Normal"/>
    <w:next w:val="Normal"/>
    <w:link w:val="Heading7Char"/>
    <w:rsid w:val="00FB2763"/>
    <w:pPr>
      <w:spacing w:before="240" w:after="60"/>
      <w:outlineLvl w:val="6"/>
    </w:pPr>
  </w:style>
  <w:style w:type="paragraph" w:styleId="Heading8">
    <w:name w:val="heading 8"/>
    <w:aliases w:val="App 4"/>
    <w:basedOn w:val="Normal"/>
    <w:next w:val="Normal"/>
    <w:link w:val="Heading8Char"/>
    <w:rsid w:val="00FB2763"/>
    <w:pPr>
      <w:spacing w:before="240" w:after="60"/>
      <w:outlineLvl w:val="7"/>
    </w:pPr>
    <w:rPr>
      <w:i/>
      <w:iCs/>
    </w:rPr>
  </w:style>
  <w:style w:type="paragraph" w:styleId="Heading9">
    <w:name w:val="heading 9"/>
    <w:aliases w:val="ARIER_Inst_address"/>
    <w:basedOn w:val="Normal"/>
    <w:next w:val="Normal"/>
    <w:link w:val="Heading9Char"/>
    <w:qFormat/>
    <w:rsid w:val="003536E1"/>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B2763"/>
    <w:pPr>
      <w:numPr>
        <w:ilvl w:val="1"/>
        <w:numId w:val="23"/>
      </w:numPr>
      <w:tabs>
        <w:tab w:val="clear" w:pos="170"/>
      </w:tabs>
    </w:pPr>
  </w:style>
  <w:style w:type="paragraph" w:styleId="Header">
    <w:name w:val="header"/>
    <w:basedOn w:val="Normal"/>
    <w:link w:val="HeaderChar"/>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B2763"/>
    <w:pPr>
      <w:numPr>
        <w:numId w:val="14"/>
      </w:numPr>
      <w:tabs>
        <w:tab w:val="clear" w:pos="720"/>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rsid w:val="00FB2763"/>
    <w:rPr>
      <w:rFonts w:ascii="Calibri" w:hAnsi="Calibri" w:cs="Arial"/>
      <w:sz w:val="22"/>
      <w:lang w:eastAsia="en-US"/>
    </w:rPr>
  </w:style>
  <w:style w:type="paragraph" w:customStyle="1" w:styleId="Caption">
    <w:name w:val="_Caption"/>
    <w:rsid w:val="00FB2763"/>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customStyle="1" w:styleId="HA">
    <w:name w:val="_HA"/>
    <w:next w:val="Normal"/>
    <w:uiPriority w:val="99"/>
    <w:rsid w:val="00FB2763"/>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rsid w:val="00FB2763"/>
    <w:pPr>
      <w:spacing w:before="360" w:after="113" w:line="300" w:lineRule="atLeast"/>
      <w:outlineLvl w:val="0"/>
    </w:pPr>
    <w:rPr>
      <w:rFonts w:ascii="Calibri" w:hAnsi="Calibri" w:cs="Arial"/>
      <w:b/>
      <w:color w:val="228591"/>
      <w:sz w:val="28"/>
      <w:lang w:eastAsia="en-US"/>
    </w:rPr>
  </w:style>
  <w:style w:type="paragraph" w:customStyle="1" w:styleId="HC">
    <w:name w:val="_HC"/>
    <w:next w:val="Normal"/>
    <w:uiPriority w:val="2"/>
    <w:rsid w:val="00FB2763"/>
    <w:pPr>
      <w:spacing w:before="140" w:after="57" w:line="220" w:lineRule="atLeast"/>
    </w:pPr>
    <w:rPr>
      <w:rFonts w:ascii="Calibri" w:hAnsi="Calibri" w:cs="Arial"/>
      <w:b/>
      <w:lang w:eastAsia="en-US"/>
    </w:rPr>
  </w:style>
  <w:style w:type="paragraph" w:customStyle="1" w:styleId="ARIERHD">
    <w:name w:val="ARIER_HD"/>
    <w:basedOn w:val="HD"/>
    <w:qFormat/>
    <w:rsid w:val="003536E1"/>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blBdy"/>
    <w:uiPriority w:val="1"/>
    <w:rsid w:val="00FB2763"/>
    <w:pPr>
      <w:numPr>
        <w:numId w:val="24"/>
      </w:numPr>
    </w:pPr>
  </w:style>
  <w:style w:type="paragraph" w:customStyle="1" w:styleId="TblBdy">
    <w:name w:val="_TblBdy"/>
    <w:uiPriority w:val="1"/>
    <w:qFormat/>
    <w:rsid w:val="00FB2763"/>
    <w:pPr>
      <w:spacing w:before="80" w:after="60"/>
    </w:pPr>
    <w:rPr>
      <w:rFonts w:ascii="Calibri" w:hAnsi="Calibri" w:cs="Arial"/>
      <w:sz w:val="22"/>
      <w:lang w:eastAsia="en-US"/>
    </w:rPr>
  </w:style>
  <w:style w:type="paragraph" w:customStyle="1" w:styleId="TblHd">
    <w:name w:val="_TblHd"/>
    <w:rsid w:val="00FB2763"/>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B2763"/>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tabs>
        <w:tab w:val="clear" w:pos="1209"/>
        <w:tab w:val="num" w:pos="360"/>
      </w:tabs>
      <w:ind w:left="0" w:firstLine="0"/>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B2763"/>
    <w:rPr>
      <w:b/>
      <w:bCs/>
    </w:rPr>
  </w:style>
  <w:style w:type="paragraph" w:styleId="Subtitle">
    <w:name w:val="Subtitle"/>
    <w:basedOn w:val="Normal"/>
    <w:link w:val="SubtitleChar"/>
    <w:rsid w:val="00FB2763"/>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FB2763"/>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375260"/>
    <w:pPr>
      <w:tabs>
        <w:tab w:val="left" w:pos="462"/>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rsid w:val="00E90924"/>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A144B6"/>
    <w:pPr>
      <w:tabs>
        <w:tab w:val="left" w:pos="1134"/>
        <w:tab w:val="right" w:leader="dot" w:pos="9629"/>
      </w:tabs>
      <w:ind w:left="480"/>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B2763"/>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B2763"/>
    <w:rPr>
      <w:rFonts w:ascii="Calibri" w:hAnsi="Calibri"/>
      <w:i/>
      <w:iCs/>
      <w:color w:val="808080" w:themeColor="text1" w:themeTint="7F"/>
    </w:rPr>
  </w:style>
  <w:style w:type="character" w:styleId="IntenseEmphasis">
    <w:name w:val="Intense Emphasis"/>
    <w:basedOn w:val="DefaultParagraphFont"/>
    <w:uiPriority w:val="21"/>
    <w:rsid w:val="00FB2763"/>
    <w:rPr>
      <w:rFonts w:ascii="Calibri" w:hAnsi="Calibri"/>
      <w:b/>
      <w:bCs/>
      <w:i/>
      <w:iCs/>
      <w:color w:val="228591"/>
    </w:rPr>
  </w:style>
  <w:style w:type="character" w:styleId="BookTitle">
    <w:name w:val="Book Title"/>
    <w:basedOn w:val="DefaultParagraphFont"/>
    <w:uiPriority w:val="33"/>
    <w:rsid w:val="00FB2763"/>
    <w:rPr>
      <w:rFonts w:ascii="Calibri" w:hAnsi="Calibri"/>
      <w:b/>
      <w:bCs/>
      <w:smallCaps/>
      <w:spacing w:val="5"/>
    </w:rPr>
  </w:style>
  <w:style w:type="paragraph" w:customStyle="1" w:styleId="Body2">
    <w:name w:val="_Body2"/>
    <w:basedOn w:val="Normal"/>
    <w:link w:val="Body2Char"/>
    <w:uiPriority w:val="9"/>
    <w:rsid w:val="00FB2763"/>
    <w:pPr>
      <w:spacing w:after="113" w:line="240" w:lineRule="atLeast"/>
    </w:pPr>
    <w:rPr>
      <w:rFonts w:cs="Arial"/>
      <w:szCs w:val="22"/>
    </w:rPr>
  </w:style>
  <w:style w:type="character" w:customStyle="1" w:styleId="Body2Char">
    <w:name w:val="_Body2 Char"/>
    <w:basedOn w:val="DefaultParagraphFont"/>
    <w:link w:val="Body2"/>
    <w:uiPriority w:val="9"/>
    <w:rsid w:val="00FB2763"/>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B2763"/>
    <w:rPr>
      <w:rFonts w:ascii="Calibri" w:hAnsi="Calibri"/>
      <w:b/>
      <w:bCs/>
      <w:i/>
      <w:iCs/>
      <w:sz w:val="26"/>
      <w:szCs w:val="26"/>
      <w:lang w:eastAsia="en-US"/>
    </w:rPr>
  </w:style>
  <w:style w:type="paragraph" w:styleId="ListParagraph">
    <w:name w:val="List Paragraph"/>
    <w:basedOn w:val="Normal"/>
    <w:uiPriority w:val="34"/>
    <w:qFormat/>
    <w:rsid w:val="00FB2763"/>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iPriority w:val="35"/>
    <w:unhideWhenUsed/>
    <w:qFormat/>
    <w:rsid w:val="00FB2763"/>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B2763"/>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
    <w:rsid w:val="00FB2763"/>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
      <w:bCs/>
      <w:color w:val="228591"/>
      <w:kern w:val="32"/>
      <w:sz w:val="28"/>
      <w:szCs w:val="32"/>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B2763"/>
    <w:pPr>
      <w:numPr>
        <w:numId w:val="0"/>
      </w:numPr>
      <w:spacing w:after="120"/>
    </w:pPr>
  </w:style>
  <w:style w:type="paragraph" w:customStyle="1" w:styleId="Caption-Table">
    <w:name w:val="Caption - Table"/>
    <w:basedOn w:val="Caption0"/>
    <w:next w:val="Normal"/>
    <w:rsid w:val="00FB2763"/>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B2763"/>
    <w:pPr>
      <w:spacing w:before="240" w:line="240" w:lineRule="atLeast"/>
    </w:pPr>
    <w:rPr>
      <w:rFonts w:ascii="Arial" w:eastAsiaTheme="minorEastAsia" w:hAnsi="Arial" w:cstheme="minorBidi"/>
      <w:sz w:val="24"/>
    </w:rPr>
  </w:style>
  <w:style w:type="character" w:customStyle="1" w:styleId="Para0Char">
    <w:name w:val="Para 0 Char"/>
    <w:aliases w:val="Auto Char,After:  3 pt Char Char"/>
    <w:basedOn w:val="DefaultParagraphFont"/>
    <w:link w:val="Para0"/>
    <w:rsid w:val="00FB2763"/>
    <w:rPr>
      <w:rFonts w:ascii="Arial" w:eastAsiaTheme="minorEastAsia" w:hAnsi="Arial" w:cstheme="minorBidi"/>
      <w:lang w:eastAsia="en-US"/>
    </w:rPr>
  </w:style>
  <w:style w:type="paragraph" w:customStyle="1" w:styleId="Caption-Figure">
    <w:name w:val="Caption - Figure"/>
    <w:basedOn w:val="Caption0"/>
    <w:next w:val="Normal"/>
    <w:rsid w:val="00FB2763"/>
    <w:pPr>
      <w:keepLines/>
      <w:spacing w:before="80" w:after="120"/>
    </w:pPr>
    <w:rPr>
      <w:rFonts w:asciiTheme="minorHAnsi" w:hAnsiTheme="minorHAnsi"/>
      <w:color w:val="auto"/>
      <w:sz w:val="22"/>
      <w:szCs w:val="22"/>
    </w:rPr>
  </w:style>
  <w:style w:type="paragraph" w:customStyle="1" w:styleId="Figure">
    <w:name w:val="Figure"/>
    <w:basedOn w:val="Normal"/>
    <w:rsid w:val="00FB2763"/>
    <w:pPr>
      <w:keepNext/>
      <w:jc w:val="center"/>
    </w:pPr>
    <w:rPr>
      <w:rFonts w:asciiTheme="minorHAnsi" w:hAnsiTheme="minorHAnsi"/>
      <w:noProof/>
    </w:rPr>
  </w:style>
  <w:style w:type="paragraph" w:customStyle="1" w:styleId="Table-Bullets">
    <w:name w:val="Table-Bullets"/>
    <w:basedOn w:val="Tabletext"/>
    <w:rsid w:val="00FB2763"/>
    <w:pPr>
      <w:numPr>
        <w:numId w:val="25"/>
      </w:numPr>
      <w:spacing w:after="80"/>
      <w:contextualSpacing/>
    </w:pPr>
    <w:rPr>
      <w:rFonts w:asciiTheme="minorHAnsi" w:hAnsiTheme="minorHAnsi"/>
      <w:sz w:val="18"/>
      <w:szCs w:val="18"/>
    </w:rPr>
  </w:style>
  <w:style w:type="paragraph" w:customStyle="1" w:styleId="NormalNoSpaceAfter">
    <w:name w:val="Normal No Space After"/>
    <w:basedOn w:val="Normal"/>
    <w:rsid w:val="00FB2763"/>
    <w:pPr>
      <w:spacing w:after="40"/>
    </w:pPr>
  </w:style>
  <w:style w:type="paragraph" w:customStyle="1" w:styleId="TOCtitle0">
    <w:name w:val="TOC_title"/>
    <w:basedOn w:val="Heading1"/>
    <w:rsid w:val="00FB2763"/>
    <w:pPr>
      <w:spacing w:before="360"/>
    </w:pPr>
    <w:rPr>
      <w:rFonts w:asciiTheme="minorHAnsi" w:hAnsiTheme="minorHAnsi"/>
      <w:sz w:val="40"/>
      <w:szCs w:val="40"/>
      <w:lang w:val="en-US"/>
    </w:rPr>
  </w:style>
  <w:style w:type="paragraph" w:customStyle="1" w:styleId="HAnotnumbered">
    <w:name w:val="_HA not numbered"/>
    <w:basedOn w:val="HA"/>
    <w:autoRedefine/>
    <w:rsid w:val="00FB2763"/>
    <w:pPr>
      <w:spacing w:before="300" w:after="300"/>
    </w:pPr>
  </w:style>
  <w:style w:type="paragraph" w:customStyle="1" w:styleId="bodynumbered">
    <w:name w:val="_body_numbered"/>
    <w:basedOn w:val="ListParagraph"/>
    <w:rsid w:val="00FB2763"/>
    <w:pPr>
      <w:numPr>
        <w:numId w:val="26"/>
      </w:numPr>
      <w:spacing w:after="113" w:line="240" w:lineRule="atLeast"/>
      <w:contextualSpacing w:val="0"/>
    </w:pPr>
    <w:rPr>
      <w:rFonts w:asciiTheme="minorHAnsi" w:hAnsiTheme="minorHAnsi"/>
      <w:szCs w:val="22"/>
    </w:rPr>
  </w:style>
  <w:style w:type="paragraph" w:customStyle="1" w:styleId="References0">
    <w:name w:val="_References"/>
    <w:basedOn w:val="Normal"/>
    <w:rsid w:val="00FB2763"/>
    <w:pPr>
      <w:ind w:left="720" w:hanging="720"/>
    </w:pPr>
    <w:rPr>
      <w:rFonts w:cs="Calibri"/>
      <w:noProof/>
    </w:rPr>
  </w:style>
  <w:style w:type="paragraph" w:customStyle="1" w:styleId="BoxHeading">
    <w:name w:val="Box Heading"/>
    <w:basedOn w:val="Normal"/>
    <w:rsid w:val="00FB2763"/>
    <w:pPr>
      <w:spacing w:after="80"/>
    </w:pPr>
    <w:rPr>
      <w:rFonts w:asciiTheme="minorHAnsi" w:hAnsiTheme="minorHAnsi"/>
      <w:b/>
    </w:rPr>
  </w:style>
  <w:style w:type="paragraph" w:customStyle="1" w:styleId="Bullettedbody">
    <w:name w:val="Bulletted body"/>
    <w:basedOn w:val="Body2"/>
    <w:qFormat/>
    <w:rsid w:val="00FB2763"/>
    <w:pPr>
      <w:numPr>
        <w:numId w:val="27"/>
      </w:numPr>
      <w:spacing w:before="113"/>
    </w:pPr>
  </w:style>
  <w:style w:type="paragraph" w:customStyle="1" w:styleId="Sub-bullets">
    <w:name w:val="Sub-bullets"/>
    <w:basedOn w:val="Body2"/>
    <w:rsid w:val="00FB2763"/>
    <w:pPr>
      <w:numPr>
        <w:numId w:val="28"/>
      </w:numPr>
    </w:pPr>
  </w:style>
  <w:style w:type="paragraph" w:customStyle="1" w:styleId="Indentedbullets">
    <w:name w:val="Indented bullets"/>
    <w:basedOn w:val="Bullettedbody"/>
    <w:qFormat/>
    <w:rsid w:val="003536E1"/>
    <w:pPr>
      <w:numPr>
        <w:numId w:val="31"/>
      </w:numPr>
    </w:pPr>
  </w:style>
  <w:style w:type="paragraph" w:customStyle="1" w:styleId="Z">
    <w:name w:val="Z"/>
    <w:basedOn w:val="Normal"/>
    <w:rsid w:val="00FB2763"/>
    <w:rPr>
      <w:b/>
      <w:u w:val="single"/>
    </w:rPr>
  </w:style>
  <w:style w:type="paragraph" w:customStyle="1" w:styleId="HCtrue">
    <w:name w:val="_HC true"/>
    <w:basedOn w:val="Normal"/>
    <w:rsid w:val="00FB2763"/>
    <w:pPr>
      <w:spacing w:before="240"/>
    </w:pPr>
    <w:rPr>
      <w:rFonts w:asciiTheme="minorHAnsi" w:hAnsiTheme="minorHAnsi"/>
      <w:b/>
    </w:rPr>
  </w:style>
  <w:style w:type="paragraph" w:customStyle="1" w:styleId="TableHeadingFilled">
    <w:name w:val="Table Heading Filled"/>
    <w:basedOn w:val="Normal"/>
    <w:rsid w:val="00FB2763"/>
    <w:rPr>
      <w:rFonts w:asciiTheme="minorHAnsi" w:eastAsiaTheme="minorHAnsi" w:hAnsiTheme="minorHAnsi" w:cs="Tahoma"/>
      <w:b/>
      <w:color w:val="000000"/>
      <w:szCs w:val="22"/>
    </w:rPr>
  </w:style>
  <w:style w:type="paragraph" w:customStyle="1" w:styleId="TableHeadingBold">
    <w:name w:val="Table Heading Bold"/>
    <w:basedOn w:val="TableHeadingFilled"/>
    <w:rsid w:val="00FB2763"/>
  </w:style>
  <w:style w:type="paragraph" w:customStyle="1" w:styleId="Figurecaption">
    <w:name w:val="Figure caption"/>
    <w:basedOn w:val="Caption-Figure"/>
    <w:rsid w:val="00FB2763"/>
    <w:rPr>
      <w:sz w:val="20"/>
      <w:szCs w:val="20"/>
    </w:rPr>
  </w:style>
  <w:style w:type="paragraph" w:customStyle="1" w:styleId="Figuretitle">
    <w:name w:val="Figure title"/>
    <w:basedOn w:val="Caption-Figure"/>
    <w:rsid w:val="00FB2763"/>
  </w:style>
  <w:style w:type="paragraph" w:customStyle="1" w:styleId="Thefiguretitle">
    <w:name w:val="The figure title"/>
    <w:basedOn w:val="Caption-Figure"/>
    <w:rsid w:val="00FB2763"/>
    <w:rPr>
      <w:b w:val="0"/>
      <w:sz w:val="20"/>
    </w:rPr>
  </w:style>
  <w:style w:type="paragraph" w:customStyle="1" w:styleId="Thetabletitle">
    <w:name w:val="The table title"/>
    <w:basedOn w:val="Caption-Table"/>
    <w:rsid w:val="00FB2763"/>
    <w:rPr>
      <w:sz w:val="20"/>
    </w:rPr>
  </w:style>
  <w:style w:type="paragraph" w:customStyle="1" w:styleId="Thetablecaption">
    <w:name w:val="The table caption"/>
    <w:basedOn w:val="Thetabletitle"/>
    <w:rsid w:val="00FB2763"/>
    <w:rPr>
      <w:b w:val="0"/>
      <w:szCs w:val="20"/>
    </w:rPr>
  </w:style>
  <w:style w:type="character" w:customStyle="1" w:styleId="Heading3Char">
    <w:name w:val="Heading 3 Char"/>
    <w:basedOn w:val="DefaultParagraphFont"/>
    <w:link w:val="Heading3"/>
    <w:rsid w:val="00FB2763"/>
    <w:rPr>
      <w:rFonts w:ascii="Arial" w:hAnsi="Arial" w:cs="Arial"/>
      <w:b/>
      <w:bCs/>
      <w:sz w:val="26"/>
      <w:szCs w:val="26"/>
      <w:lang w:eastAsia="en-US"/>
    </w:rPr>
  </w:style>
  <w:style w:type="character" w:customStyle="1" w:styleId="CaptionChar">
    <w:name w:val="Caption Char"/>
    <w:link w:val="Caption0"/>
    <w:rsid w:val="00FB2763"/>
    <w:rPr>
      <w:rFonts w:ascii="Calibri" w:hAnsi="Calibri"/>
      <w:b/>
      <w:bCs/>
      <w:color w:val="4F81BD" w:themeColor="accent1"/>
      <w:sz w:val="18"/>
      <w:szCs w:val="18"/>
      <w:lang w:eastAsia="en-US"/>
    </w:rPr>
  </w:style>
  <w:style w:type="character" w:customStyle="1" w:styleId="TitleChar">
    <w:name w:val="Title Char"/>
    <w:basedOn w:val="DefaultParagraphFont"/>
    <w:link w:val="Title"/>
    <w:uiPriority w:val="10"/>
    <w:rsid w:val="00FB2763"/>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B2763"/>
    <w:rPr>
      <w:rFonts w:ascii="Calibri" w:hAnsi="Calibri" w:cs="Arial"/>
      <w:sz w:val="22"/>
      <w:lang w:eastAsia="en-US"/>
    </w:rPr>
  </w:style>
  <w:style w:type="paragraph" w:customStyle="1" w:styleId="References1">
    <w:name w:val="References"/>
    <w:basedOn w:val="Normal"/>
    <w:rsid w:val="00FB2763"/>
    <w:pPr>
      <w:spacing w:after="120"/>
      <w:ind w:left="709" w:hanging="709"/>
    </w:pPr>
    <w:rPr>
      <w:rFonts w:asciiTheme="minorHAnsi" w:hAnsiTheme="minorHAnsi" w:cs="Calibri"/>
      <w:noProof/>
    </w:rPr>
  </w:style>
  <w:style w:type="paragraph" w:customStyle="1" w:styleId="ARIERRefs">
    <w:name w:val="ARIER_Refs"/>
    <w:basedOn w:val="Normal"/>
    <w:uiPriority w:val="99"/>
    <w:qFormat/>
    <w:rsid w:val="003536E1"/>
    <w:pPr>
      <w:spacing w:after="120"/>
      <w:ind w:left="709" w:hanging="709"/>
    </w:pPr>
    <w:rPr>
      <w:rFonts w:asciiTheme="minorHAnsi" w:hAnsiTheme="minorHAnsi" w:cs="Calibri"/>
      <w:noProof/>
    </w:rPr>
  </w:style>
  <w:style w:type="paragraph" w:customStyle="1" w:styleId="ARIERimprint">
    <w:name w:val="ARIER_imprint"/>
    <w:basedOn w:val="Normal"/>
    <w:qFormat/>
    <w:rsid w:val="003536E1"/>
    <w:pPr>
      <w:autoSpaceDE w:val="0"/>
      <w:autoSpaceDN w:val="0"/>
      <w:adjustRightInd w:val="0"/>
      <w:spacing w:after="360"/>
    </w:pPr>
    <w:rPr>
      <w:rFonts w:eastAsia="Calibri" w:cs="Calibri"/>
      <w:color w:val="000000"/>
      <w:sz w:val="16"/>
      <w:szCs w:val="16"/>
    </w:rPr>
  </w:style>
  <w:style w:type="character" w:customStyle="1" w:styleId="Heading2Char">
    <w:name w:val="Heading 2 Char"/>
    <w:basedOn w:val="DefaultParagraphFont"/>
    <w:link w:val="Heading2"/>
    <w:uiPriority w:val="9"/>
    <w:rsid w:val="00FB2763"/>
    <w:rPr>
      <w:rFonts w:ascii="Arial" w:hAnsi="Arial" w:cs="Arial"/>
      <w:b/>
      <w:bCs/>
      <w:i/>
      <w:iCs/>
      <w:sz w:val="28"/>
      <w:szCs w:val="28"/>
      <w:lang w:eastAsia="en-US"/>
    </w:rPr>
  </w:style>
  <w:style w:type="character" w:customStyle="1" w:styleId="Heading6Char">
    <w:name w:val="Heading 6 Char"/>
    <w:aliases w:val="App 2 Char"/>
    <w:basedOn w:val="DefaultParagraphFont"/>
    <w:link w:val="Heading6"/>
    <w:rsid w:val="0072126A"/>
    <w:rPr>
      <w:rFonts w:ascii="Calibri" w:hAnsi="Calibri"/>
      <w:b/>
      <w:bCs/>
      <w:sz w:val="22"/>
      <w:szCs w:val="22"/>
      <w:lang w:eastAsia="en-US"/>
    </w:rPr>
  </w:style>
  <w:style w:type="character" w:customStyle="1" w:styleId="Heading7Char">
    <w:name w:val="Heading 7 Char"/>
    <w:aliases w:val="App 3 Char"/>
    <w:basedOn w:val="DefaultParagraphFont"/>
    <w:link w:val="Heading7"/>
    <w:rsid w:val="0072126A"/>
    <w:rPr>
      <w:rFonts w:ascii="Calibri" w:hAnsi="Calibri"/>
      <w:sz w:val="22"/>
      <w:lang w:eastAsia="en-US"/>
    </w:rPr>
  </w:style>
  <w:style w:type="character" w:customStyle="1" w:styleId="Heading8Char">
    <w:name w:val="Heading 8 Char"/>
    <w:aliases w:val="App 4 Char"/>
    <w:basedOn w:val="DefaultParagraphFont"/>
    <w:link w:val="Heading8"/>
    <w:rsid w:val="0072126A"/>
    <w:rPr>
      <w:rFonts w:ascii="Calibri" w:hAnsi="Calibri"/>
      <w:i/>
      <w:iCs/>
      <w:sz w:val="22"/>
      <w:lang w:eastAsia="en-US"/>
    </w:rPr>
  </w:style>
  <w:style w:type="character" w:customStyle="1" w:styleId="Heading9Char">
    <w:name w:val="Heading 9 Char"/>
    <w:aliases w:val="ARIER_Inst_address Char"/>
    <w:basedOn w:val="DefaultParagraphFont"/>
    <w:link w:val="Heading9"/>
    <w:rsid w:val="003536E1"/>
    <w:rPr>
      <w:rFonts w:ascii="Arial" w:hAnsi="Arial" w:cs="Arial"/>
      <w:sz w:val="22"/>
      <w:szCs w:val="22"/>
      <w:lang w:eastAsia="en-US"/>
    </w:rPr>
  </w:style>
  <w:style w:type="paragraph" w:styleId="NoSpacing">
    <w:name w:val="No Spacing"/>
    <w:basedOn w:val="Normal"/>
    <w:uiPriority w:val="1"/>
    <w:rsid w:val="0072126A"/>
    <w:rPr>
      <w:rFonts w:eastAsiaTheme="minorHAnsi" w:cstheme="minorBidi"/>
    </w:rPr>
  </w:style>
  <w:style w:type="character" w:customStyle="1" w:styleId="HeaderChar">
    <w:name w:val="Header Char"/>
    <w:basedOn w:val="DefaultParagraphFont"/>
    <w:link w:val="Header"/>
    <w:uiPriority w:val="99"/>
    <w:rsid w:val="0072126A"/>
    <w:rPr>
      <w:rFonts w:ascii="Calibri" w:hAnsi="Calibri"/>
      <w:sz w:val="22"/>
      <w:szCs w:val="24"/>
      <w:lang w:eastAsia="en-US"/>
    </w:rPr>
  </w:style>
  <w:style w:type="character" w:customStyle="1" w:styleId="FooterChar">
    <w:name w:val="Footer Char"/>
    <w:basedOn w:val="DefaultParagraphFont"/>
    <w:link w:val="Footer"/>
    <w:uiPriority w:val="99"/>
    <w:rsid w:val="0072126A"/>
    <w:rPr>
      <w:rFonts w:ascii="Calibri" w:hAnsi="Calibri"/>
      <w:sz w:val="22"/>
      <w:szCs w:val="24"/>
      <w:lang w:eastAsia="en-US"/>
    </w:rPr>
  </w:style>
  <w:style w:type="paragraph" w:styleId="TOCHeading">
    <w:name w:val="TOC Heading"/>
    <w:basedOn w:val="Heading1"/>
    <w:next w:val="Normal"/>
    <w:uiPriority w:val="39"/>
    <w:semiHidden/>
    <w:unhideWhenUsed/>
    <w:qFormat/>
    <w:rsid w:val="003536E1"/>
    <w:pPr>
      <w:keepNext/>
      <w:keepLines/>
      <w:spacing w:before="480" w:after="0" w:line="240" w:lineRule="auto"/>
      <w:outlineLvl w:val="9"/>
    </w:pPr>
    <w:rPr>
      <w:rFonts w:asciiTheme="majorHAnsi" w:eastAsiaTheme="majorEastAsia" w:hAnsiTheme="majorHAnsi" w:cstheme="majorBidi"/>
      <w:color w:val="345A8A" w:themeColor="accent1" w:themeShade="B5"/>
      <w:kern w:val="0"/>
    </w:rPr>
  </w:style>
  <w:style w:type="paragraph" w:customStyle="1" w:styleId="Tenderheading1">
    <w:name w:val="Tender heading 1"/>
    <w:basedOn w:val="Normal"/>
    <w:rsid w:val="0072126A"/>
    <w:pPr>
      <w:numPr>
        <w:numId w:val="19"/>
      </w:numPr>
      <w:spacing w:after="120" w:line="280" w:lineRule="exact"/>
    </w:pPr>
    <w:rPr>
      <w:rFonts w:ascii="Lucida Bright" w:hAnsi="Lucida Bright"/>
      <w:sz w:val="20"/>
      <w:szCs w:val="20"/>
      <w:lang w:val="en-US"/>
    </w:rPr>
  </w:style>
  <w:style w:type="paragraph" w:styleId="EndnoteText">
    <w:name w:val="endnote text"/>
    <w:basedOn w:val="Normal"/>
    <w:link w:val="EndnoteTextChar"/>
    <w:uiPriority w:val="99"/>
    <w:semiHidden/>
    <w:unhideWhenUsed/>
    <w:rsid w:val="0072126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2126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72126A"/>
    <w:rPr>
      <w:vertAlign w:val="superscript"/>
    </w:rPr>
  </w:style>
  <w:style w:type="paragraph" w:customStyle="1" w:styleId="TableParagraph">
    <w:name w:val="Table Paragraph"/>
    <w:basedOn w:val="Normal"/>
    <w:uiPriority w:val="1"/>
    <w:rsid w:val="0072126A"/>
    <w:pPr>
      <w:widowControl w:val="0"/>
    </w:pPr>
    <w:rPr>
      <w:rFonts w:asciiTheme="minorHAnsi" w:eastAsiaTheme="minorHAnsi" w:hAnsiTheme="minorHAnsi" w:cstheme="minorBidi"/>
      <w:szCs w:val="22"/>
      <w:lang w:val="en-US"/>
    </w:rPr>
  </w:style>
  <w:style w:type="table" w:styleId="LightShading-Accent3">
    <w:name w:val="Light Shading Accent 3"/>
    <w:basedOn w:val="TableNormal"/>
    <w:uiPriority w:val="60"/>
    <w:rsid w:val="0072126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2126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72126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ERHA">
    <w:name w:val="ARIER_HA"/>
    <w:next w:val="Normal"/>
    <w:uiPriority w:val="99"/>
    <w:qFormat/>
    <w:rsid w:val="003536E1"/>
    <w:pPr>
      <w:spacing w:after="600" w:line="460" w:lineRule="atLeast"/>
      <w:outlineLvl w:val="0"/>
    </w:pPr>
    <w:rPr>
      <w:rFonts w:ascii="Calibri" w:hAnsi="Calibri" w:cs="Arial"/>
      <w:b/>
      <w:color w:val="228591"/>
      <w:sz w:val="32"/>
      <w:szCs w:val="32"/>
      <w:lang w:val="en-US" w:eastAsia="en-US"/>
    </w:rPr>
  </w:style>
  <w:style w:type="paragraph" w:customStyle="1" w:styleId="ARIERHB">
    <w:name w:val="ARIER_HB"/>
    <w:next w:val="Normal"/>
    <w:uiPriority w:val="99"/>
    <w:qFormat/>
    <w:rsid w:val="003536E1"/>
    <w:pPr>
      <w:spacing w:before="360" w:after="113" w:line="300" w:lineRule="atLeast"/>
      <w:outlineLvl w:val="0"/>
    </w:pPr>
    <w:rPr>
      <w:rFonts w:ascii="Calibri" w:hAnsi="Calibri" w:cs="Arial"/>
      <w:b/>
      <w:color w:val="228591"/>
      <w:sz w:val="28"/>
      <w:lang w:eastAsia="en-US"/>
    </w:rPr>
  </w:style>
  <w:style w:type="paragraph" w:customStyle="1" w:styleId="ARIERHC">
    <w:name w:val="ARIER_HC"/>
    <w:next w:val="Normal"/>
    <w:uiPriority w:val="2"/>
    <w:qFormat/>
    <w:rsid w:val="003536E1"/>
    <w:pPr>
      <w:spacing w:before="140" w:after="57" w:line="220" w:lineRule="atLeast"/>
    </w:pPr>
    <w:rPr>
      <w:rFonts w:ascii="Calibri" w:eastAsiaTheme="majorEastAsia" w:hAnsi="Calibri" w:cs="Arial"/>
      <w:b/>
      <w:lang w:eastAsia="en-US"/>
    </w:rPr>
  </w:style>
  <w:style w:type="paragraph" w:customStyle="1" w:styleId="ARIERTblBdy">
    <w:name w:val="ARIER_TblBdy"/>
    <w:uiPriority w:val="1"/>
    <w:qFormat/>
    <w:rsid w:val="003536E1"/>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3536E1"/>
    <w:pPr>
      <w:spacing w:after="113" w:line="240" w:lineRule="atLeast"/>
    </w:pPr>
    <w:rPr>
      <w:rFonts w:cs="Arial"/>
      <w:szCs w:val="22"/>
    </w:rPr>
  </w:style>
  <w:style w:type="character" w:customStyle="1" w:styleId="ARIERBodyChar">
    <w:name w:val="ARIER_Body Char"/>
    <w:basedOn w:val="DefaultParagraphFont"/>
    <w:link w:val="ARIERBody"/>
    <w:uiPriority w:val="99"/>
    <w:rsid w:val="003536E1"/>
    <w:rPr>
      <w:rFonts w:ascii="Calibri" w:hAnsi="Calibri" w:cs="Arial"/>
      <w:sz w:val="22"/>
      <w:szCs w:val="22"/>
      <w:lang w:eastAsia="en-US"/>
    </w:rPr>
  </w:style>
  <w:style w:type="paragraph" w:customStyle="1" w:styleId="ARIERCaption-Table">
    <w:name w:val="ARIER_Caption - Table"/>
    <w:basedOn w:val="ARIERCaption-Figure"/>
    <w:next w:val="Normal"/>
    <w:qFormat/>
    <w:rsid w:val="00853162"/>
    <w:pPr>
      <w:spacing w:after="120"/>
    </w:pPr>
  </w:style>
  <w:style w:type="paragraph" w:customStyle="1" w:styleId="ARIERCaption-Figure">
    <w:name w:val="ARIER_Caption - Figure"/>
    <w:basedOn w:val="Caption0"/>
    <w:next w:val="Normal"/>
    <w:qFormat/>
    <w:rsid w:val="00853162"/>
    <w:pPr>
      <w:keepLines/>
      <w:spacing w:before="80" w:after="0"/>
    </w:pPr>
    <w:rPr>
      <w:rFonts w:asciiTheme="minorHAnsi" w:hAnsiTheme="minorHAnsi"/>
      <w:color w:val="228591"/>
      <w:sz w:val="20"/>
      <w:szCs w:val="20"/>
    </w:rPr>
  </w:style>
  <w:style w:type="paragraph" w:customStyle="1" w:styleId="ARIERbodynumbered">
    <w:name w:val="ARIER_body_numbered"/>
    <w:basedOn w:val="ListParagraph"/>
    <w:qFormat/>
    <w:rsid w:val="003536E1"/>
    <w:pPr>
      <w:spacing w:after="113" w:line="240" w:lineRule="atLeast"/>
      <w:ind w:left="0"/>
      <w:contextualSpacing w:val="0"/>
    </w:pPr>
    <w:rPr>
      <w:rFonts w:asciiTheme="minorHAnsi" w:hAnsiTheme="minorHAnsi"/>
      <w:szCs w:val="22"/>
    </w:rPr>
  </w:style>
  <w:style w:type="paragraph" w:customStyle="1" w:styleId="ARIERBullettedbody">
    <w:name w:val="ARIER_Bulletted body"/>
    <w:basedOn w:val="ARIERBody"/>
    <w:qFormat/>
    <w:rsid w:val="003536E1"/>
    <w:pPr>
      <w:tabs>
        <w:tab w:val="num" w:pos="360"/>
        <w:tab w:val="num" w:pos="397"/>
      </w:tabs>
      <w:spacing w:before="113"/>
    </w:pPr>
  </w:style>
  <w:style w:type="paragraph" w:customStyle="1" w:styleId="ARIERIndentedbullets">
    <w:name w:val="ARIER_Indented bullets"/>
    <w:basedOn w:val="ARIERBullettedbody"/>
    <w:qFormat/>
    <w:rsid w:val="003536E1"/>
    <w:pPr>
      <w:ind w:left="363" w:hanging="363"/>
    </w:pPr>
  </w:style>
  <w:style w:type="paragraph" w:customStyle="1" w:styleId="ARIERheader">
    <w:name w:val="ARIER header"/>
    <w:basedOn w:val="Header"/>
    <w:qFormat/>
    <w:rsid w:val="003536E1"/>
    <w:pPr>
      <w:jc w:val="center"/>
    </w:pPr>
    <w:rPr>
      <w:sz w:val="18"/>
      <w:szCs w:val="20"/>
    </w:rPr>
  </w:style>
  <w:style w:type="paragraph" w:customStyle="1" w:styleId="ARIERtitlepageauthors">
    <w:name w:val="ARIER_title_page_authors"/>
    <w:basedOn w:val="Normal"/>
    <w:qFormat/>
    <w:rsid w:val="003536E1"/>
    <w:pPr>
      <w:keepNext/>
      <w:spacing w:before="160" w:after="1200" w:line="240" w:lineRule="atLeast"/>
      <w:jc w:val="center"/>
      <w:outlineLvl w:val="1"/>
    </w:pPr>
    <w:rPr>
      <w:rFonts w:asciiTheme="minorHAnsi" w:hAnsiTheme="minorHAnsi" w:cs="Arial"/>
      <w:bCs/>
      <w:iCs/>
      <w:sz w:val="32"/>
      <w:szCs w:val="28"/>
      <w:lang w:eastAsia="en-AU"/>
    </w:rPr>
  </w:style>
  <w:style w:type="paragraph" w:customStyle="1" w:styleId="ARIERtitlepageaffiliations">
    <w:name w:val="ARIER_title_page_affiliations"/>
    <w:basedOn w:val="Normal"/>
    <w:qFormat/>
    <w:rsid w:val="003536E1"/>
    <w:pPr>
      <w:keepNext/>
      <w:spacing w:before="80" w:after="480" w:line="240" w:lineRule="atLeast"/>
      <w:jc w:val="center"/>
      <w:outlineLvl w:val="2"/>
    </w:pPr>
    <w:rPr>
      <w:rFonts w:asciiTheme="minorHAnsi" w:hAnsiTheme="minorHAnsi" w:cs="Arial"/>
      <w:bCs/>
      <w:sz w:val="24"/>
      <w:szCs w:val="22"/>
      <w:lang w:eastAsia="en-AU"/>
    </w:rPr>
  </w:style>
  <w:style w:type="paragraph" w:styleId="Quote">
    <w:name w:val="Quote"/>
    <w:basedOn w:val="Normal"/>
    <w:link w:val="QuoteChar"/>
    <w:rsid w:val="00FB2763"/>
    <w:pPr>
      <w:spacing w:before="120" w:line="360" w:lineRule="auto"/>
      <w:ind w:left="230" w:right="230"/>
    </w:pPr>
    <w:rPr>
      <w:rFonts w:ascii="Times New Roman" w:hAnsi="Times New Roman"/>
    </w:rPr>
  </w:style>
  <w:style w:type="character" w:customStyle="1" w:styleId="QuoteChar">
    <w:name w:val="Quote Char"/>
    <w:basedOn w:val="DefaultParagraphFont"/>
    <w:link w:val="Quote"/>
    <w:rsid w:val="00FB2763"/>
    <w:rPr>
      <w:sz w:val="22"/>
      <w:lang w:eastAsia="en-US"/>
    </w:rPr>
  </w:style>
  <w:style w:type="paragraph" w:customStyle="1" w:styleId="ARIERfootnote">
    <w:name w:val="ARIER footnote"/>
    <w:basedOn w:val="FootnoteText"/>
    <w:rsid w:val="008E3A43"/>
    <w:rPr>
      <w:rFonts w:ascii="Calibri" w:hAnsi="Calibri"/>
      <w:sz w:val="16"/>
    </w:rPr>
  </w:style>
  <w:style w:type="paragraph" w:customStyle="1" w:styleId="ARIERtitlepagetitle">
    <w:name w:val="ARIER_title_page_title"/>
    <w:basedOn w:val="Normal"/>
    <w:qFormat/>
    <w:rsid w:val="003536E1"/>
    <w:pPr>
      <w:spacing w:after="720" w:line="240" w:lineRule="atLeast"/>
      <w:jc w:val="center"/>
      <w:outlineLvl w:val="4"/>
    </w:pPr>
    <w:rPr>
      <w:rFonts w:asciiTheme="minorHAnsi" w:hAnsiTheme="minorHAnsi"/>
      <w:b/>
      <w:bCs/>
      <w:iCs/>
      <w:sz w:val="40"/>
      <w:szCs w:val="26"/>
      <w:lang w:eastAsia="en-AU"/>
    </w:rPr>
  </w:style>
  <w:style w:type="paragraph" w:customStyle="1" w:styleId="ARIERtitlepagedate">
    <w:name w:val="ARIER_title_page_date"/>
    <w:basedOn w:val="Normal"/>
    <w:qFormat/>
    <w:rsid w:val="003536E1"/>
    <w:pPr>
      <w:keepNext/>
      <w:spacing w:before="240" w:after="240" w:line="240" w:lineRule="atLeast"/>
      <w:jc w:val="center"/>
      <w:outlineLvl w:val="2"/>
    </w:pPr>
    <w:rPr>
      <w:rFonts w:asciiTheme="minorHAnsi" w:hAnsiTheme="minorHAnsi" w:cs="Arial"/>
      <w:bCs/>
      <w:sz w:val="32"/>
      <w:szCs w:val="32"/>
      <w:lang w:eastAsia="en-AU"/>
    </w:rPr>
  </w:style>
  <w:style w:type="paragraph" w:customStyle="1" w:styleId="ARIERtitlepageARI">
    <w:name w:val="ARIER_title_page_ARI"/>
    <w:basedOn w:val="Heading9"/>
    <w:qFormat/>
    <w:rsid w:val="003536E1"/>
    <w:pPr>
      <w:jc w:val="center"/>
    </w:pPr>
    <w:rPr>
      <w:rFonts w:asciiTheme="minorHAnsi" w:hAnsiTheme="minorHAnsi"/>
    </w:rPr>
  </w:style>
  <w:style w:type="paragraph" w:customStyle="1" w:styleId="ARIERTblHd">
    <w:name w:val="ARIER_TblHd"/>
    <w:qFormat/>
    <w:rsid w:val="003536E1"/>
    <w:pPr>
      <w:spacing w:before="60" w:after="60" w:line="230" w:lineRule="atLeast"/>
    </w:pPr>
    <w:rPr>
      <w:rFonts w:ascii="Calibri" w:hAnsi="Calibri" w:cs="Arial"/>
      <w:color w:val="FFFFFF" w:themeColor="background1"/>
      <w:sz w:val="22"/>
      <w:lang w:eastAsia="en-US"/>
    </w:rPr>
  </w:style>
  <w:style w:type="paragraph" w:customStyle="1" w:styleId="HD">
    <w:name w:val="_HD"/>
    <w:next w:val="Normal"/>
    <w:uiPriority w:val="2"/>
    <w:rsid w:val="00FB2763"/>
    <w:pPr>
      <w:spacing w:before="57" w:after="57" w:line="220" w:lineRule="atLeast"/>
    </w:pPr>
    <w:rPr>
      <w:rFonts w:ascii="Calibri" w:hAnsi="Calibri" w:cs="Arial"/>
      <w:b/>
      <w:i/>
      <w:sz w:val="22"/>
      <w:lang w:eastAsia="en-US"/>
    </w:rPr>
  </w:style>
  <w:style w:type="paragraph" w:customStyle="1" w:styleId="ARIERindentedlettered">
    <w:name w:val="ARIER_indented lettered"/>
    <w:basedOn w:val="ARIERbodynumbered"/>
    <w:qFormat/>
    <w:rsid w:val="003536E1"/>
    <w:pPr>
      <w:numPr>
        <w:numId w:val="32"/>
      </w:numPr>
    </w:pPr>
    <w:rPr>
      <w:noProof/>
    </w:rPr>
  </w:style>
  <w:style w:type="paragraph" w:customStyle="1" w:styleId="ARIERcirclebullets">
    <w:name w:val="ARIER_circle_bullets"/>
    <w:basedOn w:val="ListParagraph"/>
    <w:rsid w:val="00956A61"/>
    <w:pPr>
      <w:numPr>
        <w:ilvl w:val="1"/>
        <w:numId w:val="20"/>
      </w:numPr>
      <w:spacing w:before="120" w:line="240" w:lineRule="auto"/>
    </w:pPr>
    <w:rPr>
      <w:rFonts w:asciiTheme="minorHAnsi" w:hAnsiTheme="minorHAnsi"/>
    </w:rPr>
  </w:style>
  <w:style w:type="paragraph" w:customStyle="1" w:styleId="ARIERboxtext">
    <w:name w:val="ARIER_box_text"/>
    <w:basedOn w:val="ARIERBody"/>
    <w:rsid w:val="004624EA"/>
    <w:rPr>
      <w:sz w:val="20"/>
      <w:szCs w:val="20"/>
      <w:lang w:eastAsia="en-AU"/>
    </w:rPr>
  </w:style>
  <w:style w:type="paragraph" w:customStyle="1" w:styleId="ARIERboxbullets">
    <w:name w:val="ARIER_box_bullets"/>
    <w:basedOn w:val="ARIERboxtext"/>
    <w:rsid w:val="004624EA"/>
    <w:pPr>
      <w:numPr>
        <w:numId w:val="22"/>
      </w:numPr>
      <w:ind w:left="284" w:hanging="284"/>
    </w:pPr>
  </w:style>
  <w:style w:type="paragraph" w:customStyle="1" w:styleId="ReportReference">
    <w:name w:val="Report Reference"/>
    <w:basedOn w:val="Normal"/>
    <w:rsid w:val="00FB2763"/>
    <w:pPr>
      <w:spacing w:after="120"/>
      <w:ind w:left="709" w:hanging="709"/>
    </w:pPr>
    <w:rPr>
      <w:rFonts w:asciiTheme="minorHAnsi" w:hAnsiTheme="minorHAnsi" w:cs="Calibri"/>
      <w:noProof/>
    </w:rPr>
  </w:style>
  <w:style w:type="paragraph" w:customStyle="1" w:styleId="ARIheader">
    <w:name w:val="ARI header"/>
    <w:basedOn w:val="zFooter"/>
    <w:rsid w:val="00A9622B"/>
    <w:rPr>
      <w:sz w:val="18"/>
      <w:szCs w:val="18"/>
    </w:rPr>
  </w:style>
  <w:style w:type="paragraph" w:customStyle="1" w:styleId="ARIheader0">
    <w:name w:val="ARI_header"/>
    <w:basedOn w:val="zFooter"/>
    <w:rsid w:val="00A9622B"/>
    <w:rPr>
      <w:sz w:val="18"/>
      <w:szCs w:val="18"/>
    </w:rPr>
  </w:style>
  <w:style w:type="paragraph" w:customStyle="1" w:styleId="ARIERheader0">
    <w:name w:val="ARIER_header"/>
    <w:basedOn w:val="zFooter"/>
    <w:rsid w:val="00A9622B"/>
    <w:rPr>
      <w:sz w:val="18"/>
      <w:szCs w:val="18"/>
    </w:rPr>
  </w:style>
  <w:style w:type="paragraph" w:customStyle="1" w:styleId="ARIfooter">
    <w:name w:val="ARI_footer"/>
    <w:basedOn w:val="zFooter"/>
    <w:qFormat/>
    <w:rsid w:val="003536E1"/>
    <w:pPr>
      <w:pBdr>
        <w:top w:val="single" w:sz="4" w:space="1" w:color="auto"/>
      </w:pBdr>
    </w:pPr>
    <w:rPr>
      <w:sz w:val="18"/>
      <w:szCs w:val="18"/>
    </w:rPr>
  </w:style>
  <w:style w:type="paragraph" w:customStyle="1" w:styleId="ARIERFigTabNotes">
    <w:name w:val="ARIER_FigTabNotes"/>
    <w:basedOn w:val="Normal"/>
    <w:autoRedefine/>
    <w:qFormat/>
    <w:rsid w:val="002E7328"/>
    <w:pPr>
      <w:spacing w:after="120"/>
    </w:pPr>
    <w:rPr>
      <w:color w:val="228591"/>
      <w:sz w:val="20"/>
      <w:szCs w:val="20"/>
    </w:rPr>
  </w:style>
  <w:style w:type="paragraph" w:customStyle="1" w:styleId="ArtSubtitle">
    <w:name w:val="ArtSubtitle"/>
    <w:basedOn w:val="Normal"/>
    <w:rsid w:val="00FB2763"/>
    <w:pPr>
      <w:keepNext/>
      <w:spacing w:before="240"/>
      <w:outlineLvl w:val="0"/>
    </w:pPr>
    <w:rPr>
      <w:rFonts w:ascii="Times New Roman" w:hAnsi="Times New Roman"/>
      <w:b/>
      <w:i/>
      <w:kern w:val="28"/>
    </w:rPr>
  </w:style>
  <w:style w:type="paragraph" w:customStyle="1" w:styleId="Intro">
    <w:name w:val="Intro"/>
    <w:basedOn w:val="Normal"/>
    <w:rsid w:val="00FB2763"/>
    <w:pPr>
      <w:spacing w:before="120" w:line="360" w:lineRule="auto"/>
    </w:pPr>
    <w:rPr>
      <w:rFonts w:ascii="Times New Roman" w:hAnsi="Times New Roman"/>
      <w:sz w:val="24"/>
    </w:rPr>
  </w:style>
  <w:style w:type="paragraph" w:customStyle="1" w:styleId="PulloutIntro">
    <w:name w:val="PulloutIntro"/>
    <w:basedOn w:val="Normal"/>
    <w:rsid w:val="00FB2763"/>
    <w:pPr>
      <w:spacing w:before="120" w:line="360" w:lineRule="auto"/>
    </w:pPr>
    <w:rPr>
      <w:rFonts w:ascii="Times New Roman" w:hAnsi="Times New Roman"/>
      <w:sz w:val="24"/>
    </w:rPr>
  </w:style>
  <w:style w:type="paragraph" w:customStyle="1" w:styleId="Point1Cont">
    <w:name w:val="Point1Cont"/>
    <w:basedOn w:val="Normal"/>
    <w:rsid w:val="00FB2763"/>
    <w:pPr>
      <w:tabs>
        <w:tab w:val="left" w:pos="360"/>
      </w:tabs>
      <w:spacing w:before="40" w:after="40" w:line="360" w:lineRule="auto"/>
      <w:ind w:left="360" w:hanging="360"/>
    </w:pPr>
    <w:rPr>
      <w:rFonts w:ascii="Times New Roman" w:hAnsi="Times New Roman"/>
    </w:rPr>
  </w:style>
  <w:style w:type="paragraph" w:customStyle="1" w:styleId="Pointi">
    <w:name w:val="Pointi"/>
    <w:basedOn w:val="Normal"/>
    <w:rsid w:val="00FB2763"/>
    <w:pPr>
      <w:spacing w:before="120" w:line="360" w:lineRule="auto"/>
      <w:ind w:left="1584" w:hanging="864"/>
    </w:pPr>
    <w:rPr>
      <w:rFonts w:ascii="Times New Roman" w:hAnsi="Times New Roman"/>
    </w:rPr>
  </w:style>
  <w:style w:type="paragraph" w:customStyle="1" w:styleId="FigCredit">
    <w:name w:val="FigCredit"/>
    <w:basedOn w:val="Normal"/>
    <w:rsid w:val="00FB2763"/>
    <w:pPr>
      <w:spacing w:before="120" w:line="360" w:lineRule="auto"/>
    </w:pPr>
    <w:rPr>
      <w:rFonts w:ascii="Times New Roman" w:hAnsi="Times New Roman"/>
      <w:sz w:val="24"/>
    </w:rPr>
  </w:style>
  <w:style w:type="paragraph" w:customStyle="1" w:styleId="InfotextHead">
    <w:name w:val="InfotextHead"/>
    <w:basedOn w:val="Normal"/>
    <w:rsid w:val="00FB2763"/>
    <w:pPr>
      <w:keepNext/>
      <w:spacing w:before="240" w:after="80"/>
      <w:ind w:left="230" w:hanging="230"/>
      <w:outlineLvl w:val="0"/>
    </w:pPr>
    <w:rPr>
      <w:rFonts w:ascii="Times New Roman" w:hAnsi="Times New Roman"/>
      <w:b/>
      <w:kern w:val="28"/>
    </w:rPr>
  </w:style>
  <w:style w:type="paragraph" w:customStyle="1" w:styleId="Infotext">
    <w:name w:val="Infotext"/>
    <w:basedOn w:val="Normal"/>
    <w:rsid w:val="00FB2763"/>
    <w:pPr>
      <w:spacing w:before="120" w:line="360" w:lineRule="auto"/>
    </w:pPr>
    <w:rPr>
      <w:rFonts w:ascii="Times New Roman" w:hAnsi="Times New Roman"/>
    </w:rPr>
  </w:style>
  <w:style w:type="paragraph" w:customStyle="1" w:styleId="ReviewData">
    <w:name w:val="ReviewData"/>
    <w:basedOn w:val="Normal"/>
    <w:rsid w:val="00FB2763"/>
    <w:pPr>
      <w:spacing w:before="120" w:line="360" w:lineRule="auto"/>
    </w:pPr>
    <w:rPr>
      <w:rFonts w:ascii="Times New Roman" w:hAnsi="Times New Roman"/>
    </w:rPr>
  </w:style>
  <w:style w:type="paragraph" w:customStyle="1" w:styleId="BoxTitle">
    <w:name w:val="BoxTitle"/>
    <w:basedOn w:val="Normal"/>
    <w:rsid w:val="00FB2763"/>
    <w:pPr>
      <w:keepNext/>
      <w:shd w:val="pct10" w:color="auto" w:fill="auto"/>
      <w:spacing w:before="240"/>
      <w:jc w:val="center"/>
      <w:outlineLvl w:val="0"/>
    </w:pPr>
    <w:rPr>
      <w:rFonts w:ascii="Times New Roman" w:hAnsi="Times New Roman"/>
      <w:b/>
      <w:kern w:val="28"/>
    </w:rPr>
  </w:style>
  <w:style w:type="paragraph" w:customStyle="1" w:styleId="BoxSubtitle">
    <w:name w:val="BoxSubtitle"/>
    <w:basedOn w:val="Normal"/>
    <w:rsid w:val="00FB2763"/>
    <w:pPr>
      <w:keepNext/>
      <w:shd w:val="pct10" w:color="auto" w:fill="auto"/>
      <w:spacing w:before="240"/>
      <w:jc w:val="center"/>
      <w:outlineLvl w:val="1"/>
    </w:pPr>
    <w:rPr>
      <w:rFonts w:ascii="Times New Roman" w:hAnsi="Times New Roman"/>
      <w:i/>
      <w:kern w:val="28"/>
      <w:sz w:val="20"/>
    </w:rPr>
  </w:style>
  <w:style w:type="paragraph" w:customStyle="1" w:styleId="BoxHeading1">
    <w:name w:val="BoxHeading1"/>
    <w:basedOn w:val="Normal"/>
    <w:rsid w:val="00FB2763"/>
    <w:pPr>
      <w:keepNext/>
      <w:shd w:val="pct10" w:color="auto" w:fill="auto"/>
      <w:spacing w:before="240"/>
      <w:outlineLvl w:val="2"/>
    </w:pPr>
    <w:rPr>
      <w:rFonts w:ascii="Times New Roman" w:hAnsi="Times New Roman"/>
      <w:b/>
      <w:kern w:val="28"/>
      <w:sz w:val="20"/>
    </w:rPr>
  </w:style>
  <w:style w:type="paragraph" w:customStyle="1" w:styleId="BoxIntro">
    <w:name w:val="BoxIntro"/>
    <w:basedOn w:val="Normal"/>
    <w:rsid w:val="00FB2763"/>
    <w:pPr>
      <w:shd w:val="pct10" w:color="auto" w:fill="auto"/>
      <w:spacing w:before="120" w:line="360" w:lineRule="auto"/>
    </w:pPr>
    <w:rPr>
      <w:rFonts w:ascii="Times New Roman" w:hAnsi="Times New Roman"/>
      <w:sz w:val="24"/>
    </w:rPr>
  </w:style>
  <w:style w:type="paragraph" w:customStyle="1" w:styleId="BoxParaFirst">
    <w:name w:val="BoxParaFirst"/>
    <w:basedOn w:val="Normal"/>
    <w:rsid w:val="00FB2763"/>
    <w:pPr>
      <w:shd w:val="pct10" w:color="auto" w:fill="auto"/>
      <w:spacing w:before="120" w:line="360" w:lineRule="auto"/>
    </w:pPr>
    <w:rPr>
      <w:rFonts w:ascii="Times New Roman" w:hAnsi="Times New Roman"/>
      <w:sz w:val="24"/>
    </w:rPr>
  </w:style>
  <w:style w:type="paragraph" w:customStyle="1" w:styleId="BoxPara">
    <w:name w:val="BoxPara"/>
    <w:basedOn w:val="Normal"/>
    <w:rsid w:val="00FB2763"/>
    <w:pPr>
      <w:shd w:val="pct10" w:color="auto" w:fill="auto"/>
      <w:spacing w:before="120" w:line="360" w:lineRule="auto"/>
      <w:ind w:firstLine="230"/>
    </w:pPr>
    <w:rPr>
      <w:rFonts w:ascii="Times New Roman" w:hAnsi="Times New Roman"/>
      <w:sz w:val="24"/>
    </w:rPr>
  </w:style>
  <w:style w:type="paragraph" w:customStyle="1" w:styleId="BoxList1">
    <w:name w:val="BoxList1"/>
    <w:basedOn w:val="Normal"/>
    <w:rsid w:val="00FB2763"/>
    <w:pPr>
      <w:shd w:val="pct10" w:color="auto" w:fill="auto"/>
      <w:spacing w:before="120" w:line="360" w:lineRule="auto"/>
      <w:ind w:left="360" w:hanging="360"/>
    </w:pPr>
    <w:rPr>
      <w:rFonts w:ascii="Times New Roman" w:hAnsi="Times New Roman"/>
      <w:sz w:val="24"/>
    </w:rPr>
  </w:style>
  <w:style w:type="paragraph" w:customStyle="1" w:styleId="BoxList1Cont">
    <w:name w:val="BoxList1Cont"/>
    <w:basedOn w:val="Normal"/>
    <w:rsid w:val="00FB2763"/>
    <w:pPr>
      <w:shd w:val="pct10" w:color="auto" w:fill="auto"/>
      <w:autoSpaceDE w:val="0"/>
      <w:autoSpaceDN w:val="0"/>
      <w:adjustRightInd w:val="0"/>
      <w:spacing w:before="120" w:line="360" w:lineRule="auto"/>
      <w:ind w:left="360"/>
    </w:pPr>
    <w:rPr>
      <w:rFonts w:ascii="Times New Roman" w:hAnsi="Times New Roman"/>
      <w:sz w:val="24"/>
    </w:rPr>
  </w:style>
  <w:style w:type="paragraph" w:customStyle="1" w:styleId="BoxFigCap">
    <w:name w:val="BoxFigCap"/>
    <w:basedOn w:val="Normal"/>
    <w:rsid w:val="00FB2763"/>
    <w:pPr>
      <w:shd w:val="pct10" w:color="auto" w:fill="auto"/>
      <w:spacing w:before="120" w:line="360" w:lineRule="auto"/>
    </w:pPr>
    <w:rPr>
      <w:rFonts w:ascii="Times New Roman" w:hAnsi="Times New Roman"/>
      <w:sz w:val="24"/>
    </w:rPr>
  </w:style>
  <w:style w:type="paragraph" w:customStyle="1" w:styleId="BoxFigCred">
    <w:name w:val="BoxFigCred"/>
    <w:basedOn w:val="Normal"/>
    <w:rsid w:val="00FB2763"/>
    <w:pPr>
      <w:shd w:val="pct10" w:color="auto" w:fill="auto"/>
      <w:spacing w:before="120" w:line="360" w:lineRule="auto"/>
    </w:pPr>
    <w:rPr>
      <w:rFonts w:ascii="Times New Roman" w:hAnsi="Times New Roman"/>
      <w:sz w:val="24"/>
    </w:rPr>
  </w:style>
  <w:style w:type="paragraph" w:customStyle="1" w:styleId="BoxInfotextHead">
    <w:name w:val="BoxInfotextHead"/>
    <w:basedOn w:val="Normal"/>
    <w:rsid w:val="00FB2763"/>
    <w:pPr>
      <w:shd w:val="pct10" w:color="auto" w:fill="auto"/>
      <w:spacing w:before="120" w:line="360" w:lineRule="auto"/>
    </w:pPr>
    <w:rPr>
      <w:rFonts w:ascii="Times New Roman" w:hAnsi="Times New Roman"/>
      <w:b/>
      <w:sz w:val="24"/>
    </w:rPr>
  </w:style>
  <w:style w:type="paragraph" w:customStyle="1" w:styleId="BoxInfotext">
    <w:name w:val="BoxInfotext"/>
    <w:basedOn w:val="Normal"/>
    <w:rsid w:val="00FB2763"/>
    <w:pPr>
      <w:shd w:val="pct10" w:color="auto" w:fill="auto"/>
      <w:spacing w:before="120" w:line="360" w:lineRule="auto"/>
    </w:pPr>
    <w:rPr>
      <w:rFonts w:ascii="Times New Roman" w:hAnsi="Times New Roman"/>
      <w:sz w:val="24"/>
    </w:rPr>
  </w:style>
  <w:style w:type="paragraph" w:customStyle="1" w:styleId="BoxSourceInfo">
    <w:name w:val="BoxSourceInfo"/>
    <w:basedOn w:val="Normal"/>
    <w:rsid w:val="00FB2763"/>
    <w:pPr>
      <w:shd w:val="pct10" w:color="auto" w:fill="auto"/>
      <w:spacing w:before="120" w:line="360" w:lineRule="auto"/>
    </w:pPr>
    <w:rPr>
      <w:rFonts w:ascii="Times New Roman" w:hAnsi="Times New Roman"/>
      <w:sz w:val="24"/>
    </w:rPr>
  </w:style>
  <w:style w:type="paragraph" w:customStyle="1" w:styleId="BoxExtractQuote">
    <w:name w:val="BoxExtractQuote"/>
    <w:basedOn w:val="Normal"/>
    <w:rsid w:val="00FB2763"/>
    <w:pPr>
      <w:shd w:val="pct10" w:color="auto" w:fill="auto"/>
      <w:spacing w:before="120" w:line="360" w:lineRule="auto"/>
      <w:ind w:left="720" w:right="720"/>
      <w:jc w:val="both"/>
    </w:pPr>
    <w:rPr>
      <w:rFonts w:ascii="Times New Roman" w:hAnsi="Times New Roman"/>
      <w:sz w:val="24"/>
    </w:rPr>
  </w:style>
  <w:style w:type="paragraph" w:customStyle="1" w:styleId="BoxFootnote">
    <w:name w:val="BoxFootnote"/>
    <w:basedOn w:val="Normal"/>
    <w:rsid w:val="00FB2763"/>
    <w:pPr>
      <w:shd w:val="pct10" w:color="auto" w:fill="auto"/>
      <w:spacing w:before="120" w:line="360" w:lineRule="auto"/>
      <w:ind w:left="230" w:hanging="230"/>
    </w:pPr>
    <w:rPr>
      <w:rFonts w:ascii="Times New Roman" w:hAnsi="Times New Roman"/>
      <w:sz w:val="24"/>
    </w:rPr>
  </w:style>
  <w:style w:type="paragraph" w:customStyle="1" w:styleId="BoxList2">
    <w:name w:val="BoxList2"/>
    <w:basedOn w:val="Normal"/>
    <w:rsid w:val="00FB2763"/>
    <w:pPr>
      <w:shd w:val="pct10" w:color="auto" w:fill="auto"/>
      <w:ind w:left="720" w:hanging="360"/>
    </w:pPr>
    <w:rPr>
      <w:rFonts w:ascii="Times New Roman" w:hAnsi="Times New Roman"/>
      <w:sz w:val="20"/>
      <w:szCs w:val="20"/>
      <w:lang w:val="en-US"/>
    </w:rPr>
  </w:style>
  <w:style w:type="paragraph" w:customStyle="1" w:styleId="BoxList3">
    <w:name w:val="BoxList3"/>
    <w:basedOn w:val="Normal"/>
    <w:rsid w:val="00FB2763"/>
    <w:pPr>
      <w:shd w:val="pct10" w:color="auto" w:fill="auto"/>
      <w:spacing w:before="120" w:line="360" w:lineRule="auto"/>
      <w:ind w:left="1080" w:hanging="360"/>
    </w:pPr>
    <w:rPr>
      <w:rFonts w:ascii="Times New Roman" w:hAnsi="Times New Roman"/>
      <w:sz w:val="24"/>
    </w:rPr>
  </w:style>
  <w:style w:type="paragraph" w:customStyle="1" w:styleId="ReviewAuthors">
    <w:name w:val="ReviewAuthors"/>
    <w:basedOn w:val="Normal"/>
    <w:rsid w:val="00FB2763"/>
    <w:pPr>
      <w:spacing w:before="120" w:line="360" w:lineRule="auto"/>
    </w:pPr>
    <w:rPr>
      <w:rFonts w:ascii="Times New Roman" w:hAnsi="Times New Roman"/>
    </w:rPr>
  </w:style>
  <w:style w:type="paragraph" w:customStyle="1" w:styleId="ReviewTitle">
    <w:name w:val="ReviewTitle"/>
    <w:basedOn w:val="Normal"/>
    <w:rsid w:val="00FB2763"/>
    <w:pPr>
      <w:spacing w:before="120" w:line="360" w:lineRule="auto"/>
    </w:pPr>
    <w:rPr>
      <w:rFonts w:ascii="Times New Roman" w:hAnsi="Times New Roman"/>
    </w:rPr>
  </w:style>
  <w:style w:type="paragraph" w:customStyle="1" w:styleId="ARIERcovertitle">
    <w:name w:val="ARIER_covertitle"/>
    <w:basedOn w:val="Title"/>
    <w:qFormat/>
    <w:rsid w:val="003536E1"/>
    <w:rPr>
      <w:rFonts w:asciiTheme="minorHAnsi" w:hAnsiTheme="minorHAnsi"/>
      <w:b/>
      <w:sz w:val="56"/>
      <w:szCs w:val="56"/>
    </w:rPr>
  </w:style>
  <w:style w:type="paragraph" w:customStyle="1" w:styleId="ARIERcoverdate">
    <w:name w:val="ARIER_coverdate"/>
    <w:basedOn w:val="Frontcoverreportseries"/>
    <w:qFormat/>
    <w:rsid w:val="003536E1"/>
    <w:pPr>
      <w:spacing w:after="360"/>
    </w:pPr>
    <w:rPr>
      <w:rFonts w:asciiTheme="minorHAnsi" w:hAnsiTheme="minorHAnsi"/>
      <w:color w:val="FFFFFF" w:themeColor="background1"/>
      <w:sz w:val="32"/>
      <w:szCs w:val="28"/>
    </w:rPr>
  </w:style>
  <w:style w:type="paragraph" w:customStyle="1" w:styleId="ARIERcoverreptype">
    <w:name w:val="ARIER_coverreptype"/>
    <w:basedOn w:val="Normal"/>
    <w:qFormat/>
    <w:rsid w:val="003536E1"/>
    <w:pPr>
      <w:spacing w:after="240" w:line="240" w:lineRule="atLeast"/>
    </w:pPr>
    <w:rPr>
      <w:rFonts w:asciiTheme="minorHAnsi" w:hAnsiTheme="minorHAnsi"/>
      <w:color w:val="FFFFFF" w:themeColor="background1"/>
      <w:sz w:val="28"/>
    </w:rPr>
  </w:style>
  <w:style w:type="paragraph" w:customStyle="1" w:styleId="ARIERcovauthors">
    <w:name w:val="ARIER_covauthors"/>
    <w:basedOn w:val="Title"/>
    <w:qFormat/>
    <w:rsid w:val="003536E1"/>
    <w:rPr>
      <w:rFonts w:asciiTheme="minorHAnsi" w:hAnsiTheme="minorHAnsi"/>
      <w:sz w:val="44"/>
      <w:szCs w:val="44"/>
    </w:rPr>
  </w:style>
  <w:style w:type="paragraph" w:customStyle="1" w:styleId="ARIimpcitation">
    <w:name w:val="ARI_imp_citation"/>
    <w:basedOn w:val="Normal"/>
    <w:qFormat/>
    <w:rsid w:val="003536E1"/>
    <w:pPr>
      <w:autoSpaceDE w:val="0"/>
      <w:autoSpaceDN w:val="0"/>
      <w:adjustRightInd w:val="0"/>
      <w:spacing w:after="320"/>
    </w:pPr>
    <w:rPr>
      <w:color w:val="FF0000"/>
      <w:sz w:val="16"/>
      <w:szCs w:val="16"/>
    </w:rPr>
  </w:style>
  <w:style w:type="paragraph" w:customStyle="1" w:styleId="ARIimpcoverphoto">
    <w:name w:val="ARI_imp_coverphoto"/>
    <w:basedOn w:val="Normal"/>
    <w:qFormat/>
    <w:rsid w:val="003536E1"/>
    <w:pPr>
      <w:autoSpaceDE w:val="0"/>
      <w:autoSpaceDN w:val="0"/>
      <w:adjustRightInd w:val="0"/>
      <w:spacing w:after="320"/>
    </w:pPr>
    <w:rPr>
      <w:color w:val="FF0000"/>
      <w:sz w:val="16"/>
      <w:szCs w:val="16"/>
    </w:rPr>
  </w:style>
  <w:style w:type="paragraph" w:customStyle="1" w:styleId="ARIimpcopyright">
    <w:name w:val="ARI_impcopyright"/>
    <w:basedOn w:val="Normal"/>
    <w:qFormat/>
    <w:rsid w:val="003536E1"/>
    <w:pPr>
      <w:autoSpaceDE w:val="0"/>
      <w:autoSpaceDN w:val="0"/>
      <w:adjustRightInd w:val="0"/>
      <w:spacing w:after="120"/>
    </w:pPr>
    <w:rPr>
      <w:rFonts w:cstheme="minorHAnsi"/>
      <w:sz w:val="16"/>
      <w:szCs w:val="16"/>
    </w:rPr>
  </w:style>
  <w:style w:type="paragraph" w:customStyle="1" w:styleId="ARIimprintpubdetails">
    <w:name w:val="ARI_imprintpubdetails"/>
    <w:basedOn w:val="Normal"/>
    <w:qFormat/>
    <w:rsid w:val="003536E1"/>
    <w:pPr>
      <w:autoSpaceDE w:val="0"/>
      <w:autoSpaceDN w:val="0"/>
      <w:adjustRightInd w:val="0"/>
    </w:pPr>
    <w:rPr>
      <w:rFonts w:cstheme="minorHAnsi"/>
      <w:sz w:val="16"/>
      <w:szCs w:val="16"/>
    </w:rPr>
  </w:style>
  <w:style w:type="paragraph" w:customStyle="1" w:styleId="ARIimprintheading">
    <w:name w:val="ARI_imprintheading"/>
    <w:basedOn w:val="Normal"/>
    <w:qFormat/>
    <w:rsid w:val="003536E1"/>
    <w:pPr>
      <w:autoSpaceDE w:val="0"/>
      <w:autoSpaceDN w:val="0"/>
      <w:adjustRightInd w:val="0"/>
      <w:spacing w:after="60"/>
    </w:pPr>
    <w:rPr>
      <w:rFonts w:eastAsia="Calibri" w:cstheme="minorHAnsi"/>
      <w:b/>
      <w:bCs/>
      <w:color w:val="000000"/>
      <w:sz w:val="16"/>
      <w:szCs w:val="16"/>
    </w:rPr>
  </w:style>
  <w:style w:type="paragraph" w:customStyle="1" w:styleId="ARIERcoverauthors">
    <w:name w:val="ARIER_coverauthors"/>
    <w:basedOn w:val="Title"/>
    <w:qFormat/>
    <w:rsid w:val="00606707"/>
    <w:rPr>
      <w:rFonts w:asciiTheme="minorHAnsi" w:hAnsiTheme="minorHAnsi"/>
      <w:sz w:val="40"/>
      <w:szCs w:val="40"/>
    </w:rPr>
  </w:style>
  <w:style w:type="paragraph" w:customStyle="1" w:styleId="TheARIfooter">
    <w:name w:val="The ARI footer"/>
    <w:basedOn w:val="Footer"/>
    <w:rsid w:val="00606707"/>
    <w:pPr>
      <w:pBdr>
        <w:top w:val="single" w:sz="4" w:space="1" w:color="auto"/>
      </w:pBdr>
      <w:jc w:val="center"/>
    </w:pPr>
    <w:rPr>
      <w:sz w:val="18"/>
      <w:szCs w:val="18"/>
    </w:rPr>
  </w:style>
  <w:style w:type="paragraph" w:customStyle="1" w:styleId="ARIERcoverAuthors0">
    <w:name w:val="ARIER_coverAuthors"/>
    <w:basedOn w:val="Title"/>
    <w:rsid w:val="00606707"/>
    <w:rPr>
      <w:rFonts w:asciiTheme="minorHAnsi" w:hAnsiTheme="minorHAnsi"/>
      <w:sz w:val="40"/>
      <w:szCs w:val="40"/>
    </w:rPr>
  </w:style>
  <w:style w:type="paragraph" w:customStyle="1" w:styleId="ARIERtitlefooter">
    <w:name w:val="ARIER_titlefooter"/>
    <w:basedOn w:val="Heading9"/>
    <w:qFormat/>
    <w:rsid w:val="00606707"/>
    <w:pPr>
      <w:jc w:val="center"/>
    </w:pPr>
    <w:rPr>
      <w:rFonts w:asciiTheme="minorHAnsi" w:hAnsiTheme="minorHAnsi"/>
    </w:rPr>
  </w:style>
  <w:style w:type="table" w:customStyle="1" w:styleId="PlainTable31">
    <w:name w:val="Plain Table 31"/>
    <w:basedOn w:val="TableNormal"/>
    <w:uiPriority w:val="43"/>
    <w:rsid w:val="00C866BC"/>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C866B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C866BC"/>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semiHidden/>
    <w:rsid w:val="00C74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image" Target="media/image18.wmf"/><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oleObject" Target="embeddings/oleObject2.bin"/><Relationship Id="rId47" Type="http://schemas.openxmlformats.org/officeDocument/2006/relationships/image" Target="media/image22.emf"/><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delwp.vic.gov.au" TargetMode="External"/><Relationship Id="rId17" Type="http://schemas.openxmlformats.org/officeDocument/2006/relationships/hyperlink" Target="http://www.delwp.vic.gov.au" TargetMode="External"/><Relationship Id="rId25" Type="http://schemas.openxmlformats.org/officeDocument/2006/relationships/header" Target="header5.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yperlink" Target="http://www.relayservice.com.au" TargetMode="External"/><Relationship Id="rId20" Type="http://schemas.openxmlformats.org/officeDocument/2006/relationships/header" Target="header3.xml"/><Relationship Id="rId29" Type="http://schemas.openxmlformats.org/officeDocument/2006/relationships/image" Target="media/image8.e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oleObject" Target="embeddings/oleObject1.bin"/><Relationship Id="rId45" Type="http://schemas.openxmlformats.org/officeDocument/2006/relationships/image" Target="media/image21.wmf"/><Relationship Id="rId5" Type="http://schemas.microsoft.com/office/2007/relationships/stylesWithEffects" Target="stylesWithEffects.xml"/><Relationship Id="rId15" Type="http://schemas.openxmlformats.org/officeDocument/2006/relationships/hyperlink" Target="mailto:customer.service@delwp.vic.gov.au" TargetMode="External"/><Relationship Id="rId23" Type="http://schemas.openxmlformats.org/officeDocument/2006/relationships/footer" Target="footer4.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reativecommons.org/licenses/by/3.0/au/deed.en" TargetMode="Externa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wmf"/><Relationship Id="rId48" Type="http://schemas.openxmlformats.org/officeDocument/2006/relationships/image" Target="media/image23.emf"/><Relationship Id="rId8" Type="http://schemas.openxmlformats.org/officeDocument/2006/relationships/footnotes" Target="foot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87E04-32EA-47E2-981F-1E724E150076}">
  <ds:schemaRefs>
    <ds:schemaRef ds:uri="http://schemas.openxmlformats.org/officeDocument/2006/bibliography"/>
  </ds:schemaRefs>
</ds:datastoreItem>
</file>

<file path=customXml/itemProps2.xml><?xml version="1.0" encoding="utf-8"?>
<ds:datastoreItem xmlns:ds="http://schemas.openxmlformats.org/officeDocument/2006/customXml" ds:itemID="{5EFD0711-5549-4ACD-BC90-74499C5B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12130</Words>
  <Characters>132245</Characters>
  <Application>Microsoft Office Word</Application>
  <DocSecurity>8</DocSecurity>
  <Lines>1102</Lines>
  <Paragraphs>288</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144087</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QUERY</dc:creator>
  <cp:lastModifiedBy>Phoebe Macak</cp:lastModifiedBy>
  <cp:revision>3</cp:revision>
  <cp:lastPrinted>2016-07-11T00:27:00Z</cp:lastPrinted>
  <dcterms:created xsi:type="dcterms:W3CDTF">2016-12-01T04:55:00Z</dcterms:created>
  <dcterms:modified xsi:type="dcterms:W3CDTF">2016-12-01T04:56:00Z</dcterms:modified>
</cp:coreProperties>
</file>