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639"/>
      </w:tblGrid>
      <w:tr w:rsidR="00BB6A87" w:rsidRPr="00243764" w14:paraId="6627E162" w14:textId="77777777" w:rsidTr="001018C2">
        <w:trPr>
          <w:trHeight w:val="1864"/>
        </w:trPr>
        <w:tc>
          <w:tcPr>
            <w:tcW w:w="9639" w:type="dxa"/>
            <w:shd w:val="clear" w:color="auto" w:fill="auto"/>
            <w:vAlign w:val="center"/>
          </w:tcPr>
          <w:p w14:paraId="78D2ED1C" w14:textId="50E829A0" w:rsidR="00FE1E56" w:rsidRPr="00477B29" w:rsidRDefault="00B74B88" w:rsidP="00DC3852">
            <w:pPr>
              <w:pStyle w:val="Title"/>
            </w:pPr>
            <w:bookmarkStart w:id="0" w:name="_MacBuGuideStaticData_80H"/>
            <w:bookmarkStart w:id="1" w:name="_MacBuGuideStaticData_16450H"/>
            <w:bookmarkStart w:id="2" w:name="_MacBuGuideStaticData_620V"/>
            <w:r>
              <w:t>Glenelg Ark</w:t>
            </w:r>
            <w:r w:rsidR="004E22C0">
              <w:t>—</w:t>
            </w:r>
            <w:r>
              <w:t>2020 monitoring and evaluation update</w:t>
            </w:r>
          </w:p>
          <w:p w14:paraId="4EDF435B" w14:textId="77777777" w:rsidR="00150C2F" w:rsidRPr="00477B29" w:rsidRDefault="00150C2F" w:rsidP="00DC3852">
            <w:pPr>
              <w:pStyle w:val="Subtitle"/>
            </w:pPr>
          </w:p>
        </w:tc>
      </w:tr>
      <w:tr w:rsidR="006A54EF" w:rsidRPr="00243764" w14:paraId="12A72EC8" w14:textId="77777777" w:rsidTr="001018C2">
        <w:trPr>
          <w:trHeight w:val="1346"/>
        </w:trPr>
        <w:tc>
          <w:tcPr>
            <w:tcW w:w="9639" w:type="dxa"/>
            <w:shd w:val="clear" w:color="auto" w:fill="auto"/>
            <w:vAlign w:val="center"/>
          </w:tcPr>
          <w:p w14:paraId="22FE58F3" w14:textId="4524FD14" w:rsidR="006A54EF" w:rsidRPr="00243764" w:rsidRDefault="00B74B88" w:rsidP="00DC3852">
            <w:pPr>
              <w:pStyle w:val="Authorscover"/>
            </w:pPr>
            <w:r>
              <w:t>A. Rob</w:t>
            </w:r>
            <w:r w:rsidR="00C177A1">
              <w:t>l</w:t>
            </w:r>
            <w:r>
              <w:t>ey, P.</w:t>
            </w:r>
            <w:r w:rsidR="00B23B81">
              <w:t>D</w:t>
            </w:r>
            <w:r w:rsidR="001E3864">
              <w:t>.</w:t>
            </w:r>
            <w:r>
              <w:t xml:space="preserve"> Moloney </w:t>
            </w:r>
            <w:r w:rsidR="001B2982">
              <w:t>and</w:t>
            </w:r>
            <w:r w:rsidR="001A792F">
              <w:t xml:space="preserve"> </w:t>
            </w:r>
            <w:r>
              <w:t>E. L</w:t>
            </w:r>
            <w:r w:rsidR="001B2982">
              <w:t>e</w:t>
            </w:r>
            <w:r>
              <w:t xml:space="preserve"> Duc </w:t>
            </w:r>
          </w:p>
        </w:tc>
      </w:tr>
      <w:tr w:rsidR="006A54EF" w:rsidRPr="00243764" w14:paraId="35F145E4" w14:textId="77777777" w:rsidTr="001018C2">
        <w:trPr>
          <w:trHeight w:val="590"/>
        </w:trPr>
        <w:tc>
          <w:tcPr>
            <w:tcW w:w="9639" w:type="dxa"/>
            <w:shd w:val="clear" w:color="auto" w:fill="auto"/>
            <w:vAlign w:val="center"/>
          </w:tcPr>
          <w:p w14:paraId="32BA7397" w14:textId="0FE712D9" w:rsidR="006A54EF" w:rsidRPr="00243764" w:rsidRDefault="0011624A" w:rsidP="00DC3852">
            <w:pPr>
              <w:pStyle w:val="Subtitle"/>
            </w:pPr>
            <w:r>
              <w:t>July</w:t>
            </w:r>
            <w:r w:rsidR="00B74B88">
              <w:t xml:space="preserve"> 202</w:t>
            </w:r>
            <w:r>
              <w:t>2</w:t>
            </w:r>
          </w:p>
        </w:tc>
      </w:tr>
    </w:tbl>
    <w:p w14:paraId="04131419" w14:textId="25802BB3" w:rsidR="00BB6A87" w:rsidRPr="00F56D9E" w:rsidRDefault="000356C5" w:rsidP="00DC3852">
      <w:r w:rsidRPr="00F56D9E">
        <w:rPr>
          <w:noProof/>
          <w:lang w:val="en-GB" w:eastAsia="en-GB"/>
        </w:rPr>
        <mc:AlternateContent>
          <mc:Choice Requires="wpg">
            <w:drawing>
              <wp:anchor distT="0" distB="0" distL="114300" distR="114300" simplePos="0" relativeHeight="251657728" behindDoc="1" locked="0" layoutInCell="1" allowOverlap="1" wp14:anchorId="37CE7D62" wp14:editId="30E2AE8C">
                <wp:simplePos x="0" y="0"/>
                <wp:positionH relativeFrom="page">
                  <wp:posOffset>0</wp:posOffset>
                </wp:positionH>
                <wp:positionV relativeFrom="page">
                  <wp:posOffset>0</wp:posOffset>
                </wp:positionV>
                <wp:extent cx="7559675" cy="10925810"/>
                <wp:effectExtent l="0" t="0" r="3175" b="8890"/>
                <wp:wrapNone/>
                <wp:docPr id="5" name="Group 5"/>
                <wp:cNvGraphicFramePr/>
                <a:graphic xmlns:a="http://schemas.openxmlformats.org/drawingml/2006/main">
                  <a:graphicData uri="http://schemas.microsoft.com/office/word/2010/wordprocessingGroup">
                    <wpg:wgp>
                      <wpg:cNvGrpSpPr/>
                      <wpg:grpSpPr>
                        <a:xfrm>
                          <a:off x="0" y="0"/>
                          <a:ext cx="7559675" cy="10925810"/>
                          <a:chOff x="0" y="0"/>
                          <a:chExt cx="7560000" cy="10926900"/>
                        </a:xfrm>
                      </wpg:grpSpPr>
                      <wpg:grpSp>
                        <wpg:cNvPr id="12" name="Group 12"/>
                        <wpg:cNvGrpSpPr/>
                        <wpg:grpSpPr>
                          <a:xfrm>
                            <a:off x="0" y="0"/>
                            <a:ext cx="7553960" cy="10695305"/>
                            <a:chOff x="0" y="0"/>
                            <a:chExt cx="7554110" cy="10695600"/>
                          </a:xfrm>
                        </wpg:grpSpPr>
                        <wps:wsp>
                          <wps:cNvPr id="41" name="OverlayRight"/>
                          <wps:cNvSpPr>
                            <a:spLocks/>
                          </wps:cNvSpPr>
                          <wps:spPr bwMode="auto">
                            <a:xfrm>
                              <a:off x="4373296" y="4012953"/>
                              <a:ext cx="2816266" cy="4897893"/>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rgbClr val="CDDC29">
                                <a:alpha val="20000"/>
                              </a:srgbClr>
                            </a:solidFill>
                            <a:ln>
                              <a:noFill/>
                            </a:ln>
                          </wps:spPr>
                          <wps:bodyPr rot="0" vert="horz" wrap="square" lIns="91440" tIns="45720" rIns="91440" bIns="45720" anchor="t" anchorCtr="0" upright="1">
                            <a:noAutofit/>
                          </wps:bodyPr>
                        </wps:wsp>
                        <wps:wsp>
                          <wps:cNvPr id="4" name="CoverRectangle"/>
                          <wps:cNvSpPr/>
                          <wps:spPr>
                            <a:xfrm>
                              <a:off x="388643" y="360054"/>
                              <a:ext cx="6800919" cy="3960109"/>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riangleTop"/>
                          <wps:cNvSpPr>
                            <a:spLocks/>
                          </wps:cNvSpPr>
                          <wps:spPr bwMode="auto">
                            <a:xfrm>
                              <a:off x="360052" y="360055"/>
                              <a:ext cx="1864837" cy="1976455"/>
                            </a:xfrm>
                            <a:custGeom>
                              <a:avLst/>
                              <a:gdLst>
                                <a:gd name="T0" fmla="*/ 0 w 2939"/>
                                <a:gd name="T1" fmla="*/ 0 h 3114"/>
                                <a:gd name="T2" fmla="*/ 1469 w 2939"/>
                                <a:gd name="T3" fmla="*/ 3114 h 3114"/>
                                <a:gd name="T4" fmla="*/ 2939 w 2939"/>
                                <a:gd name="T5" fmla="*/ 0 h 3114"/>
                                <a:gd name="T6" fmla="*/ 0 w 2939"/>
                                <a:gd name="T7" fmla="*/ 0 h 3114"/>
                              </a:gdLst>
                              <a:ahLst/>
                              <a:cxnLst>
                                <a:cxn ang="0">
                                  <a:pos x="T0" y="T1"/>
                                </a:cxn>
                                <a:cxn ang="0">
                                  <a:pos x="T2" y="T3"/>
                                </a:cxn>
                                <a:cxn ang="0">
                                  <a:pos x="T4" y="T5"/>
                                </a:cxn>
                                <a:cxn ang="0">
                                  <a:pos x="T6" y="T7"/>
                                </a:cxn>
                              </a:cxnLst>
                              <a:rect l="0" t="0" r="r" b="b"/>
                              <a:pathLst>
                                <a:path w="2939" h="3114">
                                  <a:moveTo>
                                    <a:pt x="0" y="0"/>
                                  </a:moveTo>
                                  <a:lnTo>
                                    <a:pt x="1469" y="3114"/>
                                  </a:lnTo>
                                  <a:lnTo>
                                    <a:pt x="2939" y="0"/>
                                  </a:lnTo>
                                  <a:lnTo>
                                    <a:pt x="0" y="0"/>
                                  </a:lnTo>
                                  <a:close/>
                                </a:path>
                              </a:pathLst>
                            </a:custGeom>
                            <a:solidFill>
                              <a:srgbClr val="CDDC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CoverProjectBar" title="Decorative Cover Shape"/>
                          <wps:cNvSpPr txBox="1"/>
                          <wps:spPr>
                            <a:xfrm>
                              <a:off x="360022" y="8897328"/>
                              <a:ext cx="6840136" cy="607482"/>
                            </a:xfrm>
                            <a:prstGeom prst="rect">
                              <a:avLst/>
                            </a:prstGeom>
                            <a:solidFill>
                              <a:srgbClr val="CDDC29"/>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941B5A7" w14:textId="14DF59E1" w:rsidR="006667C5" w:rsidRPr="00F41119" w:rsidRDefault="006667C5"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 xml:space="preserve">Technical Report Series No. </w:t>
                                </w:r>
                                <w:r>
                                  <w:rPr>
                                    <w:color w:val="F8FAE8" w:themeColor="background2"/>
                                  </w:rPr>
                                  <w:t>340</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wps:wsp>
                          <wps:cNvPr id="240" name="Rectangle 240"/>
                          <wps:cNvSpPr/>
                          <wps:spPr>
                            <a:xfrm>
                              <a:off x="7194176" y="0"/>
                              <a:ext cx="359934" cy="10695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0" y="0"/>
                              <a:ext cx="359345" cy="106953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 name="Rectangle 1"/>
                        <wps:cNvSpPr/>
                        <wps:spPr>
                          <a:xfrm>
                            <a:off x="0" y="9486900"/>
                            <a:ext cx="7560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CE7D62" id="Group 5" o:spid="_x0000_s1026" style="position:absolute;margin-left:0;margin-top:0;width:595.25pt;height:860.3pt;z-index:-251658752;mso-position-horizontal-relative:page;mso-position-vertical-relative:page;mso-width-relative:margin;mso-height-relative:margin" coordsize="75600,1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5EewcAANglAAAOAAAAZHJzL2Uyb0RvYy54bWzsWt9v2zYQfh+w/0HQ44DV+mXJMuoUabIW&#10;A7I2aD30mZZlW5ssahQTO/vr9x0pyrRju06aFluXPMSSeDry7r47fkf75av1snRuc9EUvBq5/gvP&#10;dfIq49Oimo/c38dvfh64TiNZNWUlr/KRe5c37quzH394uaqHecAXvJzmwoGSqhmu6pG7kLIe9npN&#10;tsiXrHnB67zC4IyLJZO4FfPeVLAVtC/LXuB5cW/FxbQWPMubBk8v9aB7pvTPZnkm389mTS6dcuRi&#10;bVL9F+r/hP73zl6y4VywelFk7TLYI1axZEWFSTtVl0wy50YU91Qti0zwhs/ki4wve3w2K7Jc2QBr&#10;fG/HmreC39TKlvlwNa87N8G1O356tNrs3e1bUX+srwU8sarn8IW6I1vWM7GkT6zSWSuX3XUuy9fS&#10;yfAw6ffTOOm7ToYx30uD/sBvvZot4Pp7L2aLX7pXYw9/m1fjFHdYRs9M3dtaUHejF4qVXwunmGLa&#10;wHUqtgS6lMMc3LfGPIF1YRp3S4zTfuj1NWY+b10/8uGK1jF4FdYetQ4J0Gxi3HxZjD8uWJ0r6DTD&#10;jaci33jqPXK2ZHcfivlCam8pOQIChbypr3j2Z0PBWNXWCN00kHEmq9/4FB5nN5Ir4O+AJQqTMEhj&#10;1wEsIs8P4DntNwOcYODHQQwBAk40SJNBqiS64LNhdtPItzlXGGS3V43EcpBhU1zpizbqY3h5tiyR&#10;tz/1nLAfpM7KiUIv0hPOp0YMxndinrNwkmigkEI6jQyg1MkcURVaYodURVsy+5eExOmmo+UcWBXc&#10;1IkFaRodMDCxxI5oQ0k+RVtqiSVRkhxYG2G8UxcF8aHF+bb7j6yOsnmjD2E8YKxvx+CYPjsOBItD&#10;+k6MhW8H45i+E6Ph2+E4ps+OxyHMBXYwjuA3sINhK0P6dQnGFibnsnXVJh2uHEZ7u6eyvuYNVXjK&#10;QKTx2G8LHKQoQw8II8AkbNL9uDCiR8Kq6mJxx4V1vRknJy0DfifN6UnChHJl4WkmEoiV+GlG+q2V&#10;/mlmEgSV9tMMJYQp8dNMJQyRODCiN2Plc+37FgUCvGqXUQnXAaOa0DtsWDNJ4DGXzgo1niqyswBl&#10;oLJLI0t+m4+5kpGEIsKrmtrskxuBsjoqaIbNZ630aTvUdNoQM2w+tRgVVDXtQyQT43qjy3xqnVQH&#10;T9Op3QJ/f3b2ryppXG7MMJ/anHuRMcNZyZtcO5dCrrhbF3uCjLWFN7wspm+KsqSIN2I+uSiFc8tA&#10;zC8uLy8QenrOynrB9FPQ+44xteJK/5aeUhWaipNeE+SWtBBPIarYDCd8egfOIrim/6A+uFhw8bfr&#10;rED9R27z1w0TueuUv1bgXakfRcCOVDdRP6GEEPbIxB5hVQZVI1e6KIx0eSF1f3FTC2JX4KfKsoqf&#10;gyvNCmIxilTpVbU3oH56rV+fAxoKeIH0Ex+QyajnZU55a1G99k770PDxrhUIB4M4wv4L2Iagtf2W&#10;ahluFw88L/WRy8TtiECjMWhriaGJtdDczqGLkUsFRce/5XnAjhFRcNnCDjWHeYcelmV5JU2hfTg6&#10;GnlX5jRJWX3IZ+goUIp0gVJd6O5EOprNgk1zjdO+jVOzNIVUpZA0z4DOTnerwEhqJdoIU3FbeXo1&#10;V01s97Ledg8sTCdA94aamVeye3lZVFwoN+8oKGU3s5Y3KaRdsyeHmjp7UyB0V6yR10yAeyNJKLGo&#10;sZiVHAWf4EVXKPpItX3PSf7pErG6WV5wVBNQG6xOXVLiytJczgRffsJxwTnNiiGTuZnE3rWduzhw&#10;yPLzcyWGRh0l7ar6WGcmlwma4/UnJuoWvxLQf8dN04Uytg1jLUvx+LdUAVAC3TKPRaHyf8zrnRJA&#10;y/3iPlCVB02G1GXbPZtK4aOODEIwZXV8kCZx1DcUyFQKewsxbrVI6qZ1Q0S7vsEDyQ/SUFUdu73b&#10;pb2hD+qFtLFlsNpOjx/F1E3uU2W3H6QG7dE+baABnTZSc0Cb3XwQH9+nym48DhloNx22HtTT74zX&#10;fzEhVUElQqp8TRjY8E2bQBpqtBk17EdLEUb0VtiCCSszEuZTS+oZsScalWbYfO6b1ow9KdXSO8XD&#10;98pnJmWdphHD0UVUUalrwf8AjXnNsJvIQpY4HbvMMy6YLG5zR4k4eodoyRXO5ei8zZHr1xycQ23B&#10;5oCN4GgqYHv+SvUz0KV0gPOyMBjoymVqaTzAQVuIIkG1NPasfsIoMozqUaRrD2F/LIrkerJufbAD&#10;qG9CK8iRdO6sCT5xBMXnzWPN7vH4mVBM930rYVhO2y20h/ABtUw6G7qewqGH22Bv7w70FYmfRn6i&#10;TzfUm+C/7bcFYT9NQ2ymiih4e47TNw3Do+C9Tccnc0OIH14jn/sJ97mf+L/1E8HmqyU7/bs9rd3r&#10;jqc/KoghR1uJH0agx13it1/BgWU9yb72nPj3TzgQJrj3+SDhv32QsPn6/BsdLaK73mUAjykAaTQw&#10;PwXYlIGEvj8n1qbqAA5o6Ubj9LkM0EnNdh17Pk/84oP974X+qzKAnw+pmt7+1Il+n2Tfq/PezQ+y&#10;zv4BAAD//wMAUEsDBBQABgAIAAAAIQCo8fAD3gAAAAcBAAAPAAAAZHJzL2Rvd25yZXYueG1sTI9B&#10;S8NAEIXvgv9hGcGb3U2l1cZsSinqqQi2gvQ2zU6T0OxsyG6T9N+79aKX4Q1veO+bbDnaRvTU+dqx&#10;hmSiQBAXztRcavjavT08g/AB2WDjmDRcyMMyv73JMDVu4E/qt6EUMYR9ihqqENpUSl9UZNFPXEsc&#10;vaPrLIa4dqU0HQ4x3DZyqtRcWqw5NlTY0rqi4rQ9Ww3vAw6rx+S135yO68t+N/v43iSk9f3duHoB&#10;EWgMf8dwxY/okEemgzuz8aLREB8Jv/PqJQs1A3GI6mmq5iDzTP7nz38AAAD//wMAUEsBAi0AFAAG&#10;AAgAAAAhALaDOJL+AAAA4QEAABMAAAAAAAAAAAAAAAAAAAAAAFtDb250ZW50X1R5cGVzXS54bWxQ&#10;SwECLQAUAAYACAAAACEAOP0h/9YAAACUAQAACwAAAAAAAAAAAAAAAAAvAQAAX3JlbHMvLnJlbHNQ&#10;SwECLQAUAAYACAAAACEAyBFORHsHAADYJQAADgAAAAAAAAAAAAAAAAAuAgAAZHJzL2Uyb0RvYy54&#10;bWxQSwECLQAUAAYACAAAACEAqPHwA94AAAAHAQAADwAAAAAAAAAAAAAAAADVCQAAZHJzL2Rvd25y&#10;ZXYueG1sUEsFBgAAAAAEAAQA8wAAAOAKAAAAAA==&#10;">
                <v:group id="Group 12" o:spid="_x0000_s1027" style="position:absolute;width:75539;height:106953" coordsize="75541,10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OverlayRight" o:spid="_x0000_s1028" style="position:absolute;left:43732;top:40129;width:28163;height:48979;visibility:visible;mso-wrap-style:square;v-text-anchor:top" coordsize="4304,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VAmwwAAANsAAAAPAAAAZHJzL2Rvd25yZXYueG1sRI9Ra8Iw&#10;FIXfBf9DuANfRNOOsUlnKiIospdt1R9w19w1pc1NSTLt/v0yEHw8nHO+w1lvRtuLC/nQOlaQLzMQ&#10;xLXTLTcKzqf9YgUiRGSNvWNS8EsBNuV0ssZCuyt/0qWKjUgQDgUqMDEOhZShNmQxLN1AnLxv5y3G&#10;JH0jtcdrgttePmbZs7TYclowONDOUN1VP1bBx7nDw3DIvwzat3b+UsmV9O9KzR7G7SuISGO8h2/t&#10;o1bwlMP/l/QDZPkHAAD//wMAUEsBAi0AFAAGAAgAAAAhANvh9svuAAAAhQEAABMAAAAAAAAAAAAA&#10;AAAAAAAAAFtDb250ZW50X1R5cGVzXS54bWxQSwECLQAUAAYACAAAACEAWvQsW78AAAAVAQAACwAA&#10;AAAAAAAAAAAAAAAfAQAAX3JlbHMvLnJlbHNQSwECLQAUAAYACAAAACEAdIVQJsMAAADbAAAADwAA&#10;AAAAAAAAAAAAAAAHAgAAZHJzL2Rvd25yZXYueG1sUEsFBgAAAAADAAMAtwAAAPcCAAAAAA==&#10;" path="m3529,r,l,7482r2994,l2994,7477r1270,5l4304,7482r,l4304,7482,4304,,3529,xe" fillcolor="#cddc29" stroked="f">
                    <v:fill opacity="13107f"/>
                    <v:path arrowok="t" o:connecttype="custom" o:connectlocs="2309155,0;2309155,0;0,4897893;1959085,4897893;1959085,4894620;2790093,4897893;2816266,4897893;2816266,4897893;2816266,4897893;2816266,0;2309155,0" o:connectangles="0,0,0,0,0,0,0,0,0,0,0"/>
                  </v:shape>
                  <v:rect id="CoverRectangle" o:spid="_x0000_s1029" style="position:absolute;left:3886;top:3600;width:68009;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LIvwAAANoAAAAPAAAAZHJzL2Rvd25yZXYueG1sRI9Bi8Iw&#10;FITvwv6H8Ba8aeqyytI1SiksuEer9fxonm0xeSlN1OqvN4LgcZiZb5jlerBGXKj3rWMFs2kCgrhy&#10;uuVawX73N/kB4QOyRuOYFNzIw3r1MVpiqt2Vt3QpQi0ihH2KCpoQulRKXzVk0U9dRxy9o+sthij7&#10;WuoerxFujfxKkoW02HJcaLCjvKHqVJytgjnT/zwUd5OXWXY8Y1XmB2+UGn8O2S+IQEN4h1/tjVbw&#10;Dc8r8QbI1QMAAP//AwBQSwECLQAUAAYACAAAACEA2+H2y+4AAACFAQAAEwAAAAAAAAAAAAAAAAAA&#10;AAAAW0NvbnRlbnRfVHlwZXNdLnhtbFBLAQItABQABgAIAAAAIQBa9CxbvwAAABUBAAALAAAAAAAA&#10;AAAAAAAAAB8BAABfcmVscy8ucmVsc1BLAQItABQABgAIAAAAIQDLPpLIvwAAANoAAAAPAAAAAAAA&#10;AAAAAAAAAAcCAABkcnMvZG93bnJldi54bWxQSwUGAAAAAAMAAwC3AAAA8wIAAAAA&#10;" fillcolor="#201547 [3206]" stroked="f" strokeweight="2pt"/>
                  <v:shape id="TriangleTop" o:spid="_x0000_s1030" style="position:absolute;left:3600;top:3600;width:18648;height:19765;visibility:visible;mso-wrap-style:square;v-text-anchor:top" coordsize="2939,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lmuwAAANoAAAAPAAAAZHJzL2Rvd25yZXYueG1sRE/LqsIw&#10;EN0L/kMYwZ2mutBrNYpICm71Cm6HZmyLzaQ2sda/NwvB5eG8N7ve1qKj1leOFcymCQji3JmKCwWX&#10;/2zyB8IHZIO1Y1LwJg+77XCwwdS4F5+oO4dCxBD2KSooQ2hSKX1ekkU/dQ1x5G6utRgibAtpWnzF&#10;cFvLeZIspMWKY0OJDR1Kyu/np1Wwb7Re6bk+HZbZtcbLUmePTis1HvX7NYhAffiJv+6jURC3xivx&#10;BsjtBwAA//8DAFBLAQItABQABgAIAAAAIQDb4fbL7gAAAIUBAAATAAAAAAAAAAAAAAAAAAAAAABb&#10;Q29udGVudF9UeXBlc10ueG1sUEsBAi0AFAAGAAgAAAAhAFr0LFu/AAAAFQEAAAsAAAAAAAAAAAAA&#10;AAAAHwEAAF9yZWxzLy5yZWxzUEsBAi0AFAAGAAgAAAAhAIw8KWa7AAAA2gAAAA8AAAAAAAAAAAAA&#10;AAAABwIAAGRycy9kb3ducmV2LnhtbFBLBQYAAAAAAwADALcAAADvAgAAAAA=&#10;" path="m,l1469,3114,2939,,,xe" fillcolor="#cddc29" stroked="f">
                    <v:path arrowok="t" o:connecttype="custom" o:connectlocs="0,0;932101,1976455;1864837,0;0,0" o:connectangles="0,0,0,0"/>
                  </v:shape>
                  <v:shapetype id="_x0000_t202" coordsize="21600,21600" o:spt="202" path="m,l,21600r21600,l21600,xe">
                    <v:stroke joinstyle="miter"/>
                    <v:path gradientshapeok="t" o:connecttype="rect"/>
                  </v:shapetype>
                  <v:shape id="CoverProjectBar" o:spid="_x0000_s1031" type="#_x0000_t202" style="position:absolute;left:3600;top:88973;width:68401;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HQwwQAAANsAAAAPAAAAZHJzL2Rvd25yZXYueG1sRE9Li8Iw&#10;EL4L+x/CLHjTdD2IVtOyuPgAD2JdFo9jM7Zlm0lpotZ/bwTB23x8z5mnnanFlVpXWVbwNYxAEOdW&#10;V1wo+D0sBxMQziNrrC2Tgjs5SJOP3hxjbW+8p2vmCxFC2MWooPS+iaV0eUkG3dA2xIE729agD7At&#10;pG7xFsJNLUdRNJYGKw4NJTa0KCn/zy5GwcqcdrvFfb+uzN92uvzxxy6rrVL9z+57BsJT59/il3uj&#10;w/wpPH8JB8jkAQAA//8DAFBLAQItABQABgAIAAAAIQDb4fbL7gAAAIUBAAATAAAAAAAAAAAAAAAA&#10;AAAAAABbQ29udGVudF9UeXBlc10ueG1sUEsBAi0AFAAGAAgAAAAhAFr0LFu/AAAAFQEAAAsAAAAA&#10;AAAAAAAAAAAAHwEAAF9yZWxzLy5yZWxzUEsBAi0AFAAGAAgAAAAhAK5odDDBAAAA2wAAAA8AAAAA&#10;AAAAAAAAAAAABwIAAGRycy9kb3ducmV2LnhtbFBLBQYAAAAAAwADALcAAAD1AgAAAAA=&#10;" fillcolor="#cddc29" stroked="f">
                    <v:stroke joinstyle="round"/>
                    <v:textbox inset="10mm,0,10mm,0">
                      <w:txbxContent>
                        <w:p w14:paraId="0941B5A7" w14:textId="14DF59E1" w:rsidR="006667C5" w:rsidRPr="00F41119" w:rsidRDefault="006667C5"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 xml:space="preserve">Technical Report Series No. </w:t>
                          </w:r>
                          <w:r>
                            <w:rPr>
                              <w:color w:val="F8FAE8" w:themeColor="background2"/>
                            </w:rPr>
                            <w:t>340</w:t>
                          </w:r>
                        </w:p>
                      </w:txbxContent>
                    </v:textbox>
                  </v:shape>
                  <v:rect id="Rectangle 240" o:spid="_x0000_s1032" style="position:absolute;left:71941;width:3600;height:106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hHwQAAANwAAAAPAAAAZHJzL2Rvd25yZXYueG1sRE/LisIw&#10;FN0L8w/hCu409TUO1SiDqDju7ExdX5prW2xuahO1/v1kIbg8nPdi1ZpK3KlxpWUFw0EEgjizuuRc&#10;wd/vtv8FwnlkjZVlUvAkB6vlR2eBsbYPPtI98bkIIexiVFB4X8dSuqwgg25ga+LAnW1j0AfY5FI3&#10;+AjhppKjKPqUBksODQXWtC4ouyQ3o+A2nf1s2tN1N06jdHZIq+ne72qlet32ew7CU+vf4pd7rxWM&#10;JmF+OBOOgFz+AwAA//8DAFBLAQItABQABgAIAAAAIQDb4fbL7gAAAIUBAAATAAAAAAAAAAAAAAAA&#10;AAAAAABbQ29udGVudF9UeXBlc10ueG1sUEsBAi0AFAAGAAgAAAAhAFr0LFu/AAAAFQEAAAsAAAAA&#10;AAAAAAAAAAAAHwEAAF9yZWxzLy5yZWxzUEsBAi0AFAAGAAgAAAAhAL8w+EfBAAAA3AAAAA8AAAAA&#10;AAAAAAAAAAAABwIAAGRycy9kb3ducmV2LnhtbFBLBQYAAAAAAwADALcAAAD1AgAAAAA=&#10;" fillcolor="white [3212]" stroked="f" strokeweight="2pt"/>
                  <v:rect id="Rectangle 241" o:spid="_x0000_s1033" style="position:absolute;width:3593;height:10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F3cxQAAANwAAAAPAAAAZHJzL2Rvd25yZXYueG1sRI9Ba8JA&#10;FITvBf/D8oTe6ia2UYmuQUoraW9V4/mRfSbB7NuYXTX9991CocdhZr5hVtlgWnGj3jWWFcSTCARx&#10;aXXDlYLD/v1pAcJ5ZI2tZVLwTQ6y9ehhham2d/6i285XIkDYpaig9r5LpXRlTQbdxHbEwTvZ3qAP&#10;sq+k7vEe4KaV0yiaSYMNh4UaO3qtqTzvrkbBNZl/vA3Hy/a5iIr5Z9Emud92Sj2Oh80ShKfB/4f/&#10;2rlWMH2J4fdMOAJy/QMAAP//AwBQSwECLQAUAAYACAAAACEA2+H2y+4AAACFAQAAEwAAAAAAAAAA&#10;AAAAAAAAAAAAW0NvbnRlbnRfVHlwZXNdLnhtbFBLAQItABQABgAIAAAAIQBa9CxbvwAAABUBAAAL&#10;AAAAAAAAAAAAAAAAAB8BAABfcmVscy8ucmVsc1BLAQItABQABgAIAAAAIQDQfF3cxQAAANwAAAAP&#10;AAAAAAAAAAAAAAAAAAcCAABkcnMvZG93bnJldi54bWxQSwUGAAAAAAMAAwC3AAAA+QIAAAAA&#10;" fillcolor="white [3212]" stroked="f" strokeweight="2pt"/>
                </v:group>
                <v:rect id="Rectangle 1" o:spid="_x0000_s1034"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yG7wQAAANoAAAAPAAAAZHJzL2Rvd25yZXYueG1sRE9La8JA&#10;EL4X+h+WKXhrNq34IM0qIq3Y3kwbz0N2moRmZ9PsauK/dwOCp+Hje066HkwjztS52rKClygGQVxY&#10;XXOp4Of743kJwnlkjY1lUnAhB+vV40OKibY9H+ic+VKEEHYJKqi8bxMpXVGRQRfZljhwv7Yz6APs&#10;Sqk77EO4aeRrHM+lwZpDQ4UtbSsq/rKTUXCaLT7fh+P/bprH+eIrb2Z7v2uVmjwNmzcQngZ/F9/c&#10;ex3mw/jKeOXqCgAA//8DAFBLAQItABQABgAIAAAAIQDb4fbL7gAAAIUBAAATAAAAAAAAAAAAAAAA&#10;AAAAAABbQ29udGVudF9UeXBlc10ueG1sUEsBAi0AFAAGAAgAAAAhAFr0LFu/AAAAFQEAAAsAAAAA&#10;AAAAAAAAAAAAHwEAAF9yZWxzLy5yZWxzUEsBAi0AFAAGAAgAAAAhAC3PIbvBAAAA2gAAAA8AAAAA&#10;AAAAAAAAAAAABwIAAGRycy9kb3ducmV2LnhtbFBLBQYAAAAAAwADALcAAAD1AgAAAAA=&#10;" fillcolor="white [3212]" stroked="f" strokeweight="2pt"/>
                <w10:wrap anchorx="page" anchory="page"/>
              </v:group>
            </w:pict>
          </mc:Fallback>
        </mc:AlternateContent>
      </w:r>
      <w:r w:rsidR="004039BC" w:rsidRPr="001303BA">
        <w:rPr>
          <w:noProof/>
          <w:lang w:val="en-GB" w:eastAsia="en-GB"/>
        </w:rPr>
        <mc:AlternateContent>
          <mc:Choice Requires="wps">
            <w:drawing>
              <wp:anchor distT="0" distB="0" distL="114300" distR="114300" simplePos="0" relativeHeight="251659776" behindDoc="0" locked="0" layoutInCell="1" allowOverlap="1" wp14:anchorId="0D1D95EC" wp14:editId="034EF666">
                <wp:simplePos x="0" y="0"/>
                <wp:positionH relativeFrom="page">
                  <wp:posOffset>356870</wp:posOffset>
                </wp:positionH>
                <wp:positionV relativeFrom="page">
                  <wp:posOffset>358775</wp:posOffset>
                </wp:positionV>
                <wp:extent cx="1864360" cy="3963035"/>
                <wp:effectExtent l="19050" t="0" r="2540" b="0"/>
                <wp:wrapNone/>
                <wp:docPr id="9" name="TriangleTopACIPlai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FB3F11" id="TriangleTopACIPlain" o:spid="_x0000_s1026" style="position:absolute;margin-left:28.1pt;margin-top:28.25pt;width:146.8pt;height:312.05pt;flip:y;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O9bKwQAAIEPAAAOAAAAZHJzL2Uyb0RvYy54bWysV02P2zYQvRfofyB0LNCVZGnttbHeoE2Q&#10;okDSFs22SI80RVlCKVIlacubX9/hUNLS7tpKnfgg8+PNm+EjKc3cvzo0guy5NrWS6yi9SSLCJVNF&#10;Lbfr6I/Ht9/fRcRYKgsqlOTr6Imb6NXDt9/cd+2Kz1SlRME1ARJpVl27jipr21UcG1bxhpob1XIJ&#10;k6XSDbXQ1du40LQD9kbEsySZx53SRasV48bA6Bs/GT0gf1lyZn8tS8MtEesIYrP41PjcuGf8cE9X&#10;W03bqmZ9GPSKKBpaS3A6Ur2hlpKdrv9D1dRMK6NKe8NUE6uyrBnHNcBq0uRkNR8q2nJcC4hj2lEm&#10;8/Vo2S/7D+1v2oVu2neK/W1AkbhrzWqccR0DGLLp3qsC9pDurMLFHkrdkFLU7Z+w9TgCCyIHVPdp&#10;VJcfLGEwmN7N82wOm8BgLlvOsyS7dfrHdOWIXAhsZ+xPXGGb7t8Z67engBaKWxBJG4jgEVjKRsBO&#10;fReThHRktsyW/V6OmPQIU5EsTfNTzCzApPl8eYYqC2COhrzMlgcwF9EZttsAlpyhmh9hXl7g4gjz&#10;YkhMSWlqyz+GgqVzCOw2SWYnagzgv0KwCzBN4HcG/PFY5svEIRZJp8jD/XERTwQewicDDzd1UpIQ&#10;PMl8rF/n9FvcndHverEXd6DGReovkhuZpzxcLbi7tBdjv1pwd0aAOc8+R/Dl1AEMJcyzKeoQDTEk&#10;kycl1A+DnvIQGkyyhxpOyhKCJ2UJT3ivSrL46oIvvBrnmb9U72TSw9V6T6pytd79TianH7yLr+/T&#10;L98APnp9uw+WO7ZnmU/1dh9CZ3CWPZQPmac8hAaT7KGEk6qE4OHmYNyQf2yHDINWQ9LBDrLPOqBF&#10;qEtnE0xxWmVcijMKCFcB8pmhC69zn9KAFWY0l41B0NA4/V/GoFVojJ9zWMzneQY5QmN8Ww7G/r9f&#10;voYc2mXPArNnGxHInnVEIHve+AvfUutUc6t1TdJBqoeHiFS+laNujdrzR4Uo6wT00Q9yPc+y3aZm&#10;P/JPIdZVERBtBr/eJ1KkSxyezxcoHPjHYT86nku3miNOIUPuPlagH07DMD/8e9bjeIc5JpThfsfd&#10;4jGbHQVBz88ZrVGiLt7WQjgRsMLhr4UmewrqUsa4tMP+HyEFHiSpnKX35EYwR3dpuSt1IEG3T4I7&#10;XiF/5yWpC1T4giOcqmjBvX9IrnyKBzGPoeFqkNChS/A/cvt0f0S+tIge70w5VmKjsb9IF41HC/Ss&#10;pB2Nm1oqjSfqhECM8pUeP4jkpXEqbVTxBIWMVr4OhLoVGpXSnyLSQQ24jsw/O6p5RMTPEoqsZZrn&#10;cL0tdvLbxQw6OpzZhDNUMqBaR3BFfPO1hR6Y7Fpdbyvw5EWT6gcooMraFTe4iz6qvgN1Hsre16Su&#10;kAz7iHqunB/+BQAA//8DAFBLAwQUAAYACAAAACEAkJJGvt8AAAAJAQAADwAAAGRycy9kb3ducmV2&#10;LnhtbEyPwU7DMBBE70j8g7VIvSDq0NJQQpyqrYQQ4kSBuxNv40C8DrHbhL/v9gSn1WhGs2/y1eha&#10;ccQ+NJ4U3E4TEEiVNw3VCj7en26WIELUZHTrCRX8YoBVcXmR68z4gd7wuIu14BIKmVZgY+wyKUNl&#10;0ekw9R0Se3vfOx1Z9rU0vR643LVyliSpdLoh/mB1h1uL1ffu4BS8bO/L1+fPn7i/NrYcNpswfjVB&#10;qcnVuH4EEXGMf2E44zM6FMxU+gOZIFoFi3TGyfNdgGB/fvfAU0oF6TJJQRa5/L+gOAEAAP//AwBQ&#10;SwECLQAUAAYACAAAACEAtoM4kv4AAADhAQAAEwAAAAAAAAAAAAAAAAAAAAAAW0NvbnRlbnRfVHlw&#10;ZXNdLnhtbFBLAQItABQABgAIAAAAIQA4/SH/1gAAAJQBAAALAAAAAAAAAAAAAAAAAC8BAABfcmVs&#10;cy8ucmVsc1BLAQItABQABgAIAAAAIQDTWO9bKwQAAIEPAAAOAAAAAAAAAAAAAAAAAC4CAABkcnMv&#10;ZTJvRG9jLnhtbFBLAQItABQABgAIAAAAIQCQkka+3wAAAAkBAAAPAAAAAAAAAAAAAAAAAIUGAABk&#10;cnMvZG93bnJldi54bWxQSwUGAAAAAAQABADzAAAAkQcAAAAA&#10;" path="m2,c-8,3333,19,6671,9,10004l10009,4,2,xe" fillcolor="#00b2a9 [3204]" stroked="f" strokeweight="2pt">
                <v:path arrowok="t" o:connecttype="custom" o:connectlocs="373,0;1676,3963035;1864360,1585;373,0" o:connectangles="0,0,0,0"/>
                <w10:wrap anchorx="page" anchory="page"/>
              </v:shape>
            </w:pict>
          </mc:Fallback>
        </mc:AlternateContent>
      </w:r>
      <w:r w:rsidR="00D868AD">
        <w:rPr>
          <w:noProof/>
          <w:lang w:val="en-GB" w:eastAsia="en-GB"/>
        </w:rPr>
        <mc:AlternateContent>
          <mc:Choice Requires="wps">
            <w:drawing>
              <wp:anchor distT="0" distB="0" distL="114300" distR="114300" simplePos="0" relativeHeight="251655680" behindDoc="0" locked="1" layoutInCell="1" allowOverlap="1" wp14:anchorId="6B889C15" wp14:editId="074F49C0">
                <wp:simplePos x="0" y="0"/>
                <wp:positionH relativeFrom="page">
                  <wp:posOffset>358140</wp:posOffset>
                </wp:positionH>
                <wp:positionV relativeFrom="page">
                  <wp:posOffset>4244340</wp:posOffset>
                </wp:positionV>
                <wp:extent cx="4020185" cy="4651375"/>
                <wp:effectExtent l="0" t="0" r="0" b="0"/>
                <wp:wrapNone/>
                <wp:docPr id="11"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20185" cy="4651375"/>
                        </a:xfrm>
                        <a:custGeom>
                          <a:avLst/>
                          <a:gdLst>
                            <a:gd name="T0" fmla="*/ 2939 w 6467"/>
                            <a:gd name="T1" fmla="*/ 0 h 7482"/>
                            <a:gd name="T2" fmla="*/ 0 w 6467"/>
                            <a:gd name="T3" fmla="*/ 0 h 7482"/>
                            <a:gd name="T4" fmla="*/ 0 w 6467"/>
                            <a:gd name="T5" fmla="*/ 7482 h 7482"/>
                            <a:gd name="T6" fmla="*/ 6467 w 6467"/>
                            <a:gd name="T7" fmla="*/ 7482 h 7482"/>
                            <a:gd name="T8" fmla="*/ 2939 w 6467"/>
                            <a:gd name="T9" fmla="*/ 0 h 7482"/>
                          </a:gdLst>
                          <a:ahLst/>
                          <a:cxnLst>
                            <a:cxn ang="0">
                              <a:pos x="T0" y="T1"/>
                            </a:cxn>
                            <a:cxn ang="0">
                              <a:pos x="T2" y="T3"/>
                            </a:cxn>
                            <a:cxn ang="0">
                              <a:pos x="T4" y="T5"/>
                            </a:cxn>
                            <a:cxn ang="0">
                              <a:pos x="T6" y="T7"/>
                            </a:cxn>
                            <a:cxn ang="0">
                              <a:pos x="T8" y="T9"/>
                            </a:cxn>
                          </a:cxnLst>
                          <a:rect l="0" t="0" r="r" b="b"/>
                          <a:pathLst>
                            <a:path w="6467" h="7482">
                              <a:moveTo>
                                <a:pt x="2939" y="0"/>
                              </a:moveTo>
                              <a:lnTo>
                                <a:pt x="0" y="0"/>
                              </a:lnTo>
                              <a:lnTo>
                                <a:pt x="0" y="7482"/>
                              </a:lnTo>
                              <a:lnTo>
                                <a:pt x="6467" y="7482"/>
                              </a:lnTo>
                              <a:lnTo>
                                <a:pt x="2939" y="0"/>
                              </a:lnTo>
                              <a:close/>
                            </a:path>
                          </a:pathLst>
                        </a:custGeom>
                        <a:solidFill>
                          <a:schemeClr val="accent6">
                            <a:lumMod val="40000"/>
                            <a:lumOff val="60000"/>
                            <a:alpha val="6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C8AE9" id="OverlayLeft" o:spid="_x0000_s1026" style="position:absolute;margin-left:28.2pt;margin-top:334.2pt;width:316.55pt;height:366.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467,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0cAQMAAJ0HAAAOAAAAZHJzL2Uyb0RvYy54bWysVdtu2zAMfR+wfxD0OGB1Lk7SBHWKoUWH&#10;Ad0FaPYBiizHxmRJk5Q43dePlGLXSdtsGJYHxxKPKZ5Diry63teS7IR1lVYZHV4MKBGK67xSm4x+&#10;X929v6TEeaZyJrUSGX0Ujl4v3765asxCjHSpZS4sASfKLRqT0dJ7s0gSx0tRM3ehjVBgLLStmYel&#10;3SS5ZQ14r2UyGgymSaNtbqzmwjnYvY1Gugz+i0Jw/7UonPBEZhRi8+Fpw3ONz2R5xRYby0xZ8UMY&#10;7B+iqFml4NDO1S3zjGxt9cxVXXGrnS78Bdd1ooui4iJwADbDwQmbh5IZEbiAOM50Mrn/55Z/2T2Y&#10;bxZDd+Ze8x8OFEka4xadBRcOMGTdfNY55JBtvQ5k94Wt8UugQfZB08dOU7H3hMNmOgBilxNKONjS&#10;6WQ4nk1Q9YQt2s/51vmPQgdXbHfvfExKDm9B0pwoVsO5K0hgUUvIz7uEjObjOWnINJ3ODknsYMMe&#10;bEBKMksvR6eY0RHmZT/jI8zLftIjzMt+gHwXNsbySkjTHgxpvcJu1oOd8Qb3rjv0jFbzHqyvFaRn&#10;0yaAlW1O+F4dkgJvhOEdH4RKMNphBWCGIM2r4SHDgMIMvgKGHCB4/FdgEBrBbe2c9wxSIjhUBjA5&#10;DwalEDzvhxE/OnC10EVO+4elBPrHOpaVYR4lQqr4SpqMhrokZUZD8aGl1jux0gHjUStMSjg5NCE4&#10;8AkgVR8YNW1Rra39N8FZxLSFDs5ac/sfYTEqYPtH5LPoWkdcaifi/UWu4SJ3/FG23mV2Wlb5XSUl&#10;sg4tXdxIS3YMmjHjXCg/DdUjtzV0lrifDuAXZYVtaN5xe/q0zaQp2ckuHNz5DyEdHS1DFSqNocTQ&#10;cSd0OWxsOCzcYq3zR2hyVscZATMNXkptf1HSwHzIqPu5ZVZQIj8paMDzYZqC6j4s0slsBAvbt6z7&#10;FqY4uMqop3Br8PXGxyG0NbbalHDSMCih9AdorkWFLTDEF6M6LGAGBHKHeYVDpr8OqKepuvwNAAD/&#10;/wMAUEsDBBQABgAIAAAAIQAS0nB64AAAAAsBAAAPAAAAZHJzL2Rvd25yZXYueG1sTI/LTsMwEEX3&#10;SPyDNUjsqF3UWkmIU5VHWHUB5bF24yGJiO1gO234e4YV7GY0R3fOLTezHdgRQ+y9U7BcCGDoGm96&#10;1yp4famvMmAxaWf04B0q+MYIm+r8rNSF8Sf3jMd9ahmFuFhoBV1KY8F5bDq0Oi78iI5uHz5YnWgN&#10;LTdBnyjcDvxaCMmt7h196PSIdx02n/vJKtg98elhV/fb91v5uJzvw9vXmNdKXV7M2xtgCef0B8Ov&#10;PqlDRU4HPzkT2aBgLVdEKpAyo4EAmeVrYAciV0LkwKuS/+9Q/QAAAP//AwBQSwECLQAUAAYACAAA&#10;ACEAtoM4kv4AAADhAQAAEwAAAAAAAAAAAAAAAAAAAAAAW0NvbnRlbnRfVHlwZXNdLnhtbFBLAQIt&#10;ABQABgAIAAAAIQA4/SH/1gAAAJQBAAALAAAAAAAAAAAAAAAAAC8BAABfcmVscy8ucmVsc1BLAQIt&#10;ABQABgAIAAAAIQCGoR0cAQMAAJ0HAAAOAAAAAAAAAAAAAAAAAC4CAABkcnMvZTJvRG9jLnhtbFBL&#10;AQItABQABgAIAAAAIQAS0nB64AAAAAsBAAAPAAAAAAAAAAAAAAAAAFsFAABkcnMvZG93bnJldi54&#10;bWxQSwUGAAAAAAQABADzAAAAaAYAAAAA&#10;" path="m2939,l,,,7482r6467,l2939,xe" fillcolor="#dbd9e1 [1305]" stroked="f">
                <v:fill opacity="39321f"/>
                <v:path arrowok="t" o:connecttype="custom" o:connectlocs="1827018,0;0,0;0,4651375;4020185,4651375;1827018,0" o:connectangles="0,0,0,0,0"/>
                <w10:wrap anchorx="page" anchory="page"/>
                <w10:anchorlock/>
              </v:shape>
            </w:pict>
          </mc:Fallback>
        </mc:AlternateContent>
      </w:r>
      <w:r w:rsidR="00D868AD" w:rsidRPr="00D55628">
        <w:rPr>
          <w:noProof/>
          <w:lang w:val="en-GB" w:eastAsia="en-GB"/>
        </w:rPr>
        <mc:AlternateContent>
          <mc:Choice Requires="wps">
            <w:drawing>
              <wp:anchor distT="0" distB="0" distL="114300" distR="114300" simplePos="0" relativeHeight="251657216" behindDoc="0" locked="1" layoutInCell="1" allowOverlap="1" wp14:anchorId="7EE618F0" wp14:editId="07CD020E">
                <wp:simplePos x="0" y="0"/>
                <wp:positionH relativeFrom="page">
                  <wp:posOffset>356235</wp:posOffset>
                </wp:positionH>
                <wp:positionV relativeFrom="page">
                  <wp:posOffset>357505</wp:posOffset>
                </wp:positionV>
                <wp:extent cx="1894205" cy="2007870"/>
                <wp:effectExtent l="0" t="0" r="0" b="0"/>
                <wp:wrapNone/>
                <wp:docPr id="44" name="TriangleTop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cstate="email">
                            <a:extLst>
                              <a:ext uri="{28A0092B-C50C-407E-A947-70E740481C1C}">
                                <a14:useLocalDpi xmlns:a14="http://schemas.microsoft.com/office/drawing/2010/main"/>
                              </a:ext>
                            </a:extLst>
                          </a:blip>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152E80" id="TriangleTopACI" o:spid="_x0000_s1026" style="position:absolute;margin-left:28.05pt;margin-top:28.15pt;width:149.15pt;height:158.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XqnzzAgAALgcAAA4AAABkcnMvZTJvRG9jLnhtbKxVXW+bMBR9n7T/&#10;YPlx0grkO6ikmlZ1qtR9aM1+gGNMQDO2Zzsh3a/fvSZQljVdNe0FbO7x9bnn2ofLq0MtyV5YV2mV&#10;0eQipkQorvNKbTP6bX3zdkGJ80zlTGolMvogHL1avX512ZhUjHSpZS4sgSTKpY3JaOm9SaPI8VLU&#10;zF1oIxQEC21r5mFqt1FuWQPZaxmN4ngWNdrmxmounIOv122QrkL+ohDcfy4KJzyRGQVuPjxteG7w&#10;Ga0uWbq1zJQVP9Jg/8CiZpWCTftU18wzsrPVH6nqilvtdOEvuK4jXRQVF6EGqCaJT6q5L5kRoRYQ&#10;x5leJvf/0vJP+3vzxSJ1Z+40/+5AkagxLu0jOHGAIZvmo86hh2zndSj2UNgaV0IZ5BA0feg1FQdP&#10;OHxMFsvJKJ5SwiEGHZsv5kH1iKXdcr5z/oPQIRXb3znfNiWHUZA0J4rVsO8aGljUEvrzJiLJfDIl&#10;DRlPlrNjE3tYMoCNZ8s5KQm+TmGjASw+k2r8G+bpPJMBBumcSQUS9OTjM5RmA8wzBc4HsJMCQdZt&#10;JxwrOy35QR3FhBFheDfj0EGjHXYOlYX2rBPUCFIACpU/AwbhEDx+ERjUQfD0RWCoH8GhVR2N9n2k&#10;b+FCn15lSwlc5U3bXsM8Vo3scUiajIYjQkoY4CHASK33Yq0DxmP5KHXYuTsmsOcjRqohtlWqO8Jd&#10;rHubkK/dESp5HvbUtl0iLrUTbTOwjtCVvjaUZHBnNrIyN5WUWBCOjz4BLvd3N20d6FrzXS2Uby3V&#10;Csk8+LkrK+MosamoNyLPqL3N4WpxsHMPtxH8uZKt6M5b4TmQZGkBPL5Ck1rqfQAYD1nKcLyURtYt&#10;Er8E20GnQfd26UbnD+A6VremDT8ZGJTa/qSkAcPOqPuxY1ZQIm8VOOIymUzQ4cNkMp2PYGKHkc0w&#10;whSHVBn1FK4DDt97mMGSnbHVtoSdknBUlH4HbldUoaBHVkeyYMqhM8cfCLr+cB5Qj7+51S8AAAD/&#10;/wMAUEsDBAoAAAAAAAAAIQC3db0E/UQAAP1EAAAVAAAAZHJzL21lZGlhL2ltYWdlMS5qcGVn/9j/&#10;4AAQSkZJRgABAQEAYABgAAD/2wBDAAgGBgcGBQgHBwcJCQgKDBQNDAsLDBkSEw8UHRofHh0aHBwg&#10;JC4nICIsIxwcKDcpLDAxNDQ0Hyc5PTgyPC4zNDL/2wBDAQkJCQwLDBgNDRgyIRwhMjIyMjIyMjIy&#10;MjIyMjIyMjIyMjIyMjIyMjIyMjIyMjIyMjIyMjIyMjIyMjIyMjIyMjL/wAARCADTAM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2bozR+bcB&#10;r6KNdxu7U7LmH3cd8ep/BqY8rBPta3JuI0Uf6fZriSPP/PWM4+mf1bpVe6WK5jiuLJvLu4iWuL6N&#10;jFAo7AZ53f7uM9Ap60Sx7ZbS+jmksSGwbxY9kl2T/wA84B1HUZ4Bzzg8V5qh/X9f15nvc6tdf1/X&#10;9I17Ib7WWdYrYtPIIluLZvkmUcn5P4TnZkcfT1sXc0TXjohAVPkRj6AYGfyqRSlr5DizNt5MP2h4&#10;SAD5hGQWAAAJ+TIA46VjM3mfvFIOevp+NGGgnUnL5fdv+LMqk3ZGim/ft+YMOBn+tP1O9Gj2Wwzm&#10;OUYlnk5yg6qn8ifw9KNNmEcEl3ONyQYEeerv2U+oHX6fWsC5kbUtTIkfekDeZMxP3pDyAfp1/EVG&#10;OrKC9nHfr6f8EKEXN3lsjoLiZdRtBeQYHTz0T1PRh7H9D+FVA7DHoBwBWfZvceH9W+xyoVjcbokf&#10;kFSMmM+2Dke30rZuoURFuYDm3k5U9Svqp9x+v41rhq3tFyy+Jfj/AF1FNcm2zHW0jGG4QnJKBgPT&#10;B/w3VDqEf72JwSd8SN+m0/qpptjLtvo1b7r5Q9z8w25/X9KknUyx2pZ1RER1d3OFVVO5ifQANmhx&#10;SxKfdfk/+CLmfJ8ys0D3WNis8vAwBksKJtKuWRpvKbfEMS45OP8AaA6fjXOfar/xZfSWGlyS2ukI&#10;2HcfK82O7H0746KOuTyUbQbO3hkvfDepu2oWDAs0RP4EEjDAkYz05HYiqlWgna3qNQlbc2Nh6c5H&#10;bP8Ann/9VNvdRTSbNJ2i864mYpa24/5av6nBBCg4ye54GOSH22o2tzpC61cOtvZhcz7WG5JBwY1H&#10;XJP3R6MCehqhYyiV7jxVrMQWNQEtbXPAX+CJT78kn0yepqqklBabvYSvJ6kc2gC8C6l4r1XbJKN0&#10;UeTjHoiKM49+BXR6Vo+l2sS2CTyQ2bx4MhJVt8o2g8k4I3D/AL4NcXZzXPiHxJHJdHzGkfzJewEa&#10;jJA9AFGAPpXR61dnZDGR+9mZrhz+YX9d/wCYrlceapGLd+r+X/BsatNKwt5KI9Yt7i9QLb6jAYLt&#10;cfcbmKb8QwLflW00kkUNtfSTRLfYNo28ZH2mPKvIw/uqq+b78DvWRriDUNIkuwMySIt/GoHTpFcD&#10;/voRv/wM1l3Ot2z2EJVpmuJkWO6TooC4BKn1cJHk/wCx7mu+nSlKTjFX6nFXxFOjTU6srdDYt8XR&#10;Zw0kNvJGVQnrHbA4Zs/33J2g/wB5nPata4El3bSm3BtyLWIKIEVhGuQQNpGCoGAR6Vw8/iW5kjki&#10;SOKKOSQOyqD0UYRf91RwB7knk1MniuRgFnjVfuAPESCNq7RTr4KuopxV7O/4M4qec4Sc7NtfLQuT&#10;RXSRgvb+eSfv2X3se8Tnr/usfpVKTbLG8kFwJo0IVyAVaMns6nBU/UY44JrbTU4buIPOgkVv+W0Z&#10;2v8Aj2P4jPvVfULRxsubVhJNtPkSkYEg7xOO4PTBPBII9+FezqNq1n/XQ9uNWSSd7p/1uYscrWyP&#10;cRAvKmBCn96VjhAfxOfwNdHp0KafZddywDHzHPmynufqcsfbA9K58PCNrRHMAubW5Vn7Rk4GfceY&#10;ufpW/dmVLK1jYbVAYkA5+bdg/oFpTbpUW1uOT55m7pymRrUscs1qWJPc+Y1FSaNybLv/AKG3/o1q&#10;KeG+A5asrSPObZ7uzdCqrKqZKJKu9VJ7gHjPA/KtVdUDzPNI1xDM4AknD7riYkYI808Rp9BnHrVa&#10;UPAzJKMFTtJBDLnuMjjPt2qLzfevr6uEoYhc/wCKPz/D5tjcDL2bWi6P+tDspTE1peGAh4XdYYyD&#10;kbBzwe/3UrJtradr2OOAb2lYLg9/r/jWELhozmORkP8AsnFadl4iNtFMkqAyyrsE69UU/e49SOMj&#10;tmvJlllTDU3ye9a78+59FheIKOIko1VyN/NfeaeuahDBCUgJa2thtjA/5ayHgt/wI4A9sUzQbAR4&#10;Nz+8WIGe4IH+sbPT8TgfSsneL3UUVTmC2w5PZnI4H4A5/EV0pzZ6ZFDgF5z50ny5wP4R/M/iK+ao&#10;wlWr3n6v9EfT1GoUrRItdt/7Z0w3DswuIWBMg4Kgn5WH0PH0IFZem64sETw3akknZNCnUMOjrn65&#10;B9Dit21u7eIMbhk8llKyKQRlSOe1caJBJK0x6t0z2XsK9vD5d9YxPtL2itX6/wDB6nhZpm31HDcq&#10;V5Pb/P5E8l1dSNlJBEucgJ1/Oo5ftE0TxSzzyRyZ3q0pIbOCcj8B+VDSqo578AY61PPa3ltGzz2M&#10;8SqpdtyjIAOMkdRzX0Lhh6Nk7L1PiPrGYYpuacpel/0KUUMlvZTWdvK0MEw2uqgcjOceuP503T4J&#10;9MuHmtpeXjaN1YZDKfX8cH6gUv22A/xikNzF/fX86UsLhp6uKKhmWY0lyKckU/7Fg+1G5KqZC24/&#10;Lxn6VPrMl7fxQrLIphgXCRINoBPVsdye5/oKkEyN91gaYZB0zUzwOHmrcqXoa0M4x9Kopuo35PVG&#10;5ouiWNjDI8V19qv2KwkxY8lc8kKf4iMKCenzY5qbxHZo1z9qiRk8gtZTIxyRJGOD9GQqw+ppnh7d&#10;c6bcwW0QMltHNKoBwXYrkH68Dj/ZpLXUYbnQHmuCSWg+xzkfwyIpa3kP1AeIn3WvmVRccROL32Xy&#10;/wA7n6DSxSq4eOI6Wu/L/hrGLdapLHpkVhF8pQsTIDggOoDJ/unCk/QVz0rsv8R/OpZp8k9fzplr&#10;bteSkY+VeTX0tOEMPS16bnxVWpVxuIcrbvRFJ52z1P51Gbhs9a9CttIsbTTR9sgGGCyzsBlkTPyR&#10;j0eQj8FBPcVx/iXSF0vWp4YciDefLBOcDNZU8VTqy5FuddfL54eKlO1ttO5JomqmC5EMjZik4Oe1&#10;dskrf2ZJjJWKZGxnpkHP8lrzKNHVgQOnPSu9jZjocKq2ZLohypHRVyB+bE/98+9eZmOFSrQrx9H9&#10;2h6uTYh8sqDei1X6mZPELaN7Z+kljcIR7xmRV/IxKfwrpHm8/TGJIwkwYDjjeDn/ANBFc1fSJPMH&#10;iYuBaXchP+95u38wVP8AwKpZdejtoJraJPNLYAfOACDxx34zXL9WnXjKEFc9bEYulh1GVV2PQ/D7&#10;D/Q8n/l0cf8AkU0V5tB4u1a1EYgkjUIhRcoDwTn+dFa0srxMI20+/wD4B5NTOcNKV7P7l/mdJIom&#10;EYJLxvmONo4cswOcpbxdhnrI3J+uQYotFtrma4R2aGWOMHyrf96sOAB+8kPBYnsvr2xiuwubWN5A&#10;0S7LeRQs04A8zOMbGOMovbgYx69qf2ZbewkXy0iYAAxJhVQblwQP4sgfez2x6VdSFXDUZVYTtZMn&#10;6/hsbWjQqUr3dr/1r93n0ucXf6Fe2JJ2+bGEEhaMZ2qfUduo/Osnd7n8q9K1u6jCR2cOMmOMzsO5&#10;CjC/h1+p9q4O/hWW4uHt4sRwYWQjux5OB7DH510YLOY1KqoVN9NfM8/H5E6dJ16Oy6eXcXSL6K2v&#10;IhdFjalwZAg5x3xXSTXj3lw9w5z5h3DJGAOwHPTFcSGj9a7Hwjdw3UUljKqM0fzRkqOV7j8D/Ouv&#10;FYGDbqQ0b38zDLs2qUI+yqapbeQ28KfYLjLEN5bYH4VzSSnFei3djBLaTxLHGGeNlB2+o+leYeaE&#10;baRgjgitcFT9nFq5zZriVi5xklsi9HM0Mi3EgBt93lu3eMnofp2NdnE4vdLiS9dxGIpoHdFy+wJk&#10;cdyM8fQVyOlSxSyyW7gMkqYIPf8AyK6nwvBJHGLGXLxx3caxOTncjgjB9xtx+VfMZqpLGyUn2fy0&#10;/I+ryScPqEeRaq6frqeZeIrq2u9QjWysxbQRxhEXcWd+T8zHux9uPSuwBMif2b4jtpbeZEAguxBi&#10;WLAwAw43p+o7Vy+v2cS+LHsbSZCA8cQkxhdxCgn6Ak12lmLhbhvD2vPC04XzLK8H+rZT3Bx93PBG&#10;Bjrjg51krNa+7tfodbrtU+dR961+W+pj3VpYWcCLBdtdXDNkusZSNVx0+bkk8dhjHfNU8VZu4yLy&#10;WN12tExjIGOo6/rVcpgZ9PavpMJRdGkoN3PgMxxixeIdVK17evzOp8JQo9pPExEUlzOot7g/8spY&#10;xuRvpuIB9s1Q1gyadJcvbxiG21NCskGM+U6vl4/qjqR9Metbllbm00+zgxlliDnjuw3H/wBCrE8V&#10;alFqF+VtifL4eYcbWnwFZh9Qq59wa4vqzq11V6XuevDMoUcHLDW1St6t7/ccvIiY6H863/DGnh45&#10;Lp41dA4SKJm2+dJzhM9h1Zj2VSaxmjz2rrNPjmtdGt7bG6edTtjABCI5H/jz4XP+yFHc12YuDqQ5&#10;F1POwGLhhputPovxegkWNa1yGD7R/oUEwmuLlxt81yQC2PUnaijsMD1rL8Tx/a723Yjkw7j+LvXX&#10;2FjCVYhYzZ2TMx2gYubtQfmBHVIske7n2rm9fZItRiVSGxbR5wwOCRux7dRx+PevIwdNwxiu76P8&#10;0e/nGK9pgLqNneOnbRvXzOcFhF3bFa9s8kelYiO6X/VQ5P8AGzbVx+Jz+BqqZVP8INbGjIbuKDMC&#10;JFZu7ZyCZXYEDI6gKrNyepIx0NenjYupBJdzxMmxfsK0p1P5X+n/AAxzt7hppRakxxYEa+uwABQf&#10;wArNNk/Zx+dbd7tN/cjYExKwwowAM1W8pXYKu4sxwAB1NXh4Ro01D7zLGY+eJrup9y7LoZn2OTP3&#10;h+dFdFrmlx2mgW7xA+ebgq8gPJG0cfTNFcSzmi9k7HtwyDEyim5pfeetsPLZCWwQg3SHqg9G7N9O&#10;tZ9+m3R2cx+UXlTEZOeMN8wHVQcdPatGWdIAYmVRJAoZ8rlIOn5t0/8Ar1l6jMk2kvIobLTI5aT7&#10;7gh8E+gPauXMb/VKnoTl3L9dpq/X+v6/4Y5jWbk2rXUgXc4kKRr/AHmJwB+dO0XS/Oe3sGbduyZp&#10;COvd2/nVa8/0zxDcvjMFpM4Q5+9Lk5P4Dj6k+ldRoiraWr3LofMn+RP9wdT+J4/A189haDq11SXe&#10;7/r+tz6nG140MO6kvkeXeILL+ytZuLZQfKDExk91PT9Ki0bVTpuqQXIJ2q2GA7jvXc+OND/tC2S+&#10;t1/eQrh8dSnr+H+elcANNP8Afr7yLlNH5zPlg7M9dEgnhWaB96OMqynrXlvi8fYtclCf8tPnI9Ce&#10;TU1lc6lYRGK2v5o4z1VScVUlsXupmlnllldjksepoVKS2IVWnzXbM6yv5IryGTJ4YV6zoPVWzx9q&#10;hI/8ergNO0AXeoQ26BsswLE/wrnk16TptqbK7e3dh+7vIQG7EfNg/TGK+fz2m1Km3vr+h9Pw/VjJ&#10;VOXbT9Tx2MzQ+KQ08Uk88V5l40PzMyvyAfwr0U3dl4p2aRdW9zo+qo5lsZJsMN2OQCAM5A5Xvx3G&#10;K8+0OeX/AISaK5jlZZfMeQSA85wTnPrXcaiLrWdFmfzZG1GxIuLefd+8GD6+oOMfU01Caoua1it0&#10;dWKxdGOOp4eStNrSXbfT52MORZreaSCfaZY3KuR0Jzzj2ppwwII61ua4trfaFb+JYnWITrGrxkHM&#10;kh4Kr7ghvwWsKVZLdVaeN4lY4UupAJHUCvfpV6ckknr2PjcTgq9OTlKLtd620LEl/eSxeXJcyFMY&#10;xnGR7+tV9vtT7aGa9YC1jeXMixfIMje33Rnpk44rWt/DV9Kw89kt1zyCdzD8Bx+tac8Ec7p1d2jI&#10;htpLqdYo1LE8nHYdzXcWlvIfJtbfzIbqZCfN4JtYBw0v1P3VHcnPam2Vnb6JBKGAZrSdobkhcyXB&#10;JDQBR6urqAOgIPpWlFJLYLK0qxvf3Lb7pl5VccLEv+yg4HqcnvXFVre292B61DCLCydav9nZd3vf&#10;zSJZhDbadKlvCYba3tzFDH/dXoPqeck9yTXMeLLK1Nql/biPz4ikNxhdrcLgE+oBGM+4rpbq4M1k&#10;1q6fvZmjyV6RqWO0H3baSPZfeuM8Q3he3uT/AM9pePzz/SvHniJU8fGMFfZfnc9v6squWTnUbu7y&#10;/K1/U54Oh6qK6HwliTULiJQcNFux7g//AF65lZD6iuk8J3S215dSkDeIRtGOq7hk/gdv519BL4T5&#10;OlG079vyKmv2v2XWrhWVhvIkX3yP8c1mowjkRwGO1g35Gt/xZO11Pb3IQAbTGT+OR/M1zZkcelNJ&#10;2VyZWcrx2O51OS117Qobq1ZJF8/52B+bdtx8w7Nx+PX3JVTw5LFcaVMohjWYOivIBguFDbc+uA2M&#10;9f0or4jNFOlipRR+k5PWhVwkWm+u+56MbAFVB8w+Xnac/vIx6f7S+x/SsnV7T7Jo77D+7adCNpyv&#10;Rs4H8PXpXTGVdnmZIAGA/f6LWL4gbdpZjxsxIreX6dRk+/Ne1j5N4Wa8jxMBShHFU5dbnKGxM+sS&#10;W0CgGW4bp7sST+pNdTJZDKrFGfLjUIgJ/hFV9It1gnu9SnACKxRGJ6d2P8h+Jqnd/ELQbaQoHklw&#10;eSiZH5965crgqMHVnvL8jtzOE8XJUqauo/maf2ZgoG0lfSvOfF8UehatGIYQIp1LlPQ55x6DmuqP&#10;xL8PhSR9oLf3fKPNcHqerf8ACWeKrYuhjt3kWNFzztzz+Jr0p4xxX7t6nHhsmjNtYmPu2/qxsaTp&#10;mo6tZC7trAiEngvIFz9M1qx+FdQkx50sNsvfBLt/ICuoVlgijgjBSOMbVCjAFG5mOVkf8a9COIq8&#10;urPnKuDwntG6cXbzZSstIttMiKwKSzfekc5dqg1+7+x6N55XEkayNu74Rcj8iTWqQR8oc59a5fxq&#10;/laDPlif9Hc8/wC0dleZmTvR13bX5ns5PG2KVtEk/wAjzrwXaw3XiBUuJXijWJ2LKm4+nTI9a9I/&#10;sn+z54buCUXNq5Kk/dPTDIR2ODXB/D5IDrFxJcTeUqwbQ2zdklhx+leneX5XmQu5ZSNy7T8pOOD9&#10;MfzpU8VGlRaWvdeReZYGWIxkZP3dFaXmtfQ5u08JNb6hG8+oGbS7eR5beAuMIW5OBnOfw4rL8eQ3&#10;M+nR3Ujfu45gFjU/LGCDgAdhwK7qytDcyHnZGo3SORwq1meNTDceDtRihtljSIRurnJdsSKOT+PQ&#10;VFGnGOHdTrJetl0WyNJ16tXH04TdlF27Xezdrs4z4eMJ73UNNkk2JdQqQ39x1bKP9Vbafzr0jy5L&#10;6Nb1lEcsikTxjpHMrbZF/BgcexFeT+B5PL8TxKP+Wkbr+mf/AGWvXreXbeMpwE1BS6jv9pjX5h/w&#10;OMBvrGfWtsPJxgpL0HmVKNStOk97KS/J/lcVrC182DUG8w38UPkqM/JxnEhHdwGZQewJqJreKCOW&#10;6ljeVI8YjX70rk4VF92bAq8SzsoCkk8ACqjyCa8EqgNDau0Vvjq8/wB2ST3CjKL7lz6Vs246R3Z5&#10;8YKq1OtrGC/4ZfMguN9vDBC7I9w9z59xKo4eRV5x/sqMKPZRXnevzEzR24/gG4/U16DdywyPB5Lb&#10;lSKcs46MwDKceoBXGfavOtZQjVJCTgMFI/IV52BjGpmbb6J2+5L/ADPTzOdSGWxvvJ6/e3+iMxR6&#10;tXbaZAkclrbhSTaWhlkPrJOVwv4LGT+VccEH94V1ug69p9nYSR3s0n2mSUySSFM7uAqgEdgqgfnX&#10;0GIjJpWWlz5vC1IR523q1ZfPR/hck8QxmTSJMpjy2DA/p/WuM+X1rpte1+3vrf7LaBhGxy7uMZx2&#10;Armyif3hWlJPl1OR2Ttc6jwKWlv7q383bGYt5XZkkggA57dT9c+1FSeCES2nur6WbyYQohD88sTn&#10;HHsKK8bHQwrrt1JJM+ky6ri44dKlC616HUS+JtRkuvOtYI2aLIlsXUiaMAclexH0GR3HeoYtYn1K&#10;wuEYRSQ4EglQbWU7gNrqc8+hBx1/DLKRs+2WcvZQ8C5JxJC/9yNh/rCPTp9BzVy0QGO4N8FGpNFl&#10;dow5QMCTKOgbge/r2rw61apOlJN9H/X9fgfbvB4eFpRgrr+v6/G+4njbUZU8Nx28Q2I2xXK9wVyc&#10;/U/zrzCOGW5lWGGNpJGOAqjJNewXsME0aJcKjRNBGSrDI+4K5xdf8O6U7R22xWHDNBF1/HvXTH3o&#10;pvsYQioK0VuYcXgS6aENPeRwysMiMIWx7E56/TNc5PFcaVqLRsQs9vJwV6ZHIIrtL/xpp4Xdbxzy&#10;v1CkbR+f/wBauPAudf1hiNvnTtuY/wAKgD+QAqnboUd1YfEG0nRVvVNvIFwSU3IT+HP6Vr2/iSzv&#10;GC299bu56ICAT+B5rgU8Li7V0s7wvcJIYzHLFsy3sQT14I+orAuraezuHt7iJo5YzhlYcirjiZSW&#10;krnI8Dhr6wX3Hs5vrgHc5UDsMVzPxBvGOhMHwC0caHHA5bf/ACrO8GavcXUzabcOZAse+J2OSuCM&#10;jP48VteIrNLjU7C1kAdTqCqQejLFGxb8OlY4irKTim9L3+5MuOHoUruEUn/wxyfgjwxDro1NbqG4&#10;MkARYwrFAjHdy3HsPzNdZpGrSXPhq1vrghAkTCRFBySrnHJ9sCq0mn2t34lvm8+4gvkWJo5YRjBA&#10;67geD04wQadrSImlrbWZBS3dVmjQ5KAjKk+xwfxxXPVrc+kd3+RvRw8ak4xntcbL4o1eWG0gtVjH&#10;2j/lnHFyz52gfoPxNWL97l9F1Kzvr63e5ms3IgiXOGBBxuzyRjsCPeqccq+HtEF/dxut2ystqmPm&#10;AbgnHUE4wPZifSrGk6QLKJptQhSTV7qKRp2cEm3UocRKP4SBjP1xVwq1eRxvov6sViMPhvaXhTV1&#10;1tr/AF+p574dvJ7HxHp1xboHlFwqhCcB9x2lc9sgkfjXpsmrX/8AaosU8orOVuNNlddpWVTmPd6H&#10;IaNh7tXn1jobzeH73UItwuLSfKEHHCDLfzz+Fd7fBdb0tLmH5Z5H8xAg5Fxtyw9hIo3D/bUjq1dC&#10;qNxag9jGFKlKpzVIp9L9r7M6C71GV445raeOKO/j327EfNDFt3SyH3jB2/7xWsex1G5vh5cH+iWR&#10;Qx25T79vbpw0n1/hX1ds9jVVDFq0DiKfa1yyNcIOsKbizog7bpMv/wB8joKnu3+zwQ2yoqSSbHm2&#10;nhQAdkQPcIO/dixp/WeaWktv6+4UMDTUfZygr37bW6+r/rcuXlykkWYYlhhitBHFGvRE37VH5EVy&#10;WsWE19C0tvjzokLHJwCo5ro7lSkEgII/0ePr7lDVFt8GmyOCAbl/LHrtXDN+uz9a86hVnDF88ejZ&#10;rWwdLEUXRktH+H/DHnJubmNsMACPWj7dP6J+db+teSY55SEzAioQRy0jHdn3AUL+L1z1tKlzOsXk&#10;gFs8g8V9TTx9OS952PkMRkOIpz5acVK+1tPz/wCCL9um/wBiprV7q8mWKJASfbgVq2ehRz3MccjY&#10;BhaZ9v8ACM7UH1JDHHoM967GHS7axtvsVoEWRSGmOOWPpn0H88+1ZYrNKdGnzRd30Kw+QVpztVXK&#10;lv1/IpWkf2azjtxjamSfdj1P8vyFFTFHjOGUiivjatSVSbnN3bPtKdGlTgoQWiLt2strewWsboly&#10;65junG2KJev7kf8As3Un0PNSaUpV5hCrpFtlSUsuZZGCk5k/uDI4HqO/Wqo5L2aQlwT+8025Yg57&#10;tE3Y+3X/AHqn06Am6FxBvuYUjkRiTtngypG2QfxL7/TkdK9Jq6f9f1/Vzpqy5YNf1/Xbp21JPFMz&#10;/wDCMs6dfIRePTIB/rXmEcEtzOsMMbSSOcKq9TXrUiD7JBK+0RCEhy5+Ujc2c1z7a14es2dbUxoW&#10;6tDbn+fFdNJKVKLfZHn3s2ilH4KtodK+0X93Is7NsVYgCM9+vXHH51j6a0eg+JJLe7kHlEGJpVHC&#10;g4IbH5fnW7qninTZXU26TSpGgWOPG0Ae59Sck8d64u8uJL28kuZiPMkOTgYA9APalq201oNbHazg&#10;WWpR3Kn91cARu4PBP8DD68j8RWzq+nWfiGzju7lSZcbJJAcMrjuPYjn65rza21G8tU8uKY+X/wA8&#10;2AZP++TkVpQ+L9VhDrmB1fG5TEADj6YrOjR9lK6en9WHNuXQ6vQdGtNHvla3MjySEBpJCOFzk4A+&#10;n6VM7ibX9PV9xkjhuLpueu4og/8AQWrM0bxXa3UxjuIfs9w6lEYNlCTx+HWtS3SN/FNzIsu/yLGG&#10;Jl2kbGJYlffkZ/GpxHxX6JP8bEvVCx3Nta3dxK5w810sfHU4VR+nNYFlZahJ4v1m40/VXsLuBUOV&#10;QkSA/KQcHjkD86dPHDLCdQQv5kepTwyZbI4bKkDt0YfhVbWlvrf4jXUOnzzQtMWDmJiu5Nx4OOxw&#10;KVOMYSvLsaOP7uLW7N8W9jYahHe61rlpPqkYygnkVVhY/wAYTOS3oWxjjg1rWkKy3ltMJEmhuHwk&#10;0bh1fnBww6nnnNc2ND8Oaa32S+kaS6J/fOsAlCMeu4lhz6helT6XGPB+uwQ+cG0XUiq7t5KRufuS&#10;qT0GeD+OelbQqRdoWsS4zhFy7+X5DvDtuBp+p2rj5ftsoI9iB/Q1H4cuBb28dvdPIsMiiCZk4ZSp&#10;GHB7MrKGHuKv6epg1jW7YjG26DAfVQP5qar2Q89Lm2a3kWWzuZCjhcrNGSZCP95S4z/skelc1CTU&#10;n8mOEo3cZbPQ2FthYq8ht1heV2eVlIMcjrkFk/2epA7biKrW7tPHO1zGGjtuWfGeSQqgAckkkAAd&#10;aBNcXNjGC7ysyhI09M9APxovZJIGhsrUpLOJSkJTIDXGNryEngiMZUdslj/DThCM5OUv6fkN8y92&#10;95d/Tr9xdv0N3NeSXUqwkiPdtXOMY4AHsKw797Z23svk20EZ5JyQgyST6k/N+f0rSvXW0sZ/LWa5&#10;CrbhDEuNw2Hk7uFU9ya5ma5lunVZ2jdQwZLaMZQNnjex5kI444XPY06cYxXNLe79d2XQUnpBX/Ja&#10;I5/XZJFsYkmTZPKxmlHfe/zHPpgFFx/s1naJEGvGY9FT8smptdun1DUBDCu6NGZYyBl5DnDM3fkj&#10;gdhj3Jn8O7Ire4uJlBgZlV3H3ogP4x6qM/MOvQjoa6JJ8r7sUKiVWMktI/1+Z09vtt5b1wqhjeOr&#10;Kw+4seEQe/y4P/Aq6ABXvpJgQ0cwMqH1DHp9Qcj6iudMv2dmmKgtAn+kIvImhX+If7aDJB7rx6Vu&#10;IzJYyxgjEMo2Ef7XXHt8orlxK54cw3dLle6/FPqOkBQkKPMUHsOQfeinujXCrLC21iMHmivO5mJW&#10;6ldImum3ItvIbcEebJxb2oJz1P32z9ef73a1YThbpTaNiO4l2TX9x/rLkseUQdQM9f1I6VWvZorh&#10;4pEhZrC0OZtOU7GgxgFj/eB/vdexxxS6dLG+s2s0k0czSzIttOyZiC5GUCj7jjPAxgZ9w1ery62/&#10;r+v60PRqLmg2+239ff26+9uZ/jC5lXSdOt1JWOQMX/2sMcfzriUiknlEcSM7scBVGSa9VuFsDp0L&#10;6mIjbIjZEnc5OAPQ8/lmuc+02MMMi6Y9l5xGFVDsLH3LYJFFOTVGDtfRHl/aaOc/sK+EDyKschTI&#10;ZI5AzAjqMDv7CmaFpS6vqq27uUjCl3I64H+RXe6UltolhJc3UqxmNdiF8DczZ3Njv3/Fq4Sw1Yaf&#10;rj3scZELs26MddpPQfTj8q1pNyXNJWE3q0jt5/DejDT5TFYoWiZdxLNkqeM5z2OPzrkdQ8OLG6fY&#10;pSzPnEMhwTjnAboeO3B+tdZZ+JNFCSedd/LLGyMDG24ZHHbscH8KwdR1fTZIlWOd3kRg6OkRO1h9&#10;SPp+NRUdVTTjqirQ1RiWmg6ldXUcC2kyFmA3OhVR75Ndj4emS51DWZ0yVaaNQT1I2k/1qxoWrafq&#10;fl2sdwIJF8xz5w287eD1IOMDvmqWhXNpbS69JCpjt4LnIDnkKqAZPv8AKSfes6spSg01b+kTKSSt&#10;/XUztNbzfCWoseSL5JT/AMCMv+IrQbXorbE8Vup1ExBftO77h/vDjr364B59MU7CAw6FqFso/wBZ&#10;YWt1+JMbH/0YaTRYBawyavNH5nlMI7SJlyJZz047hRyfwHerlC8l/Xc9Cn7P2V5q9rW+5E6+HNTm&#10;j37YRMy7xbtMomYdc7M56fjTVR9X8JX2nEbpbX97ESeiscEfQNt/76NWmsIvtLEXszawhMxnLgo0&#10;gycYxnqMA55Pam3N1FY+I49Rx/oWoRebJGn9yQEOB7hg2PoKlRi1eI51vaxcW/NdP6utvmWdPnEm&#10;qmViS93YQTnPdsEt+rioxcSQ+Ibm2U+XvaKe3udufs8+0qrY7hghVh3BPpTrmEWXiXSkRlaN7V41&#10;ZTlWG1WBHthasfNH4kBDfJcWbKykA7ikikfiNx6e9Yqfs6jl6/1+B5ataz1Rfa8S1ZljZYZWjZg6&#10;ji3QYDOv+0AQqj+8w9DVKy8tt1zdROtuYgVth0jtxkImev7zDLnqVDnvUV08t5fmxkgZbOIpJKVB&#10;3XJPEUYPqzEgfUn+GrN7e/6Lc2iyI21S8zx/daXIU7f9lQAq+w966qEZKkn8/mU+VPl6vfyX+bF1&#10;mYXunzyzrcOZRbysLaIOwOzJ+UleOfWuTWHzJmit5d0y8iCVGimx7I3X/gJNdjLYXRi+xiFmuFtI&#10;S0ffOxQR+tc3qKILSeK8iZ0iUkrMDuTAzkDqje/GQKinTUk+ZdX+Z0Uq7pK0Jadiv4as47vWL7Vp&#10;IlT94UUKuF3fxt+P9TWVoitFbI+RGhZpCz8AJ3J9sD8a6a2VtN8HB3JEi2zSsSedzAn88mqHh77H&#10;FpsajdLIYxuhZ8xpjksQegzgnPGegrNzvzSff8iKU+WTkkBt2j8PGeOFkj+wTBPMIBw5cRqc9TsZ&#10;P0Fb4QJZ3KAL8sqLkDrjdWfrMc2bQvIZI5biCN1xgE7954/4AKtWzyzWc5dgxWRWf2B3An8CR+Yq&#10;pNzouXe4uaN7N7W/MfBcNBnAyD2oquWorytTRxiy95R+228SySCUoGhlU5kg/wBl8dV/UD8qn0uI&#10;3Oo7oo0jmhkDXAQAwSgN94Y4VvTHB7Y6FBGkMKC5RraGRVC20fM9x6Z9Bn149Aakt5mnuFhEYjji&#10;zILaA/JEQD80jfxNx7/h0r62pK0Wz8qw8f3sU+rX9f1r5WON8S3Tz6i0GT5VuAqr2zgEn8650jmu&#10;18Q6ZbMyXbTmKSVAW+TcCdxUdOc8CpNE8IWbmW4vJXnjix8qrtUseg9T0J7dK8ujKM1FRe5+kVK0&#10;KUHOeyOHOdv0qMKWIABJPAA716deaHpVxAYUtIoyRjzI1Ckfl1rhLKA2fiO3gmxmK5VGPbIbFdMq&#10;bi9THCY+lik3T6GjF4Mvnt/MaaFJMZ8s5OPqQKp3XhjVLQLutt4YZUxsGyPXHX9K9DvpodPh+0Sy&#10;CJMgf7xPYDuT6Cs+M3niSMCKBbSO1kZGecFnbIVsbRjGM+vc8UV1GnG63POwWY4mvUfPH3e5yOi6&#10;JqLanBIYJYI4pFZ5JFKgDPTnrmuYl1S5sW1S0guDJDdSFJHZfmcAnn2yOv1r2OXSdUIkaPVIwzv5&#10;hDWoxnn0bI6mvJvEXhHVNBXzrhVlt2OPPjOQCexzyKzpVKc0k9ztlUqSm/5en6ncW94dPks5TEs0&#10;bWEcMkbkgOuwKRx9P0q3a3jXVz9qVEtrewjJt4kyQrk/LyepydxJ/u1naipjgsWA+VoMZ9w7D/Cm&#10;6vK1p4ftdNiaNLnUHBZmbaE3DA3E9AFyc9t9VzP2Ktu7HyNDDzrZpOm/hUnJ/ff87GXobXEniu3v&#10;phtt7zLQ89USQLn9D+tb08fmaEAcmWwuGib2R+R+TBv++qr6rfaUNR0C10q6gnW0ilgIhOcABSCf&#10;UkgnjvV77XFD4h1GCY7bO7d4pGxnaC2Vb8Dg1VOKjNwXZHVn3vxpzate6/y/Io6lJ9lstCvc4EUq&#10;lz6KXdD+hq7rU5tNX0iYZ5lkiI9dyf4gVW8VadPB4Rmt5Y8yw2wf5DuG37QPmB9MEmuSk8Uvfros&#10;Uy4ltJ1MshPDgEAH64zmuX2HNUv0u0z3cJKawMYrSXKretj0xrmCO0F3BcSecCUjtNuEt5GB3yA9&#10;8gnA/hLvjrVOwkW1RrqSEz7BmOAf8tpC2ET8WwPpmopklt5ZoJY9rpIMg9jWkWaErY24T7REfL8w&#10;9EmIy/P/AEzUqSexNehNuKVvL8z5nD1KmIre0raqCd/8vVsq30bm2uFkuDczCBTLN/ffzF3Ee27O&#10;PbFYl/eSyaK+nzAym4dIYXY8oSwzz3GM8fiK6K6SNLJTFE8cT2KmMSfeZfN+Vj6bgA2O2a5px52u&#10;aTb9cSPMR6bV4/U15EpShXfL5/qfWU4e0hD2i1sr+pb8V7m0UWkRCtdTR26k9OTn+lMsQL2O3dCP&#10;s5TfcPs2mV1Yoc+xKk496NaLXGv6JZocATNcMR22Dj+tXbuKPT9NS2gUpG7Ng9e+5v1b9aqk/cUF&#10;vL8PP/IxzVwhTdWptDX13935u1/IznllvRcgMBIs8dzb7zhdyHADegIOM9s5q9aXJLM8AZZI/llh&#10;lxvTI6MO4OTz0bjHfGfb/wCtYYBVkYH8qT5S0ZkDq0YxHPGcSRA5yAe6nJypyDk9OtelTtC8VsfH&#10;Rx8a0IrEOzu7SXR3v81r6o3RaQXSeakiwOT80b5Kj6EZP5/nRVSDUljUve5welzBGzo59GUAsjde&#10;OQcHBNFck8FFyvG34n0dHHYj2a91y80k0/O9zVM3nYmuPKiuJk2C5B/dTDA+ViOUfjqMe4wc062i&#10;W3aSB4zG1vG7BGbDqW+XJxxIPm4Yc/hioIEaZ5Ft0jYtEBMCwECDH35D0LfTGCB1PFW7Z410aSCF&#10;pLmNCqLcyLgAkklI887flyc9+wrsxUuWjN+TPAy2HtcZTT7/AJO/9duuupi6qPP1i3gGTHZwo7ej&#10;SMNwH4Bs/iK3Xi8iGKz+6YwWl5zlz1/Lgfh71zV/PNFrE8NlIEkWYs9y67hGc4Tg8E8D6DBNOigi&#10;mB8+a9aUHEhe6fcCP91sf/Wwa83DShRbnJeSPrswoVMVTVOErLdm7Jyu1eleeazHLP4iuo7dGedp&#10;yFVeoO7AOe3OOa6mPTYp7qW0luLoCeEmFhdSHYw4P8WG6g/nVZIzbWE8MEEcF3DneidnHIOepB4I&#10;Jzwa6KuMjPSKM8swMsG5Xd72Ltgj3Ua3+oTiW5i3ICBhI9pIO0evHJ7/AErTtNUay0m1ihgDX92p&#10;uCpU4QyEsMgdT2A4+6ckAE1kzySSzTWaIF+2NH5ZH91vlY/98oW/Grl+brT9TkvIonlEmNu1GYD5&#10;QpUhQSPugg4I5YVwzquT97dnoqmkrIvXFnqjW32y5vmQwoZGjWQpnHOBsIA/Hf8AU1oxKmq6Rc2W&#10;oJ5yM0kEjEBTIAcZ46H6dCOK5yW8vLuATXJFpbodzvMpVF9D82CxBxgEKM+vSrljrOmBY7WC7wei&#10;CXcpc55OWA3En9azdSVtgcDHnmttIhSx15GH2dy1vKG2pMCB3wc5wCVGCDn1zXP/AGW58W+K1+0R&#10;lbcAMquNgYNyCf7oPX/dFdp4mxNorKWKnz4cMv3lPmLyPQ1h2s5tLPUprmcTanczNHIzY3cjJcAd&#10;Bt2qPqfSurDzdWKXX8l1ZxYh0sFCpieVX6+b6DdY0uwk03+0NKQ+bYyjkoFJxyMY/hYA8HpinXzx&#10;XAt72E7obmFXU+4GCPrkfrS6PMv2020r4juV8k4PRj90/gwGfbNVNHXVrC91DTINOi1CyhYTmzkf&#10;a6BiRlMkHIPBAOeldcY+yq2itGeBFyzjAOM5JTi/l/X+RsXAaXwvcRgnJ02VRz/00NePnpXuFrbf&#10;b7RreO2lspJLQqltccOT5hJX6kAketeHlShKnqpwaulqm/NnsYSEqUVSl0jH9bntWn31obGynlkM&#10;0/lIdPEhy1z0CxOf70blQT3Qg9jVm3t4XzHLIstvsLXDnhpYyxLN/vTSZ/4Are1ct4b1eO10WxhQ&#10;SSGVCJolQO8eNy+YhzhcruXJIxk+xrSn1LVhZSO9paQRhjMytOWJwMKvC8BVAUde571rKrCOkmcS&#10;w9ebk407NP5Seya8ktfVm1e3El7G08hBke2fPHHD5xXJaXIJvGVwc58i02j2JIP9a1INUeNJINQg&#10;+zmNZYjIr749xTIBPBHPHIxz1rhdO1s6frt1f7TIkgkXHr3X9QK82cOec5R/rY9nBQnCnCNTdLU6&#10;2zk/tH4gzxqygWdmyruPVuCfx5b8qdqhNvcTXbLI1nIF+1KoyYiOBKozyMYDD0weccUPh8haXUNW&#10;ncM/mBR83LOQf0+bNdBKTI3yHLg5XdyTntzkfhjOK66FJQW2ux4udYvlrqm/ejbWPr+vbsZMX7uX&#10;7yspjLK6nIYFeCD6GoGfJ6mlsk/4l8/k5NlHdTraMc48olcBT3Xdvx+NIYSoQyNs3/6tcFnk/wB1&#10;Ry34Crv7zsfM4vAzp1vq9NN6trvZ2/phFPNA26KV42IxlWwcUVZWwm3EER2qHlTNH50p+qBgqfTL&#10;H6UVVmNYBxVpVoxfa7/RNGlca5pU0du0V1EbJODYK2GR8fex/wAtOe+c9jiiTVLqCyAt7ab5nDve&#10;zxMsKgD5flxkAZIxjb710X9u6Olvlr62Gwc/OMj8PWsKbWrjUW3WciwWwP3lw0jj8chfpyfp0rhr&#10;4udSPK42R9hgsqp0KyrJttf8N2/4YgtrWIW6+XMJ1lyXkJDeYT1J7d6ckDhwmS9zHHnBbmaPOP8A&#10;voH9SP73FRUU3JlniM8W4nzI/wB3OuOCcrjcM54P69K1v7MnmEdzY6ksq53xmeMN9RlccHkHINck&#10;ppbs9nlKsssUa299GQywzKeByATsb8gx/KtXU9LN26zwOsdyg2/OuUkXOdrD+R7Zqk2jX13dH7T9&#10;mhtmIMqwMzGXBHqBt6YJ5z9ean1LU5JHks7BsSKdss4GRF7D1b+Xf0rJyu1ylWMe6nmsruB5Ugln&#10;sYCqrHI21DsAy7EDkgcKAT8xrRsNSuZ7iS1vIo47hEDjy2yrAkg9fQgis1lhhVYlwIoB5srHkk5O&#10;3Pq2QWPc7fepdMtpP7ZhkkXbJNbyFlLZKgMmF/AH88nvUztJDsO1AG+1CWJ+YrdAqqeRvYEk4+mM&#10;Htk1URftcOnyzpvEtsdysM7iVjJH5hq1IoRJdXknGftBX/vlVX+h/wA5qqVRLeyUcKlw8XPYfvQP&#10;/QVoi2lb+tiiq88j6LNayyF3t7qFQx6lDIhUn6dM/wCzVPUYVa/Wdg/lwxg3AQZZkLcBecbuGx7n&#10;Her1zbmW8khjGXuYcp6GSJg6g/XJ/KsuW/gjuD9pd4WaYyNC6EPhMBVx35+b04rejKUZc0N/6/4J&#10;lVowrU3TqK6Zb1C8sr+BPsumvaXkcuyKCOBwZY8ZBJ6blxyc859qfPfCXWk1Ge/XTZli2XW0eaxL&#10;Abt5AKLlsNyTg09Z447dp457eTUbkiKJElVvJU8/oMsfUgD0qsIorSaSDohWDl+/7w5JJ79M1vUx&#10;lSe6tY4sLldDDuUo68299vutYt3gvFupLZtUZ0mRZLWV40JUqQwIIAwytgg56HvzXP3fhaFpLy/u&#10;blpZGLTFI4wilickd/fpW/Zxx3llPp8Eq+ZaOJbZw2QAc7R9PvKfanpsuLUgKQWyrqTyp6EH37Vi&#10;sTUjpf8Ar/gneqUV0DSo4NNe4tbeFUVSrKAM7gQASfX5lb+nvehH2nUreCMoYUPnSA8nap+Ufi2P&#10;wU1QVz5lhPwI5YNjkn+LaHB/9GVsaFB/oz3jKA1ydy+ojHCj+bf8CNYzm0uZlcpU+U3Gp+YV8rz2&#10;3BumCqk57Y5rz3V9Hex3SQxFrd181QuSYlJ43en/AOsdQa7nWR9j1OZJgVtrphNvwMHaoDR+5O0c&#10;dwSKmt5G3yJGq3F9MAzKGBWPofmYdFH68kAk1vSquC5l1Cxz/haWHTvDqyzuB9pmbZGvzPIcY2qo&#10;GSen5jPByLtyZrjct6DBCQR9jjfMjj0mcdB/sKc+pzydtvD2lvot3JHHa3d4yMwuFRThwOAuOg6c&#10;fnms8aNayQR3NgTAZFEgQ5MZB5wVJ4/AiuyGOg9HoeDissq3lVoNc7b1fT07ev5DfNkmtoo4lj3t&#10;IscahPkRsEj5R/CqhmwOuMd6uQ262obydxeQYed+ZJf95vTp8o4HaotKCT6v5TwCJrSBzIgOQXcq&#10;Mqe42r+G7BrelS3s7Xz2gVnZisSkcEjqT7DI+uR713qEadJ1W9O/c8OdLEzlDC7Ta97/AIL7W19W&#10;zGNjdmNZFRVjb7pkkVAfpuIzRWjpgS71CWS7O/KHLNzzkf8A16K4oYvnV0rHb/q7TW8m35W/yLUd&#10;ws8KiR1kLKEWRjgSYHCP6MOzf0qO80mK9v7qRt8VzFGiibaA4b5eGHfo2Qf50sKfZ3RX8tJY8EJ1&#10;S3z0Yj+KQ9h2/DAtrIH+3Skkma54J9Bu/wARXrY+KqVqNJ7Nt/cjhymcqNCvWvaSSX3v+v8Ah7nN&#10;H/RbkQXZEUoiSNCx+WXG7lT34I460i36aFIbhpl8p/mkts/M47so9f0Pf1rphbi9ZbZ4kmDnASRQ&#10;w/EGuZ14WUuopZafb28MA4YxRBd6L94nHXcSB9DXlY/CUsPqnv0Po8szCeLVpR23fQ37CG61zTJL&#10;6Weayt2fZDFAQHYYySzEHB5HC4x6msDV4X8OXZt7Yyz2G5AInxvVXwQQ3GTk9+vqK69wLGwtLIE7&#10;o4wz/wC83zH8sgfhWH4rg+12NsyHDywNFu9GUnB/Ir+VPEYSNLBxnazur/MjC451cfOlfS2nyMW0&#10;niuymJNyqfNlwnBkP8P/AAHA/EKeuauRXCrq1syIqt5cikgdc7T/AEqDRtNGtDzLa6+zXksQkAKb&#10;0kIHzKVyPm9we3etRPC6BlbUL6aV1zhIP3K/od3/AI9XHRwFXEK8NjvxWYUMNpU39P6RjWV0sds0&#10;sjhRLPJJljjq5I/p/kVBuLRyhWDKt0jqRzw2wdvctXRXGmWOnfantbGFfKeJlIjBKqVPc845FRyW&#10;+nanbSXC6dai4iG6ZFhUbl/vgY4x3H4+tdeHyiVaDqKVtWtuzPOxfEFHDVfZODeifyauZDNcTXdt&#10;FZIst7G4kWMnomCGLei7Sef/AK1bdjYw2wkv73FzcovLsCNzHoi/3V6nA7A9+adbG10vSi8VvHA1&#10;2dqiNQpKDqTj1OB+Bqh4jmmk0y20qzO67vmWONRx88nAyfZefxrqeEWBouS1m9E/8jijmDzXERpJ&#10;Wgldrv2uS6bqGl+LxcWsltaSlCfLJgC4Ycge4IBx3zirtt4a0a4+zyrp1tugYeaPLB+TOd39D+FY&#10;Ooadb+DvFWmyaf8AJZXUKw5P/PePHzH/AHuD9WNdRckB5biAFbeWBpEIPADfKV+oLYqqFR0lUhVd&#10;3FXTe9rFY2jFzpTw+kJtJ20W/kZ914etb3RLea0tI01KFjcRtF+6aYZIaLK88qPl9GA9TWP5EjT+&#10;fZP5/mRrKN5CG4iOQr+gkBBVh0yvbiuzu1axNvCcqyRx4/Ic/nmsTVYlgmiurcMVuJmdI4xk+eRm&#10;SP6SKN6j++hH8VY4jAv6rGUV7yS/r5/mdeDzLnxU6Mn1dvT/AIBkW+mSyWKRakiQ2kDGQpv3OwDM&#10;QCRwBhsHGc+1WUa61SQu0rQQgY8tSRjIBAOMZOCM5yB0weTWkot7y1yreZDMnUHqCKzxp9/GjxpL&#10;Edwx5nmMpYAYBKgfexjkEZx2r5znbvfRnvFSK3hh1MWasJI2JEsZUbXXbk7l+7kEpyAOHwao38gv&#10;LKaG3URWADRxQRrtWRjxuIHUZ6D8fTF+7tlsrVbZZQ15dDY0gG3ZGOWKjqOvqSSwJJpixRBrdFAC&#10;eaoAHQbfm/ktaxevN/XqMbazR6f4jVLVY4oZV8qaNFCqzfMVJA7gL/4/TLS9kisI7aLb5qO0CL0G&#10;5SQSfYBST7CmtAiRXF6ekdyspfPaMgH8wp/On3UaWepajDHNiaaVREu37iuAzMPxVv8AvkDuar+v&#10;u/4cLEcLMt5aXULNtinFvGxbcXDHDse2Sxzxx8ue9b2qOcWqZ4EROMY5Ltn+VY8K79WsLNQFQzbl&#10;UdDtQ4H54/KtLUrhJbwrH/q4gIl5zkDv+JyfxrvnU/2DlfWWnyPJlSUsy5ktoa/N6fkxYD5Wnu/8&#10;bygD6KDn/wBCFFXNP043sUEQ/iV5hj03Bf8A2WivO9hWnrBaHqKrTgrSZLZ5vbuEPiSTchc5A82M&#10;Hhx/tJ0Ptn0JpVDLZxOf45Hb/wBBH9KdaA284KwoZYom3Y+5ANp+Uernufr+FiK3a4FjECFVYiZG&#10;PRRuZiT+Br6+q08bDtGLf32R8DhoyWXVLbylFfdr/X+dxs9ybLSTN0nuMxxHPIX+Jv6fia57w9br&#10;qGrJNJh4ZHyeP+WSZJ/P5j+Ip/iG++2T7IDsWQiCAd1QdT9cZP1rZ8N2ywWlzcqoCgLbxgDoOp/Q&#10;AfjXhTqvG4tdr6ei/wAz6qlSWX4F/wA1tfUs3MwmmkkkA3OxJFVdQVJtBcqOYLhW654YEH9QtXJV&#10;UMflK59zUKRrLbX0BJJe3Yge64b/ANlNe/jIe0w04+R8tl9R0sZCT7/mcjpE7adqMqQnDwTCZP8A&#10;dbn8s7hXcXRR9k8IxFMokTPOAe31ByPwrg7jMV9bXAwFYmFz9eV/UY/4FXW6HMLrT5rJjmSD97Hn&#10;up+8PzwfxNeFlWJ5K3I9pfmfT53hfa0OeO8fyIdU1Iacs90z7R5cILEZHUJyPTnB+tZs++wuor2x&#10;doo5MtGVOSh/iQ/T36gj1rantLe7eW0vE329xZFJBjnl+o9xwR9K5bSZ2sZbjw1q75khP7uUA/Ou&#10;PklUHrx1HofUV3Yeu8NWlN/A5NPy1vf8dTysfgo47CQUP4sYxa+7/gfeXonk1TURJdzFwBukZj0R&#10;RkgfhwB6kU7Sc6n4qutTlQeXYIVTaPlWeQdv91M/TIqDU72z0PTJgs6TvJjLqpAbHIRc88nk8dhW&#10;zo9g+kaFbW04IvJMz3WevmvyR+AwPwrplVji8UuTWEPxZx4TDzy7ATqVdKlT77Eurabba3pj2F0z&#10;RoxDJMoyYpB91h+ZB9qz9KtdctoG0zVkVY3niCzRSBo5xzlh6EYGenbitk8r19jUN60hjiXBHlQS&#10;Sn2J+QfqBU5hh4TSfVtL73b8jbK8dOmpQesUnL0srkcMq3Z+zxklJfMubIE5KnrNCT6qTvX/AGWI&#10;7VF+4ntpbS7ZhbTIFdk+8mOQ6/7SkAj6VS09ic2jTGDe6yQTj/lhOv3H+meGHdSavyn7Xbm6EPkv&#10;uaG5t/8AnhOv30+nceoIrv5VGTpS2ex5XtpVqccbT+OOkvXo/mZ8ltdxSStDcIup+Z5Etgqb0uJ2&#10;5WRBkbUdcuWBwMNwafcWuqea0J1O1XacF7e3LZPfBZv1xWrHcxqvm/Zk+2pEYEusfOsROSn5/wAz&#10;VaMRRW0l1cbhbwHMmwZZicBUUd2Y4AHvXG8voOTqVYr+up6U83rz5aWFbu/n8lfoUZfD1nmzmvEk&#10;vZHZx5l0dwIAHAX7oGT2Fc+dPEBWaxRYpUOQg4R+CMMB6gkZ6iuxlE5ktzdti6LyeZArZjt/kXES&#10;/wC6MZPdiTXO7Wx04p4KjTqSrQlHS607aI585xmIw31edOo20nd9/e/FdCHT/LutJEB3E+WYpQ/B&#10;VsYYYq1FYf2pY2N9HIsd8kAidym4Pjgq3f7wPINUZrOUTefay+TMRhsruR/94f1qSwbV7SKOFJ7J&#10;Ulu0jXMDHBlfn+IcDJNeRisoxNOTdPVdz6DAcQYTFRjGT5ZvpZ7+pcOl3tvPbal5yy3Fm6yJbxJt&#10;VwD8wyckkgkDoM4qEPFIS8D74iTtboce47H2rWF9c2c0UGpQxhZTtjuYc7C3ZSDypPbqPesnU4Fs&#10;tZSSP5Yb0Hcg6CVec/iM5/3a82rGrT/c1VZrVfqepRqU6376m7p9TqtBu/s1zGcZEdqE/wC+m3/1&#10;oqHTRsE7EchIF/8AIf8A9aivostpKWHTfd/mfOZtip08TyxfREt0ixQQBBtC224DPcpyfrzUt0zR&#10;eH5XQ7WaOFCR/dIGRRRWeOb9pN/3P1DLUvZQX/Tz/wBtONdidSTP8MJI9skZ/lXWQfJotgEJUMJH&#10;bBxk78Z/ID8qKK4MoS+sfI9TPH/svzRVkZgrEMc59asaOzNq1qrMSGfaQT1B4NFFfUv4GfDU2/bR&#10;9UcdrAA0q4I6oNy+xBBB/Oug0FiuvWeDjdIFPuDwR+VFFfC0vih6/wCR+nVNabv2Nm/ATVFVeB9n&#10;x/4+a5nx9Z27+ElvzGPtdvcLHFKCQyqc5HHb+XPrRRX0lFXpVf8AE/0PmU2sbh7fyL9Tk/AcKap4&#10;0s1v91yI0eRRKxbDKuVPPoR0r1K4Je4csSc5zmiiunBJKLsY8QN+1ivIickBcd1yfzH+JqvqDtsu&#10;hk/6iFfw4P8AOiiqxP8AEpf4v0Z5mG/g4j/A/wA0UYYkYcrmteFV/wCEglTHy3GiefKP78kcm1GP&#10;uF4z6UUVtid4+pGTpWqL+6yKVQEOOKkwP7S0tcfLBptzfRg9BOGCh/chSQM9M0UVNb4V6mmX6VJt&#10;fysz7Fi0UDMSWM8pJPf5FrJdiAMGiijB/wC8V/Vf+ko8/M/9zwv+F/8ApQxZXzjdSzyv9hZ8/NHP&#10;byIcdGE6DP6miiurEfwpHJlLf12l6m34hUHQtSJAzHFvQ46Ecg/gQKoa8B5mnHHS64/79vRRXy2d&#10;/wAWn6M+94e/gz9TpNHUH7XkDpB/6AaKKK9LLP8Ad16v82ceaL/aX6L8kf/ZUEsDBBQABgAIAAAA&#10;IQD0Ev+S4QAAAAkBAAAPAAAAZHJzL2Rvd25yZXYueG1sTI8xT8MwEIV3JP6DdUgsiDptmjaEOBUC&#10;ITqwkHbp5sZHEjU+h9htA7+e6wTT3ek9vftevhptJ044+NaRgukkAoFUOdNSrWC7eb1PQfigyejO&#10;ESr4Rg+r4voq15lxZ/rAUxlqwSHkM62gCaHPpPRVg1b7ieuRWPt0g9WBz6GWZtBnDrednEXRQlrd&#10;En9odI/PDVaH8mgVrJeH3qVx9d6uvza7h7vyx6RvL0rd3oxPjyACjuHPDBd8RoeCmfbuSMaLTkGy&#10;mLLzMmMQrMfJfA5iz8tyloAscvm/QfE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K4XqnzzAgAALgcAAA4AAAAAAAAAAAAAAAAAPAIAAGRycy9lMm9Eb2MueG1sUEsB&#10;Ai0ACgAAAAAAAAAhALd1vQT9RAAA/UQAABUAAAAAAAAAAAAAAAAAWwUAAGRycy9tZWRpYS9pbWFn&#10;ZTEuanBlZ1BLAQItABQABgAIAAAAIQD0Ev+S4QAAAAkBAAAPAAAAAAAAAAAAAAAAAItKAABkcnMv&#10;ZG93bnJldi54bWxQSwECLQAUAAYACAAAACEAWGCzG7oAAAAiAQAAGQAAAAAAAAAAAAAAAACZSwAA&#10;ZHJzL19yZWxzL2Uyb0RvYy54bWwucmVsc1BLBQYAAAAABgAGAH0BAACKTAAAAAA=&#10;" path="m1745,3697l,,3496,,1745,3697xe" stroked="f">
                <v:fill r:id="rId16" o:title="" recolor="t" rotate="t" type="frame"/>
                <v:path arrowok="t" o:connecttype="custom" o:connectlocs="945477,2007870;0,0;1894205,0;945477,2007870" o:connectangles="0,0,0,0"/>
                <w10:wrap anchorx="page" anchory="page"/>
                <w10:anchorlock/>
              </v:shape>
            </w:pict>
          </mc:Fallback>
        </mc:AlternateContent>
      </w:r>
      <w:r w:rsidR="00EE408C" w:rsidRPr="00F56D9E">
        <w:rPr>
          <w:noProof/>
          <w:lang w:val="en-GB" w:eastAsia="en-GB"/>
        </w:rPr>
        <w:drawing>
          <wp:anchor distT="0" distB="0" distL="114300" distR="114300" simplePos="0" relativeHeight="251651072" behindDoc="1" locked="0" layoutInCell="1" allowOverlap="1" wp14:anchorId="2B469D32" wp14:editId="5ED47923">
            <wp:simplePos x="0" y="0"/>
            <wp:positionH relativeFrom="page">
              <wp:posOffset>0</wp:posOffset>
            </wp:positionH>
            <wp:positionV relativeFrom="page">
              <wp:posOffset>3743720</wp:posOffset>
            </wp:positionV>
            <wp:extent cx="7560000" cy="5760000"/>
            <wp:effectExtent l="0" t="0" r="3175"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7" cstate="email">
                      <a:extLst>
                        <a:ext uri="{28A0092B-C50C-407E-A947-70E740481C1C}">
                          <a14:useLocalDpi xmlns:a14="http://schemas.microsoft.com/office/drawing/2010/main"/>
                        </a:ext>
                      </a:extLst>
                    </a:blip>
                    <a:stretch>
                      <a:fillRect/>
                    </a:stretch>
                  </pic:blipFill>
                  <pic:spPr bwMode="auto">
                    <a:xfrm>
                      <a:off x="0" y="0"/>
                      <a:ext cx="7560000" cy="576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F6B582" w14:textId="77777777" w:rsidR="00BB6A87" w:rsidRPr="00243764" w:rsidRDefault="00BB6A87" w:rsidP="00DC3852">
      <w:pPr>
        <w:sectPr w:rsidR="00BB6A87" w:rsidRPr="00243764" w:rsidSect="00BB6A87">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1701" w:right="1134" w:bottom="568" w:left="1134" w:header="709" w:footer="709" w:gutter="0"/>
          <w:cols w:space="708"/>
          <w:docGrid w:linePitch="360"/>
        </w:sectPr>
      </w:pPr>
    </w:p>
    <w:p w14:paraId="159E1F6F" w14:textId="11EDA8BD" w:rsidR="003C5068" w:rsidRPr="00933BDA" w:rsidRDefault="002B1849" w:rsidP="00DC3852">
      <w:pPr>
        <w:sectPr w:rsidR="003C5068" w:rsidRPr="00933BDA" w:rsidSect="00A74AEE">
          <w:headerReference w:type="default" r:id="rId24"/>
          <w:footerReference w:type="even" r:id="rId25"/>
          <w:footerReference w:type="default" r:id="rId26"/>
          <w:footerReference w:type="first" r:id="rId27"/>
          <w:type w:val="continuous"/>
          <w:pgSz w:w="11907" w:h="16840" w:code="9"/>
          <w:pgMar w:top="1134" w:right="1134" w:bottom="425" w:left="1134" w:header="709" w:footer="567" w:gutter="0"/>
          <w:pgNumType w:start="1"/>
          <w:cols w:space="708"/>
          <w:formProt w:val="0"/>
          <w:titlePg/>
          <w:docGrid w:linePitch="360"/>
        </w:sectPr>
      </w:pPr>
      <w:r w:rsidRPr="00D3525A">
        <w:rPr>
          <w:noProof/>
          <w:lang w:val="en-GB" w:eastAsia="en-GB"/>
        </w:rPr>
        <w:drawing>
          <wp:anchor distT="0" distB="0" distL="114300" distR="114300" simplePos="0" relativeHeight="251669504" behindDoc="0" locked="0" layoutInCell="1" allowOverlap="1" wp14:anchorId="53CCC335" wp14:editId="6A33783D">
            <wp:simplePos x="0" y="0"/>
            <wp:positionH relativeFrom="column">
              <wp:posOffset>2373326</wp:posOffset>
            </wp:positionH>
            <wp:positionV relativeFrom="paragraph">
              <wp:posOffset>5925820</wp:posOffset>
            </wp:positionV>
            <wp:extent cx="1002631" cy="475581"/>
            <wp:effectExtent l="0" t="0" r="7620" b="1270"/>
            <wp:wrapNone/>
            <wp:docPr id="25" name="Picture 10">
              <a:extLst xmlns:a="http://schemas.openxmlformats.org/drawingml/2006/main">
                <a:ext uri="{FF2B5EF4-FFF2-40B4-BE49-F238E27FC236}">
                  <a16:creationId xmlns:a16="http://schemas.microsoft.com/office/drawing/2014/main" id="{6D113C33-213D-47F2-9EDF-F42B3CDACCCB}"/>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D113C33-213D-47F2-9EDF-F42B3CDACCCB}"/>
                        </a:ext>
                      </a:extLst>
                    </pic:cNvPr>
                    <pic:cNvPicPr/>
                  </pic:nvPicPr>
                  <pic:blipFill rotWithShape="1">
                    <a:blip r:embed="rId28" cstate="email">
                      <a:extLst>
                        <a:ext uri="{28A0092B-C50C-407E-A947-70E740481C1C}">
                          <a14:useLocalDpi xmlns:a14="http://schemas.microsoft.com/office/drawing/2010/main"/>
                        </a:ext>
                      </a:extLst>
                    </a:blip>
                    <a:srcRect l="-2" b="-395"/>
                    <a:stretch/>
                  </pic:blipFill>
                  <pic:spPr bwMode="auto">
                    <a:xfrm>
                      <a:off x="0" y="0"/>
                      <a:ext cx="1002631" cy="4755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18C2">
        <w:rPr>
          <w:noProof/>
          <w:lang w:val="en-GB" w:eastAsia="en-GB"/>
        </w:rPr>
        <w:drawing>
          <wp:anchor distT="0" distB="0" distL="114300" distR="114300" simplePos="0" relativeHeight="251667456" behindDoc="0" locked="0" layoutInCell="1" allowOverlap="1" wp14:anchorId="0A3F35ED" wp14:editId="1B8319E7">
            <wp:simplePos x="0" y="0"/>
            <wp:positionH relativeFrom="column">
              <wp:posOffset>3051810</wp:posOffset>
            </wp:positionH>
            <wp:positionV relativeFrom="paragraph">
              <wp:posOffset>2678430</wp:posOffset>
            </wp:positionV>
            <wp:extent cx="3417210" cy="2167754"/>
            <wp:effectExtent l="0" t="0" r="0" b="4445"/>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3426663" cy="2173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18C2" w:rsidRPr="001018C2">
        <w:rPr>
          <w:noProof/>
          <w:lang w:val="en-GB" w:eastAsia="en-GB"/>
        </w:rPr>
        <w:drawing>
          <wp:anchor distT="0" distB="0" distL="114300" distR="114300" simplePos="0" relativeHeight="251665408" behindDoc="0" locked="0" layoutInCell="1" allowOverlap="1" wp14:anchorId="57B4CE91" wp14:editId="0F856D71">
            <wp:simplePos x="0" y="0"/>
            <wp:positionH relativeFrom="column">
              <wp:posOffset>3061334</wp:posOffset>
            </wp:positionH>
            <wp:positionV relativeFrom="paragraph">
              <wp:posOffset>421005</wp:posOffset>
            </wp:positionV>
            <wp:extent cx="3407685" cy="2260600"/>
            <wp:effectExtent l="0" t="0" r="2540" b="635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3408885" cy="2261396"/>
                    </a:xfrm>
                    <a:prstGeom prst="rect">
                      <a:avLst/>
                    </a:prstGeom>
                    <a:noFill/>
                  </pic:spPr>
                </pic:pic>
              </a:graphicData>
            </a:graphic>
            <wp14:sizeRelH relativeFrom="margin">
              <wp14:pctWidth>0</wp14:pctWidth>
            </wp14:sizeRelH>
            <wp14:sizeRelV relativeFrom="margin">
              <wp14:pctHeight>0</wp14:pctHeight>
            </wp14:sizeRelV>
          </wp:anchor>
        </w:drawing>
      </w:r>
      <w:r w:rsidR="001018C2" w:rsidRPr="001018C2">
        <w:rPr>
          <w:noProof/>
          <w:lang w:val="en-GB" w:eastAsia="en-GB"/>
        </w:rPr>
        <w:drawing>
          <wp:anchor distT="0" distB="0" distL="114300" distR="114300" simplePos="0" relativeHeight="251666432" behindDoc="0" locked="0" layoutInCell="1" allowOverlap="1" wp14:anchorId="22A307EA" wp14:editId="371C2552">
            <wp:simplePos x="0" y="0"/>
            <wp:positionH relativeFrom="column">
              <wp:posOffset>-358140</wp:posOffset>
            </wp:positionH>
            <wp:positionV relativeFrom="paragraph">
              <wp:posOffset>2687955</wp:posOffset>
            </wp:positionV>
            <wp:extent cx="3419475" cy="2142490"/>
            <wp:effectExtent l="0" t="0" r="9525"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3419475" cy="2142490"/>
                    </a:xfrm>
                    <a:prstGeom prst="rect">
                      <a:avLst/>
                    </a:prstGeom>
                    <a:noFill/>
                  </pic:spPr>
                </pic:pic>
              </a:graphicData>
            </a:graphic>
            <wp14:sizeRelH relativeFrom="margin">
              <wp14:pctWidth>0</wp14:pctWidth>
            </wp14:sizeRelH>
            <wp14:sizeRelV relativeFrom="margin">
              <wp14:pctHeight>0</wp14:pctHeight>
            </wp14:sizeRelV>
          </wp:anchor>
        </w:drawing>
      </w:r>
      <w:r w:rsidR="001018C2" w:rsidRPr="001018C2">
        <w:rPr>
          <w:noProof/>
          <w:lang w:val="en-GB" w:eastAsia="en-GB"/>
        </w:rPr>
        <w:drawing>
          <wp:anchor distT="0" distB="0" distL="114300" distR="114300" simplePos="0" relativeHeight="251664384" behindDoc="0" locked="0" layoutInCell="1" allowOverlap="1" wp14:anchorId="76B36F6F" wp14:editId="5E6064E5">
            <wp:simplePos x="0" y="0"/>
            <wp:positionH relativeFrom="column">
              <wp:posOffset>-358140</wp:posOffset>
            </wp:positionH>
            <wp:positionV relativeFrom="paragraph">
              <wp:posOffset>421005</wp:posOffset>
            </wp:positionV>
            <wp:extent cx="3422650" cy="2289810"/>
            <wp:effectExtent l="0" t="0" r="635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3422650" cy="2289810"/>
                    </a:xfrm>
                    <a:prstGeom prst="rect">
                      <a:avLst/>
                    </a:prstGeom>
                    <a:noFill/>
                  </pic:spPr>
                </pic:pic>
              </a:graphicData>
            </a:graphic>
            <wp14:sizeRelH relativeFrom="margin">
              <wp14:pctWidth>0</wp14:pctWidth>
            </wp14:sizeRelH>
            <wp14:sizeRelV relativeFrom="margin">
              <wp14:pctHeight>0</wp14:pctHeight>
            </wp14:sizeRelV>
          </wp:anchor>
        </w:drawing>
      </w:r>
      <w:r w:rsidR="00EA017F" w:rsidRPr="00243764">
        <w:rPr>
          <w:noProof/>
          <w:lang w:val="en-GB" w:eastAsia="en-GB"/>
        </w:rPr>
        <w:drawing>
          <wp:anchor distT="0" distB="0" distL="114300" distR="114300" simplePos="0" relativeHeight="251653120" behindDoc="0" locked="0" layoutInCell="1" allowOverlap="1" wp14:anchorId="5BEB7325" wp14:editId="330B96A2">
            <wp:simplePos x="0" y="0"/>
            <wp:positionH relativeFrom="column">
              <wp:posOffset>4611369</wp:posOffset>
            </wp:positionH>
            <wp:positionV relativeFrom="page">
              <wp:posOffset>9792970</wp:posOffset>
            </wp:positionV>
            <wp:extent cx="1861200" cy="540000"/>
            <wp:effectExtent l="0" t="0" r="571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GOV_ENVIRONMENT_LOGO_GOV_BLUE_PMS2145.jpg"/>
                    <pic:cNvPicPr/>
                  </pic:nvPicPr>
                  <pic:blipFill>
                    <a:blip r:embed="rId33" cstate="email">
                      <a:extLst>
                        <a:ext uri="{28A0092B-C50C-407E-A947-70E740481C1C}">
                          <a14:useLocalDpi xmlns:a14="http://schemas.microsoft.com/office/drawing/2010/main"/>
                        </a:ext>
                      </a:extLst>
                    </a:blip>
                    <a:stretch>
                      <a:fillRect/>
                    </a:stretch>
                  </pic:blipFill>
                  <pic:spPr>
                    <a:xfrm>
                      <a:off x="0" y="0"/>
                      <a:ext cx="1861200" cy="540000"/>
                    </a:xfrm>
                    <a:prstGeom prst="rect">
                      <a:avLst/>
                    </a:prstGeom>
                  </pic:spPr>
                </pic:pic>
              </a:graphicData>
            </a:graphic>
            <wp14:sizeRelH relativeFrom="margin">
              <wp14:pctWidth>0</wp14:pctWidth>
            </wp14:sizeRelH>
            <wp14:sizeRelV relativeFrom="margin">
              <wp14:pctHeight>0</wp14:pctHeight>
            </wp14:sizeRelV>
          </wp:anchor>
        </w:drawing>
      </w:r>
      <w:r w:rsidR="006A54EF" w:rsidRPr="00243764">
        <w:rPr>
          <w:noProof/>
          <w:lang w:val="en-GB" w:eastAsia="en-GB"/>
        </w:rPr>
        <w:drawing>
          <wp:anchor distT="0" distB="0" distL="114300" distR="114300" simplePos="0" relativeHeight="251659264" behindDoc="0" locked="0" layoutInCell="1" allowOverlap="1" wp14:anchorId="792C7074" wp14:editId="7323A6A0">
            <wp:simplePos x="0" y="0"/>
            <wp:positionH relativeFrom="page">
              <wp:posOffset>360045</wp:posOffset>
            </wp:positionH>
            <wp:positionV relativeFrom="page">
              <wp:posOffset>9792970</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34" cstate="email">
                      <a:extLst>
                        <a:ext uri="{28A0092B-C50C-407E-A947-70E740481C1C}">
                          <a14:useLocalDpi xmlns:a14="http://schemas.microsoft.com/office/drawing/2010/main"/>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1" w:rightFromText="181" w:vertAnchor="page" w:horzAnchor="margin" w:tblpY="1555"/>
        <w:tblW w:w="0" w:type="auto"/>
        <w:tblLook w:val="01E0" w:firstRow="1" w:lastRow="1" w:firstColumn="1" w:lastColumn="1" w:noHBand="0" w:noVBand="0"/>
      </w:tblPr>
      <w:tblGrid>
        <w:gridCol w:w="9638"/>
      </w:tblGrid>
      <w:tr w:rsidR="00E652A4" w:rsidRPr="00243764" w14:paraId="0457DA92" w14:textId="77777777" w:rsidTr="004D00CE">
        <w:trPr>
          <w:trHeight w:val="10631"/>
        </w:trPr>
        <w:tc>
          <w:tcPr>
            <w:tcW w:w="9747" w:type="dxa"/>
            <w:shd w:val="clear" w:color="auto" w:fill="auto"/>
            <w:vAlign w:val="bottom"/>
          </w:tcPr>
          <w:tbl>
            <w:tblPr>
              <w:tblStyle w:val="TableAsPlaceholder"/>
              <w:tblpPr w:leftFromText="181" w:rightFromText="181" w:horzAnchor="margin" w:tblpYSpec="bottom"/>
              <w:tblOverlap w:val="never"/>
              <w:tblW w:w="9593" w:type="dxa"/>
              <w:tblCellMar>
                <w:right w:w="57" w:type="dxa"/>
              </w:tblCellMar>
              <w:tblLook w:val="0600" w:firstRow="0" w:lastRow="0" w:firstColumn="0" w:lastColumn="0" w:noHBand="1" w:noVBand="1"/>
              <w:tblCaption w:val="Creative Commons Logo"/>
              <w:tblDescription w:val="Creative Commons Logo"/>
            </w:tblPr>
            <w:tblGrid>
              <w:gridCol w:w="9593"/>
            </w:tblGrid>
            <w:tr w:rsidR="00BC25ED" w14:paraId="00741272" w14:textId="77777777" w:rsidTr="002B1849">
              <w:trPr>
                <w:trHeight w:val="1517"/>
              </w:trPr>
              <w:tc>
                <w:tcPr>
                  <w:tcW w:w="5000" w:type="pct"/>
                  <w:shd w:val="clear" w:color="auto" w:fill="E5F7F6"/>
                  <w:tcMar>
                    <w:right w:w="0" w:type="dxa"/>
                  </w:tcMar>
                </w:tcPr>
                <w:bookmarkEnd w:id="0"/>
                <w:bookmarkEnd w:id="1"/>
                <w:bookmarkEnd w:id="2"/>
                <w:p w14:paraId="6E28ABAE" w14:textId="77713507" w:rsidR="00BC25ED" w:rsidRPr="00035BAD" w:rsidRDefault="00BC25ED" w:rsidP="009A204D">
                  <w:pPr>
                    <w:pStyle w:val="xDisclaimertext6"/>
                    <w:framePr w:hSpace="0" w:wrap="auto" w:hAnchor="text" w:yAlign="inline"/>
                    <w:suppressOverlap w:val="0"/>
                  </w:pPr>
                  <w:r w:rsidRPr="00035BAD">
                    <w:rPr>
                      <w:noProof/>
                      <w:lang w:val="en-GB" w:eastAsia="en-GB"/>
                    </w:rPr>
                    <w:lastRenderedPageBreak/>
                    <w:drawing>
                      <wp:anchor distT="0" distB="0" distL="114300" distR="114300" simplePos="0" relativeHeight="251661312" behindDoc="0" locked="1" layoutInCell="1" allowOverlap="1" wp14:anchorId="79801482" wp14:editId="419FAB46">
                        <wp:simplePos x="0" y="0"/>
                        <wp:positionH relativeFrom="margin">
                          <wp:align>right</wp:align>
                        </wp:positionH>
                        <wp:positionV relativeFrom="margin">
                          <wp:align>bottom</wp:align>
                        </wp:positionV>
                        <wp:extent cx="2408400" cy="1602000"/>
                        <wp:effectExtent l="0" t="0" r="0" b="0"/>
                        <wp:wrapNone/>
                        <wp:docPr id="51"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5" cstate="email">
                                  <a:extLst>
                                    <a:ext uri="{28A0092B-C50C-407E-A947-70E740481C1C}">
                                      <a14:useLocalDpi xmlns:a14="http://schemas.microsoft.com/office/drawing/2010/main"/>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w:t>
                  </w:r>
                  <w:r w:rsidR="004E22C0">
                    <w:t>e</w:t>
                  </w:r>
                  <w:r w:rsidRPr="00035BAD">
                    <w:t>ment</w:t>
                  </w:r>
                </w:p>
                <w:p w14:paraId="294F218E" w14:textId="4D065BA3" w:rsidR="00BC25ED" w:rsidRPr="001A3E14" w:rsidRDefault="00BC25ED" w:rsidP="009A204D">
                  <w:pPr>
                    <w:pStyle w:val="xDisclaimertext4"/>
                    <w:framePr w:hSpace="0" w:wrap="auto" w:hAnchor="text" w:yAlign="inline"/>
                    <w:suppressOverlap w:val="0"/>
                    <w:rPr>
                      <w:color w:val="auto"/>
                    </w:rPr>
                  </w:pPr>
                  <w:r w:rsidRPr="001A3E14">
                    <w:rPr>
                      <w:color w:val="auto"/>
                    </w:rPr>
                    <w:t>We acknowledge and respect Victorian Traditional Owners as the original custodians of Victoria's land and waters, their unique ability to care for Country</w:t>
                  </w:r>
                  <w:r w:rsidR="004E22C0">
                    <w:rPr>
                      <w:color w:val="auto"/>
                    </w:rPr>
                    <w:t>,</w:t>
                  </w:r>
                  <w:r w:rsidRPr="001A3E14">
                    <w:rPr>
                      <w:color w:val="auto"/>
                    </w:rPr>
                    <w:t xml:space="preserve"> and </w:t>
                  </w:r>
                  <w:r w:rsidR="00553A78">
                    <w:rPr>
                      <w:color w:val="auto"/>
                    </w:rPr>
                    <w:t xml:space="preserve">their </w:t>
                  </w:r>
                  <w:r w:rsidRPr="001A3E14">
                    <w:rPr>
                      <w:color w:val="auto"/>
                    </w:rPr>
                    <w:t>deep spiritual connection to it. We honour Elders past and present</w:t>
                  </w:r>
                  <w:r w:rsidR="004E22C0">
                    <w:rPr>
                      <w:color w:val="auto"/>
                    </w:rPr>
                    <w:t>,</w:t>
                  </w:r>
                  <w:r w:rsidRPr="001A3E14">
                    <w:rPr>
                      <w:color w:val="auto"/>
                    </w:rPr>
                    <w:t xml:space="preserve"> whose knowledge and wisdom ha</w:t>
                  </w:r>
                  <w:r w:rsidR="00553A78">
                    <w:rPr>
                      <w:color w:val="auto"/>
                    </w:rPr>
                    <w:t>ve</w:t>
                  </w:r>
                  <w:r w:rsidRPr="001A3E14">
                    <w:rPr>
                      <w:color w:val="auto"/>
                    </w:rPr>
                    <w:t xml:space="preserve"> ensured the continuation of culture and traditional practices.</w:t>
                  </w:r>
                </w:p>
                <w:p w14:paraId="5BC71B6D" w14:textId="0E33C113" w:rsidR="00BC25ED" w:rsidRDefault="00BC25ED" w:rsidP="004D00CE">
                  <w:pPr>
                    <w:pStyle w:val="xDisclaimertext5"/>
                    <w:framePr w:hSpace="0" w:wrap="auto" w:hAnchor="text" w:yAlign="inline"/>
                    <w:suppressOverlap w:val="0"/>
                  </w:pPr>
                  <w:r w:rsidRPr="001A3E14">
                    <w:rPr>
                      <w:color w:val="auto"/>
                    </w:rPr>
                    <w:t>We are committed to genuinely partner</w:t>
                  </w:r>
                  <w:r w:rsidR="004E22C0">
                    <w:rPr>
                      <w:color w:val="auto"/>
                    </w:rPr>
                    <w:t>ing</w:t>
                  </w:r>
                  <w:r w:rsidRPr="001A3E14">
                    <w:rPr>
                      <w:color w:val="auto"/>
                    </w:rPr>
                    <w:t xml:space="preserve">, and meaningfully </w:t>
                  </w:r>
                  <w:r w:rsidR="004E22C0" w:rsidRPr="001A3E14">
                    <w:rPr>
                      <w:color w:val="auto"/>
                    </w:rPr>
                    <w:t>engag</w:t>
                  </w:r>
                  <w:r w:rsidR="004E22C0">
                    <w:rPr>
                      <w:color w:val="auto"/>
                    </w:rPr>
                    <w:t>ing</w:t>
                  </w:r>
                  <w:r w:rsidRPr="001A3E14">
                    <w:rPr>
                      <w:color w:val="auto"/>
                    </w:rPr>
                    <w:t xml:space="preserve">, with </w:t>
                  </w:r>
                  <w:r w:rsidR="004E22C0" w:rsidRPr="001A3E14">
                    <w:rPr>
                      <w:color w:val="auto"/>
                    </w:rPr>
                    <w:t>Victoria</w:t>
                  </w:r>
                  <w:r w:rsidR="004E22C0">
                    <w:rPr>
                      <w:color w:val="auto"/>
                    </w:rPr>
                    <w:t>’</w:t>
                  </w:r>
                  <w:r w:rsidR="004E22C0" w:rsidRPr="001A3E14">
                    <w:rPr>
                      <w:color w:val="auto"/>
                    </w:rPr>
                    <w:t xml:space="preserve">s </w:t>
                  </w:r>
                  <w:r w:rsidRPr="001A3E14">
                    <w:rPr>
                      <w:color w:val="auto"/>
                    </w:rPr>
                    <w:t>Traditional Owners and Aboriginal communities to support the protection of Country, the maintenance of spiritual and cultural practices</w:t>
                  </w:r>
                  <w:r w:rsidR="004E22C0">
                    <w:rPr>
                      <w:color w:val="auto"/>
                    </w:rPr>
                    <w:t>,</w:t>
                  </w:r>
                  <w:r w:rsidRPr="001A3E14">
                    <w:rPr>
                      <w:color w:val="auto"/>
                    </w:rPr>
                    <w:t xml:space="preserve"> and their broader aspirations in the 21st century and beyond.</w:t>
                  </w:r>
                </w:p>
              </w:tc>
            </w:tr>
          </w:tbl>
          <w:p w14:paraId="5CC0739E" w14:textId="6918D355" w:rsidR="002F04B4" w:rsidRPr="00E3679A" w:rsidRDefault="002F04B4" w:rsidP="009A204D">
            <w:pPr>
              <w:autoSpaceDE w:val="0"/>
              <w:autoSpaceDN w:val="0"/>
              <w:adjustRightInd w:val="0"/>
              <w:spacing w:before="120" w:after="240"/>
              <w:rPr>
                <w:rStyle w:val="Imprint0"/>
              </w:rPr>
            </w:pPr>
            <w:r w:rsidRPr="00E3679A">
              <w:rPr>
                <w:rStyle w:val="Imprint0"/>
              </w:rPr>
              <w:t>Arthur Rylah Institute for Environmental Research</w:t>
            </w:r>
            <w:r w:rsidRPr="00E3679A">
              <w:rPr>
                <w:rStyle w:val="Imprint0"/>
              </w:rPr>
              <w:br/>
              <w:t>Department of Environment, Land, Water and Planning</w:t>
            </w:r>
            <w:r w:rsidRPr="00E3679A">
              <w:rPr>
                <w:rStyle w:val="Imprint0"/>
              </w:rPr>
              <w:br/>
              <w:t>P</w:t>
            </w:r>
            <w:r w:rsidR="00553A78">
              <w:rPr>
                <w:rStyle w:val="Imprint0"/>
              </w:rPr>
              <w:t>.O.</w:t>
            </w:r>
            <w:r w:rsidRPr="00E3679A">
              <w:rPr>
                <w:rStyle w:val="Imprint0"/>
              </w:rPr>
              <w:t xml:space="preserve"> Box 137</w:t>
            </w:r>
            <w:r w:rsidRPr="00E3679A">
              <w:rPr>
                <w:rStyle w:val="Imprint0"/>
              </w:rPr>
              <w:br/>
              <w:t>Heidelberg, Victoria 3084</w:t>
            </w:r>
            <w:r w:rsidRPr="00E3679A">
              <w:rPr>
                <w:rStyle w:val="Imprint0"/>
              </w:rPr>
              <w:br/>
              <w:t>Phone (03) 9450 8600</w:t>
            </w:r>
            <w:r w:rsidRPr="00E3679A">
              <w:rPr>
                <w:rStyle w:val="Imprint0"/>
              </w:rPr>
              <w:br/>
              <w:t xml:space="preserve">Website: </w:t>
            </w:r>
            <w:hyperlink r:id="rId36" w:history="1">
              <w:r w:rsidRPr="007020A6">
                <w:rPr>
                  <w:rStyle w:val="Hyperlink"/>
                  <w:rFonts w:eastAsia="Calibri"/>
                  <w:sz w:val="16"/>
                  <w:szCs w:val="16"/>
                </w:rPr>
                <w:t>www.ari.vic.gov.au</w:t>
              </w:r>
            </w:hyperlink>
          </w:p>
          <w:p w14:paraId="1BE163BE" w14:textId="021077FB" w:rsidR="002F04B4" w:rsidRDefault="002F04B4" w:rsidP="009A204D">
            <w:pPr>
              <w:autoSpaceDE w:val="0"/>
              <w:autoSpaceDN w:val="0"/>
              <w:adjustRightInd w:val="0"/>
              <w:spacing w:after="240"/>
              <w:rPr>
                <w:rStyle w:val="Imprint0"/>
              </w:rPr>
            </w:pPr>
            <w:bookmarkStart w:id="3" w:name="_Hlk104379982"/>
            <w:r w:rsidRPr="001653FA">
              <w:rPr>
                <w:rStyle w:val="Imprint0"/>
                <w:b/>
              </w:rPr>
              <w:t>Citation</w:t>
            </w:r>
            <w:r w:rsidRPr="001653FA">
              <w:rPr>
                <w:rStyle w:val="Imprint0"/>
              </w:rPr>
              <w:t>:</w:t>
            </w:r>
            <w:r w:rsidRPr="00C177A1">
              <w:rPr>
                <w:rStyle w:val="Imprint0"/>
              </w:rPr>
              <w:t xml:space="preserve"> </w:t>
            </w:r>
            <w:r w:rsidR="00B74B88" w:rsidRPr="00C177A1">
              <w:rPr>
                <w:rStyle w:val="Imprint0"/>
              </w:rPr>
              <w:t>Robley, A., Moloney, P.</w:t>
            </w:r>
            <w:r w:rsidR="00B23B81">
              <w:rPr>
                <w:rStyle w:val="Imprint0"/>
              </w:rPr>
              <w:t>D.</w:t>
            </w:r>
            <w:r w:rsidR="00B74B88" w:rsidRPr="00C177A1">
              <w:rPr>
                <w:rStyle w:val="Imprint0"/>
              </w:rPr>
              <w:t xml:space="preserve"> </w:t>
            </w:r>
            <w:r w:rsidR="001B2982" w:rsidRPr="00C177A1">
              <w:rPr>
                <w:rStyle w:val="Imprint0"/>
              </w:rPr>
              <w:t xml:space="preserve">and </w:t>
            </w:r>
            <w:r w:rsidR="00B74B88" w:rsidRPr="00C177A1">
              <w:rPr>
                <w:rStyle w:val="Imprint0"/>
              </w:rPr>
              <w:t>Le Duc, E. (</w:t>
            </w:r>
            <w:r w:rsidR="001A792F">
              <w:rPr>
                <w:rStyle w:val="Imprint0"/>
              </w:rPr>
              <w:t>2022</w:t>
            </w:r>
            <w:r w:rsidR="00B74B88" w:rsidRPr="00C177A1">
              <w:rPr>
                <w:rStyle w:val="Imprint0"/>
              </w:rPr>
              <w:t>). Glenelg Ark</w:t>
            </w:r>
            <w:r w:rsidR="009A204D">
              <w:rPr>
                <w:rStyle w:val="Imprint0"/>
              </w:rPr>
              <w:t>—</w:t>
            </w:r>
            <w:r w:rsidR="00B74B88" w:rsidRPr="00C177A1">
              <w:rPr>
                <w:rStyle w:val="Imprint0"/>
              </w:rPr>
              <w:t xml:space="preserve">2020 </w:t>
            </w:r>
            <w:r w:rsidR="001018C2">
              <w:rPr>
                <w:rStyle w:val="Imprint0"/>
              </w:rPr>
              <w:t xml:space="preserve">monitoring and evaluation </w:t>
            </w:r>
            <w:r w:rsidR="00B74B88" w:rsidRPr="00C177A1">
              <w:rPr>
                <w:rStyle w:val="Imprint0"/>
              </w:rPr>
              <w:t xml:space="preserve">update. Arthur Rylah Institute for Environmental Research Technical Report Series No. </w:t>
            </w:r>
            <w:r w:rsidR="00FB0899">
              <w:rPr>
                <w:rStyle w:val="Imprint0"/>
              </w:rPr>
              <w:t>340</w:t>
            </w:r>
            <w:r w:rsidR="00B74B88" w:rsidRPr="0011624A">
              <w:rPr>
                <w:rStyle w:val="Imprint0"/>
                <w:color w:val="FF0000"/>
              </w:rPr>
              <w:t>.</w:t>
            </w:r>
            <w:r w:rsidR="00B74B88" w:rsidRPr="00C177A1">
              <w:rPr>
                <w:rStyle w:val="Imprint0"/>
              </w:rPr>
              <w:t xml:space="preserve"> Department of Environment, Land, Water and Planning, Heidelberg, Victoria.</w:t>
            </w:r>
          </w:p>
          <w:bookmarkEnd w:id="3"/>
          <w:p w14:paraId="7F877E8B" w14:textId="2B3650C1" w:rsidR="001018C2" w:rsidRPr="009D639F" w:rsidRDefault="001018C2" w:rsidP="009A204D">
            <w:pPr>
              <w:pStyle w:val="ARIimpcoverphoto"/>
              <w:rPr>
                <w:rStyle w:val="Imprint0"/>
                <w:rFonts w:eastAsia="Times New Roman" w:cs="Arial"/>
                <w:color w:val="auto"/>
              </w:rPr>
            </w:pPr>
            <w:r w:rsidRPr="009D639F">
              <w:rPr>
                <w:rStyle w:val="Imprint0"/>
                <w:rFonts w:cs="Arial"/>
                <w:b/>
                <w:color w:val="auto"/>
              </w:rPr>
              <w:t>Front cover photo</w:t>
            </w:r>
            <w:r w:rsidR="009A204D" w:rsidRPr="009D639F">
              <w:rPr>
                <w:rStyle w:val="Imprint0"/>
                <w:rFonts w:cs="Arial"/>
                <w:b/>
                <w:color w:val="auto"/>
              </w:rPr>
              <w:t>s</w:t>
            </w:r>
            <w:r w:rsidRPr="009D639F">
              <w:rPr>
                <w:rStyle w:val="Imprint0"/>
                <w:rFonts w:cs="Arial"/>
                <w:color w:val="auto"/>
              </w:rPr>
              <w:t>:</w:t>
            </w:r>
            <w:r w:rsidRPr="009D639F">
              <w:rPr>
                <w:rFonts w:ascii="Arial" w:hAnsi="Arial" w:cs="Arial"/>
                <w:color w:val="auto"/>
              </w:rPr>
              <w:t xml:space="preserve"> (a)</w:t>
            </w:r>
            <w:r w:rsidRPr="009D639F">
              <w:rPr>
                <w:rFonts w:ascii="Arial" w:hAnsi="Arial" w:cs="Arial"/>
                <w:b/>
                <w:color w:val="auto"/>
              </w:rPr>
              <w:t xml:space="preserve"> </w:t>
            </w:r>
            <w:r w:rsidRPr="009D639F">
              <w:rPr>
                <w:rFonts w:ascii="Arial" w:hAnsi="Arial" w:cs="Arial"/>
                <w:color w:val="auto"/>
              </w:rPr>
              <w:t xml:space="preserve">Red Fox with native prey; (b) feral Cat inspecting lure; (c) monitoring native </w:t>
            </w:r>
            <w:r w:rsidR="00D80AC3" w:rsidRPr="009D639F">
              <w:rPr>
                <w:rFonts w:ascii="Arial" w:hAnsi="Arial" w:cs="Arial"/>
                <w:color w:val="auto"/>
              </w:rPr>
              <w:t>species response</w:t>
            </w:r>
            <w:r w:rsidRPr="009D639F">
              <w:rPr>
                <w:rFonts w:ascii="Arial" w:hAnsi="Arial" w:cs="Arial"/>
                <w:color w:val="auto"/>
              </w:rPr>
              <w:t xml:space="preserve"> (photographer: DELWP</w:t>
            </w:r>
            <w:r w:rsidR="009A204D" w:rsidRPr="009D639F">
              <w:rPr>
                <w:rFonts w:ascii="Arial" w:hAnsi="Arial" w:cs="Arial"/>
                <w:color w:val="auto"/>
              </w:rPr>
              <w:t xml:space="preserve">); </w:t>
            </w:r>
            <w:r w:rsidRPr="009D639F">
              <w:rPr>
                <w:rFonts w:ascii="Arial" w:hAnsi="Arial" w:cs="Arial"/>
                <w:color w:val="auto"/>
              </w:rPr>
              <w:t>(d) predicted occupancy of Southern Brown Bandicoots.</w:t>
            </w:r>
          </w:p>
          <w:p w14:paraId="30BC3DE0" w14:textId="22C4D161" w:rsidR="002F04B4" w:rsidRPr="00E3679A" w:rsidRDefault="002F04B4" w:rsidP="009A204D">
            <w:pPr>
              <w:autoSpaceDE w:val="0"/>
              <w:autoSpaceDN w:val="0"/>
              <w:adjustRightInd w:val="0"/>
              <w:spacing w:after="320"/>
              <w:rPr>
                <w:rStyle w:val="Imprint0"/>
              </w:rPr>
            </w:pPr>
            <w:r w:rsidRPr="00E3679A">
              <w:rPr>
                <w:rStyle w:val="Imprint0"/>
                <w:noProof/>
                <w:lang w:val="en-GB" w:eastAsia="en-GB"/>
              </w:rPr>
              <w:drawing>
                <wp:anchor distT="0" distB="0" distL="114300" distR="114300" simplePos="0" relativeHeight="251660288" behindDoc="0" locked="0" layoutInCell="1" allowOverlap="1" wp14:anchorId="257A7393" wp14:editId="65B08B64">
                  <wp:simplePos x="0" y="0"/>
                  <wp:positionH relativeFrom="column">
                    <wp:posOffset>1905</wp:posOffset>
                  </wp:positionH>
                  <wp:positionV relativeFrom="paragraph">
                    <wp:posOffset>208915</wp:posOffset>
                  </wp:positionV>
                  <wp:extent cx="658495" cy="237490"/>
                  <wp:effectExtent l="0" t="0" r="8255" b="0"/>
                  <wp:wrapNone/>
                  <wp:docPr id="6" name="Picture 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7">
                            <a:extLst>
                              <a:ext uri="{28A0092B-C50C-407E-A947-70E740481C1C}">
                                <a14:useLocalDpi xmlns:a14="http://schemas.microsoft.com/office/drawing/2010/main"/>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3679A">
              <w:rPr>
                <w:rStyle w:val="Imprint0"/>
              </w:rPr>
              <w:t xml:space="preserve">© The State of Victoria Department of Environment, Land, Water and Planning </w:t>
            </w:r>
            <w:r w:rsidR="00B74B88">
              <w:rPr>
                <w:rStyle w:val="Imprint0"/>
              </w:rPr>
              <w:t>202</w:t>
            </w:r>
            <w:r w:rsidR="00C177A1">
              <w:rPr>
                <w:rStyle w:val="Imprint0"/>
              </w:rPr>
              <w:t>2</w:t>
            </w:r>
          </w:p>
          <w:p w14:paraId="409E89A6" w14:textId="77777777" w:rsidR="002F04B4" w:rsidRPr="00243764" w:rsidRDefault="002F04B4" w:rsidP="009A204D">
            <w:pPr>
              <w:spacing w:before="100" w:after="60" w:line="175" w:lineRule="atLeast"/>
              <w:rPr>
                <w:color w:val="363534" w:themeColor="text1"/>
                <w:sz w:val="16"/>
                <w:szCs w:val="16"/>
                <w:lang w:eastAsia="en-AU"/>
              </w:rPr>
            </w:pPr>
            <w:bookmarkStart w:id="4" w:name="_CreativeCommonsMarker"/>
            <w:bookmarkEnd w:id="4"/>
          </w:p>
          <w:p w14:paraId="1D1385E4" w14:textId="571A92F6" w:rsidR="002F04B4" w:rsidRPr="00933BDA" w:rsidRDefault="002F04B4" w:rsidP="009A204D">
            <w:pPr>
              <w:autoSpaceDE w:val="0"/>
              <w:autoSpaceDN w:val="0"/>
              <w:adjustRightInd w:val="0"/>
              <w:rPr>
                <w:rStyle w:val="Imprint0"/>
              </w:rPr>
            </w:pPr>
            <w:r w:rsidRPr="00933BDA">
              <w:rPr>
                <w:rStyle w:val="Imprint0"/>
              </w:rPr>
              <w:t xml:space="preserve">This work is licensed under a Creative Commons Attribution 3.0 Australia licence. You are free to re-use the work under that licence on the condition that you credit the State of Victoria as </w:t>
            </w:r>
            <w:r w:rsidR="00F957CF">
              <w:rPr>
                <w:rStyle w:val="Imprint0"/>
              </w:rPr>
              <w:t xml:space="preserve">the </w:t>
            </w:r>
            <w:r w:rsidRPr="00933BDA">
              <w:rPr>
                <w:rStyle w:val="Imprint0"/>
              </w:rPr>
              <w:t xml:space="preserve">author. The licence does not apply to any images, </w:t>
            </w:r>
            <w:proofErr w:type="gramStart"/>
            <w:r w:rsidRPr="00933BDA">
              <w:rPr>
                <w:rStyle w:val="Imprint0"/>
              </w:rPr>
              <w:t>photographs</w:t>
            </w:r>
            <w:proofErr w:type="gramEnd"/>
            <w:r w:rsidRPr="00933BDA">
              <w:rPr>
                <w:rStyle w:val="Imprint0"/>
              </w:rPr>
              <w:t xml:space="preserve"> or branding, including the Victorian Coat of Arms, the Victorian Government logo, the Department of Environment, Land, Water and Planning logo and the Arthur Rylah Institute logo. To view a copy of this licence, visit </w:t>
            </w:r>
            <w:hyperlink r:id="rId38" w:history="1">
              <w:r w:rsidRPr="00933BDA">
                <w:rPr>
                  <w:rStyle w:val="Imprint0"/>
                </w:rPr>
                <w:t>http://creativecommons.org/licenses/by/3.0/au/deed.en</w:t>
              </w:r>
            </w:hyperlink>
          </w:p>
          <w:p w14:paraId="1104347A" w14:textId="0B61A125" w:rsidR="002F04B4" w:rsidRPr="006E23EB" w:rsidRDefault="002F04B4" w:rsidP="009A204D">
            <w:pPr>
              <w:autoSpaceDE w:val="0"/>
              <w:autoSpaceDN w:val="0"/>
              <w:adjustRightInd w:val="0"/>
              <w:spacing w:after="200"/>
              <w:rPr>
                <w:rStyle w:val="Imprint0"/>
              </w:rPr>
            </w:pPr>
            <w:r w:rsidRPr="006E23EB">
              <w:rPr>
                <w:rStyle w:val="Imprint0"/>
              </w:rPr>
              <w:t>Printed by</w:t>
            </w:r>
            <w:r w:rsidR="00F85782">
              <w:rPr>
                <w:rStyle w:val="Imprint0"/>
              </w:rPr>
              <w:t xml:space="preserve"> DELWP, Melbourne</w:t>
            </w:r>
          </w:p>
          <w:p w14:paraId="695DEC15" w14:textId="5DC4C504" w:rsidR="002F04B4" w:rsidRPr="006E23EB" w:rsidRDefault="002F04B4" w:rsidP="009A204D">
            <w:pPr>
              <w:autoSpaceDE w:val="0"/>
              <w:autoSpaceDN w:val="0"/>
              <w:adjustRightInd w:val="0"/>
              <w:spacing w:after="200"/>
              <w:rPr>
                <w:rStyle w:val="Imprint0"/>
              </w:rPr>
            </w:pPr>
            <w:r w:rsidRPr="006E23EB">
              <w:rPr>
                <w:rStyle w:val="Imprint0"/>
              </w:rPr>
              <w:t xml:space="preserve">Edited by </w:t>
            </w:r>
            <w:r w:rsidR="009A204D" w:rsidRPr="00F46996">
              <w:rPr>
                <w:rStyle w:val="Imprint0"/>
              </w:rPr>
              <w:t>Jeanette Birtles, Organic Editing</w:t>
            </w:r>
          </w:p>
          <w:p w14:paraId="5336D192" w14:textId="77777777" w:rsidR="002F04B4" w:rsidRPr="00405A41" w:rsidRDefault="002F04B4" w:rsidP="009A204D">
            <w:pPr>
              <w:pStyle w:val="ARIimprintpubdetails"/>
              <w:rPr>
                <w:rStyle w:val="Imprint0"/>
              </w:rPr>
            </w:pPr>
            <w:r w:rsidRPr="00405A41">
              <w:rPr>
                <w:rStyle w:val="Imprint0"/>
              </w:rPr>
              <w:t>ISSN 1835-3827 (print)</w:t>
            </w:r>
          </w:p>
          <w:p w14:paraId="7912B61C" w14:textId="73CB2021" w:rsidR="002F04B4" w:rsidRDefault="002F04B4" w:rsidP="009A204D">
            <w:pPr>
              <w:pStyle w:val="ARIimprintpubdetails"/>
              <w:rPr>
                <w:rStyle w:val="Imprint0"/>
              </w:rPr>
            </w:pPr>
            <w:r w:rsidRPr="00405A41">
              <w:rPr>
                <w:rStyle w:val="Imprint0"/>
              </w:rPr>
              <w:t>ISSN 1835-3835 (pdf))</w:t>
            </w:r>
          </w:p>
          <w:p w14:paraId="529C7C89" w14:textId="32637948" w:rsidR="00405D66" w:rsidRPr="00405A41" w:rsidRDefault="00405D66" w:rsidP="009A204D">
            <w:pPr>
              <w:pStyle w:val="ARIimprintpubdetails"/>
              <w:rPr>
                <w:rStyle w:val="Imprint0"/>
              </w:rPr>
            </w:pPr>
            <w:r w:rsidRPr="00405D66">
              <w:rPr>
                <w:rStyle w:val="Imprint0"/>
              </w:rPr>
              <w:t>ISBN 978-1-76136-034-3 (pdf/online/MS word)</w:t>
            </w:r>
          </w:p>
          <w:p w14:paraId="3B713E4B" w14:textId="77777777" w:rsidR="00405D66" w:rsidRDefault="00405D66" w:rsidP="009A204D">
            <w:pPr>
              <w:autoSpaceDE w:val="0"/>
              <w:autoSpaceDN w:val="0"/>
              <w:adjustRightInd w:val="0"/>
              <w:spacing w:after="320"/>
              <w:rPr>
                <w:rStyle w:val="Imprint0"/>
                <w:b/>
              </w:rPr>
            </w:pPr>
          </w:p>
          <w:p w14:paraId="0B7B19FF" w14:textId="623236E8" w:rsidR="00473385" w:rsidRDefault="002F04B4" w:rsidP="009A204D">
            <w:pPr>
              <w:autoSpaceDE w:val="0"/>
              <w:autoSpaceDN w:val="0"/>
              <w:adjustRightInd w:val="0"/>
              <w:spacing w:after="320"/>
              <w:rPr>
                <w:rStyle w:val="Imprint0"/>
              </w:rPr>
            </w:pPr>
            <w:r w:rsidRPr="00933BDA">
              <w:rPr>
                <w:rStyle w:val="Imprint0"/>
                <w:b/>
              </w:rPr>
              <w:t>Disclaimer</w:t>
            </w:r>
            <w:r>
              <w:rPr>
                <w:rStyle w:val="Imprint0"/>
                <w:b/>
              </w:rPr>
              <w:br/>
            </w:r>
            <w:r w:rsidRPr="00933BDA">
              <w:rPr>
                <w:rStyle w:val="Imprint0"/>
              </w:rPr>
              <w:t>This publication may be of assistance to you</w:t>
            </w:r>
            <w:r w:rsidR="00553A78">
              <w:rPr>
                <w:rStyle w:val="Imprint0"/>
              </w:rPr>
              <w:t>,</w:t>
            </w:r>
            <w:r w:rsidRPr="00933BDA">
              <w:rPr>
                <w:rStyle w:val="Imprint0"/>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3C8D186" w14:textId="3FE33BD4" w:rsidR="002F04B4" w:rsidRPr="002A2CA5" w:rsidRDefault="002F04B4" w:rsidP="009A204D">
            <w:pPr>
              <w:autoSpaceDE w:val="0"/>
              <w:autoSpaceDN w:val="0"/>
              <w:adjustRightInd w:val="0"/>
              <w:spacing w:after="0" w:line="240" w:lineRule="auto"/>
              <w:rPr>
                <w:rFonts w:eastAsia="Calibri"/>
                <w:sz w:val="28"/>
                <w:szCs w:val="36"/>
              </w:rPr>
            </w:pPr>
            <w:r w:rsidRPr="002A2CA5">
              <w:rPr>
                <w:rFonts w:eastAsia="Calibri"/>
                <w:sz w:val="28"/>
                <w:szCs w:val="36"/>
              </w:rPr>
              <w:t>Accessibility</w:t>
            </w:r>
          </w:p>
          <w:p w14:paraId="3CB036CC" w14:textId="20AF52F9" w:rsidR="002B1849" w:rsidRPr="002A2CA5" w:rsidRDefault="002F04B4" w:rsidP="009A204D">
            <w:pPr>
              <w:pStyle w:val="Accessibilitytext"/>
              <w:framePr w:hSpace="0" w:wrap="auto" w:vAnchor="margin" w:hAnchor="text" w:yAlign="inline"/>
              <w:spacing w:line="240" w:lineRule="auto"/>
            </w:pPr>
            <w:r w:rsidRPr="002A2CA5">
              <w:t xml:space="preserve">If you would like to receive this publication in an alternative format, please telephone the DELWP Customer Service Centre on 136 186, email </w:t>
            </w:r>
            <w:hyperlink r:id="rId39" w:history="1">
              <w:r w:rsidRPr="002A2CA5">
                <w:t>customer.service@delwp.vic.gov.au</w:t>
              </w:r>
            </w:hyperlink>
            <w:r w:rsidRPr="002A2CA5">
              <w:t xml:space="preserve"> or contact us via the National Relay</w:t>
            </w:r>
            <w:r w:rsidR="002A2CA5">
              <w:t xml:space="preserve"> </w:t>
            </w:r>
            <w:r w:rsidRPr="002A2CA5">
              <w:t xml:space="preserve">Service on 133 677 or </w:t>
            </w:r>
            <w:hyperlink r:id="rId40" w:history="1">
              <w:r w:rsidRPr="002A2CA5">
                <w:t>www.relayservice.com.au</w:t>
              </w:r>
            </w:hyperlink>
            <w:r w:rsidRPr="002A2CA5">
              <w:t xml:space="preserve">. This document is also </w:t>
            </w:r>
            <w:r w:rsidR="00F85782" w:rsidRPr="002A2CA5">
              <w:t>a</w:t>
            </w:r>
            <w:r w:rsidRPr="002A2CA5">
              <w:t xml:space="preserve">vailable on the internet at </w:t>
            </w:r>
            <w:hyperlink r:id="rId41" w:history="1">
              <w:r w:rsidRPr="002A2CA5">
                <w:t>www.delwp.vic.gov.au</w:t>
              </w:r>
            </w:hyperlink>
          </w:p>
          <w:p w14:paraId="0868C5C2" w14:textId="6C110E95" w:rsidR="002B1849" w:rsidRDefault="002B1849" w:rsidP="009A204D">
            <w:pPr>
              <w:pStyle w:val="Accessibilitytext"/>
              <w:framePr w:hSpace="0" w:wrap="auto" w:vAnchor="margin" w:hAnchor="text" w:yAlign="inline"/>
              <w:spacing w:line="240" w:lineRule="auto"/>
            </w:pPr>
          </w:p>
          <w:p w14:paraId="1EBE4488" w14:textId="29359A2F" w:rsidR="002B1849" w:rsidRPr="00243764" w:rsidRDefault="002B1849" w:rsidP="009A204D">
            <w:pPr>
              <w:pStyle w:val="Accessibilitytext"/>
              <w:framePr w:hSpace="0" w:wrap="auto" w:vAnchor="margin" w:hAnchor="text" w:yAlign="inline"/>
              <w:spacing w:line="240" w:lineRule="auto"/>
            </w:pPr>
          </w:p>
        </w:tc>
      </w:tr>
    </w:tbl>
    <w:p w14:paraId="3968B941" w14:textId="60C7208A" w:rsidR="00DA7D7F" w:rsidRPr="00933BDA" w:rsidRDefault="00260A6B" w:rsidP="00DC3852">
      <w:r w:rsidRPr="00933BDA">
        <w:br w:type="page"/>
      </w:r>
    </w:p>
    <w:p w14:paraId="0197BE85" w14:textId="52383229" w:rsidR="00243764" w:rsidRPr="008352D5" w:rsidRDefault="00B74B88" w:rsidP="00DC3852">
      <w:pPr>
        <w:pStyle w:val="Titlepageheading"/>
      </w:pPr>
      <w:r>
        <w:lastRenderedPageBreak/>
        <w:t>Glenelg Ark</w:t>
      </w:r>
      <w:r w:rsidR="009A204D">
        <w:t>—</w:t>
      </w:r>
      <w:r>
        <w:t>2020 monitoring and evaluation update</w:t>
      </w:r>
    </w:p>
    <w:p w14:paraId="3574A7DE" w14:textId="77777777" w:rsidR="00243764" w:rsidRPr="00856D1B" w:rsidRDefault="00243764" w:rsidP="00DC3852">
      <w:pPr>
        <w:pStyle w:val="Titlepagesubtitle"/>
      </w:pPr>
    </w:p>
    <w:p w14:paraId="5758C84A" w14:textId="77777777" w:rsidR="00243764" w:rsidRPr="00856D1B" w:rsidRDefault="00243764" w:rsidP="00DC3852">
      <w:pPr>
        <w:pStyle w:val="Titlepagesubtitle"/>
      </w:pPr>
    </w:p>
    <w:p w14:paraId="04089F9F" w14:textId="370DB61E" w:rsidR="00243764" w:rsidRPr="008352D5" w:rsidRDefault="00B74B88" w:rsidP="00B74B88">
      <w:pPr>
        <w:pStyle w:val="Titlepagesubtitle"/>
      </w:pPr>
      <w:r>
        <w:t>A</w:t>
      </w:r>
      <w:r w:rsidR="009A204D">
        <w:t xml:space="preserve">lan </w:t>
      </w:r>
      <w:r>
        <w:t>Rob</w:t>
      </w:r>
      <w:r w:rsidR="0011624A">
        <w:t>l</w:t>
      </w:r>
      <w:r>
        <w:t>ey</w:t>
      </w:r>
      <w:r w:rsidRPr="00B74B88">
        <w:rPr>
          <w:vertAlign w:val="superscript"/>
        </w:rPr>
        <w:t>1</w:t>
      </w:r>
      <w:r>
        <w:t>, P</w:t>
      </w:r>
      <w:r w:rsidR="009A204D">
        <w:t xml:space="preserve">aul </w:t>
      </w:r>
      <w:r w:rsidR="00B23B81">
        <w:t xml:space="preserve">D. </w:t>
      </w:r>
      <w:r>
        <w:t>Moloney</w:t>
      </w:r>
      <w:r w:rsidRPr="00B74B88">
        <w:rPr>
          <w:vertAlign w:val="superscript"/>
        </w:rPr>
        <w:t>1</w:t>
      </w:r>
      <w:r>
        <w:t xml:space="preserve"> </w:t>
      </w:r>
      <w:r w:rsidR="001B2982">
        <w:t xml:space="preserve">and </w:t>
      </w:r>
      <w:r>
        <w:t>E</w:t>
      </w:r>
      <w:r w:rsidR="00F46996">
        <w:t>than</w:t>
      </w:r>
      <w:r>
        <w:t xml:space="preserve"> L</w:t>
      </w:r>
      <w:r w:rsidR="001B2982">
        <w:t>e</w:t>
      </w:r>
      <w:r>
        <w:t xml:space="preserve"> Duc</w:t>
      </w:r>
      <w:r>
        <w:rPr>
          <w:vertAlign w:val="superscript"/>
        </w:rPr>
        <w:t>2</w:t>
      </w:r>
    </w:p>
    <w:p w14:paraId="59E036FB" w14:textId="77777777" w:rsidR="00243764" w:rsidRPr="008352D5" w:rsidRDefault="00243764" w:rsidP="00DC3852">
      <w:pPr>
        <w:pStyle w:val="Titlepagesubtitle"/>
      </w:pPr>
    </w:p>
    <w:p w14:paraId="09AA1913" w14:textId="77777777" w:rsidR="00DD09BE" w:rsidRPr="008352D5" w:rsidRDefault="00DD09BE" w:rsidP="00DC3852">
      <w:pPr>
        <w:pStyle w:val="Titlepagesubtitle"/>
      </w:pPr>
    </w:p>
    <w:p w14:paraId="0C525087" w14:textId="6EF0DC07" w:rsidR="00744A3D" w:rsidRPr="00DD09BE" w:rsidRDefault="00744A3D" w:rsidP="00DC3852">
      <w:r w:rsidRPr="00DD09BE">
        <w:rPr>
          <w:vertAlign w:val="superscript"/>
        </w:rPr>
        <w:t>1</w:t>
      </w:r>
      <w:r w:rsidRPr="00DD09BE">
        <w:t>Arthur Rylah Institute for Environmental Research</w:t>
      </w:r>
      <w:r w:rsidR="001A792F">
        <w:t xml:space="preserve">, </w:t>
      </w:r>
      <w:r w:rsidR="001A792F">
        <w:br/>
        <w:t>Department of Environment, Land, Water and Planning</w:t>
      </w:r>
      <w:r w:rsidRPr="00DD09BE">
        <w:br/>
        <w:t>123 Brown Street, Heidelberg, Victoria 3084</w:t>
      </w:r>
    </w:p>
    <w:p w14:paraId="4CE7F082" w14:textId="03011488" w:rsidR="00744A3D" w:rsidRPr="00DD09BE" w:rsidRDefault="00744A3D" w:rsidP="009E3258">
      <w:pPr>
        <w:contextualSpacing/>
      </w:pPr>
      <w:r w:rsidRPr="00DD09BE">
        <w:rPr>
          <w:vertAlign w:val="superscript"/>
        </w:rPr>
        <w:t>2</w:t>
      </w:r>
      <w:r w:rsidR="00B74B88" w:rsidRPr="00B74B88">
        <w:t xml:space="preserve">Barwon </w:t>
      </w:r>
      <w:proofErr w:type="gramStart"/>
      <w:r w:rsidR="00B74B88" w:rsidRPr="00B74B88">
        <w:t>South West</w:t>
      </w:r>
      <w:proofErr w:type="gramEnd"/>
      <w:r w:rsidR="00B74B88" w:rsidRPr="00B74B88">
        <w:t xml:space="preserve"> </w:t>
      </w:r>
      <w:r w:rsidR="00B74B88">
        <w:t>Forest, Fire and Regions</w:t>
      </w:r>
      <w:r w:rsidR="009A204D">
        <w:br/>
      </w:r>
      <w:r w:rsidRPr="00DD09BE">
        <w:t>Department of Environment, Land, Water and Planning</w:t>
      </w:r>
      <w:r w:rsidRPr="00DD09BE">
        <w:br/>
      </w:r>
      <w:r w:rsidR="009E3258" w:rsidRPr="003021E2">
        <w:rPr>
          <w:szCs w:val="18"/>
        </w:rPr>
        <w:t>12 Murray Street, Heywood, Victoria 3304</w:t>
      </w:r>
    </w:p>
    <w:p w14:paraId="79027E2B" w14:textId="77777777" w:rsidR="006A33F1" w:rsidRDefault="006A33F1" w:rsidP="00DC3852">
      <w:pPr>
        <w:pStyle w:val="Titlepagesubtitle"/>
      </w:pPr>
    </w:p>
    <w:p w14:paraId="306D866E" w14:textId="5B7D51EA" w:rsidR="00B2382F" w:rsidRPr="00B2382F" w:rsidRDefault="006A33F1" w:rsidP="00DC3852">
      <w:pPr>
        <w:pStyle w:val="Titlepagesubtitle"/>
      </w:pPr>
      <w:r w:rsidRPr="00772526">
        <w:rPr>
          <w:b w:val="0"/>
        </w:rPr>
        <w:t>Arthur Rylah Institute for Environmental Research</w:t>
      </w:r>
      <w:r w:rsidRPr="008352D5">
        <w:br/>
      </w:r>
      <w:r w:rsidR="002F04B4">
        <w:t>Technical</w:t>
      </w:r>
      <w:r w:rsidR="00DE7B6D">
        <w:t xml:space="preserve"> Report </w:t>
      </w:r>
      <w:r w:rsidR="002F04B4">
        <w:t>Series No.</w:t>
      </w:r>
      <w:r w:rsidR="00FB0899">
        <w:t xml:space="preserve"> </w:t>
      </w:r>
      <w:r w:rsidR="00FB0899" w:rsidRPr="00FB0899">
        <w:t>340</w:t>
      </w:r>
    </w:p>
    <w:p w14:paraId="74CB0A17" w14:textId="77777777" w:rsidR="009E3258" w:rsidRDefault="009E3258" w:rsidP="00DC3852"/>
    <w:p w14:paraId="2C4F1648" w14:textId="77777777" w:rsidR="009E3258" w:rsidRDefault="009E3258" w:rsidP="00DC3852"/>
    <w:p w14:paraId="7116A0CB" w14:textId="77777777" w:rsidR="009E3258" w:rsidRDefault="009E3258" w:rsidP="00DC3852"/>
    <w:p w14:paraId="0C238762" w14:textId="77777777" w:rsidR="009E3258" w:rsidRDefault="009E3258" w:rsidP="00DC3852"/>
    <w:p w14:paraId="4A0D62FD" w14:textId="77777777" w:rsidR="009E3258" w:rsidRDefault="009E3258" w:rsidP="00DC3852"/>
    <w:p w14:paraId="7E9B5A13" w14:textId="77777777" w:rsidR="009E3258" w:rsidRDefault="009E3258" w:rsidP="00DC3852"/>
    <w:p w14:paraId="28DB86C3" w14:textId="77777777" w:rsidR="009E3258" w:rsidRDefault="009E3258" w:rsidP="00DC3852"/>
    <w:p w14:paraId="08CDA40F" w14:textId="77777777" w:rsidR="009E3258" w:rsidRDefault="009E3258" w:rsidP="00DC3852"/>
    <w:p w14:paraId="541B9649" w14:textId="66B65D9E" w:rsidR="009E3258" w:rsidRDefault="009E3258" w:rsidP="00DC3852"/>
    <w:p w14:paraId="7D325CC0" w14:textId="101D1EA0" w:rsidR="00D80AC3" w:rsidRDefault="00D80AC3" w:rsidP="00DC3852"/>
    <w:p w14:paraId="482C90C1" w14:textId="70BA1187" w:rsidR="00D80AC3" w:rsidRDefault="00D80AC3" w:rsidP="00DC3852"/>
    <w:p w14:paraId="2D3F6AF2" w14:textId="74F685FA" w:rsidR="00D80AC3" w:rsidRDefault="00D80AC3" w:rsidP="00DC3852"/>
    <w:p w14:paraId="307EAD46" w14:textId="06CA2E2D" w:rsidR="00D80AC3" w:rsidRDefault="00D80AC3" w:rsidP="00DC3852"/>
    <w:p w14:paraId="155A1C5D" w14:textId="3CFECF1D" w:rsidR="00D80AC3" w:rsidRDefault="00D80AC3" w:rsidP="00DC3852"/>
    <w:p w14:paraId="165C4F46" w14:textId="77777777" w:rsidR="00D80AC3" w:rsidRDefault="00D80AC3" w:rsidP="00DC3852"/>
    <w:p w14:paraId="41614942" w14:textId="77777777" w:rsidR="009E3258" w:rsidRDefault="009E3258" w:rsidP="00DC3852"/>
    <w:p w14:paraId="4C44418B" w14:textId="77777777" w:rsidR="00DA7D7F" w:rsidRPr="00243764" w:rsidRDefault="009E3258" w:rsidP="00DC3852">
      <w:r w:rsidRPr="00243764">
        <w:t>Arthur Rylah Institute for Environmental Research</w:t>
      </w:r>
      <w:r w:rsidRPr="00243764">
        <w:br/>
        <w:t>Department of Environment, Land, Water and Planning</w:t>
      </w:r>
      <w:r w:rsidRPr="00243764">
        <w:br/>
        <w:t>Heidelberg, Victoria</w:t>
      </w:r>
      <w:r w:rsidR="00DD09BE">
        <w:t xml:space="preserve"> </w:t>
      </w:r>
    </w:p>
    <w:p w14:paraId="71933FCB" w14:textId="77777777" w:rsidR="00DA7D7F" w:rsidRPr="00243764" w:rsidRDefault="00DA7D7F" w:rsidP="00DC3852">
      <w:pPr>
        <w:sectPr w:rsidR="00DA7D7F" w:rsidRPr="00243764" w:rsidSect="006A33F1">
          <w:headerReference w:type="default" r:id="rId42"/>
          <w:footerReference w:type="even" r:id="rId43"/>
          <w:footerReference w:type="default" r:id="rId44"/>
          <w:headerReference w:type="first" r:id="rId45"/>
          <w:footerReference w:type="first" r:id="rId46"/>
          <w:pgSz w:w="11906" w:h="16838" w:code="9"/>
          <w:pgMar w:top="1134" w:right="1134" w:bottom="1134" w:left="1134" w:header="709" w:footer="709" w:gutter="0"/>
          <w:pgNumType w:fmt="lowerRoman"/>
          <w:cols w:space="708"/>
          <w:titlePg/>
          <w:docGrid w:linePitch="360"/>
        </w:sectPr>
      </w:pPr>
    </w:p>
    <w:p w14:paraId="390347D5" w14:textId="77777777" w:rsidR="00843C86" w:rsidRPr="00B2382F" w:rsidRDefault="00843C86" w:rsidP="0071429D">
      <w:pPr>
        <w:pStyle w:val="Heading1"/>
      </w:pPr>
      <w:bookmarkStart w:id="5" w:name="_Toc409798395"/>
      <w:bookmarkStart w:id="6" w:name="_Toc286018758"/>
      <w:bookmarkStart w:id="7" w:name="_Toc110599584"/>
      <w:r w:rsidRPr="00B2382F">
        <w:lastRenderedPageBreak/>
        <w:t>Acknowledgements</w:t>
      </w:r>
      <w:bookmarkEnd w:id="5"/>
      <w:bookmarkEnd w:id="6"/>
      <w:bookmarkEnd w:id="7"/>
    </w:p>
    <w:p w14:paraId="4DE77E3C" w14:textId="34227AC8" w:rsidR="009E3258" w:rsidRDefault="009E3258" w:rsidP="00CE449B">
      <w:r>
        <w:t>Data analysis and reporting were funded by the Weeds and Pests on Public Land</w:t>
      </w:r>
      <w:r w:rsidR="00772ED7">
        <w:t xml:space="preserve"> program</w:t>
      </w:r>
      <w:r>
        <w:t xml:space="preserve"> of the Department of Environment, Land, Water and Planning (DELWP) through the Glenelg Ark project</w:t>
      </w:r>
      <w:r w:rsidR="00534953">
        <w:t>,</w:t>
      </w:r>
      <w:r>
        <w:t xml:space="preserve"> and Parks Victoria. Members of the Glenelg Ark Working Group provided guidance and input throughout.</w:t>
      </w:r>
    </w:p>
    <w:p w14:paraId="5CA0CB71" w14:textId="77777777" w:rsidR="00797421" w:rsidRDefault="009E3258" w:rsidP="00CE449B">
      <w:r>
        <w:t>Members of the works crew at the Heywood and Dartmoor Depot</w:t>
      </w:r>
      <w:r w:rsidR="00F46996">
        <w:t>s</w:t>
      </w:r>
      <w:r>
        <w:t xml:space="preserve"> undertook invaluable project support activities, including baiting and camera set-up</w:t>
      </w:r>
      <w:r w:rsidR="00923321">
        <w:t xml:space="preserve"> (Tyler Britten, Beau Dixon, Jess Greenwood, James Grey, Chris Johansson, Tom McKinnon, Michael Murrell, Samantha Sheppard, Dylan Thomas, Sharlee </w:t>
      </w:r>
      <w:proofErr w:type="gramStart"/>
      <w:r w:rsidR="00923321">
        <w:t>Trigg</w:t>
      </w:r>
      <w:proofErr w:type="gramEnd"/>
      <w:r w:rsidR="007D5CCE">
        <w:t xml:space="preserve"> and</w:t>
      </w:r>
      <w:r w:rsidR="00923321">
        <w:t xml:space="preserve"> </w:t>
      </w:r>
      <w:r w:rsidR="007D5CCE">
        <w:t>Rhys </w:t>
      </w:r>
      <w:r w:rsidR="00923321">
        <w:t>Weber).</w:t>
      </w:r>
      <w:r>
        <w:t xml:space="preserve"> Baiting for the control of foxes was also undertaken by </w:t>
      </w:r>
      <w:bookmarkStart w:id="8" w:name="_Hlk95292895"/>
      <w:r>
        <w:t xml:space="preserve">Ray Albert, Megan Andrews, </w:t>
      </w:r>
      <w:r w:rsidR="007D5CCE">
        <w:t>Michael </w:t>
      </w:r>
      <w:r>
        <w:t xml:space="preserve">Bowd, Tim </w:t>
      </w:r>
      <w:proofErr w:type="gramStart"/>
      <w:r>
        <w:t>Hiscock</w:t>
      </w:r>
      <w:proofErr w:type="gramEnd"/>
      <w:r>
        <w:t xml:space="preserve"> and Kenny Scott</w:t>
      </w:r>
      <w:bookmarkEnd w:id="8"/>
      <w:r>
        <w:t xml:space="preserve">. </w:t>
      </w:r>
    </w:p>
    <w:p w14:paraId="44E2A50E" w14:textId="4F99DC2F" w:rsidR="009E3258" w:rsidRDefault="009E3258" w:rsidP="00CE449B">
      <w:r>
        <w:t>Camera trapping and other field activities were performed under Research Permit Number 1007449 and AEC Permit Number AEC 19-003.</w:t>
      </w:r>
    </w:p>
    <w:p w14:paraId="7BD362C2" w14:textId="01B549E9" w:rsidR="00E374DC" w:rsidRDefault="00E374DC" w:rsidP="00CE449B">
      <w:r>
        <w:t>Lachlan Francis (ARI)</w:t>
      </w:r>
      <w:r w:rsidR="00553A78">
        <w:t xml:space="preserve"> undertook the </w:t>
      </w:r>
      <w:proofErr w:type="spellStart"/>
      <w:r w:rsidR="00553A78">
        <w:t>FoxNet</w:t>
      </w:r>
      <w:proofErr w:type="spellEnd"/>
      <w:r w:rsidR="00553A78">
        <w:t xml:space="preserve"> modelling</w:t>
      </w:r>
      <w:r>
        <w:t>.</w:t>
      </w:r>
    </w:p>
    <w:p w14:paraId="3F88AF2D" w14:textId="4B029606" w:rsidR="00171878" w:rsidRDefault="00171878" w:rsidP="00CE449B">
      <w:r>
        <w:t>Matthew Rees</w:t>
      </w:r>
      <w:r w:rsidR="00553A78">
        <w:t xml:space="preserve"> (University of Melbourne PhD candidate) undertook the feral cat density estimation analysis</w:t>
      </w:r>
      <w:r w:rsidR="00AA7ABA">
        <w:t>.</w:t>
      </w:r>
    </w:p>
    <w:p w14:paraId="76F24F20" w14:textId="413777BE" w:rsidR="00A509C9" w:rsidRDefault="00A509C9" w:rsidP="00CE449B">
      <w:r>
        <w:t xml:space="preserve">Building </w:t>
      </w:r>
      <w:r w:rsidR="00AA7ABA">
        <w:t xml:space="preserve">of </w:t>
      </w:r>
      <w:r>
        <w:t xml:space="preserve">the reproducible raster stack of spatial layers for Glenelg to enable </w:t>
      </w:r>
      <w:r w:rsidR="002A2CA5">
        <w:t xml:space="preserve">the </w:t>
      </w:r>
      <w:r>
        <w:t>prediction of species distribution models was undertaken by David Uribe</w:t>
      </w:r>
      <w:r w:rsidR="00AA7ABA">
        <w:t>-</w:t>
      </w:r>
      <w:r>
        <w:t>Rivera (University of Melbourne)</w:t>
      </w:r>
      <w:r w:rsidR="00AA7ABA">
        <w:t>.</w:t>
      </w:r>
    </w:p>
    <w:p w14:paraId="2AFB9C08" w14:textId="12C2B448" w:rsidR="003004D9" w:rsidRDefault="000902D6" w:rsidP="003004D9">
      <w:r w:rsidRPr="000902D6">
        <w:t>Lindy Lumsden</w:t>
      </w:r>
      <w:r w:rsidR="001348A4">
        <w:t>,</w:t>
      </w:r>
      <w:r w:rsidRPr="000902D6">
        <w:t xml:space="preserve"> </w:t>
      </w:r>
      <w:r>
        <w:t xml:space="preserve">Phoebe </w:t>
      </w:r>
      <w:proofErr w:type="gramStart"/>
      <w:r>
        <w:t>Macak</w:t>
      </w:r>
      <w:proofErr w:type="gramEnd"/>
      <w:r w:rsidR="001348A4">
        <w:t xml:space="preserve"> and </w:t>
      </w:r>
      <w:r w:rsidR="001348A4" w:rsidRPr="000902D6">
        <w:t>David Ramsey</w:t>
      </w:r>
      <w:r w:rsidR="009E3258">
        <w:t xml:space="preserve"> provided comments that improved this report.</w:t>
      </w:r>
    </w:p>
    <w:p w14:paraId="119DABDC" w14:textId="77777777" w:rsidR="003004D9" w:rsidRPr="003004D9" w:rsidRDefault="003004D9" w:rsidP="003004D9">
      <w:pPr>
        <w:sectPr w:rsidR="003004D9" w:rsidRPr="003004D9" w:rsidSect="00DC304D">
          <w:footerReference w:type="even" r:id="rId47"/>
          <w:footerReference w:type="default" r:id="rId48"/>
          <w:footerReference w:type="first" r:id="rId49"/>
          <w:pgSz w:w="11907" w:h="16840" w:code="9"/>
          <w:pgMar w:top="1134" w:right="1134" w:bottom="1134" w:left="1134" w:header="709" w:footer="567" w:gutter="0"/>
          <w:pgNumType w:fmt="lowerRoman" w:start="2"/>
          <w:cols w:space="708"/>
          <w:formProt w:val="0"/>
          <w:titlePg/>
          <w:docGrid w:linePitch="360"/>
        </w:sectPr>
      </w:pPr>
    </w:p>
    <w:p w14:paraId="68D6DF4D" w14:textId="210BA5D4" w:rsidR="004578FA" w:rsidRPr="00243764" w:rsidRDefault="00A33935" w:rsidP="00B2382F">
      <w:pPr>
        <w:pStyle w:val="TOCtitle"/>
      </w:pPr>
      <w:r>
        <w:br w:type="column"/>
      </w:r>
      <w:r w:rsidR="004578FA" w:rsidRPr="00243764">
        <w:lastRenderedPageBreak/>
        <w:t>C</w:t>
      </w:r>
      <w:r w:rsidR="00B025B6" w:rsidRPr="00243764">
        <w:t>ontents</w:t>
      </w:r>
    </w:p>
    <w:p w14:paraId="2823542A" w14:textId="64524540" w:rsidR="00F276C7" w:rsidRDefault="007C0E99">
      <w:pPr>
        <w:pStyle w:val="TOC1"/>
        <w:rPr>
          <w:rFonts w:asciiTheme="minorHAnsi" w:eastAsiaTheme="minorEastAsia" w:hAnsiTheme="minorHAnsi" w:cstheme="minorBidi"/>
          <w:b w:val="0"/>
          <w:color w:val="auto"/>
          <w:sz w:val="22"/>
          <w:szCs w:val="22"/>
          <w:lang w:val="en-AU" w:eastAsia="en-AU"/>
        </w:rPr>
      </w:pPr>
      <w:r>
        <w:rPr>
          <w:b w:val="0"/>
        </w:rPr>
        <w:fldChar w:fldCharType="begin"/>
      </w:r>
      <w:r>
        <w:rPr>
          <w:b w:val="0"/>
        </w:rPr>
        <w:instrText xml:space="preserve"> TOC \t "Heading 1,1,Heading 2,2,Heading 3,3,Heading 3 - Numbered,3,Heading 2 - Numbered,2,Heading 1 - Numbered,1,TOC_title,1" </w:instrText>
      </w:r>
      <w:r>
        <w:rPr>
          <w:b w:val="0"/>
        </w:rPr>
        <w:fldChar w:fldCharType="separate"/>
      </w:r>
      <w:r w:rsidR="00F276C7">
        <w:t>Acknowledgements</w:t>
      </w:r>
      <w:r w:rsidR="00F276C7">
        <w:tab/>
      </w:r>
      <w:r w:rsidR="00F276C7">
        <w:fldChar w:fldCharType="begin"/>
      </w:r>
      <w:r w:rsidR="00F276C7">
        <w:instrText xml:space="preserve"> PAGEREF _Toc110599584 \h </w:instrText>
      </w:r>
      <w:r w:rsidR="00F276C7">
        <w:fldChar w:fldCharType="separate"/>
      </w:r>
      <w:r w:rsidR="00511E3A">
        <w:t>ii</w:t>
      </w:r>
      <w:r w:rsidR="00F276C7">
        <w:fldChar w:fldCharType="end"/>
      </w:r>
    </w:p>
    <w:p w14:paraId="6E60A679" w14:textId="447DB2E8" w:rsidR="00F276C7" w:rsidRDefault="00F276C7">
      <w:pPr>
        <w:pStyle w:val="TOC1"/>
        <w:rPr>
          <w:rFonts w:asciiTheme="minorHAnsi" w:eastAsiaTheme="minorEastAsia" w:hAnsiTheme="minorHAnsi" w:cstheme="minorBidi"/>
          <w:b w:val="0"/>
          <w:color w:val="auto"/>
          <w:sz w:val="22"/>
          <w:szCs w:val="22"/>
          <w:lang w:val="en-AU" w:eastAsia="en-AU"/>
        </w:rPr>
      </w:pPr>
      <w:r>
        <w:t>Summary</w:t>
      </w:r>
      <w:r>
        <w:tab/>
      </w:r>
      <w:r>
        <w:fldChar w:fldCharType="begin"/>
      </w:r>
      <w:r>
        <w:instrText xml:space="preserve"> PAGEREF _Toc110599585 \h </w:instrText>
      </w:r>
      <w:r>
        <w:fldChar w:fldCharType="separate"/>
      </w:r>
      <w:r w:rsidR="00511E3A">
        <w:t>1</w:t>
      </w:r>
      <w:r>
        <w:fldChar w:fldCharType="end"/>
      </w:r>
    </w:p>
    <w:p w14:paraId="0CDF5A49" w14:textId="6C7CAF7C" w:rsidR="00F276C7" w:rsidRDefault="00F276C7">
      <w:pPr>
        <w:pStyle w:val="TOC3"/>
        <w:rPr>
          <w:rFonts w:asciiTheme="minorHAnsi" w:eastAsiaTheme="minorEastAsia" w:hAnsiTheme="minorHAnsi" w:cstheme="minorBidi"/>
          <w:sz w:val="22"/>
          <w:szCs w:val="22"/>
          <w:lang w:eastAsia="en-AU"/>
        </w:rPr>
      </w:pPr>
      <w:r>
        <w:t>Context:</w:t>
      </w:r>
      <w:r>
        <w:tab/>
      </w:r>
      <w:r>
        <w:fldChar w:fldCharType="begin"/>
      </w:r>
      <w:r>
        <w:instrText xml:space="preserve"> PAGEREF _Toc110599586 \h </w:instrText>
      </w:r>
      <w:r>
        <w:fldChar w:fldCharType="separate"/>
      </w:r>
      <w:r w:rsidR="00511E3A">
        <w:t>1</w:t>
      </w:r>
      <w:r>
        <w:fldChar w:fldCharType="end"/>
      </w:r>
    </w:p>
    <w:p w14:paraId="6F974C67" w14:textId="7044C253" w:rsidR="00F276C7" w:rsidRDefault="00F276C7">
      <w:pPr>
        <w:pStyle w:val="TOC3"/>
        <w:rPr>
          <w:rFonts w:asciiTheme="minorHAnsi" w:eastAsiaTheme="minorEastAsia" w:hAnsiTheme="minorHAnsi" w:cstheme="minorBidi"/>
          <w:sz w:val="22"/>
          <w:szCs w:val="22"/>
          <w:lang w:eastAsia="en-AU"/>
        </w:rPr>
      </w:pPr>
      <w:r>
        <w:t>Methods:</w:t>
      </w:r>
      <w:r>
        <w:tab/>
      </w:r>
      <w:r>
        <w:fldChar w:fldCharType="begin"/>
      </w:r>
      <w:r>
        <w:instrText xml:space="preserve"> PAGEREF _Toc110599587 \h </w:instrText>
      </w:r>
      <w:r>
        <w:fldChar w:fldCharType="separate"/>
      </w:r>
      <w:r w:rsidR="00511E3A">
        <w:t>1</w:t>
      </w:r>
      <w:r>
        <w:fldChar w:fldCharType="end"/>
      </w:r>
    </w:p>
    <w:p w14:paraId="1A5AF9DD" w14:textId="5EAD7392" w:rsidR="00F276C7" w:rsidRDefault="00F276C7">
      <w:pPr>
        <w:pStyle w:val="TOC3"/>
        <w:rPr>
          <w:rFonts w:asciiTheme="minorHAnsi" w:eastAsiaTheme="minorEastAsia" w:hAnsiTheme="minorHAnsi" w:cstheme="minorBidi"/>
          <w:sz w:val="22"/>
          <w:szCs w:val="22"/>
          <w:lang w:eastAsia="en-AU"/>
        </w:rPr>
      </w:pPr>
      <w:r>
        <w:t>Results:</w:t>
      </w:r>
      <w:r>
        <w:tab/>
      </w:r>
      <w:r>
        <w:fldChar w:fldCharType="begin"/>
      </w:r>
      <w:r>
        <w:instrText xml:space="preserve"> PAGEREF _Toc110599588 \h </w:instrText>
      </w:r>
      <w:r>
        <w:fldChar w:fldCharType="separate"/>
      </w:r>
      <w:r w:rsidR="00511E3A">
        <w:t>1</w:t>
      </w:r>
      <w:r>
        <w:fldChar w:fldCharType="end"/>
      </w:r>
    </w:p>
    <w:p w14:paraId="2F30633C" w14:textId="4F2B0A29" w:rsidR="00F276C7" w:rsidRDefault="00F276C7">
      <w:pPr>
        <w:pStyle w:val="TOC3"/>
        <w:rPr>
          <w:rFonts w:asciiTheme="minorHAnsi" w:eastAsiaTheme="minorEastAsia" w:hAnsiTheme="minorHAnsi" w:cstheme="minorBidi"/>
          <w:sz w:val="22"/>
          <w:szCs w:val="22"/>
          <w:lang w:eastAsia="en-AU"/>
        </w:rPr>
      </w:pPr>
      <w:r>
        <w:t>Conclusions and implications:</w:t>
      </w:r>
      <w:r>
        <w:tab/>
      </w:r>
      <w:r>
        <w:fldChar w:fldCharType="begin"/>
      </w:r>
      <w:r>
        <w:instrText xml:space="preserve"> PAGEREF _Toc110599589 \h </w:instrText>
      </w:r>
      <w:r>
        <w:fldChar w:fldCharType="separate"/>
      </w:r>
      <w:r w:rsidR="00511E3A">
        <w:t>2</w:t>
      </w:r>
      <w:r>
        <w:fldChar w:fldCharType="end"/>
      </w:r>
    </w:p>
    <w:p w14:paraId="6E5BC75E" w14:textId="2888771E" w:rsidR="00F276C7" w:rsidRDefault="00F276C7">
      <w:pPr>
        <w:pStyle w:val="TOC1"/>
        <w:rPr>
          <w:rFonts w:asciiTheme="minorHAnsi" w:eastAsiaTheme="minorEastAsia" w:hAnsiTheme="minorHAnsi" w:cstheme="minorBidi"/>
          <w:b w:val="0"/>
          <w:color w:val="auto"/>
          <w:sz w:val="22"/>
          <w:szCs w:val="22"/>
          <w:lang w:val="en-AU" w:eastAsia="en-AU"/>
        </w:rPr>
      </w:pPr>
      <w:r>
        <w:t>1</w:t>
      </w:r>
      <w:r>
        <w:rPr>
          <w:rFonts w:asciiTheme="minorHAnsi" w:eastAsiaTheme="minorEastAsia" w:hAnsiTheme="minorHAnsi" w:cstheme="minorBidi"/>
          <w:b w:val="0"/>
          <w:color w:val="auto"/>
          <w:sz w:val="22"/>
          <w:szCs w:val="22"/>
          <w:lang w:val="en-AU" w:eastAsia="en-AU"/>
        </w:rPr>
        <w:tab/>
      </w:r>
      <w:r>
        <w:t>Introduction</w:t>
      </w:r>
      <w:r>
        <w:tab/>
      </w:r>
      <w:r>
        <w:fldChar w:fldCharType="begin"/>
      </w:r>
      <w:r>
        <w:instrText xml:space="preserve"> PAGEREF _Toc110599590 \h </w:instrText>
      </w:r>
      <w:r>
        <w:fldChar w:fldCharType="separate"/>
      </w:r>
      <w:r w:rsidR="00511E3A">
        <w:t>4</w:t>
      </w:r>
      <w:r>
        <w:fldChar w:fldCharType="end"/>
      </w:r>
    </w:p>
    <w:p w14:paraId="51FC416E" w14:textId="5B78DA04" w:rsidR="00F276C7" w:rsidRDefault="00F276C7">
      <w:pPr>
        <w:pStyle w:val="TOC1"/>
        <w:rPr>
          <w:rFonts w:asciiTheme="minorHAnsi" w:eastAsiaTheme="minorEastAsia" w:hAnsiTheme="minorHAnsi" w:cstheme="minorBidi"/>
          <w:b w:val="0"/>
          <w:color w:val="auto"/>
          <w:sz w:val="22"/>
          <w:szCs w:val="22"/>
          <w:lang w:val="en-AU" w:eastAsia="en-AU"/>
        </w:rPr>
      </w:pPr>
      <w:r>
        <w:t>2</w:t>
      </w:r>
      <w:r>
        <w:rPr>
          <w:rFonts w:asciiTheme="minorHAnsi" w:eastAsiaTheme="minorEastAsia" w:hAnsiTheme="minorHAnsi" w:cstheme="minorBidi"/>
          <w:b w:val="0"/>
          <w:color w:val="auto"/>
          <w:sz w:val="22"/>
          <w:szCs w:val="22"/>
          <w:lang w:val="en-AU" w:eastAsia="en-AU"/>
        </w:rPr>
        <w:tab/>
      </w:r>
      <w:r>
        <w:t>Methods</w:t>
      </w:r>
      <w:r>
        <w:tab/>
      </w:r>
      <w:r>
        <w:fldChar w:fldCharType="begin"/>
      </w:r>
      <w:r>
        <w:instrText xml:space="preserve"> PAGEREF _Toc110599591 \h </w:instrText>
      </w:r>
      <w:r>
        <w:fldChar w:fldCharType="separate"/>
      </w:r>
      <w:r w:rsidR="00511E3A">
        <w:t>5</w:t>
      </w:r>
      <w:r>
        <w:fldChar w:fldCharType="end"/>
      </w:r>
    </w:p>
    <w:p w14:paraId="55670289" w14:textId="234BAD18" w:rsidR="00F276C7" w:rsidRDefault="00F276C7">
      <w:pPr>
        <w:pStyle w:val="TOC2"/>
        <w:rPr>
          <w:rFonts w:asciiTheme="minorHAnsi" w:eastAsiaTheme="minorEastAsia" w:hAnsiTheme="minorHAnsi" w:cstheme="minorBidi"/>
          <w:bCs w:val="0"/>
          <w:sz w:val="22"/>
          <w:szCs w:val="22"/>
        </w:rPr>
      </w:pPr>
      <w:r>
        <w:t>2.1</w:t>
      </w:r>
      <w:r>
        <w:rPr>
          <w:rFonts w:asciiTheme="minorHAnsi" w:eastAsiaTheme="minorEastAsia" w:hAnsiTheme="minorHAnsi" w:cstheme="minorBidi"/>
          <w:bCs w:val="0"/>
          <w:sz w:val="22"/>
          <w:szCs w:val="22"/>
        </w:rPr>
        <w:tab/>
      </w:r>
      <w:r>
        <w:t>Glenelg Ark operations area</w:t>
      </w:r>
      <w:r>
        <w:tab/>
      </w:r>
      <w:r>
        <w:fldChar w:fldCharType="begin"/>
      </w:r>
      <w:r>
        <w:instrText xml:space="preserve"> PAGEREF _Toc110599592 \h </w:instrText>
      </w:r>
      <w:r>
        <w:fldChar w:fldCharType="separate"/>
      </w:r>
      <w:r w:rsidR="00511E3A">
        <w:t>5</w:t>
      </w:r>
      <w:r>
        <w:fldChar w:fldCharType="end"/>
      </w:r>
    </w:p>
    <w:p w14:paraId="6BD918FC" w14:textId="07DB2DC2" w:rsidR="00F276C7" w:rsidRDefault="00F276C7">
      <w:pPr>
        <w:pStyle w:val="TOC2"/>
        <w:rPr>
          <w:rFonts w:asciiTheme="minorHAnsi" w:eastAsiaTheme="minorEastAsia" w:hAnsiTheme="minorHAnsi" w:cstheme="minorBidi"/>
          <w:bCs w:val="0"/>
          <w:sz w:val="22"/>
          <w:szCs w:val="22"/>
        </w:rPr>
      </w:pPr>
      <w:r>
        <w:t>2.2</w:t>
      </w:r>
      <w:r>
        <w:rPr>
          <w:rFonts w:asciiTheme="minorHAnsi" w:eastAsiaTheme="minorEastAsia" w:hAnsiTheme="minorHAnsi" w:cstheme="minorBidi"/>
          <w:bCs w:val="0"/>
          <w:sz w:val="22"/>
          <w:szCs w:val="22"/>
        </w:rPr>
        <w:tab/>
      </w:r>
      <w:r>
        <w:t>Monitoring and evaluation design</w:t>
      </w:r>
      <w:r>
        <w:tab/>
      </w:r>
      <w:r>
        <w:fldChar w:fldCharType="begin"/>
      </w:r>
      <w:r>
        <w:instrText xml:space="preserve"> PAGEREF _Toc110599593 \h </w:instrText>
      </w:r>
      <w:r>
        <w:fldChar w:fldCharType="separate"/>
      </w:r>
      <w:r w:rsidR="00511E3A">
        <w:t>5</w:t>
      </w:r>
      <w:r>
        <w:fldChar w:fldCharType="end"/>
      </w:r>
    </w:p>
    <w:p w14:paraId="02A065E0" w14:textId="385EC5AC" w:rsidR="00F276C7" w:rsidRDefault="00F276C7">
      <w:pPr>
        <w:pStyle w:val="TOC2"/>
        <w:rPr>
          <w:rFonts w:asciiTheme="minorHAnsi" w:eastAsiaTheme="minorEastAsia" w:hAnsiTheme="minorHAnsi" w:cstheme="minorBidi"/>
          <w:bCs w:val="0"/>
          <w:sz w:val="22"/>
          <w:szCs w:val="22"/>
        </w:rPr>
      </w:pPr>
      <w:r>
        <w:t>2.3</w:t>
      </w:r>
      <w:r>
        <w:rPr>
          <w:rFonts w:asciiTheme="minorHAnsi" w:eastAsiaTheme="minorEastAsia" w:hAnsiTheme="minorHAnsi" w:cstheme="minorBidi"/>
          <w:bCs w:val="0"/>
          <w:sz w:val="22"/>
          <w:szCs w:val="22"/>
        </w:rPr>
        <w:tab/>
      </w:r>
      <w:r>
        <w:t>The difference in fox density between treatment and non-treatment monitoring locations</w:t>
      </w:r>
      <w:r>
        <w:tab/>
      </w:r>
      <w:r>
        <w:fldChar w:fldCharType="begin"/>
      </w:r>
      <w:r>
        <w:instrText xml:space="preserve"> PAGEREF _Toc110599594 \h </w:instrText>
      </w:r>
      <w:r>
        <w:fldChar w:fldCharType="separate"/>
      </w:r>
      <w:r w:rsidR="00511E3A">
        <w:t>6</w:t>
      </w:r>
      <w:r>
        <w:fldChar w:fldCharType="end"/>
      </w:r>
    </w:p>
    <w:p w14:paraId="5E70EC42" w14:textId="65233835" w:rsidR="00F276C7" w:rsidRDefault="00F276C7">
      <w:pPr>
        <w:pStyle w:val="TOC3"/>
        <w:rPr>
          <w:rFonts w:asciiTheme="minorHAnsi" w:eastAsiaTheme="minorEastAsia" w:hAnsiTheme="minorHAnsi" w:cstheme="minorBidi"/>
          <w:sz w:val="22"/>
          <w:szCs w:val="22"/>
          <w:lang w:eastAsia="en-AU"/>
        </w:rPr>
      </w:pPr>
      <w:r>
        <w:t>2.3.1</w:t>
      </w:r>
      <w:r>
        <w:rPr>
          <w:rFonts w:asciiTheme="minorHAnsi" w:eastAsiaTheme="minorEastAsia" w:hAnsiTheme="minorHAnsi" w:cstheme="minorBidi"/>
          <w:sz w:val="22"/>
          <w:szCs w:val="22"/>
          <w:lang w:eastAsia="en-AU"/>
        </w:rPr>
        <w:tab/>
      </w:r>
      <w:r>
        <w:t>Calculating changes in fox density</w:t>
      </w:r>
      <w:r>
        <w:tab/>
      </w:r>
      <w:r>
        <w:fldChar w:fldCharType="begin"/>
      </w:r>
      <w:r>
        <w:instrText xml:space="preserve"> PAGEREF _Toc110599595 \h </w:instrText>
      </w:r>
      <w:r>
        <w:fldChar w:fldCharType="separate"/>
      </w:r>
      <w:r w:rsidR="00511E3A">
        <w:t>7</w:t>
      </w:r>
      <w:r>
        <w:fldChar w:fldCharType="end"/>
      </w:r>
    </w:p>
    <w:p w14:paraId="2D248E6D" w14:textId="3AD5C956" w:rsidR="00F276C7" w:rsidRDefault="00F276C7">
      <w:pPr>
        <w:pStyle w:val="TOC2"/>
        <w:rPr>
          <w:rFonts w:asciiTheme="minorHAnsi" w:eastAsiaTheme="minorEastAsia" w:hAnsiTheme="minorHAnsi" w:cstheme="minorBidi"/>
          <w:bCs w:val="0"/>
          <w:sz w:val="22"/>
          <w:szCs w:val="22"/>
        </w:rPr>
      </w:pPr>
      <w:r>
        <w:t>2.4</w:t>
      </w:r>
      <w:r>
        <w:rPr>
          <w:rFonts w:asciiTheme="minorHAnsi" w:eastAsiaTheme="minorEastAsia" w:hAnsiTheme="minorHAnsi" w:cstheme="minorBidi"/>
          <w:bCs w:val="0"/>
          <w:sz w:val="22"/>
          <w:szCs w:val="22"/>
        </w:rPr>
        <w:tab/>
      </w:r>
      <w:r>
        <w:t>Measuring the response in native mammal species</w:t>
      </w:r>
      <w:r>
        <w:tab/>
      </w:r>
      <w:r>
        <w:fldChar w:fldCharType="begin"/>
      </w:r>
      <w:r>
        <w:instrText xml:space="preserve"> PAGEREF _Toc110599596 \h </w:instrText>
      </w:r>
      <w:r>
        <w:fldChar w:fldCharType="separate"/>
      </w:r>
      <w:r w:rsidR="00511E3A">
        <w:t>7</w:t>
      </w:r>
      <w:r>
        <w:fldChar w:fldCharType="end"/>
      </w:r>
    </w:p>
    <w:p w14:paraId="6E78AC09" w14:textId="43C2F0C9" w:rsidR="00F276C7" w:rsidRDefault="00F276C7">
      <w:pPr>
        <w:pStyle w:val="TOC2"/>
        <w:rPr>
          <w:rFonts w:asciiTheme="minorHAnsi" w:eastAsiaTheme="minorEastAsia" w:hAnsiTheme="minorHAnsi" w:cstheme="minorBidi"/>
          <w:bCs w:val="0"/>
          <w:sz w:val="22"/>
          <w:szCs w:val="22"/>
        </w:rPr>
      </w:pPr>
      <w:r>
        <w:t>2.5</w:t>
      </w:r>
      <w:r>
        <w:rPr>
          <w:rFonts w:asciiTheme="minorHAnsi" w:eastAsiaTheme="minorEastAsia" w:hAnsiTheme="minorHAnsi" w:cstheme="minorBidi"/>
          <w:bCs w:val="0"/>
          <w:sz w:val="22"/>
          <w:szCs w:val="22"/>
        </w:rPr>
        <w:tab/>
      </w:r>
      <w:r>
        <w:t>Species occupancy</w:t>
      </w:r>
      <w:r>
        <w:tab/>
      </w:r>
      <w:r>
        <w:fldChar w:fldCharType="begin"/>
      </w:r>
      <w:r>
        <w:instrText xml:space="preserve"> PAGEREF _Toc110599597 \h </w:instrText>
      </w:r>
      <w:r>
        <w:fldChar w:fldCharType="separate"/>
      </w:r>
      <w:r w:rsidR="00511E3A">
        <w:t>9</w:t>
      </w:r>
      <w:r>
        <w:fldChar w:fldCharType="end"/>
      </w:r>
    </w:p>
    <w:p w14:paraId="266CB734" w14:textId="074EAED3" w:rsidR="00F276C7" w:rsidRDefault="00F276C7">
      <w:pPr>
        <w:pStyle w:val="TOC3"/>
        <w:rPr>
          <w:rFonts w:asciiTheme="minorHAnsi" w:eastAsiaTheme="minorEastAsia" w:hAnsiTheme="minorHAnsi" w:cstheme="minorBidi"/>
          <w:sz w:val="22"/>
          <w:szCs w:val="22"/>
          <w:lang w:eastAsia="en-AU"/>
        </w:rPr>
      </w:pPr>
      <w:r>
        <w:t>2.5.1</w:t>
      </w:r>
      <w:r>
        <w:rPr>
          <w:rFonts w:asciiTheme="minorHAnsi" w:eastAsiaTheme="minorEastAsia" w:hAnsiTheme="minorHAnsi" w:cstheme="minorBidi"/>
          <w:sz w:val="22"/>
          <w:szCs w:val="22"/>
          <w:lang w:eastAsia="en-AU"/>
        </w:rPr>
        <w:tab/>
      </w:r>
      <w:r>
        <w:t>Spatial predictions of occupancy</w:t>
      </w:r>
      <w:r>
        <w:tab/>
      </w:r>
      <w:r>
        <w:fldChar w:fldCharType="begin"/>
      </w:r>
      <w:r>
        <w:instrText xml:space="preserve"> PAGEREF _Toc110599598 \h </w:instrText>
      </w:r>
      <w:r>
        <w:fldChar w:fldCharType="separate"/>
      </w:r>
      <w:r w:rsidR="00511E3A">
        <w:t>11</w:t>
      </w:r>
      <w:r>
        <w:fldChar w:fldCharType="end"/>
      </w:r>
    </w:p>
    <w:p w14:paraId="33BD08F4" w14:textId="351B1A13" w:rsidR="00F276C7" w:rsidRDefault="00F276C7">
      <w:pPr>
        <w:pStyle w:val="TOC1"/>
        <w:rPr>
          <w:rFonts w:asciiTheme="minorHAnsi" w:eastAsiaTheme="minorEastAsia" w:hAnsiTheme="minorHAnsi" w:cstheme="minorBidi"/>
          <w:b w:val="0"/>
          <w:color w:val="auto"/>
          <w:sz w:val="22"/>
          <w:szCs w:val="22"/>
          <w:lang w:val="en-AU" w:eastAsia="en-AU"/>
        </w:rPr>
      </w:pPr>
      <w:r>
        <w:t>3</w:t>
      </w:r>
      <w:r>
        <w:rPr>
          <w:rFonts w:asciiTheme="minorHAnsi" w:eastAsiaTheme="minorEastAsia" w:hAnsiTheme="minorHAnsi" w:cstheme="minorBidi"/>
          <w:b w:val="0"/>
          <w:color w:val="auto"/>
          <w:sz w:val="22"/>
          <w:szCs w:val="22"/>
          <w:lang w:val="en-AU" w:eastAsia="en-AU"/>
        </w:rPr>
        <w:tab/>
      </w:r>
      <w:r>
        <w:t>Results</w:t>
      </w:r>
      <w:r>
        <w:tab/>
      </w:r>
      <w:r>
        <w:fldChar w:fldCharType="begin"/>
      </w:r>
      <w:r>
        <w:instrText xml:space="preserve"> PAGEREF _Toc110599599 \h </w:instrText>
      </w:r>
      <w:r>
        <w:fldChar w:fldCharType="separate"/>
      </w:r>
      <w:r w:rsidR="00511E3A">
        <w:t>12</w:t>
      </w:r>
      <w:r>
        <w:fldChar w:fldCharType="end"/>
      </w:r>
    </w:p>
    <w:p w14:paraId="760D41EB" w14:textId="5B360790" w:rsidR="00F276C7" w:rsidRDefault="00F276C7">
      <w:pPr>
        <w:pStyle w:val="TOC2"/>
        <w:rPr>
          <w:rFonts w:asciiTheme="minorHAnsi" w:eastAsiaTheme="minorEastAsia" w:hAnsiTheme="minorHAnsi" w:cstheme="minorBidi"/>
          <w:bCs w:val="0"/>
          <w:sz w:val="22"/>
          <w:szCs w:val="22"/>
        </w:rPr>
      </w:pPr>
      <w:r w:rsidRPr="00614F74">
        <w:rPr>
          <w:lang w:val="en-US"/>
        </w:rPr>
        <w:t>3.1</w:t>
      </w:r>
      <w:r>
        <w:rPr>
          <w:rFonts w:asciiTheme="minorHAnsi" w:eastAsiaTheme="minorEastAsia" w:hAnsiTheme="minorHAnsi" w:cstheme="minorBidi"/>
          <w:bCs w:val="0"/>
          <w:sz w:val="22"/>
          <w:szCs w:val="22"/>
        </w:rPr>
        <w:tab/>
      </w:r>
      <w:r w:rsidRPr="00614F74">
        <w:rPr>
          <w:lang w:val="en-US"/>
        </w:rPr>
        <w:t>Fox density</w:t>
      </w:r>
      <w:r>
        <w:tab/>
      </w:r>
      <w:r>
        <w:fldChar w:fldCharType="begin"/>
      </w:r>
      <w:r>
        <w:instrText xml:space="preserve"> PAGEREF _Toc110599600 \h </w:instrText>
      </w:r>
      <w:r>
        <w:fldChar w:fldCharType="separate"/>
      </w:r>
      <w:r w:rsidR="00511E3A">
        <w:t>12</w:t>
      </w:r>
      <w:r>
        <w:fldChar w:fldCharType="end"/>
      </w:r>
    </w:p>
    <w:p w14:paraId="75A6C6EF" w14:textId="4C2322FA" w:rsidR="00F276C7" w:rsidRDefault="00F276C7">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Feral cat density</w:t>
      </w:r>
      <w:r>
        <w:tab/>
      </w:r>
      <w:r>
        <w:fldChar w:fldCharType="begin"/>
      </w:r>
      <w:r>
        <w:instrText xml:space="preserve"> PAGEREF _Toc110599601 \h </w:instrText>
      </w:r>
      <w:r>
        <w:fldChar w:fldCharType="separate"/>
      </w:r>
      <w:r w:rsidR="00511E3A">
        <w:t>13</w:t>
      </w:r>
      <w:r>
        <w:fldChar w:fldCharType="end"/>
      </w:r>
    </w:p>
    <w:p w14:paraId="1A2AB4B0" w14:textId="0C6F8AE0" w:rsidR="00F276C7" w:rsidRDefault="00F276C7">
      <w:pPr>
        <w:pStyle w:val="TOC2"/>
        <w:rPr>
          <w:rFonts w:asciiTheme="minorHAnsi" w:eastAsiaTheme="minorEastAsia" w:hAnsiTheme="minorHAnsi" w:cstheme="minorBidi"/>
          <w:bCs w:val="0"/>
          <w:sz w:val="22"/>
          <w:szCs w:val="22"/>
        </w:rPr>
      </w:pPr>
      <w:r>
        <w:t>3.3</w:t>
      </w:r>
      <w:r>
        <w:rPr>
          <w:rFonts w:asciiTheme="minorHAnsi" w:eastAsiaTheme="minorEastAsia" w:hAnsiTheme="minorHAnsi" w:cstheme="minorBidi"/>
          <w:bCs w:val="0"/>
          <w:sz w:val="22"/>
          <w:szCs w:val="22"/>
        </w:rPr>
        <w:tab/>
      </w:r>
      <w:r>
        <w:t>The influence of site-level covariates on colonisation, persistence, and growth rates between locations with and without fox control</w:t>
      </w:r>
      <w:r>
        <w:tab/>
      </w:r>
      <w:r>
        <w:fldChar w:fldCharType="begin"/>
      </w:r>
      <w:r>
        <w:instrText xml:space="preserve"> PAGEREF _Toc110599602 \h </w:instrText>
      </w:r>
      <w:r>
        <w:fldChar w:fldCharType="separate"/>
      </w:r>
      <w:r w:rsidR="00511E3A">
        <w:t>14</w:t>
      </w:r>
      <w:r>
        <w:fldChar w:fldCharType="end"/>
      </w:r>
    </w:p>
    <w:p w14:paraId="73629322" w14:textId="6ED0E51A" w:rsidR="00F276C7" w:rsidRDefault="00F276C7">
      <w:pPr>
        <w:pStyle w:val="TOC3"/>
        <w:rPr>
          <w:rFonts w:asciiTheme="minorHAnsi" w:eastAsiaTheme="minorEastAsia" w:hAnsiTheme="minorHAnsi" w:cstheme="minorBidi"/>
          <w:sz w:val="22"/>
          <w:szCs w:val="22"/>
          <w:lang w:eastAsia="en-AU"/>
        </w:rPr>
      </w:pPr>
      <w:r>
        <w:t>3.3.1</w:t>
      </w:r>
      <w:r>
        <w:rPr>
          <w:rFonts w:asciiTheme="minorHAnsi" w:eastAsiaTheme="minorEastAsia" w:hAnsiTheme="minorHAnsi" w:cstheme="minorBidi"/>
          <w:sz w:val="22"/>
          <w:szCs w:val="22"/>
          <w:lang w:eastAsia="en-AU"/>
        </w:rPr>
        <w:tab/>
      </w:r>
      <w:r>
        <w:t>Common Brushtail Possum</w:t>
      </w:r>
      <w:r>
        <w:tab/>
      </w:r>
      <w:r>
        <w:fldChar w:fldCharType="begin"/>
      </w:r>
      <w:r>
        <w:instrText xml:space="preserve"> PAGEREF _Toc110599603 \h </w:instrText>
      </w:r>
      <w:r>
        <w:fldChar w:fldCharType="separate"/>
      </w:r>
      <w:r w:rsidR="00511E3A">
        <w:t>14</w:t>
      </w:r>
      <w:r>
        <w:fldChar w:fldCharType="end"/>
      </w:r>
    </w:p>
    <w:p w14:paraId="27B37F55" w14:textId="062E0925" w:rsidR="00F276C7" w:rsidRDefault="00F276C7">
      <w:pPr>
        <w:pStyle w:val="TOC3"/>
        <w:rPr>
          <w:rFonts w:asciiTheme="minorHAnsi" w:eastAsiaTheme="minorEastAsia" w:hAnsiTheme="minorHAnsi" w:cstheme="minorBidi"/>
          <w:sz w:val="22"/>
          <w:szCs w:val="22"/>
          <w:lang w:eastAsia="en-AU"/>
        </w:rPr>
      </w:pPr>
      <w:r>
        <w:t>3.3.2</w:t>
      </w:r>
      <w:r>
        <w:rPr>
          <w:rFonts w:asciiTheme="minorHAnsi" w:eastAsiaTheme="minorEastAsia" w:hAnsiTheme="minorHAnsi" w:cstheme="minorBidi"/>
          <w:sz w:val="22"/>
          <w:szCs w:val="22"/>
          <w:lang w:eastAsia="en-AU"/>
        </w:rPr>
        <w:tab/>
      </w:r>
      <w:r>
        <w:t>Long-nosed Potoroo</w:t>
      </w:r>
      <w:r>
        <w:tab/>
      </w:r>
      <w:r>
        <w:fldChar w:fldCharType="begin"/>
      </w:r>
      <w:r>
        <w:instrText xml:space="preserve"> PAGEREF _Toc110599604 \h </w:instrText>
      </w:r>
      <w:r>
        <w:fldChar w:fldCharType="separate"/>
      </w:r>
      <w:r w:rsidR="00511E3A">
        <w:t>16</w:t>
      </w:r>
      <w:r>
        <w:fldChar w:fldCharType="end"/>
      </w:r>
    </w:p>
    <w:p w14:paraId="2C289CA6" w14:textId="33DCFF66" w:rsidR="00F276C7" w:rsidRDefault="00F276C7">
      <w:pPr>
        <w:pStyle w:val="TOC3"/>
        <w:rPr>
          <w:rFonts w:asciiTheme="minorHAnsi" w:eastAsiaTheme="minorEastAsia" w:hAnsiTheme="minorHAnsi" w:cstheme="minorBidi"/>
          <w:sz w:val="22"/>
          <w:szCs w:val="22"/>
          <w:lang w:eastAsia="en-AU"/>
        </w:rPr>
      </w:pPr>
      <w:r>
        <w:t>3.3.3</w:t>
      </w:r>
      <w:r>
        <w:rPr>
          <w:rFonts w:asciiTheme="minorHAnsi" w:eastAsiaTheme="minorEastAsia" w:hAnsiTheme="minorHAnsi" w:cstheme="minorBidi"/>
          <w:sz w:val="22"/>
          <w:szCs w:val="22"/>
          <w:lang w:eastAsia="en-AU"/>
        </w:rPr>
        <w:tab/>
      </w:r>
      <w:r>
        <w:t>Southern Brown Bandicoot</w:t>
      </w:r>
      <w:r>
        <w:tab/>
      </w:r>
      <w:r>
        <w:fldChar w:fldCharType="begin"/>
      </w:r>
      <w:r>
        <w:instrText xml:space="preserve"> PAGEREF _Toc110599605 \h </w:instrText>
      </w:r>
      <w:r>
        <w:fldChar w:fldCharType="separate"/>
      </w:r>
      <w:r w:rsidR="00511E3A">
        <w:t>17</w:t>
      </w:r>
      <w:r>
        <w:fldChar w:fldCharType="end"/>
      </w:r>
    </w:p>
    <w:p w14:paraId="2D0E4BB2" w14:textId="4012F834" w:rsidR="00F276C7" w:rsidRDefault="00F276C7">
      <w:pPr>
        <w:pStyle w:val="TOC2"/>
        <w:rPr>
          <w:rFonts w:asciiTheme="minorHAnsi" w:eastAsiaTheme="minorEastAsia" w:hAnsiTheme="minorHAnsi" w:cstheme="minorBidi"/>
          <w:bCs w:val="0"/>
          <w:sz w:val="22"/>
          <w:szCs w:val="22"/>
        </w:rPr>
      </w:pPr>
      <w:r>
        <w:t>3.4</w:t>
      </w:r>
      <w:r>
        <w:rPr>
          <w:rFonts w:asciiTheme="minorHAnsi" w:eastAsiaTheme="minorEastAsia" w:hAnsiTheme="minorHAnsi" w:cstheme="minorBidi"/>
          <w:bCs w:val="0"/>
          <w:sz w:val="22"/>
          <w:szCs w:val="22"/>
        </w:rPr>
        <w:tab/>
      </w:r>
      <w:r>
        <w:t>Areas of potential additional monitoring for Long-nosed Potoroo and Southern Brown Bandicoot</w:t>
      </w:r>
      <w:r>
        <w:tab/>
      </w:r>
      <w:r>
        <w:fldChar w:fldCharType="begin"/>
      </w:r>
      <w:r>
        <w:instrText xml:space="preserve"> PAGEREF _Toc110599606 \h </w:instrText>
      </w:r>
      <w:r>
        <w:fldChar w:fldCharType="separate"/>
      </w:r>
      <w:r w:rsidR="00511E3A">
        <w:t>21</w:t>
      </w:r>
      <w:r>
        <w:fldChar w:fldCharType="end"/>
      </w:r>
    </w:p>
    <w:p w14:paraId="187AB8C5" w14:textId="5AFCF818" w:rsidR="00F276C7" w:rsidRDefault="00F276C7">
      <w:pPr>
        <w:pStyle w:val="TOC3"/>
        <w:rPr>
          <w:rFonts w:asciiTheme="minorHAnsi" w:eastAsiaTheme="minorEastAsia" w:hAnsiTheme="minorHAnsi" w:cstheme="minorBidi"/>
          <w:sz w:val="22"/>
          <w:szCs w:val="22"/>
          <w:lang w:eastAsia="en-AU"/>
        </w:rPr>
      </w:pPr>
      <w:r>
        <w:t>3.4.1</w:t>
      </w:r>
      <w:r>
        <w:rPr>
          <w:rFonts w:asciiTheme="minorHAnsi" w:eastAsiaTheme="minorEastAsia" w:hAnsiTheme="minorHAnsi" w:cstheme="minorBidi"/>
          <w:sz w:val="22"/>
          <w:szCs w:val="22"/>
          <w:lang w:eastAsia="en-AU"/>
        </w:rPr>
        <w:tab/>
      </w:r>
      <w:r>
        <w:t>Spatial predictions of occupancy</w:t>
      </w:r>
      <w:r>
        <w:tab/>
      </w:r>
      <w:r>
        <w:fldChar w:fldCharType="begin"/>
      </w:r>
      <w:r>
        <w:instrText xml:space="preserve"> PAGEREF _Toc110599607 \h </w:instrText>
      </w:r>
      <w:r>
        <w:fldChar w:fldCharType="separate"/>
      </w:r>
      <w:r w:rsidR="00511E3A">
        <w:t>22</w:t>
      </w:r>
      <w:r>
        <w:fldChar w:fldCharType="end"/>
      </w:r>
    </w:p>
    <w:p w14:paraId="370F0D85" w14:textId="1F33E54D" w:rsidR="00F276C7" w:rsidRDefault="00F276C7">
      <w:pPr>
        <w:pStyle w:val="TOC1"/>
        <w:rPr>
          <w:rFonts w:asciiTheme="minorHAnsi" w:eastAsiaTheme="minorEastAsia" w:hAnsiTheme="minorHAnsi" w:cstheme="minorBidi"/>
          <w:b w:val="0"/>
          <w:color w:val="auto"/>
          <w:sz w:val="22"/>
          <w:szCs w:val="22"/>
          <w:lang w:val="en-AU" w:eastAsia="en-AU"/>
        </w:rPr>
      </w:pPr>
      <w:r>
        <w:t>4</w:t>
      </w:r>
      <w:r>
        <w:rPr>
          <w:rFonts w:asciiTheme="minorHAnsi" w:eastAsiaTheme="minorEastAsia" w:hAnsiTheme="minorHAnsi" w:cstheme="minorBidi"/>
          <w:b w:val="0"/>
          <w:color w:val="auto"/>
          <w:sz w:val="22"/>
          <w:szCs w:val="22"/>
          <w:lang w:val="en-AU" w:eastAsia="en-AU"/>
        </w:rPr>
        <w:tab/>
      </w:r>
      <w:r>
        <w:t>Conclusions and implications</w:t>
      </w:r>
      <w:r>
        <w:tab/>
      </w:r>
      <w:r>
        <w:fldChar w:fldCharType="begin"/>
      </w:r>
      <w:r>
        <w:instrText xml:space="preserve"> PAGEREF _Toc110599608 \h </w:instrText>
      </w:r>
      <w:r>
        <w:fldChar w:fldCharType="separate"/>
      </w:r>
      <w:r w:rsidR="00511E3A">
        <w:t>25</w:t>
      </w:r>
      <w:r>
        <w:fldChar w:fldCharType="end"/>
      </w:r>
    </w:p>
    <w:p w14:paraId="57868ABF" w14:textId="397344CD" w:rsidR="00F276C7" w:rsidRDefault="00F276C7">
      <w:pPr>
        <w:pStyle w:val="TOC1"/>
        <w:rPr>
          <w:rFonts w:asciiTheme="minorHAnsi" w:eastAsiaTheme="minorEastAsia" w:hAnsiTheme="minorHAnsi" w:cstheme="minorBidi"/>
          <w:b w:val="0"/>
          <w:color w:val="auto"/>
          <w:sz w:val="22"/>
          <w:szCs w:val="22"/>
          <w:lang w:val="en-AU" w:eastAsia="en-AU"/>
        </w:rPr>
      </w:pPr>
      <w:r>
        <w:t>References</w:t>
      </w:r>
      <w:r>
        <w:tab/>
      </w:r>
      <w:r>
        <w:fldChar w:fldCharType="begin"/>
      </w:r>
      <w:r>
        <w:instrText xml:space="preserve"> PAGEREF _Toc110599609 \h </w:instrText>
      </w:r>
      <w:r>
        <w:fldChar w:fldCharType="separate"/>
      </w:r>
      <w:r w:rsidR="00511E3A">
        <w:t>28</w:t>
      </w:r>
      <w:r>
        <w:fldChar w:fldCharType="end"/>
      </w:r>
    </w:p>
    <w:p w14:paraId="5F859CA6" w14:textId="5F987BE6" w:rsidR="00F276C7" w:rsidRDefault="00F276C7">
      <w:pPr>
        <w:pStyle w:val="TOC1"/>
        <w:rPr>
          <w:rFonts w:asciiTheme="minorHAnsi" w:eastAsiaTheme="minorEastAsia" w:hAnsiTheme="minorHAnsi" w:cstheme="minorBidi"/>
          <w:b w:val="0"/>
          <w:color w:val="auto"/>
          <w:sz w:val="22"/>
          <w:szCs w:val="22"/>
          <w:lang w:val="en-AU" w:eastAsia="en-AU"/>
        </w:rPr>
      </w:pPr>
      <w:r>
        <w:t>Appendix</w:t>
      </w:r>
      <w:r>
        <w:tab/>
      </w:r>
      <w:r>
        <w:fldChar w:fldCharType="begin"/>
      </w:r>
      <w:r>
        <w:instrText xml:space="preserve"> PAGEREF _Toc110599610 \h </w:instrText>
      </w:r>
      <w:r>
        <w:fldChar w:fldCharType="separate"/>
      </w:r>
      <w:r w:rsidR="00511E3A">
        <w:t>32</w:t>
      </w:r>
      <w:r>
        <w:fldChar w:fldCharType="end"/>
      </w:r>
    </w:p>
    <w:p w14:paraId="054BA594" w14:textId="23D76F49" w:rsidR="00051FE1" w:rsidRPr="00243764" w:rsidRDefault="007C0E99" w:rsidP="0071429D">
      <w:r>
        <w:rPr>
          <w:b/>
          <w:noProof/>
        </w:rPr>
        <w:fldChar w:fldCharType="end"/>
      </w:r>
    </w:p>
    <w:p w14:paraId="421BC8F3" w14:textId="14D38808" w:rsidR="005F55AD" w:rsidRPr="00243764" w:rsidRDefault="009D303E" w:rsidP="00B2382F">
      <w:pPr>
        <w:pStyle w:val="TOCtitle"/>
      </w:pPr>
      <w:r w:rsidRPr="00243764">
        <w:br w:type="page"/>
      </w:r>
      <w:r w:rsidR="005F55AD" w:rsidRPr="00243764">
        <w:lastRenderedPageBreak/>
        <w:t>Tables</w:t>
      </w:r>
    </w:p>
    <w:p w14:paraId="3967E92C" w14:textId="4D589198" w:rsidR="00F276C7" w:rsidRDefault="00091775">
      <w:pPr>
        <w:pStyle w:val="TableofFigures"/>
        <w:rPr>
          <w:rFonts w:asciiTheme="minorHAnsi" w:eastAsiaTheme="minorEastAsia" w:hAnsiTheme="minorHAnsi" w:cstheme="minorBidi"/>
          <w:sz w:val="22"/>
          <w:szCs w:val="22"/>
          <w:lang w:eastAsia="en-AU"/>
        </w:rPr>
      </w:pPr>
      <w:r>
        <w:fldChar w:fldCharType="begin"/>
      </w:r>
      <w:r>
        <w:instrText xml:space="preserve"> TOC \t "Caption - Table" \c "Table" </w:instrText>
      </w:r>
      <w:r>
        <w:fldChar w:fldCharType="separate"/>
      </w:r>
      <w:r w:rsidR="00F276C7">
        <w:t>Table 1. Camera level covariates used in the multiseason occupancy models</w:t>
      </w:r>
      <w:r w:rsidR="00F276C7">
        <w:tab/>
      </w:r>
      <w:r w:rsidR="00F276C7">
        <w:fldChar w:fldCharType="begin"/>
      </w:r>
      <w:r w:rsidR="00F276C7">
        <w:instrText xml:space="preserve"> PAGEREF _Toc110599611 \h </w:instrText>
      </w:r>
      <w:r w:rsidR="00F276C7">
        <w:fldChar w:fldCharType="separate"/>
      </w:r>
      <w:r w:rsidR="00511E3A">
        <w:t>10</w:t>
      </w:r>
      <w:r w:rsidR="00F276C7">
        <w:fldChar w:fldCharType="end"/>
      </w:r>
    </w:p>
    <w:p w14:paraId="6268FFE5" w14:textId="0DA2C571" w:rsidR="00F276C7" w:rsidRDefault="00F276C7">
      <w:pPr>
        <w:pStyle w:val="TableofFigures"/>
        <w:rPr>
          <w:rFonts w:asciiTheme="minorHAnsi" w:eastAsiaTheme="minorEastAsia" w:hAnsiTheme="minorHAnsi" w:cstheme="minorBidi"/>
          <w:sz w:val="22"/>
          <w:szCs w:val="22"/>
          <w:lang w:eastAsia="en-AU"/>
        </w:rPr>
      </w:pPr>
      <w:r>
        <w:t>Table 2. Parameters and their definitions used in the multiseason occupancy model</w:t>
      </w:r>
      <w:r>
        <w:tab/>
      </w:r>
      <w:r>
        <w:fldChar w:fldCharType="begin"/>
      </w:r>
      <w:r>
        <w:instrText xml:space="preserve"> PAGEREF _Toc110599612 \h </w:instrText>
      </w:r>
      <w:r>
        <w:fldChar w:fldCharType="separate"/>
      </w:r>
      <w:r w:rsidR="00511E3A">
        <w:t>11</w:t>
      </w:r>
      <w:r>
        <w:fldChar w:fldCharType="end"/>
      </w:r>
    </w:p>
    <w:p w14:paraId="712DD5E5" w14:textId="39958C88" w:rsidR="00F276C7" w:rsidRDefault="00F276C7">
      <w:pPr>
        <w:pStyle w:val="TableofFigures"/>
        <w:rPr>
          <w:rFonts w:asciiTheme="minorHAnsi" w:eastAsiaTheme="minorEastAsia" w:hAnsiTheme="minorHAnsi" w:cstheme="minorBidi"/>
          <w:sz w:val="22"/>
          <w:szCs w:val="22"/>
          <w:lang w:eastAsia="en-AU"/>
        </w:rPr>
      </w:pPr>
      <w:r w:rsidRPr="00B30D2A">
        <w:rPr>
          <w:lang w:val="en-US" w:eastAsia="en-AU"/>
        </w:rPr>
        <w:t>Table 3. Modelled predictions of fox density at treatment and non-treatment monitoring locations at 10 years after baiting commenced, i.e. in 2015</w:t>
      </w:r>
      <w:r>
        <w:tab/>
      </w:r>
      <w:r>
        <w:fldChar w:fldCharType="begin"/>
      </w:r>
      <w:r>
        <w:instrText xml:space="preserve"> PAGEREF _Toc110599613 \h </w:instrText>
      </w:r>
      <w:r>
        <w:fldChar w:fldCharType="separate"/>
      </w:r>
      <w:r w:rsidR="00511E3A">
        <w:t>13</w:t>
      </w:r>
      <w:r>
        <w:fldChar w:fldCharType="end"/>
      </w:r>
    </w:p>
    <w:p w14:paraId="0673AD01" w14:textId="7478A2AC" w:rsidR="00F276C7" w:rsidRDefault="00F276C7">
      <w:pPr>
        <w:pStyle w:val="TableofFigures"/>
        <w:rPr>
          <w:rFonts w:asciiTheme="minorHAnsi" w:eastAsiaTheme="minorEastAsia" w:hAnsiTheme="minorHAnsi" w:cstheme="minorBidi"/>
          <w:sz w:val="22"/>
          <w:szCs w:val="22"/>
          <w:lang w:eastAsia="en-AU"/>
        </w:rPr>
      </w:pPr>
      <w:r>
        <w:t>Table 4. Estimated feral cat densities at locations with and without fox control</w:t>
      </w:r>
      <w:r>
        <w:tab/>
      </w:r>
      <w:r>
        <w:fldChar w:fldCharType="begin"/>
      </w:r>
      <w:r>
        <w:instrText xml:space="preserve"> PAGEREF _Toc110599614 \h </w:instrText>
      </w:r>
      <w:r>
        <w:fldChar w:fldCharType="separate"/>
      </w:r>
      <w:r w:rsidR="00511E3A">
        <w:t>14</w:t>
      </w:r>
      <w:r>
        <w:fldChar w:fldCharType="end"/>
      </w:r>
    </w:p>
    <w:p w14:paraId="1EC0A7C1" w14:textId="18E6FDCA" w:rsidR="00F276C7" w:rsidRDefault="00F276C7">
      <w:pPr>
        <w:pStyle w:val="TableofFigures"/>
        <w:rPr>
          <w:rFonts w:asciiTheme="minorHAnsi" w:eastAsiaTheme="minorEastAsia" w:hAnsiTheme="minorHAnsi" w:cstheme="minorBidi"/>
          <w:sz w:val="22"/>
          <w:szCs w:val="22"/>
          <w:lang w:eastAsia="en-AU"/>
        </w:rPr>
      </w:pPr>
      <w:r>
        <w:t>Table 5. Results from the Common Brushtail Possum occupancy model</w:t>
      </w:r>
      <w:r>
        <w:tab/>
      </w:r>
      <w:r>
        <w:fldChar w:fldCharType="begin"/>
      </w:r>
      <w:r>
        <w:instrText xml:space="preserve"> PAGEREF _Toc110599615 \h </w:instrText>
      </w:r>
      <w:r>
        <w:fldChar w:fldCharType="separate"/>
      </w:r>
      <w:r w:rsidR="00511E3A">
        <w:t>15</w:t>
      </w:r>
      <w:r>
        <w:fldChar w:fldCharType="end"/>
      </w:r>
    </w:p>
    <w:p w14:paraId="5FF046EA" w14:textId="35B68FF6" w:rsidR="00F276C7" w:rsidRDefault="00F276C7">
      <w:pPr>
        <w:pStyle w:val="TableofFigures"/>
        <w:rPr>
          <w:rFonts w:asciiTheme="minorHAnsi" w:eastAsiaTheme="minorEastAsia" w:hAnsiTheme="minorHAnsi" w:cstheme="minorBidi"/>
          <w:sz w:val="22"/>
          <w:szCs w:val="22"/>
          <w:lang w:eastAsia="en-AU"/>
        </w:rPr>
      </w:pPr>
      <w:r>
        <w:t>Table 6. Results from the Long-nosed Potoroo occupancy model</w:t>
      </w:r>
      <w:r>
        <w:tab/>
      </w:r>
      <w:r>
        <w:fldChar w:fldCharType="begin"/>
      </w:r>
      <w:r>
        <w:instrText xml:space="preserve"> PAGEREF _Toc110599616 \h </w:instrText>
      </w:r>
      <w:r>
        <w:fldChar w:fldCharType="separate"/>
      </w:r>
      <w:r w:rsidR="00511E3A">
        <w:t>17</w:t>
      </w:r>
      <w:r>
        <w:fldChar w:fldCharType="end"/>
      </w:r>
    </w:p>
    <w:p w14:paraId="1FDD7ADE" w14:textId="03513841" w:rsidR="00F276C7" w:rsidRDefault="00F276C7">
      <w:pPr>
        <w:pStyle w:val="TableofFigures"/>
        <w:rPr>
          <w:rFonts w:asciiTheme="minorHAnsi" w:eastAsiaTheme="minorEastAsia" w:hAnsiTheme="minorHAnsi" w:cstheme="minorBidi"/>
          <w:sz w:val="22"/>
          <w:szCs w:val="22"/>
          <w:lang w:eastAsia="en-AU"/>
        </w:rPr>
      </w:pPr>
      <w:r>
        <w:t>Table 7. Results from the Southern Brown Bandicoot model that relates to the covariates</w:t>
      </w:r>
      <w:r>
        <w:tab/>
      </w:r>
      <w:r>
        <w:fldChar w:fldCharType="begin"/>
      </w:r>
      <w:r>
        <w:instrText xml:space="preserve"> PAGEREF _Toc110599617 \h </w:instrText>
      </w:r>
      <w:r>
        <w:fldChar w:fldCharType="separate"/>
      </w:r>
      <w:r w:rsidR="00511E3A">
        <w:t>20</w:t>
      </w:r>
      <w:r>
        <w:fldChar w:fldCharType="end"/>
      </w:r>
    </w:p>
    <w:p w14:paraId="3F88BD05" w14:textId="0EBF53CB" w:rsidR="00BE541D" w:rsidRPr="00243764" w:rsidRDefault="00091775" w:rsidP="00DC3852">
      <w:pPr>
        <w:pStyle w:val="TableofFigures"/>
      </w:pPr>
      <w:r>
        <w:fldChar w:fldCharType="end"/>
      </w:r>
    </w:p>
    <w:p w14:paraId="7BC835EA" w14:textId="77777777" w:rsidR="001F10BD" w:rsidRPr="00243764" w:rsidRDefault="001F10BD" w:rsidP="00B2382F">
      <w:pPr>
        <w:pStyle w:val="TOCtitle"/>
      </w:pPr>
      <w:r w:rsidRPr="00243764">
        <w:t>Figures</w:t>
      </w:r>
    </w:p>
    <w:p w14:paraId="60BF06F9" w14:textId="208F8934" w:rsidR="00F276C7" w:rsidRDefault="006B0367">
      <w:pPr>
        <w:pStyle w:val="TableofFigures"/>
        <w:rPr>
          <w:rFonts w:asciiTheme="minorHAnsi" w:eastAsiaTheme="minorEastAsia" w:hAnsiTheme="minorHAnsi" w:cstheme="minorBidi"/>
          <w:sz w:val="22"/>
          <w:szCs w:val="22"/>
          <w:lang w:eastAsia="en-AU"/>
        </w:rPr>
      </w:pPr>
      <w:r>
        <w:fldChar w:fldCharType="begin"/>
      </w:r>
      <w:r>
        <w:instrText xml:space="preserve"> TOC \t "Caption - Figure" \c </w:instrText>
      </w:r>
      <w:r>
        <w:fldChar w:fldCharType="separate"/>
      </w:r>
      <w:r w:rsidR="00F276C7">
        <w:t xml:space="preserve">Figure 1. Glenelg Ark operations area. </w:t>
      </w:r>
      <w:r w:rsidR="00F276C7" w:rsidRPr="00B845BF">
        <w:t>Green - Glenelg Ark operational areas. Red dots indicate poison bait stations. Pale grey – other public land.</w:t>
      </w:r>
      <w:r w:rsidR="00F276C7">
        <w:tab/>
      </w:r>
      <w:r w:rsidR="00F276C7">
        <w:fldChar w:fldCharType="begin"/>
      </w:r>
      <w:r w:rsidR="00F276C7">
        <w:instrText xml:space="preserve"> PAGEREF _Toc110599618 \h </w:instrText>
      </w:r>
      <w:r w:rsidR="00F276C7">
        <w:fldChar w:fldCharType="separate"/>
      </w:r>
      <w:r w:rsidR="00511E3A">
        <w:t>6</w:t>
      </w:r>
      <w:r w:rsidR="00F276C7">
        <w:fldChar w:fldCharType="end"/>
      </w:r>
    </w:p>
    <w:p w14:paraId="1B7B675C" w14:textId="3C09DF78" w:rsidR="00F276C7" w:rsidRDefault="00F276C7">
      <w:pPr>
        <w:pStyle w:val="TableofFigures"/>
        <w:rPr>
          <w:rFonts w:asciiTheme="minorHAnsi" w:eastAsiaTheme="minorEastAsia" w:hAnsiTheme="minorHAnsi" w:cstheme="minorBidi"/>
          <w:sz w:val="22"/>
          <w:szCs w:val="22"/>
          <w:lang w:eastAsia="en-AU"/>
        </w:rPr>
      </w:pPr>
      <w:r>
        <w:t xml:space="preserve">Figure 2. Monitoring sites in the treatment monitoring locations (TMLs; dark tan areas) and non-treatment monitoring locations (NTMLs; pale tan areas) for Glenelg Ark are indicated by purple dots. </w:t>
      </w:r>
      <w:r w:rsidRPr="00B845BF">
        <w:t>LGNP = Lower Glenelg National Park.</w:t>
      </w:r>
      <w:r>
        <w:tab/>
      </w:r>
      <w:r>
        <w:fldChar w:fldCharType="begin"/>
      </w:r>
      <w:r>
        <w:instrText xml:space="preserve"> PAGEREF _Toc110599619 \h </w:instrText>
      </w:r>
      <w:r>
        <w:fldChar w:fldCharType="separate"/>
      </w:r>
      <w:r w:rsidR="00511E3A">
        <w:t>8</w:t>
      </w:r>
      <w:r>
        <w:fldChar w:fldCharType="end"/>
      </w:r>
    </w:p>
    <w:p w14:paraId="6838F349" w14:textId="54976B6C" w:rsidR="00F276C7" w:rsidRDefault="00F276C7">
      <w:pPr>
        <w:pStyle w:val="TableofFigures"/>
        <w:rPr>
          <w:rFonts w:asciiTheme="minorHAnsi" w:eastAsiaTheme="minorEastAsia" w:hAnsiTheme="minorHAnsi" w:cstheme="minorBidi"/>
          <w:sz w:val="22"/>
          <w:szCs w:val="22"/>
          <w:lang w:eastAsia="en-AU"/>
        </w:rPr>
      </w:pPr>
      <w:r>
        <w:t>Figure 3. The layout of the nine hair-tubes and possible location (A, B, C or D) of the single digital camera at a monitoring site</w:t>
      </w:r>
      <w:r>
        <w:tab/>
      </w:r>
      <w:r>
        <w:fldChar w:fldCharType="begin"/>
      </w:r>
      <w:r>
        <w:instrText xml:space="preserve"> PAGEREF _Toc110599620 \h </w:instrText>
      </w:r>
      <w:r>
        <w:fldChar w:fldCharType="separate"/>
      </w:r>
      <w:r w:rsidR="00511E3A">
        <w:t>9</w:t>
      </w:r>
      <w:r>
        <w:fldChar w:fldCharType="end"/>
      </w:r>
    </w:p>
    <w:p w14:paraId="6BDA2091" w14:textId="4E5B0C7F" w:rsidR="00F276C7" w:rsidRDefault="00F276C7">
      <w:pPr>
        <w:pStyle w:val="TableofFigures"/>
        <w:rPr>
          <w:rFonts w:asciiTheme="minorHAnsi" w:eastAsiaTheme="minorEastAsia" w:hAnsiTheme="minorHAnsi" w:cstheme="minorBidi"/>
          <w:sz w:val="22"/>
          <w:szCs w:val="22"/>
          <w:lang w:eastAsia="en-AU"/>
        </w:rPr>
      </w:pPr>
      <w:r w:rsidRPr="00B845BF">
        <w:rPr>
          <w:lang w:val="en-US" w:eastAsia="en-AU"/>
        </w:rPr>
        <w:t xml:space="preserve">Figure 4. The modelled fox densities for the Glenelg Ark program—locations with fox control (aqua) and locations without fox control (red). </w:t>
      </w:r>
      <w:r>
        <w:t>Fortnightly baiting commenced in model year 11, as per the project description, and ran for the duration of the model.</w:t>
      </w:r>
      <w:r>
        <w:tab/>
      </w:r>
      <w:r>
        <w:fldChar w:fldCharType="begin"/>
      </w:r>
      <w:r>
        <w:instrText xml:space="preserve"> PAGEREF _Toc110599621 \h </w:instrText>
      </w:r>
      <w:r>
        <w:fldChar w:fldCharType="separate"/>
      </w:r>
      <w:r w:rsidR="00511E3A">
        <w:t>12</w:t>
      </w:r>
      <w:r>
        <w:fldChar w:fldCharType="end"/>
      </w:r>
    </w:p>
    <w:p w14:paraId="2A204DD8" w14:textId="622C5580" w:rsidR="00F276C7" w:rsidRDefault="00F276C7">
      <w:pPr>
        <w:pStyle w:val="TableofFigures"/>
        <w:rPr>
          <w:rFonts w:asciiTheme="minorHAnsi" w:eastAsiaTheme="minorEastAsia" w:hAnsiTheme="minorHAnsi" w:cstheme="minorBidi"/>
          <w:sz w:val="22"/>
          <w:szCs w:val="22"/>
          <w:lang w:eastAsia="en-AU"/>
        </w:rPr>
      </w:pPr>
      <w:r w:rsidRPr="00B845BF">
        <w:rPr>
          <w:lang w:val="en-US" w:eastAsia="en-AU"/>
        </w:rPr>
        <w:t>Figure 5. Modelled spatial reduction in modelled fox densities for the Glenelg Ark program</w:t>
      </w:r>
      <w:r>
        <w:tab/>
      </w:r>
      <w:r>
        <w:fldChar w:fldCharType="begin"/>
      </w:r>
      <w:r>
        <w:instrText xml:space="preserve"> PAGEREF _Toc110599622 \h </w:instrText>
      </w:r>
      <w:r>
        <w:fldChar w:fldCharType="separate"/>
      </w:r>
      <w:r w:rsidR="00511E3A">
        <w:t>13</w:t>
      </w:r>
      <w:r>
        <w:fldChar w:fldCharType="end"/>
      </w:r>
    </w:p>
    <w:p w14:paraId="345711FD" w14:textId="73510B32" w:rsidR="00F276C7" w:rsidRDefault="00F276C7">
      <w:pPr>
        <w:pStyle w:val="TableofFigures"/>
        <w:rPr>
          <w:rFonts w:asciiTheme="minorHAnsi" w:eastAsiaTheme="minorEastAsia" w:hAnsiTheme="minorHAnsi" w:cstheme="minorBidi"/>
          <w:sz w:val="22"/>
          <w:szCs w:val="22"/>
          <w:lang w:eastAsia="en-AU"/>
        </w:rPr>
      </w:pPr>
      <w:r>
        <w:t>Figure 6. Estimated persistence rate for Common Brushtail Possum in relation to distance to non-native vegetation</w:t>
      </w:r>
      <w:r>
        <w:tab/>
      </w:r>
      <w:r>
        <w:fldChar w:fldCharType="begin"/>
      </w:r>
      <w:r>
        <w:instrText xml:space="preserve"> PAGEREF _Toc110599623 \h </w:instrText>
      </w:r>
      <w:r>
        <w:fldChar w:fldCharType="separate"/>
      </w:r>
      <w:r w:rsidR="00511E3A">
        <w:t>14</w:t>
      </w:r>
      <w:r>
        <w:fldChar w:fldCharType="end"/>
      </w:r>
    </w:p>
    <w:p w14:paraId="0B59EB6F" w14:textId="0E01D35B" w:rsidR="00F276C7" w:rsidRDefault="00F276C7">
      <w:pPr>
        <w:pStyle w:val="TableofFigures"/>
        <w:rPr>
          <w:rFonts w:asciiTheme="minorHAnsi" w:eastAsiaTheme="minorEastAsia" w:hAnsiTheme="minorHAnsi" w:cstheme="minorBidi"/>
          <w:sz w:val="22"/>
          <w:szCs w:val="22"/>
          <w:lang w:eastAsia="en-AU"/>
        </w:rPr>
      </w:pPr>
      <w:r>
        <w:t xml:space="preserve">Figure 7. The difference in growth rates (percentage difference between sites with and without fox control) for Common Brushtail Possum over time. </w:t>
      </w:r>
      <w:r w:rsidRPr="00B845BF">
        <w:t>The dot is the median, and the lines represent the 95% credible interval.</w:t>
      </w:r>
      <w:r>
        <w:tab/>
      </w:r>
      <w:r>
        <w:fldChar w:fldCharType="begin"/>
      </w:r>
      <w:r>
        <w:instrText xml:space="preserve"> PAGEREF _Toc110599624 \h </w:instrText>
      </w:r>
      <w:r>
        <w:fldChar w:fldCharType="separate"/>
      </w:r>
      <w:r w:rsidR="00511E3A">
        <w:t>15</w:t>
      </w:r>
      <w:r>
        <w:fldChar w:fldCharType="end"/>
      </w:r>
    </w:p>
    <w:p w14:paraId="13A9B09B" w14:textId="1FC6784D" w:rsidR="00F276C7" w:rsidRDefault="00F276C7">
      <w:pPr>
        <w:pStyle w:val="TableofFigures"/>
        <w:rPr>
          <w:rFonts w:asciiTheme="minorHAnsi" w:eastAsiaTheme="minorEastAsia" w:hAnsiTheme="minorHAnsi" w:cstheme="minorBidi"/>
          <w:sz w:val="22"/>
          <w:szCs w:val="22"/>
          <w:lang w:eastAsia="en-AU"/>
        </w:rPr>
      </w:pPr>
      <w:r>
        <w:t>Figure 9. Estimated persistence rate for Long-nosed Potoroo in relation to distance to non-native vegetation, separated by fox control status</w:t>
      </w:r>
      <w:r>
        <w:tab/>
      </w:r>
      <w:r>
        <w:fldChar w:fldCharType="begin"/>
      </w:r>
      <w:r>
        <w:instrText xml:space="preserve"> PAGEREF _Toc110599625 \h </w:instrText>
      </w:r>
      <w:r>
        <w:fldChar w:fldCharType="separate"/>
      </w:r>
      <w:r w:rsidR="00511E3A">
        <w:t>16</w:t>
      </w:r>
      <w:r>
        <w:fldChar w:fldCharType="end"/>
      </w:r>
    </w:p>
    <w:p w14:paraId="6FE8F562" w14:textId="0E3B24E2" w:rsidR="00F276C7" w:rsidRDefault="00F276C7">
      <w:pPr>
        <w:pStyle w:val="TableofFigures"/>
        <w:rPr>
          <w:rFonts w:asciiTheme="minorHAnsi" w:eastAsiaTheme="minorEastAsia" w:hAnsiTheme="minorHAnsi" w:cstheme="minorBidi"/>
          <w:sz w:val="22"/>
          <w:szCs w:val="22"/>
          <w:lang w:eastAsia="en-AU"/>
        </w:rPr>
      </w:pPr>
      <w:r>
        <w:t xml:space="preserve">Figure 10. The difference in growth rates (percentage difference between sites with and without fox control) for Long-nosed Potoroo over time. </w:t>
      </w:r>
      <w:r w:rsidRPr="00B845BF">
        <w:t>The dot is the median, and the lines represent the 95% high-density interval.</w:t>
      </w:r>
      <w:r>
        <w:tab/>
      </w:r>
      <w:r>
        <w:fldChar w:fldCharType="begin"/>
      </w:r>
      <w:r>
        <w:instrText xml:space="preserve"> PAGEREF _Toc110599626 \h </w:instrText>
      </w:r>
      <w:r>
        <w:fldChar w:fldCharType="separate"/>
      </w:r>
      <w:r w:rsidR="00511E3A">
        <w:t>17</w:t>
      </w:r>
      <w:r>
        <w:fldChar w:fldCharType="end"/>
      </w:r>
    </w:p>
    <w:p w14:paraId="571AB0F4" w14:textId="16D06DDB" w:rsidR="00F276C7" w:rsidRDefault="00F276C7">
      <w:pPr>
        <w:pStyle w:val="TableofFigures"/>
        <w:rPr>
          <w:rFonts w:asciiTheme="minorHAnsi" w:eastAsiaTheme="minorEastAsia" w:hAnsiTheme="minorHAnsi" w:cstheme="minorBidi"/>
          <w:sz w:val="22"/>
          <w:szCs w:val="22"/>
          <w:lang w:eastAsia="en-AU"/>
        </w:rPr>
      </w:pPr>
      <w:r>
        <w:lastRenderedPageBreak/>
        <w:t xml:space="preserve">Figure 11. (A) Persistence rates for Southern Brown Bandicoot across different topographic wetness indices, separated by fox control status, given all other covariates are held at their mean value. (B) Persistence rates for Southern Brown Bandicoot across different times since fire, separated by fox control status, given all other covariates are held at their mean value. </w:t>
      </w:r>
      <w:r w:rsidRPr="00B845BF">
        <w:t>The line is the median, and the shaded area represents the 95% credible interval.</w:t>
      </w:r>
      <w:r>
        <w:tab/>
      </w:r>
      <w:r>
        <w:fldChar w:fldCharType="begin"/>
      </w:r>
      <w:r>
        <w:instrText xml:space="preserve"> PAGEREF _Toc110599627 \h </w:instrText>
      </w:r>
      <w:r>
        <w:fldChar w:fldCharType="separate"/>
      </w:r>
      <w:r w:rsidR="00511E3A">
        <w:t>18</w:t>
      </w:r>
      <w:r>
        <w:fldChar w:fldCharType="end"/>
      </w:r>
    </w:p>
    <w:p w14:paraId="36036053" w14:textId="58885B8B" w:rsidR="00F276C7" w:rsidRDefault="00F276C7">
      <w:pPr>
        <w:pStyle w:val="TableofFigures"/>
        <w:rPr>
          <w:rFonts w:asciiTheme="minorHAnsi" w:eastAsiaTheme="minorEastAsia" w:hAnsiTheme="minorHAnsi" w:cstheme="minorBidi"/>
          <w:sz w:val="22"/>
          <w:szCs w:val="22"/>
          <w:lang w:eastAsia="en-AU"/>
        </w:rPr>
      </w:pPr>
      <w:r>
        <w:t>Figure 12. Estimated local colonisation rate for Southern Brown Bandicoot in relation to distance to non-native vegetation, separated by fox control status</w:t>
      </w:r>
      <w:r>
        <w:tab/>
      </w:r>
      <w:r>
        <w:fldChar w:fldCharType="begin"/>
      </w:r>
      <w:r>
        <w:instrText xml:space="preserve"> PAGEREF _Toc110599628 \h </w:instrText>
      </w:r>
      <w:r>
        <w:fldChar w:fldCharType="separate"/>
      </w:r>
      <w:r w:rsidR="00511E3A">
        <w:t>19</w:t>
      </w:r>
      <w:r>
        <w:fldChar w:fldCharType="end"/>
      </w:r>
    </w:p>
    <w:p w14:paraId="3A932845" w14:textId="0DFD2927" w:rsidR="00F276C7" w:rsidRDefault="00F276C7">
      <w:pPr>
        <w:pStyle w:val="TableofFigures"/>
        <w:rPr>
          <w:rFonts w:asciiTheme="minorHAnsi" w:eastAsiaTheme="minorEastAsia" w:hAnsiTheme="minorHAnsi" w:cstheme="minorBidi"/>
          <w:sz w:val="22"/>
          <w:szCs w:val="22"/>
          <w:lang w:eastAsia="en-AU"/>
        </w:rPr>
      </w:pPr>
      <w:r>
        <w:t>Figure 13. The difference in growth rates (percentage difference between sites with and without fox control) for Southern Brown Bandicoot over time.</w:t>
      </w:r>
      <w:r w:rsidRPr="00B845BF">
        <w:t xml:space="preserve"> The dot is the median, and the lines represent the 95% high-density interval.</w:t>
      </w:r>
      <w:r>
        <w:tab/>
      </w:r>
      <w:r>
        <w:fldChar w:fldCharType="begin"/>
      </w:r>
      <w:r>
        <w:instrText xml:space="preserve"> PAGEREF _Toc110599629 \h </w:instrText>
      </w:r>
      <w:r>
        <w:fldChar w:fldCharType="separate"/>
      </w:r>
      <w:r w:rsidR="00511E3A">
        <w:t>20</w:t>
      </w:r>
      <w:r>
        <w:fldChar w:fldCharType="end"/>
      </w:r>
    </w:p>
    <w:p w14:paraId="3A7CA9EC" w14:textId="2C7A0803" w:rsidR="00F276C7" w:rsidRDefault="00F276C7">
      <w:pPr>
        <w:pStyle w:val="TableofFigures"/>
        <w:rPr>
          <w:rFonts w:asciiTheme="minorHAnsi" w:eastAsiaTheme="minorEastAsia" w:hAnsiTheme="minorHAnsi" w:cstheme="minorBidi"/>
          <w:sz w:val="22"/>
          <w:szCs w:val="22"/>
          <w:lang w:eastAsia="en-AU"/>
        </w:rPr>
      </w:pPr>
      <w:r>
        <w:t>Figure 14. Counts of camera sites and raster cell values for model covariates used in current occupancy modelling, and three additional covariates</w:t>
      </w:r>
      <w:r w:rsidRPr="00B845BF">
        <w:t>. DTNV = distance to non-native vegetation; DTW = Distance to Water; EVC = Ecological Vegetation Class; NDVI = Normalised Difference Vegetation Index; TSF = time since fire; TWI = topographic wetness index.</w:t>
      </w:r>
      <w:r>
        <w:tab/>
      </w:r>
      <w:r>
        <w:fldChar w:fldCharType="begin"/>
      </w:r>
      <w:r>
        <w:instrText xml:space="preserve"> PAGEREF _Toc110599630 \h </w:instrText>
      </w:r>
      <w:r>
        <w:fldChar w:fldCharType="separate"/>
      </w:r>
      <w:r w:rsidR="00511E3A">
        <w:t>22</w:t>
      </w:r>
      <w:r>
        <w:fldChar w:fldCharType="end"/>
      </w:r>
    </w:p>
    <w:p w14:paraId="5B8F87D1" w14:textId="63B203E2" w:rsidR="00F276C7" w:rsidRDefault="00F276C7">
      <w:pPr>
        <w:pStyle w:val="TableofFigures"/>
        <w:rPr>
          <w:rFonts w:asciiTheme="minorHAnsi" w:eastAsiaTheme="minorEastAsia" w:hAnsiTheme="minorHAnsi" w:cstheme="minorBidi"/>
          <w:sz w:val="22"/>
          <w:szCs w:val="22"/>
          <w:lang w:eastAsia="en-AU"/>
        </w:rPr>
      </w:pPr>
      <w:r>
        <w:rPr>
          <w:lang w:eastAsia="en-AU"/>
        </w:rPr>
        <w:t>Figure 15. Predicted occupancy of Long-nosed Potoroo across the Glenelg Ark landscape.</w:t>
      </w:r>
      <w:r w:rsidRPr="00B845BF">
        <w:rPr>
          <w:lang w:eastAsia="en-AU"/>
        </w:rPr>
        <w:t xml:space="preserve"> Black dots are the location of existing camera-trap monitoring stations.</w:t>
      </w:r>
      <w:r>
        <w:tab/>
      </w:r>
      <w:r>
        <w:fldChar w:fldCharType="begin"/>
      </w:r>
      <w:r>
        <w:instrText xml:space="preserve"> PAGEREF _Toc110599631 \h </w:instrText>
      </w:r>
      <w:r>
        <w:fldChar w:fldCharType="separate"/>
      </w:r>
      <w:r w:rsidR="00511E3A">
        <w:t>23</w:t>
      </w:r>
      <w:r>
        <w:fldChar w:fldCharType="end"/>
      </w:r>
    </w:p>
    <w:p w14:paraId="2C5A48E6" w14:textId="5AE71E5E" w:rsidR="00F276C7" w:rsidRDefault="00F276C7">
      <w:pPr>
        <w:pStyle w:val="TableofFigures"/>
        <w:rPr>
          <w:rFonts w:asciiTheme="minorHAnsi" w:eastAsiaTheme="minorEastAsia" w:hAnsiTheme="minorHAnsi" w:cstheme="minorBidi"/>
          <w:sz w:val="22"/>
          <w:szCs w:val="22"/>
          <w:lang w:eastAsia="en-AU"/>
        </w:rPr>
      </w:pPr>
      <w:r>
        <w:rPr>
          <w:lang w:eastAsia="en-AU"/>
        </w:rPr>
        <w:t>Figure 16. Predicted occupancy of Southern Brown Bandicoots across the Glenelg Ark landscape.</w:t>
      </w:r>
      <w:r w:rsidRPr="00B845BF">
        <w:rPr>
          <w:lang w:eastAsia="en-AU"/>
        </w:rPr>
        <w:t xml:space="preserve"> Black dots are the location of camera-trap monitoring stations.</w:t>
      </w:r>
      <w:r>
        <w:tab/>
      </w:r>
      <w:r>
        <w:fldChar w:fldCharType="begin"/>
      </w:r>
      <w:r>
        <w:instrText xml:space="preserve"> PAGEREF _Toc110599632 \h </w:instrText>
      </w:r>
      <w:r>
        <w:fldChar w:fldCharType="separate"/>
      </w:r>
      <w:r w:rsidR="00511E3A">
        <w:t>24</w:t>
      </w:r>
      <w:r>
        <w:fldChar w:fldCharType="end"/>
      </w:r>
    </w:p>
    <w:p w14:paraId="55C18B57" w14:textId="1EAB6F95" w:rsidR="00A33935" w:rsidRDefault="006B0367" w:rsidP="00A33935">
      <w:pPr>
        <w:pStyle w:val="Heading1"/>
        <w:sectPr w:rsidR="00A33935" w:rsidSect="00A33935">
          <w:footerReference w:type="even" r:id="rId50"/>
          <w:footerReference w:type="default" r:id="rId51"/>
          <w:footerReference w:type="first" r:id="rId52"/>
          <w:type w:val="continuous"/>
          <w:pgSz w:w="11907" w:h="16840" w:code="9"/>
          <w:pgMar w:top="1134" w:right="1134" w:bottom="1134" w:left="1134" w:header="709" w:footer="567" w:gutter="0"/>
          <w:pgNumType w:fmt="lowerRoman" w:start="1"/>
          <w:cols w:space="708"/>
          <w:formProt w:val="0"/>
          <w:titlePg/>
          <w:docGrid w:linePitch="360"/>
        </w:sectPr>
      </w:pPr>
      <w:r>
        <w:fldChar w:fldCharType="end"/>
      </w:r>
      <w:bookmarkStart w:id="9" w:name="_Toc409798396"/>
      <w:bookmarkStart w:id="10" w:name="_Toc286018759"/>
    </w:p>
    <w:p w14:paraId="3E0A7065" w14:textId="522E500B" w:rsidR="00991C27" w:rsidRPr="00B2382F" w:rsidRDefault="00980E26" w:rsidP="00A33935">
      <w:pPr>
        <w:pStyle w:val="Heading1"/>
      </w:pPr>
      <w:bookmarkStart w:id="11" w:name="_Toc110599585"/>
      <w:r w:rsidRPr="00B2382F">
        <w:lastRenderedPageBreak/>
        <w:t>Summary</w:t>
      </w:r>
      <w:bookmarkEnd w:id="9"/>
      <w:bookmarkEnd w:id="10"/>
      <w:bookmarkEnd w:id="11"/>
    </w:p>
    <w:p w14:paraId="3186A843" w14:textId="77777777" w:rsidR="00B705CE" w:rsidRPr="007D16B0" w:rsidRDefault="00B705CE" w:rsidP="007D16B0">
      <w:pPr>
        <w:pStyle w:val="Heading3"/>
      </w:pPr>
      <w:bookmarkStart w:id="12" w:name="_Toc509242196"/>
      <w:bookmarkStart w:id="13" w:name="_Toc110599586"/>
      <w:r w:rsidRPr="007D16B0">
        <w:t>Context:</w:t>
      </w:r>
      <w:bookmarkEnd w:id="12"/>
      <w:bookmarkEnd w:id="13"/>
    </w:p>
    <w:p w14:paraId="79BCD7E2" w14:textId="02F21BDA" w:rsidR="002D1AD6" w:rsidRPr="007B6825" w:rsidRDefault="002D1AD6" w:rsidP="0015565D">
      <w:bookmarkStart w:id="14" w:name="_Toc509242197"/>
      <w:r w:rsidRPr="00950E64">
        <w:t xml:space="preserve">The Glenelg Ark project was </w:t>
      </w:r>
      <w:r w:rsidR="00183344">
        <w:t>initiat</w:t>
      </w:r>
      <w:r w:rsidR="00183344" w:rsidRPr="00950E64">
        <w:t xml:space="preserve">ed </w:t>
      </w:r>
      <w:r w:rsidRPr="00950E64">
        <w:t xml:space="preserve">in 2005 to facilitate the recovery of selected native mammal species considered at risk from </w:t>
      </w:r>
      <w:r w:rsidRPr="004D00CE">
        <w:t>Red Fox</w:t>
      </w:r>
      <w:r w:rsidR="00DB664F" w:rsidRPr="004D00CE">
        <w:t xml:space="preserve"> (</w:t>
      </w:r>
      <w:r w:rsidRPr="004D00CE">
        <w:rPr>
          <w:i/>
        </w:rPr>
        <w:t xml:space="preserve">Vulpes </w:t>
      </w:r>
      <w:proofErr w:type="spellStart"/>
      <w:r w:rsidRPr="004D00CE">
        <w:rPr>
          <w:i/>
        </w:rPr>
        <w:t>vulpes</w:t>
      </w:r>
      <w:proofErr w:type="spellEnd"/>
      <w:r w:rsidR="00DB664F" w:rsidRPr="004D00CE">
        <w:t>; hereafter ‘fox’</w:t>
      </w:r>
      <w:r w:rsidRPr="004D00CE">
        <w:t>) predation</w:t>
      </w:r>
      <w:r w:rsidR="00183344">
        <w:t>: i</w:t>
      </w:r>
      <w:r w:rsidRPr="00950E64">
        <w:t xml:space="preserve">n </w:t>
      </w:r>
      <w:r w:rsidR="00183344">
        <w:t>that year</w:t>
      </w:r>
      <w:r w:rsidRPr="00950E64">
        <w:t xml:space="preserve">, continuous landscape-scale fox baiting </w:t>
      </w:r>
      <w:r w:rsidR="00183344">
        <w:t xml:space="preserve">was established </w:t>
      </w:r>
      <w:r w:rsidRPr="00950E64">
        <w:t>across 90</w:t>
      </w:r>
      <w:r w:rsidR="005D4780">
        <w:t>,</w:t>
      </w:r>
      <w:r w:rsidRPr="00950E64">
        <w:t xml:space="preserve">000 ha of </w:t>
      </w:r>
      <w:r w:rsidR="00DB664F" w:rsidRPr="00950E64">
        <w:t xml:space="preserve">state forest </w:t>
      </w:r>
      <w:r w:rsidRPr="00950E64">
        <w:t xml:space="preserve">and </w:t>
      </w:r>
      <w:r w:rsidR="00DB664F" w:rsidRPr="00950E64">
        <w:t xml:space="preserve">national park </w:t>
      </w:r>
      <w:r w:rsidRPr="00950E64">
        <w:t xml:space="preserve">in south-western Victoria. </w:t>
      </w:r>
      <w:r w:rsidR="005D4780">
        <w:t>T</w:t>
      </w:r>
      <w:r w:rsidRPr="00950E64">
        <w:t xml:space="preserve">hree native mammal species </w:t>
      </w:r>
      <w:r w:rsidR="005D4780">
        <w:t>found with</w:t>
      </w:r>
      <w:r w:rsidRPr="00950E64">
        <w:t xml:space="preserve">in the project area at the time </w:t>
      </w:r>
      <w:r w:rsidR="005D4780">
        <w:t xml:space="preserve">were selected for monitoring because they were </w:t>
      </w:r>
      <w:r w:rsidRPr="00950E64">
        <w:t xml:space="preserve">in low numbers, </w:t>
      </w:r>
      <w:r w:rsidR="005D4780">
        <w:t>had</w:t>
      </w:r>
      <w:r w:rsidR="005D4780" w:rsidRPr="00950E64">
        <w:t xml:space="preserve"> </w:t>
      </w:r>
      <w:r w:rsidRPr="00950E64">
        <w:t xml:space="preserve">patchy distributions, and </w:t>
      </w:r>
      <w:r w:rsidR="005D4780">
        <w:t xml:space="preserve">were considered </w:t>
      </w:r>
      <w:r w:rsidRPr="00950E64">
        <w:t>at risk from fox predation</w:t>
      </w:r>
      <w:r w:rsidR="005D4780">
        <w:t>:</w:t>
      </w:r>
      <w:r w:rsidRPr="00950E64">
        <w:t xml:space="preserve"> </w:t>
      </w:r>
      <w:r w:rsidR="00CE449B" w:rsidRPr="00950E64">
        <w:t>Common Brushtail</w:t>
      </w:r>
      <w:r w:rsidR="00CE449B" w:rsidRPr="007B6825">
        <w:t xml:space="preserve"> Possum (</w:t>
      </w:r>
      <w:proofErr w:type="spellStart"/>
      <w:r w:rsidR="00CE449B" w:rsidRPr="007B6825">
        <w:rPr>
          <w:i/>
        </w:rPr>
        <w:t>Trichosurus</w:t>
      </w:r>
      <w:proofErr w:type="spellEnd"/>
      <w:r w:rsidR="00CE449B" w:rsidRPr="007B6825">
        <w:rPr>
          <w:i/>
        </w:rPr>
        <w:t xml:space="preserve"> </w:t>
      </w:r>
      <w:proofErr w:type="spellStart"/>
      <w:r w:rsidR="00CE449B" w:rsidRPr="007B6825">
        <w:rPr>
          <w:i/>
        </w:rPr>
        <w:t>vulpecula</w:t>
      </w:r>
      <w:proofErr w:type="spellEnd"/>
      <w:r w:rsidR="00CE449B" w:rsidRPr="007B6825">
        <w:t>)</w:t>
      </w:r>
      <w:r w:rsidR="00CE449B">
        <w:t xml:space="preserve">, </w:t>
      </w:r>
      <w:r w:rsidRPr="007B6825">
        <w:t>Long-nosed Potoroo (</w:t>
      </w:r>
      <w:proofErr w:type="spellStart"/>
      <w:r w:rsidRPr="007B6825">
        <w:rPr>
          <w:i/>
        </w:rPr>
        <w:t>Potorous</w:t>
      </w:r>
      <w:proofErr w:type="spellEnd"/>
      <w:r w:rsidRPr="007B6825">
        <w:rPr>
          <w:i/>
        </w:rPr>
        <w:t xml:space="preserve"> </w:t>
      </w:r>
      <w:proofErr w:type="spellStart"/>
      <w:r w:rsidRPr="007B6825">
        <w:rPr>
          <w:i/>
        </w:rPr>
        <w:t>tridactylus</w:t>
      </w:r>
      <w:proofErr w:type="spellEnd"/>
      <w:r w:rsidRPr="007B6825">
        <w:t xml:space="preserve">) </w:t>
      </w:r>
      <w:r w:rsidR="00CE449B">
        <w:t xml:space="preserve">and </w:t>
      </w:r>
      <w:r w:rsidR="00CE449B" w:rsidRPr="007B6825">
        <w:t>Southern Brown Bandicoot (</w:t>
      </w:r>
      <w:proofErr w:type="spellStart"/>
      <w:r w:rsidR="00CE449B" w:rsidRPr="007B6825">
        <w:rPr>
          <w:i/>
        </w:rPr>
        <w:t>Isoodon</w:t>
      </w:r>
      <w:proofErr w:type="spellEnd"/>
      <w:r w:rsidR="00CE449B" w:rsidRPr="007B6825">
        <w:rPr>
          <w:i/>
        </w:rPr>
        <w:t xml:space="preserve"> </w:t>
      </w:r>
      <w:proofErr w:type="spellStart"/>
      <w:r w:rsidR="00CE449B" w:rsidRPr="007B6825">
        <w:rPr>
          <w:i/>
        </w:rPr>
        <w:t>obesulus</w:t>
      </w:r>
      <w:proofErr w:type="spellEnd"/>
      <w:r w:rsidR="00CE449B" w:rsidRPr="007B6825">
        <w:t>)</w:t>
      </w:r>
      <w:r w:rsidR="00CE449B">
        <w:t>.</w:t>
      </w:r>
      <w:r w:rsidR="00CE449B" w:rsidRPr="007B6825">
        <w:t xml:space="preserve"> </w:t>
      </w:r>
      <w:r>
        <w:t xml:space="preserve">This twelfth </w:t>
      </w:r>
      <w:r w:rsidR="008E74FC">
        <w:t xml:space="preserve">Glenelg Ark </w:t>
      </w:r>
      <w:r>
        <w:t xml:space="preserve">report </w:t>
      </w:r>
      <w:r w:rsidR="008E74FC">
        <w:t>is an update on</w:t>
      </w:r>
      <w:r>
        <w:t xml:space="preserve"> </w:t>
      </w:r>
      <w:r w:rsidR="008E74FC">
        <w:t xml:space="preserve">the </w:t>
      </w:r>
      <w:r>
        <w:t>progress</w:t>
      </w:r>
      <w:r w:rsidR="008E74FC">
        <w:t xml:space="preserve"> made</w:t>
      </w:r>
      <w:r>
        <w:t xml:space="preserve"> in achieving biodiversity benefits from ongoing reduction of the threat posed by fox predation</w:t>
      </w:r>
      <w:r w:rsidR="006C6D8A">
        <w:t xml:space="preserve"> by the Glenelg Ark project since it began in 2005</w:t>
      </w:r>
      <w:r>
        <w:t>.</w:t>
      </w:r>
    </w:p>
    <w:p w14:paraId="5CB2FEB3" w14:textId="58ECECBB" w:rsidR="002D1AD6" w:rsidRDefault="002D1AD6" w:rsidP="002D1AD6">
      <w:pPr>
        <w:pStyle w:val="ARIERBody"/>
        <w:rPr>
          <w:rFonts w:ascii="Arial" w:hAnsi="Arial"/>
          <w:b/>
          <w:bCs/>
          <w:sz w:val="24"/>
          <w:szCs w:val="24"/>
        </w:rPr>
      </w:pPr>
      <w:bookmarkStart w:id="15" w:name="_Toc520122035"/>
      <w:r w:rsidRPr="007B6825">
        <w:rPr>
          <w:rFonts w:ascii="Arial" w:hAnsi="Arial"/>
          <w:b/>
          <w:bCs/>
          <w:sz w:val="24"/>
          <w:szCs w:val="24"/>
        </w:rPr>
        <w:t>Aims:</w:t>
      </w:r>
      <w:bookmarkEnd w:id="15"/>
    </w:p>
    <w:p w14:paraId="3D83D2FA" w14:textId="0BAC2D79" w:rsidR="008E74FC" w:rsidRDefault="00D0497E" w:rsidP="008E74FC">
      <w:r>
        <w:t>The aims of this report are:</w:t>
      </w:r>
    </w:p>
    <w:p w14:paraId="59E1EDC5" w14:textId="4F9455E3" w:rsidR="002D1AD6" w:rsidRPr="0015565D" w:rsidRDefault="00D0497E" w:rsidP="002D1AD6">
      <w:pPr>
        <w:pStyle w:val="ARIERBody"/>
        <w:numPr>
          <w:ilvl w:val="0"/>
          <w:numId w:val="31"/>
        </w:numPr>
        <w:rPr>
          <w:rFonts w:ascii="Arial" w:hAnsi="Arial"/>
          <w:sz w:val="20"/>
          <w:szCs w:val="20"/>
        </w:rPr>
      </w:pPr>
      <w:r>
        <w:rPr>
          <w:rFonts w:ascii="Arial" w:hAnsi="Arial"/>
          <w:sz w:val="20"/>
          <w:szCs w:val="20"/>
        </w:rPr>
        <w:t>t</w:t>
      </w:r>
      <w:r w:rsidR="002D1AD6" w:rsidRPr="0015565D">
        <w:rPr>
          <w:rFonts w:ascii="Arial" w:hAnsi="Arial"/>
          <w:sz w:val="20"/>
          <w:szCs w:val="20"/>
        </w:rPr>
        <w:t>o update information on the outcomes of the fox control operation and the responses of targeted native species as of 2020</w:t>
      </w:r>
    </w:p>
    <w:p w14:paraId="4B6B891D" w14:textId="08AFBC16" w:rsidR="002D1AD6" w:rsidRPr="0015565D" w:rsidRDefault="00D0497E" w:rsidP="002D1AD6">
      <w:pPr>
        <w:pStyle w:val="ARIERBody"/>
        <w:numPr>
          <w:ilvl w:val="0"/>
          <w:numId w:val="31"/>
        </w:numPr>
        <w:rPr>
          <w:rFonts w:ascii="Arial" w:hAnsi="Arial"/>
          <w:sz w:val="20"/>
          <w:szCs w:val="20"/>
        </w:rPr>
      </w:pPr>
      <w:r>
        <w:rPr>
          <w:rFonts w:ascii="Arial" w:hAnsi="Arial"/>
          <w:sz w:val="20"/>
          <w:szCs w:val="20"/>
        </w:rPr>
        <w:t>t</w:t>
      </w:r>
      <w:r w:rsidRPr="0015565D">
        <w:rPr>
          <w:rFonts w:ascii="Arial" w:hAnsi="Arial"/>
          <w:sz w:val="20"/>
          <w:szCs w:val="20"/>
        </w:rPr>
        <w:t xml:space="preserve">o </w:t>
      </w:r>
      <w:r w:rsidR="00553A78">
        <w:rPr>
          <w:rFonts w:ascii="Arial" w:hAnsi="Arial"/>
          <w:sz w:val="20"/>
          <w:szCs w:val="20"/>
        </w:rPr>
        <w:t>aid</w:t>
      </w:r>
      <w:r w:rsidR="002D1AD6" w:rsidRPr="0015565D">
        <w:rPr>
          <w:rFonts w:ascii="Arial" w:hAnsi="Arial"/>
          <w:sz w:val="20"/>
          <w:szCs w:val="20"/>
        </w:rPr>
        <w:t xml:space="preserve"> land managers and policy groups </w:t>
      </w:r>
      <w:r w:rsidR="00553A78">
        <w:rPr>
          <w:rFonts w:ascii="Arial" w:hAnsi="Arial"/>
          <w:sz w:val="20"/>
          <w:szCs w:val="20"/>
        </w:rPr>
        <w:t>in</w:t>
      </w:r>
      <w:r w:rsidR="002D1AD6" w:rsidRPr="0015565D">
        <w:rPr>
          <w:rFonts w:ascii="Arial" w:hAnsi="Arial"/>
          <w:sz w:val="20"/>
          <w:szCs w:val="20"/>
        </w:rPr>
        <w:t xml:space="preserve"> decision-making regarding the </w:t>
      </w:r>
      <w:r w:rsidR="00553A78">
        <w:rPr>
          <w:rFonts w:ascii="Arial" w:hAnsi="Arial"/>
          <w:sz w:val="20"/>
          <w:szCs w:val="20"/>
        </w:rPr>
        <w:t>project's future directions</w:t>
      </w:r>
      <w:r w:rsidR="0011624A" w:rsidRPr="0015565D">
        <w:rPr>
          <w:rFonts w:ascii="Arial" w:hAnsi="Arial"/>
          <w:sz w:val="20"/>
          <w:szCs w:val="20"/>
        </w:rPr>
        <w:t>.</w:t>
      </w:r>
    </w:p>
    <w:p w14:paraId="7778029C" w14:textId="58CF4A91" w:rsidR="00B705CE" w:rsidRDefault="00B705CE" w:rsidP="007D16B0">
      <w:pPr>
        <w:pStyle w:val="Heading3"/>
      </w:pPr>
      <w:bookmarkStart w:id="16" w:name="_Toc509242198"/>
      <w:bookmarkStart w:id="17" w:name="_Toc110599587"/>
      <w:bookmarkEnd w:id="14"/>
      <w:r>
        <w:t>Methods:</w:t>
      </w:r>
      <w:bookmarkEnd w:id="16"/>
      <w:bookmarkEnd w:id="17"/>
    </w:p>
    <w:p w14:paraId="2D4ED28F" w14:textId="4C82DA8B" w:rsidR="00D6650C" w:rsidRDefault="00061DBC" w:rsidP="0015565D">
      <w:bookmarkStart w:id="18" w:name="_Toc509242199"/>
      <w:r>
        <w:t>Changes</w:t>
      </w:r>
      <w:r w:rsidR="00553A78">
        <w:t xml:space="preserve"> in fox population density </w:t>
      </w:r>
      <w:r w:rsidR="006C6D8A">
        <w:t xml:space="preserve">over the past 15 years </w:t>
      </w:r>
      <w:r>
        <w:t xml:space="preserve">in </w:t>
      </w:r>
      <w:r w:rsidR="00553A78">
        <w:t xml:space="preserve">response to baiting </w:t>
      </w:r>
      <w:r>
        <w:t xml:space="preserve">were predicted </w:t>
      </w:r>
      <w:r w:rsidR="00553A78">
        <w:t>using a spatially explicit, individually based population model, ‘</w:t>
      </w:r>
      <w:proofErr w:type="spellStart"/>
      <w:r w:rsidR="00553A78">
        <w:t>FoxNet</w:t>
      </w:r>
      <w:proofErr w:type="spellEnd"/>
      <w:r w:rsidR="00553A78">
        <w:t xml:space="preserve">’. </w:t>
      </w:r>
      <w:proofErr w:type="spellStart"/>
      <w:r w:rsidR="00553A78">
        <w:t>FoxNet</w:t>
      </w:r>
      <w:proofErr w:type="spellEnd"/>
      <w:r w:rsidR="00553A78">
        <w:t xml:space="preserve"> incorporates parameters on dispersal and home ranges as a function of resource availability and customises survival and reproductive parameters for south-eastern Australia</w:t>
      </w:r>
      <w:r w:rsidR="003302FA">
        <w:t>.</w:t>
      </w:r>
    </w:p>
    <w:p w14:paraId="51C6D7E4" w14:textId="0D6FF5E6" w:rsidR="00D6650C" w:rsidRDefault="00100E6D" w:rsidP="0015565D">
      <w:r>
        <w:t>S</w:t>
      </w:r>
      <w:r w:rsidR="00D6650C">
        <w:t>pecies d</w:t>
      </w:r>
      <w:r w:rsidR="00D6650C" w:rsidRPr="007B6825">
        <w:t xml:space="preserve">etection/non-detection data from </w:t>
      </w:r>
      <w:r w:rsidR="00016289">
        <w:t xml:space="preserve">240 </w:t>
      </w:r>
      <w:r w:rsidR="008C4E2D">
        <w:t>monitoring</w:t>
      </w:r>
      <w:r w:rsidR="00016289">
        <w:t xml:space="preserve"> </w:t>
      </w:r>
      <w:r w:rsidR="00D6650C" w:rsidRPr="007B6825">
        <w:t>s</w:t>
      </w:r>
      <w:r w:rsidR="00016289">
        <w:t>ites</w:t>
      </w:r>
      <w:r w:rsidR="00D6650C" w:rsidRPr="007B6825">
        <w:t xml:space="preserve"> </w:t>
      </w:r>
      <w:r w:rsidR="008C4E2D">
        <w:t>across</w:t>
      </w:r>
      <w:r w:rsidR="00D6650C" w:rsidRPr="007B6825">
        <w:t xml:space="preserve"> three </w:t>
      </w:r>
      <w:r w:rsidR="00CE449B">
        <w:t>monitoring locations with fox control</w:t>
      </w:r>
      <w:r w:rsidR="00D6650C" w:rsidRPr="007B6825">
        <w:t xml:space="preserve"> and </w:t>
      </w:r>
      <w:r w:rsidR="00CE449B" w:rsidRPr="007B6825">
        <w:t xml:space="preserve">three </w:t>
      </w:r>
      <w:r w:rsidR="00CE449B">
        <w:t>monitoring locations without fox control</w:t>
      </w:r>
      <w:r>
        <w:t xml:space="preserve"> were</w:t>
      </w:r>
      <w:r w:rsidR="00553A78">
        <w:t xml:space="preserve"> used </w:t>
      </w:r>
      <w:r>
        <w:t xml:space="preserve">in </w:t>
      </w:r>
      <w:r w:rsidR="00553A78">
        <w:t xml:space="preserve">Bayesian </w:t>
      </w:r>
      <w:r w:rsidR="00553A78" w:rsidRPr="007B6825">
        <w:t>multi</w:t>
      </w:r>
      <w:r w:rsidR="00FB55BB">
        <w:t>-</w:t>
      </w:r>
      <w:r w:rsidR="00553A78" w:rsidRPr="007B6825">
        <w:t xml:space="preserve">season occupancy models </w:t>
      </w:r>
      <w:r w:rsidR="00553A78">
        <w:t xml:space="preserve">to </w:t>
      </w:r>
      <w:r w:rsidR="00FB55BB">
        <w:t>estimate</w:t>
      </w:r>
      <w:r w:rsidR="00553A78">
        <w:t xml:space="preserve"> t</w:t>
      </w:r>
      <w:r w:rsidR="00D6650C" w:rsidRPr="007B6825">
        <w:t xml:space="preserve">he occupancy, </w:t>
      </w:r>
      <w:r w:rsidR="003302FA">
        <w:t>colonisation</w:t>
      </w:r>
      <w:r w:rsidR="001018C2">
        <w:t>,</w:t>
      </w:r>
      <w:r w:rsidR="003302FA">
        <w:t xml:space="preserve"> </w:t>
      </w:r>
      <w:r w:rsidR="001018C2">
        <w:t>persistence,</w:t>
      </w:r>
      <w:r w:rsidR="003302FA">
        <w:t xml:space="preserve"> and </w:t>
      </w:r>
      <w:r w:rsidR="00F702BE">
        <w:t xml:space="preserve">occupancy </w:t>
      </w:r>
      <w:r w:rsidR="00D6650C" w:rsidRPr="007B6825">
        <w:t xml:space="preserve">growth rate </w:t>
      </w:r>
      <w:r>
        <w:t xml:space="preserve">of the target native mammal species </w:t>
      </w:r>
      <w:r w:rsidR="00D6650C" w:rsidRPr="007B6825">
        <w:t xml:space="preserve">at </w:t>
      </w:r>
      <w:r>
        <w:t xml:space="preserve">these </w:t>
      </w:r>
      <w:r w:rsidR="001018C2">
        <w:t>locations</w:t>
      </w:r>
      <w:r w:rsidR="00D6650C" w:rsidRPr="007B6825">
        <w:t>.</w:t>
      </w:r>
      <w:r w:rsidR="003302FA">
        <w:t xml:space="preserve"> </w:t>
      </w:r>
      <w:r>
        <w:t>A</w:t>
      </w:r>
      <w:r w:rsidR="003302FA">
        <w:t xml:space="preserve"> range of plausible covariates </w:t>
      </w:r>
      <w:r>
        <w:t xml:space="preserve">were included </w:t>
      </w:r>
      <w:r w:rsidR="003302FA">
        <w:t xml:space="preserve">in these models </w:t>
      </w:r>
      <w:r w:rsidR="00FB55BB">
        <w:t>to</w:t>
      </w:r>
      <w:r>
        <w:t xml:space="preserve"> predict the </w:t>
      </w:r>
      <w:r w:rsidR="003302FA">
        <w:t>current occupancy across the Glenelg Ark operations area.</w:t>
      </w:r>
    </w:p>
    <w:p w14:paraId="51A26166" w14:textId="4F5A7D5C" w:rsidR="00146C83" w:rsidRPr="007B6825" w:rsidRDefault="00146C83" w:rsidP="00146C83">
      <w:r>
        <w:t>Fox</w:t>
      </w:r>
      <w:r w:rsidR="00E27B0A">
        <w:t>es</w:t>
      </w:r>
      <w:r>
        <w:t xml:space="preserve"> not only </w:t>
      </w:r>
      <w:r w:rsidR="00E27B0A">
        <w:t xml:space="preserve">impact </w:t>
      </w:r>
      <w:r>
        <w:t xml:space="preserve">the numbers of prey species, but </w:t>
      </w:r>
      <w:r w:rsidR="007647E4">
        <w:t>potentially</w:t>
      </w:r>
      <w:r>
        <w:t xml:space="preserve"> the numbers of other predators, which may increase</w:t>
      </w:r>
      <w:r w:rsidR="007647E4">
        <w:t xml:space="preserve"> or change their behaviour</w:t>
      </w:r>
      <w:r>
        <w:t xml:space="preserve"> as fox numbers decline. </w:t>
      </w:r>
      <w:r w:rsidR="00E27B0A">
        <w:t>D</w:t>
      </w:r>
      <w:r>
        <w:t xml:space="preserve">ata on the changes in </w:t>
      </w:r>
      <w:r w:rsidR="00D75C60">
        <w:t>f</w:t>
      </w:r>
      <w:r>
        <w:t>eral Cat (</w:t>
      </w:r>
      <w:r>
        <w:rPr>
          <w:i/>
        </w:rPr>
        <w:t xml:space="preserve">Felis </w:t>
      </w:r>
      <w:proofErr w:type="spellStart"/>
      <w:r>
        <w:rPr>
          <w:i/>
        </w:rPr>
        <w:t>catus</w:t>
      </w:r>
      <w:proofErr w:type="spellEnd"/>
      <w:r>
        <w:t xml:space="preserve">; hereafter ‘cat’) density </w:t>
      </w:r>
      <w:r w:rsidR="007647E4">
        <w:t xml:space="preserve">across four of the six locations </w:t>
      </w:r>
      <w:r w:rsidR="00E27B0A">
        <w:t xml:space="preserve">were provided by Matt Rees (University of Melbourne </w:t>
      </w:r>
      <w:r>
        <w:t xml:space="preserve">PhD </w:t>
      </w:r>
      <w:r w:rsidR="00E27B0A">
        <w:t xml:space="preserve">candidate) </w:t>
      </w:r>
      <w:r>
        <w:t xml:space="preserve">and </w:t>
      </w:r>
      <w:r w:rsidR="007647E4">
        <w:t xml:space="preserve">for two locations </w:t>
      </w:r>
      <w:r w:rsidR="00E27B0A">
        <w:t xml:space="preserve">from </w:t>
      </w:r>
      <w:r>
        <w:t>a Biodiversity Response Planning project funded by the Department of Environment, Land, Water and Planning (DELWP).</w:t>
      </w:r>
    </w:p>
    <w:p w14:paraId="4289B2D9" w14:textId="2BE4676E" w:rsidR="00B705CE" w:rsidRDefault="00B705CE" w:rsidP="007D16B0">
      <w:pPr>
        <w:pStyle w:val="Heading3"/>
      </w:pPr>
      <w:bookmarkStart w:id="19" w:name="_Toc110599588"/>
      <w:r>
        <w:t>Results:</w:t>
      </w:r>
      <w:bookmarkEnd w:id="18"/>
      <w:bookmarkEnd w:id="19"/>
    </w:p>
    <w:p w14:paraId="675EC8CD" w14:textId="77777777" w:rsidR="001018C2" w:rsidRDefault="001018C2" w:rsidP="00DC3852">
      <w:pPr>
        <w:rPr>
          <w:i/>
          <w:iCs/>
        </w:rPr>
      </w:pPr>
      <w:r w:rsidRPr="001018C2">
        <w:rPr>
          <w:i/>
          <w:iCs/>
        </w:rPr>
        <w:t>Fox density</w:t>
      </w:r>
    </w:p>
    <w:p w14:paraId="5085D460" w14:textId="3C0AB283" w:rsidR="001018C2" w:rsidRDefault="005F2F80" w:rsidP="00DC3852">
      <w:pPr>
        <w:rPr>
          <w:lang w:val="en-US" w:eastAsia="en-AU"/>
        </w:rPr>
      </w:pPr>
      <w:proofErr w:type="spellStart"/>
      <w:r w:rsidRPr="00885C77">
        <w:rPr>
          <w:lang w:val="en-US" w:eastAsia="en-AU"/>
        </w:rPr>
        <w:t>FoxNet</w:t>
      </w:r>
      <w:proofErr w:type="spellEnd"/>
      <w:r w:rsidRPr="00885C77">
        <w:rPr>
          <w:lang w:val="en-US" w:eastAsia="en-AU"/>
        </w:rPr>
        <w:t xml:space="preserve"> modelling showed a reduction in fox density of 73% </w:t>
      </w:r>
      <w:r w:rsidR="00FB198D">
        <w:rPr>
          <w:lang w:val="en-US" w:eastAsia="en-AU"/>
        </w:rPr>
        <w:t>10 </w:t>
      </w:r>
      <w:r>
        <w:rPr>
          <w:lang w:val="en-US" w:eastAsia="en-AU"/>
        </w:rPr>
        <w:t>years after implementing model fox control</w:t>
      </w:r>
      <w:r w:rsidRPr="00885C77">
        <w:rPr>
          <w:lang w:val="en-US" w:eastAsia="en-AU"/>
        </w:rPr>
        <w:t xml:space="preserve">. </w:t>
      </w:r>
      <w:r w:rsidR="00E27B0A">
        <w:rPr>
          <w:lang w:val="en-US" w:eastAsia="en-AU"/>
        </w:rPr>
        <w:t>At that time</w:t>
      </w:r>
      <w:r w:rsidR="004442C4">
        <w:rPr>
          <w:lang w:val="en-US" w:eastAsia="en-AU"/>
        </w:rPr>
        <w:t xml:space="preserve"> (in 2015)</w:t>
      </w:r>
      <w:r w:rsidR="00E27B0A">
        <w:rPr>
          <w:lang w:val="en-US" w:eastAsia="en-AU"/>
        </w:rPr>
        <w:t>, the mean fox density across the treatment monitoring locations was 0.46/km</w:t>
      </w:r>
      <w:r w:rsidR="00E27B0A" w:rsidRPr="0018033F">
        <w:rPr>
          <w:vertAlign w:val="superscript"/>
          <w:lang w:val="en-US" w:eastAsia="en-AU"/>
        </w:rPr>
        <w:t>2</w:t>
      </w:r>
      <w:r w:rsidR="00E27B0A">
        <w:rPr>
          <w:lang w:val="en-US" w:eastAsia="en-AU"/>
        </w:rPr>
        <w:t xml:space="preserve"> (min–max: </w:t>
      </w:r>
      <w:r w:rsidR="00E27B0A" w:rsidRPr="00090088">
        <w:rPr>
          <w:rFonts w:cs="Times New Roman"/>
          <w:szCs w:val="20"/>
          <w:lang w:eastAsia="en-AU"/>
        </w:rPr>
        <w:t>0.38–0.54)</w:t>
      </w:r>
      <w:r w:rsidR="00E27B0A">
        <w:rPr>
          <w:rFonts w:cs="Times New Roman"/>
          <w:szCs w:val="20"/>
          <w:lang w:eastAsia="en-AU"/>
        </w:rPr>
        <w:t>,</w:t>
      </w:r>
      <w:r w:rsidR="00E27B0A">
        <w:rPr>
          <w:lang w:val="en-US" w:eastAsia="en-AU"/>
        </w:rPr>
        <w:t xml:space="preserve"> with f</w:t>
      </w:r>
      <w:r w:rsidR="00E27B0A" w:rsidRPr="00885C77">
        <w:rPr>
          <w:lang w:val="en-US" w:eastAsia="en-AU"/>
        </w:rPr>
        <w:t xml:space="preserve">ox density reduced by &gt;65% over 43% of </w:t>
      </w:r>
      <w:r w:rsidR="00E27B0A">
        <w:rPr>
          <w:lang w:val="en-US" w:eastAsia="en-AU"/>
        </w:rPr>
        <w:t>locations with fox control. Even one year after model fox baiting began, f</w:t>
      </w:r>
      <w:r w:rsidRPr="00885C77">
        <w:rPr>
          <w:lang w:val="en-US" w:eastAsia="en-AU"/>
        </w:rPr>
        <w:t xml:space="preserve">ox densities </w:t>
      </w:r>
      <w:r>
        <w:rPr>
          <w:lang w:val="en-US" w:eastAsia="en-AU"/>
        </w:rPr>
        <w:t xml:space="preserve">at locations </w:t>
      </w:r>
      <w:r w:rsidRPr="00885C77">
        <w:rPr>
          <w:lang w:val="en-US" w:eastAsia="en-AU"/>
        </w:rPr>
        <w:t xml:space="preserve">with baiting became significantly different from fox densities </w:t>
      </w:r>
      <w:r>
        <w:rPr>
          <w:lang w:val="en-US" w:eastAsia="en-AU"/>
        </w:rPr>
        <w:t xml:space="preserve">at locations </w:t>
      </w:r>
      <w:r w:rsidRPr="00885C77">
        <w:rPr>
          <w:lang w:val="en-US" w:eastAsia="en-AU"/>
        </w:rPr>
        <w:t xml:space="preserve">without </w:t>
      </w:r>
      <w:r>
        <w:rPr>
          <w:lang w:val="en-US" w:eastAsia="en-AU"/>
        </w:rPr>
        <w:t>baitin</w:t>
      </w:r>
      <w:r w:rsidR="00E27B0A">
        <w:rPr>
          <w:lang w:val="en-US" w:eastAsia="en-AU"/>
        </w:rPr>
        <w:t>g</w:t>
      </w:r>
      <w:r w:rsidR="00CE449B">
        <w:rPr>
          <w:lang w:val="en-US" w:eastAsia="en-AU"/>
        </w:rPr>
        <w:t>.</w:t>
      </w:r>
      <w:r>
        <w:rPr>
          <w:lang w:val="en-US" w:eastAsia="en-AU"/>
        </w:rPr>
        <w:t xml:space="preserve"> </w:t>
      </w:r>
    </w:p>
    <w:p w14:paraId="18F4FE25" w14:textId="421C0B90" w:rsidR="005F2F80" w:rsidRPr="005F2F80" w:rsidRDefault="00EE4090" w:rsidP="00DC3852">
      <w:pPr>
        <w:rPr>
          <w:i/>
          <w:iCs/>
          <w:lang w:val="en-US" w:eastAsia="en-AU"/>
        </w:rPr>
      </w:pPr>
      <w:r>
        <w:rPr>
          <w:i/>
          <w:iCs/>
          <w:lang w:val="en-US" w:eastAsia="en-AU"/>
        </w:rPr>
        <w:t>C</w:t>
      </w:r>
      <w:r w:rsidR="005F2F80" w:rsidRPr="005F2F80">
        <w:rPr>
          <w:i/>
          <w:iCs/>
          <w:lang w:val="en-US" w:eastAsia="en-AU"/>
        </w:rPr>
        <w:t>at density</w:t>
      </w:r>
    </w:p>
    <w:p w14:paraId="62DACB85" w14:textId="20BB6870" w:rsidR="005F2F80" w:rsidRPr="005F2F80" w:rsidRDefault="008C2370" w:rsidP="00DC3852">
      <w:r>
        <w:t>C</w:t>
      </w:r>
      <w:r w:rsidR="00E7371E">
        <w:t>at densit</w:t>
      </w:r>
      <w:r w:rsidR="00EE4090">
        <w:t>ies</w:t>
      </w:r>
      <w:r w:rsidR="00E7371E">
        <w:t xml:space="preserve"> at locations with fox control were higher (0.47/km</w:t>
      </w:r>
      <w:r w:rsidR="00E7371E" w:rsidRPr="00E7371E">
        <w:rPr>
          <w:vertAlign w:val="superscript"/>
        </w:rPr>
        <w:t>2</w:t>
      </w:r>
      <w:r w:rsidR="00E7371E">
        <w:t xml:space="preserve"> 95%</w:t>
      </w:r>
      <w:r w:rsidR="00EE4090">
        <w:t xml:space="preserve"> </w:t>
      </w:r>
      <w:r w:rsidR="00E7371E">
        <w:t xml:space="preserve">CL 0.31–0.70) than </w:t>
      </w:r>
      <w:r w:rsidR="00EE4090">
        <w:t xml:space="preserve">at </w:t>
      </w:r>
      <w:r w:rsidR="00E7371E">
        <w:t>locations without fox control (0.20/km</w:t>
      </w:r>
      <w:r w:rsidR="00E7371E" w:rsidRPr="00E7371E">
        <w:rPr>
          <w:vertAlign w:val="superscript"/>
        </w:rPr>
        <w:t>2</w:t>
      </w:r>
      <w:r w:rsidR="00E7371E">
        <w:t xml:space="preserve"> 95%</w:t>
      </w:r>
      <w:r>
        <w:t xml:space="preserve"> </w:t>
      </w:r>
      <w:r w:rsidR="00E7371E">
        <w:t xml:space="preserve">CL 0.13–0.34). Note that these estimates are for cat density from </w:t>
      </w:r>
      <w:r w:rsidR="00F702BE">
        <w:t>2020</w:t>
      </w:r>
      <w:r w:rsidR="00E7371E">
        <w:t xml:space="preserve">. </w:t>
      </w:r>
      <w:r w:rsidR="00E27B0A">
        <w:t xml:space="preserve">Note, also, that it cannot be assumed that fox density is the only parameter affecting cat density. </w:t>
      </w:r>
    </w:p>
    <w:p w14:paraId="39B1E662" w14:textId="55E23A13" w:rsidR="001018C2" w:rsidRDefault="001018C2" w:rsidP="00DC3852">
      <w:pPr>
        <w:rPr>
          <w:i/>
          <w:iCs/>
        </w:rPr>
      </w:pPr>
      <w:r>
        <w:rPr>
          <w:i/>
          <w:iCs/>
        </w:rPr>
        <w:t>Common Brushtail Possum</w:t>
      </w:r>
    </w:p>
    <w:p w14:paraId="1ECA56C4" w14:textId="60839DAA" w:rsidR="00BE293B" w:rsidRDefault="00BE293B" w:rsidP="0015565D">
      <w:r>
        <w:t>Persistence</w:t>
      </w:r>
      <w:r w:rsidR="000B2E20">
        <w:t xml:space="preserve"> </w:t>
      </w:r>
      <w:r w:rsidR="00B07C5F">
        <w:t xml:space="preserve">of Common Brushtail Possums </w:t>
      </w:r>
      <w:r w:rsidR="000B2E20">
        <w:t>was</w:t>
      </w:r>
      <w:r>
        <w:t xml:space="preserve"> greater at locations with fox control</w:t>
      </w:r>
      <w:r w:rsidR="00B07C5F">
        <w:t xml:space="preserve"> than at locations without fox control; in addition, persistence</w:t>
      </w:r>
      <w:r>
        <w:t xml:space="preserve"> decreased as distance to non-native vegetation increased, regardless of </w:t>
      </w:r>
      <w:r w:rsidR="00B07C5F">
        <w:lastRenderedPageBreak/>
        <w:t xml:space="preserve">the </w:t>
      </w:r>
      <w:r>
        <w:t>fox control status.</w:t>
      </w:r>
      <w:r w:rsidRPr="00BE293B">
        <w:t xml:space="preserve"> </w:t>
      </w:r>
      <w:r>
        <w:t xml:space="preserve">The odds of an occupied </w:t>
      </w:r>
      <w:r w:rsidR="004C0897">
        <w:t xml:space="preserve">location </w:t>
      </w:r>
      <w:r>
        <w:t>remaining occupied (i.e. persisting from one year to the next) w</w:t>
      </w:r>
      <w:r w:rsidR="00B07C5F">
        <w:t>ere</w:t>
      </w:r>
      <w:r>
        <w:t xml:space="preserve"> </w:t>
      </w:r>
      <w:r w:rsidR="00963898">
        <w:t xml:space="preserve">greater </w:t>
      </w:r>
      <w:r>
        <w:t>by 43% (95% credible interval 20</w:t>
      </w:r>
      <w:r w:rsidR="004C0897">
        <w:t>–</w:t>
      </w:r>
      <w:r>
        <w:t xml:space="preserve">72%) </w:t>
      </w:r>
      <w:r w:rsidR="00D75C60">
        <w:t xml:space="preserve">at a location with fox control </w:t>
      </w:r>
      <w:r w:rsidR="00FB198D">
        <w:t>compared with</w:t>
      </w:r>
      <w:r>
        <w:t xml:space="preserve"> </w:t>
      </w:r>
      <w:r w:rsidR="00963898">
        <w:t xml:space="preserve">at </w:t>
      </w:r>
      <w:r>
        <w:t xml:space="preserve">the equivalent </w:t>
      </w:r>
      <w:r w:rsidR="00A54EB5">
        <w:t xml:space="preserve">location </w:t>
      </w:r>
      <w:r>
        <w:t>without fox control.</w:t>
      </w:r>
      <w:r w:rsidRPr="00BE293B">
        <w:t xml:space="preserve"> </w:t>
      </w:r>
      <w:r>
        <w:t xml:space="preserve">The only covariate that influenced colonisation rates was the presence of fox control. At </w:t>
      </w:r>
      <w:r w:rsidR="00A54EB5">
        <w:t xml:space="preserve">locations </w:t>
      </w:r>
      <w:r>
        <w:t>with fox control</w:t>
      </w:r>
      <w:r w:rsidR="00553A78">
        <w:t>,</w:t>
      </w:r>
      <w:r>
        <w:t xml:space="preserve"> the odds of an unoccupied </w:t>
      </w:r>
      <w:r w:rsidR="004D00CE">
        <w:t>site</w:t>
      </w:r>
      <w:r w:rsidR="004C0897">
        <w:t xml:space="preserve"> </w:t>
      </w:r>
      <w:r>
        <w:t xml:space="preserve">becoming occupied (i.e. colonised) </w:t>
      </w:r>
      <w:r w:rsidR="00963898">
        <w:t xml:space="preserve">were greater </w:t>
      </w:r>
      <w:r>
        <w:t>by 35% (95% credible interval 1</w:t>
      </w:r>
      <w:r w:rsidR="00FB198D">
        <w:t>–</w:t>
      </w:r>
      <w:r>
        <w:t xml:space="preserve">79%) compared </w:t>
      </w:r>
      <w:r w:rsidR="00FB198D">
        <w:t xml:space="preserve">with </w:t>
      </w:r>
      <w:r w:rsidR="00963898">
        <w:t xml:space="preserve">at </w:t>
      </w:r>
      <w:r>
        <w:t xml:space="preserve">the equivalent </w:t>
      </w:r>
      <w:r w:rsidR="00A54EB5">
        <w:t xml:space="preserve">location </w:t>
      </w:r>
      <w:r>
        <w:t>without fox control.</w:t>
      </w:r>
    </w:p>
    <w:p w14:paraId="47776127" w14:textId="126ADBE1" w:rsidR="001018C2" w:rsidRPr="001018C2" w:rsidRDefault="00750DA4" w:rsidP="00DC3852">
      <w:r w:rsidRPr="007F794C">
        <w:rPr>
          <w:lang w:eastAsia="en-AU"/>
        </w:rPr>
        <w:t>Since 2009</w:t>
      </w:r>
      <w:r w:rsidR="004C0897">
        <w:rPr>
          <w:lang w:eastAsia="en-AU"/>
        </w:rPr>
        <w:t>,</w:t>
      </w:r>
      <w:r w:rsidRPr="007F794C">
        <w:rPr>
          <w:lang w:eastAsia="en-AU"/>
        </w:rPr>
        <w:t xml:space="preserve"> the </w:t>
      </w:r>
      <w:r w:rsidR="00F702BE">
        <w:rPr>
          <w:lang w:eastAsia="en-AU"/>
        </w:rPr>
        <w:t xml:space="preserve">occupancy </w:t>
      </w:r>
      <w:r w:rsidRPr="007F794C">
        <w:rPr>
          <w:lang w:eastAsia="en-AU"/>
        </w:rPr>
        <w:t xml:space="preserve">growth rate for </w:t>
      </w:r>
      <w:r w:rsidR="004C0897">
        <w:rPr>
          <w:lang w:eastAsia="en-AU"/>
        </w:rPr>
        <w:t>Common Brushtail Possum</w:t>
      </w:r>
      <w:r w:rsidR="00FB55BB">
        <w:rPr>
          <w:lang w:eastAsia="en-AU"/>
        </w:rPr>
        <w:t xml:space="preserve"> </w:t>
      </w:r>
      <w:r w:rsidRPr="007F794C">
        <w:rPr>
          <w:lang w:eastAsia="en-AU"/>
        </w:rPr>
        <w:t xml:space="preserve">has been very close to </w:t>
      </w:r>
      <w:r>
        <w:rPr>
          <w:lang w:eastAsia="en-AU"/>
        </w:rPr>
        <w:t>zero</w:t>
      </w:r>
      <w:r w:rsidRPr="007F794C">
        <w:rPr>
          <w:lang w:eastAsia="en-AU"/>
        </w:rPr>
        <w:t xml:space="preserve"> </w:t>
      </w:r>
      <w:r>
        <w:rPr>
          <w:lang w:eastAsia="en-AU"/>
        </w:rPr>
        <w:t xml:space="preserve">across all locations, </w:t>
      </w:r>
      <w:r w:rsidR="004C0897">
        <w:rPr>
          <w:lang w:eastAsia="en-AU"/>
        </w:rPr>
        <w:t xml:space="preserve">suggesting </w:t>
      </w:r>
      <w:r>
        <w:rPr>
          <w:lang w:eastAsia="en-AU"/>
        </w:rPr>
        <w:t>that</w:t>
      </w:r>
      <w:r w:rsidRPr="007F794C">
        <w:rPr>
          <w:lang w:eastAsia="en-AU"/>
        </w:rPr>
        <w:t xml:space="preserve"> </w:t>
      </w:r>
      <w:r w:rsidR="004D00CE">
        <w:t>most available suitable habitat has been occupied since then.</w:t>
      </w:r>
      <w:r w:rsidR="004D00CE" w:rsidRPr="007F794C">
        <w:rPr>
          <w:lang w:eastAsia="en-AU"/>
        </w:rPr>
        <w:t xml:space="preserve"> </w:t>
      </w:r>
      <w:r w:rsidR="004442C4">
        <w:rPr>
          <w:lang w:eastAsia="en-AU"/>
        </w:rPr>
        <w:t>T</w:t>
      </w:r>
      <w:r w:rsidR="004442C4" w:rsidRPr="007F794C">
        <w:rPr>
          <w:lang w:eastAsia="en-AU"/>
        </w:rPr>
        <w:t xml:space="preserve">he </w:t>
      </w:r>
      <w:r w:rsidRPr="007F794C">
        <w:rPr>
          <w:lang w:eastAsia="en-AU"/>
        </w:rPr>
        <w:t xml:space="preserve">number of occupied sites has reached a plateau </w:t>
      </w:r>
      <w:r w:rsidR="00963898">
        <w:rPr>
          <w:lang w:eastAsia="en-AU"/>
        </w:rPr>
        <w:t>at</w:t>
      </w:r>
      <w:r w:rsidRPr="007F794C">
        <w:rPr>
          <w:lang w:eastAsia="en-AU"/>
        </w:rPr>
        <w:t xml:space="preserve"> each </w:t>
      </w:r>
      <w:r>
        <w:rPr>
          <w:lang w:eastAsia="en-AU"/>
        </w:rPr>
        <w:t>location</w:t>
      </w:r>
      <w:r w:rsidRPr="007F794C">
        <w:rPr>
          <w:lang w:eastAsia="en-AU"/>
        </w:rPr>
        <w:t>.</w:t>
      </w:r>
    </w:p>
    <w:p w14:paraId="583E38CB" w14:textId="54CE410A" w:rsidR="001018C2" w:rsidRDefault="001018C2" w:rsidP="00DC3852">
      <w:pPr>
        <w:rPr>
          <w:i/>
          <w:iCs/>
        </w:rPr>
      </w:pPr>
      <w:r>
        <w:rPr>
          <w:i/>
          <w:iCs/>
        </w:rPr>
        <w:t>Long-nosed Potoroo</w:t>
      </w:r>
    </w:p>
    <w:p w14:paraId="1F06CCAF" w14:textId="185E70A6" w:rsidR="00BD4546" w:rsidRDefault="0025227C" w:rsidP="00BD4546">
      <w:r>
        <w:t>Location</w:t>
      </w:r>
      <w:r w:rsidR="00F46996">
        <w:t>s</w:t>
      </w:r>
      <w:r>
        <w:t xml:space="preserve"> </w:t>
      </w:r>
      <w:r w:rsidR="00BD4546">
        <w:t xml:space="preserve">with fox control tended to have higher </w:t>
      </w:r>
      <w:r>
        <w:t xml:space="preserve">Long-nosed Potoroo </w:t>
      </w:r>
      <w:r w:rsidR="00BD4546">
        <w:t xml:space="preserve">persistence rates than </w:t>
      </w:r>
      <w:r w:rsidR="00D75C60">
        <w:t xml:space="preserve">locations </w:t>
      </w:r>
      <w:r w:rsidR="00BD4546">
        <w:t>without fox control</w:t>
      </w:r>
      <w:r w:rsidR="00553A78">
        <w:t xml:space="preserve">, but the difference reduced as the topographic wetness </w:t>
      </w:r>
      <w:r w:rsidR="00FB198D">
        <w:t>index</w:t>
      </w:r>
      <w:r w:rsidR="00553A78">
        <w:t xml:space="preserve"> increas</w:t>
      </w:r>
      <w:r w:rsidR="00BD4546">
        <w:t xml:space="preserve">ed. The odds of an occupied </w:t>
      </w:r>
      <w:r w:rsidR="00D75C60">
        <w:t xml:space="preserve">location </w:t>
      </w:r>
      <w:r w:rsidR="00BD4546">
        <w:t xml:space="preserve">remaining occupied </w:t>
      </w:r>
      <w:r>
        <w:t xml:space="preserve">were </w:t>
      </w:r>
      <w:r w:rsidR="00BD4546">
        <w:t xml:space="preserve">103% </w:t>
      </w:r>
      <w:r>
        <w:t xml:space="preserve">greater </w:t>
      </w:r>
      <w:r w:rsidR="00BD4546">
        <w:t>(95% credible interval 8</w:t>
      </w:r>
      <w:r w:rsidR="004C0897">
        <w:t>–</w:t>
      </w:r>
      <w:r w:rsidR="00BD4546">
        <w:t xml:space="preserve">276%) </w:t>
      </w:r>
      <w:r>
        <w:t>at a site with fox control than at</w:t>
      </w:r>
      <w:r w:rsidR="00BD4546">
        <w:t xml:space="preserve"> the equivalent site without fox control.</w:t>
      </w:r>
    </w:p>
    <w:p w14:paraId="66EC4DEB" w14:textId="2CF76C44" w:rsidR="001018C2" w:rsidRDefault="00553A78" w:rsidP="00DC3852">
      <w:r>
        <w:t>Fox control influenced c</w:t>
      </w:r>
      <w:r w:rsidR="0015565D">
        <w:t xml:space="preserve">olonisation. </w:t>
      </w:r>
      <w:r w:rsidR="00BD4546">
        <w:t xml:space="preserve">At </w:t>
      </w:r>
      <w:r w:rsidR="0025227C">
        <w:t xml:space="preserve">locations </w:t>
      </w:r>
      <w:r w:rsidR="00BD4546">
        <w:t>with fox control</w:t>
      </w:r>
      <w:r w:rsidR="002A2CA5">
        <w:t>,</w:t>
      </w:r>
      <w:r w:rsidR="00BD4546">
        <w:t xml:space="preserve"> the odds of an unoccupied </w:t>
      </w:r>
      <w:r w:rsidR="0025227C">
        <w:t xml:space="preserve">site </w:t>
      </w:r>
      <w:r w:rsidR="00BD4546">
        <w:t xml:space="preserve">becoming occupied </w:t>
      </w:r>
      <w:r w:rsidR="00A54EB5">
        <w:t xml:space="preserve">were </w:t>
      </w:r>
      <w:r w:rsidR="00BD4546">
        <w:t xml:space="preserve">239% </w:t>
      </w:r>
      <w:r w:rsidR="00A54EB5">
        <w:t xml:space="preserve">greater </w:t>
      </w:r>
      <w:r w:rsidR="00BD4546">
        <w:t>(95% credible interval 120</w:t>
      </w:r>
      <w:r w:rsidR="00A54EB5">
        <w:t>–</w:t>
      </w:r>
      <w:r w:rsidR="00BD4546">
        <w:t xml:space="preserve">469%) </w:t>
      </w:r>
      <w:r w:rsidR="00A54EB5">
        <w:t>than at</w:t>
      </w:r>
      <w:r w:rsidR="00BD4546">
        <w:t xml:space="preserve"> the equivalent site without fox control.</w:t>
      </w:r>
    </w:p>
    <w:p w14:paraId="4503C760" w14:textId="2EAA15BA" w:rsidR="00750DA4" w:rsidRDefault="00750DA4" w:rsidP="00DC3852">
      <w:pPr>
        <w:rPr>
          <w:lang w:eastAsia="en-AU"/>
        </w:rPr>
      </w:pPr>
      <w:r>
        <w:rPr>
          <w:lang w:eastAsia="en-AU"/>
        </w:rPr>
        <w:t>T</w:t>
      </w:r>
      <w:r w:rsidRPr="00750DA4">
        <w:rPr>
          <w:lang w:eastAsia="en-AU"/>
        </w:rPr>
        <w:t xml:space="preserve">he growth rate </w:t>
      </w:r>
      <w:r w:rsidR="00A440E5">
        <w:rPr>
          <w:lang w:eastAsia="en-AU"/>
        </w:rPr>
        <w:t xml:space="preserve">in Long-nosed Potoroo occupancy </w:t>
      </w:r>
      <w:r w:rsidR="001E23B9">
        <w:rPr>
          <w:lang w:eastAsia="en-AU"/>
        </w:rPr>
        <w:t xml:space="preserve">since 2005 </w:t>
      </w:r>
      <w:r w:rsidRPr="00750DA4">
        <w:rPr>
          <w:lang w:eastAsia="en-AU"/>
        </w:rPr>
        <w:t>a</w:t>
      </w:r>
      <w:r>
        <w:rPr>
          <w:lang w:eastAsia="en-AU"/>
        </w:rPr>
        <w:t>t</w:t>
      </w:r>
      <w:r w:rsidRPr="00750DA4">
        <w:rPr>
          <w:lang w:eastAsia="en-AU"/>
        </w:rPr>
        <w:t xml:space="preserve"> locations </w:t>
      </w:r>
      <w:r w:rsidR="008C204C">
        <w:rPr>
          <w:lang w:eastAsia="en-AU"/>
        </w:rPr>
        <w:t xml:space="preserve">with fox control </w:t>
      </w:r>
      <w:r w:rsidRPr="00750DA4">
        <w:rPr>
          <w:lang w:eastAsia="en-AU"/>
        </w:rPr>
        <w:t xml:space="preserve">has been consistently greater than </w:t>
      </w:r>
      <w:r w:rsidR="00A440E5">
        <w:rPr>
          <w:lang w:eastAsia="en-AU"/>
        </w:rPr>
        <w:t>at</w:t>
      </w:r>
      <w:r w:rsidRPr="00750DA4">
        <w:rPr>
          <w:lang w:eastAsia="en-AU"/>
        </w:rPr>
        <w:t xml:space="preserve"> </w:t>
      </w:r>
      <w:r w:rsidR="008C204C">
        <w:rPr>
          <w:lang w:eastAsia="en-AU"/>
        </w:rPr>
        <w:t xml:space="preserve">locations without </w:t>
      </w:r>
      <w:r w:rsidRPr="00750DA4">
        <w:rPr>
          <w:lang w:eastAsia="en-AU"/>
        </w:rPr>
        <w:t>fox control</w:t>
      </w:r>
      <w:r w:rsidR="00BB5B02">
        <w:rPr>
          <w:lang w:eastAsia="en-AU"/>
        </w:rPr>
        <w:t>.</w:t>
      </w:r>
    </w:p>
    <w:p w14:paraId="379F0EE4" w14:textId="62248688" w:rsidR="00B705CE" w:rsidRPr="001018C2" w:rsidRDefault="001018C2" w:rsidP="00DC3852">
      <w:pPr>
        <w:rPr>
          <w:i/>
          <w:iCs/>
        </w:rPr>
      </w:pPr>
      <w:r>
        <w:rPr>
          <w:i/>
          <w:iCs/>
        </w:rPr>
        <w:t>Southern Brown Bandicoot</w:t>
      </w:r>
    </w:p>
    <w:p w14:paraId="54574819" w14:textId="4537F2A0" w:rsidR="001274B6" w:rsidRDefault="0015565D" w:rsidP="00267FDD">
      <w:r>
        <w:t xml:space="preserve">Persistence </w:t>
      </w:r>
      <w:r w:rsidR="00726B3F">
        <w:t xml:space="preserve">of Southern Brown Bandicoots </w:t>
      </w:r>
      <w:r>
        <w:t xml:space="preserve">at </w:t>
      </w:r>
      <w:r w:rsidR="008C204C">
        <w:t xml:space="preserve">locations </w:t>
      </w:r>
      <w:r>
        <w:t>without fox control was</w:t>
      </w:r>
      <w:r w:rsidR="001274B6">
        <w:t xml:space="preserve"> influenced by </w:t>
      </w:r>
      <w:r w:rsidR="00A274E9">
        <w:t>topographic wetness index</w:t>
      </w:r>
      <w:r w:rsidR="001274B6">
        <w:t xml:space="preserve"> or </w:t>
      </w:r>
      <w:r w:rsidR="00A274E9">
        <w:t>time since fire</w:t>
      </w:r>
      <w:r>
        <w:t xml:space="preserve">, increasing with </w:t>
      </w:r>
      <w:r w:rsidR="004442C4">
        <w:t xml:space="preserve">an </w:t>
      </w:r>
      <w:r w:rsidR="00726B3F">
        <w:t xml:space="preserve">increase in </w:t>
      </w:r>
      <w:r w:rsidR="00A274E9">
        <w:t>topographic wetness index</w:t>
      </w:r>
      <w:r>
        <w:t xml:space="preserve"> and decreas</w:t>
      </w:r>
      <w:r w:rsidR="002A2CA5">
        <w:t>ing</w:t>
      </w:r>
      <w:r>
        <w:t xml:space="preserve"> with </w:t>
      </w:r>
      <w:r w:rsidR="004442C4">
        <w:t xml:space="preserve">an </w:t>
      </w:r>
      <w:r w:rsidR="00726B3F">
        <w:t xml:space="preserve">increase in </w:t>
      </w:r>
      <w:r w:rsidR="00A274E9">
        <w:t>time since fire</w:t>
      </w:r>
      <w:r w:rsidR="001274B6">
        <w:t xml:space="preserve">. However, </w:t>
      </w:r>
      <w:r w:rsidR="00553A78">
        <w:t xml:space="preserve">these variables did not affect </w:t>
      </w:r>
      <w:r w:rsidR="008C204C">
        <w:t xml:space="preserve">their </w:t>
      </w:r>
      <w:r w:rsidR="00553A78">
        <w:t>persistence at locations with fox control</w:t>
      </w:r>
      <w:r w:rsidR="001274B6">
        <w:t>.</w:t>
      </w:r>
    </w:p>
    <w:p w14:paraId="68EE4D4F" w14:textId="7A143DB5" w:rsidR="00BD4546" w:rsidRDefault="002A2CA5" w:rsidP="00267FDD">
      <w:r>
        <w:t>The c</w:t>
      </w:r>
      <w:r w:rsidR="001274B6">
        <w:t>olonisation rate</w:t>
      </w:r>
      <w:r w:rsidR="00726B3F">
        <w:t xml:space="preserve"> of Southern Brown Bandicoots</w:t>
      </w:r>
      <w:r w:rsidR="001274B6">
        <w:t xml:space="preserve"> increased </w:t>
      </w:r>
      <w:r w:rsidR="004773E5">
        <w:t xml:space="preserve">(since 2005) </w:t>
      </w:r>
      <w:r w:rsidR="001274B6">
        <w:t xml:space="preserve">with </w:t>
      </w:r>
      <w:r w:rsidR="004442C4">
        <w:t xml:space="preserve">an </w:t>
      </w:r>
      <w:r w:rsidR="001274B6">
        <w:t xml:space="preserve">increase in distance to </w:t>
      </w:r>
      <w:r w:rsidR="008C4E2D">
        <w:t>non-</w:t>
      </w:r>
      <w:r w:rsidR="001274B6">
        <w:t xml:space="preserve">native vegetation at </w:t>
      </w:r>
      <w:r w:rsidR="008C204C">
        <w:t xml:space="preserve">locations </w:t>
      </w:r>
      <w:r w:rsidR="001274B6">
        <w:t xml:space="preserve">with </w:t>
      </w:r>
      <w:r w:rsidR="00B24C11">
        <w:t xml:space="preserve">and without </w:t>
      </w:r>
      <w:r w:rsidR="001274B6">
        <w:t xml:space="preserve">fox control, </w:t>
      </w:r>
      <w:r w:rsidR="00726B3F">
        <w:t xml:space="preserve">but </w:t>
      </w:r>
      <w:r w:rsidR="008C204C">
        <w:t xml:space="preserve">locations </w:t>
      </w:r>
      <w:r w:rsidR="001274B6">
        <w:t>with fox control had higher colonisation rates.</w:t>
      </w:r>
    </w:p>
    <w:p w14:paraId="5892C8E8" w14:textId="762B8CC8" w:rsidR="00BB5B02" w:rsidRDefault="00BB5B02" w:rsidP="00267FDD">
      <w:r>
        <w:rPr>
          <w:lang w:eastAsia="en-AU"/>
        </w:rPr>
        <w:t>T</w:t>
      </w:r>
      <w:r w:rsidRPr="00750DA4">
        <w:rPr>
          <w:lang w:eastAsia="en-AU"/>
        </w:rPr>
        <w:t xml:space="preserve">he growth rate </w:t>
      </w:r>
      <w:r w:rsidR="008C204C">
        <w:rPr>
          <w:lang w:eastAsia="en-AU"/>
        </w:rPr>
        <w:t>of Southern Brown Bandicoot</w:t>
      </w:r>
      <w:r w:rsidR="00B24C11">
        <w:rPr>
          <w:lang w:eastAsia="en-AU"/>
        </w:rPr>
        <w:t xml:space="preserve"> occupancy</w:t>
      </w:r>
      <w:r w:rsidR="008C204C">
        <w:rPr>
          <w:lang w:eastAsia="en-AU"/>
        </w:rPr>
        <w:t xml:space="preserve"> </w:t>
      </w:r>
      <w:r w:rsidRPr="00750DA4">
        <w:rPr>
          <w:lang w:eastAsia="en-AU"/>
        </w:rPr>
        <w:t>a</w:t>
      </w:r>
      <w:r>
        <w:rPr>
          <w:lang w:eastAsia="en-AU"/>
        </w:rPr>
        <w:t>t</w:t>
      </w:r>
      <w:r w:rsidRPr="00750DA4">
        <w:rPr>
          <w:lang w:eastAsia="en-AU"/>
        </w:rPr>
        <w:t xml:space="preserve"> </w:t>
      </w:r>
      <w:r w:rsidR="008C204C">
        <w:rPr>
          <w:lang w:eastAsia="en-AU"/>
        </w:rPr>
        <w:t>l</w:t>
      </w:r>
      <w:r w:rsidRPr="00750DA4">
        <w:rPr>
          <w:lang w:eastAsia="en-AU"/>
        </w:rPr>
        <w:t xml:space="preserve">ocations </w:t>
      </w:r>
      <w:r w:rsidR="008C204C">
        <w:rPr>
          <w:lang w:eastAsia="en-AU"/>
        </w:rPr>
        <w:t xml:space="preserve">with fox control </w:t>
      </w:r>
      <w:r w:rsidR="008C4E2D">
        <w:rPr>
          <w:lang w:eastAsia="en-AU"/>
        </w:rPr>
        <w:t xml:space="preserve">since 2005 </w:t>
      </w:r>
      <w:r w:rsidRPr="00750DA4">
        <w:rPr>
          <w:lang w:eastAsia="en-AU"/>
        </w:rPr>
        <w:t xml:space="preserve">has been consistently greater than </w:t>
      </w:r>
      <w:r w:rsidR="008C204C">
        <w:rPr>
          <w:lang w:eastAsia="en-AU"/>
        </w:rPr>
        <w:t>at</w:t>
      </w:r>
      <w:r w:rsidR="008C204C" w:rsidRPr="00750DA4">
        <w:rPr>
          <w:lang w:eastAsia="en-AU"/>
        </w:rPr>
        <w:t xml:space="preserve"> </w:t>
      </w:r>
      <w:r w:rsidRPr="00750DA4">
        <w:rPr>
          <w:lang w:eastAsia="en-AU"/>
        </w:rPr>
        <w:t>locations</w:t>
      </w:r>
      <w:r w:rsidR="008C204C">
        <w:rPr>
          <w:lang w:eastAsia="en-AU"/>
        </w:rPr>
        <w:t xml:space="preserve"> without fox control</w:t>
      </w:r>
      <w:r>
        <w:rPr>
          <w:lang w:eastAsia="en-AU"/>
        </w:rPr>
        <w:t>.</w:t>
      </w:r>
    </w:p>
    <w:p w14:paraId="6C0B156B" w14:textId="4663EBE6" w:rsidR="00B705CE" w:rsidRDefault="00B705CE" w:rsidP="007D16B0">
      <w:pPr>
        <w:pStyle w:val="Heading3"/>
      </w:pPr>
      <w:bookmarkStart w:id="20" w:name="_Toc509242200"/>
      <w:bookmarkStart w:id="21" w:name="_Toc110599589"/>
      <w:r>
        <w:t>Conclusions and implications:</w:t>
      </w:r>
      <w:bookmarkEnd w:id="20"/>
      <w:bookmarkEnd w:id="21"/>
    </w:p>
    <w:p w14:paraId="0041ACDA" w14:textId="3EA3DE0B" w:rsidR="00B705CE" w:rsidRDefault="00BD4546" w:rsidP="00DC3852">
      <w:r>
        <w:t>Th</w:t>
      </w:r>
      <w:r w:rsidR="00553A78">
        <w:t xml:space="preserve">is analysis </w:t>
      </w:r>
      <w:r w:rsidR="00061DBC">
        <w:t xml:space="preserve">has shown </w:t>
      </w:r>
      <w:r>
        <w:t>that</w:t>
      </w:r>
      <w:r w:rsidR="00061DBC">
        <w:t>,</w:t>
      </w:r>
      <w:r>
        <w:t xml:space="preserve"> for Long-nosed Potoroo and Southern Brown </w:t>
      </w:r>
      <w:r w:rsidR="00061DBC">
        <w:t>Bandicoot</w:t>
      </w:r>
      <w:r w:rsidR="00553A78">
        <w:t>,</w:t>
      </w:r>
      <w:r>
        <w:t xml:space="preserve"> fox control </w:t>
      </w:r>
      <w:r w:rsidR="004310C2">
        <w:t xml:space="preserve">has </w:t>
      </w:r>
      <w:r>
        <w:t>ma</w:t>
      </w:r>
      <w:r w:rsidR="004310C2">
        <w:t>de</w:t>
      </w:r>
      <w:r>
        <w:t xml:space="preserve"> a substantial positive difference in </w:t>
      </w:r>
      <w:r w:rsidR="00B24C11">
        <w:t xml:space="preserve">site </w:t>
      </w:r>
      <w:r>
        <w:t xml:space="preserve">occupancy. Both colonisation and persistence rates for Long-nosed Potoroo and Southern Brown Bandicoot were higher at </w:t>
      </w:r>
      <w:r w:rsidR="00553A78">
        <w:t xml:space="preserve">fox control locations than </w:t>
      </w:r>
      <w:r w:rsidR="004310C2">
        <w:t xml:space="preserve">at locations </w:t>
      </w:r>
      <w:r>
        <w:t>without</w:t>
      </w:r>
      <w:r w:rsidR="000F70D7">
        <w:t xml:space="preserve"> fox control</w:t>
      </w:r>
      <w:r>
        <w:t xml:space="preserve">. This </w:t>
      </w:r>
      <w:r w:rsidR="004310C2">
        <w:t xml:space="preserve">has </w:t>
      </w:r>
      <w:r>
        <w:t xml:space="preserve">resulted in </w:t>
      </w:r>
      <w:r w:rsidR="00F276C7">
        <w:t>growth</w:t>
      </w:r>
      <w:r>
        <w:t xml:space="preserve"> (new sites becoming occupied over time</w:t>
      </w:r>
      <w:r w:rsidR="00BB5B02">
        <w:t>)</w:t>
      </w:r>
      <w:r>
        <w:t xml:space="preserve">, </w:t>
      </w:r>
      <w:r w:rsidR="00286159">
        <w:t xml:space="preserve">and this has been </w:t>
      </w:r>
      <w:r w:rsidR="00BB5B02">
        <w:t xml:space="preserve">consistently </w:t>
      </w:r>
      <w:r>
        <w:t>higher at locations with fox control.</w:t>
      </w:r>
      <w:r w:rsidR="00BB5B02">
        <w:t xml:space="preserve"> </w:t>
      </w:r>
      <w:r w:rsidR="00F46996">
        <w:t xml:space="preserve">The colonisation and persistence rates </w:t>
      </w:r>
      <w:r w:rsidR="002B6C07">
        <w:t xml:space="preserve">of Common Brushtail </w:t>
      </w:r>
      <w:r w:rsidR="002B6C07" w:rsidRPr="000421BC">
        <w:t xml:space="preserve">Possums were less influenced by fox control, although it was an important factor, </w:t>
      </w:r>
      <w:r w:rsidR="007018B0" w:rsidRPr="000421BC">
        <w:t>with rates being higher at</w:t>
      </w:r>
      <w:r w:rsidR="007018B0">
        <w:t xml:space="preserve"> locations with fox control</w:t>
      </w:r>
      <w:r w:rsidR="00BB5B02">
        <w:t>.</w:t>
      </w:r>
      <w:r w:rsidR="004773E5">
        <w:t xml:space="preserve"> </w:t>
      </w:r>
    </w:p>
    <w:p w14:paraId="2DA4B5EA" w14:textId="10D9159A" w:rsidR="00BB5B02" w:rsidRDefault="000F70D7" w:rsidP="00DC3852">
      <w:r>
        <w:t xml:space="preserve">Some </w:t>
      </w:r>
      <w:r w:rsidR="00FB198D">
        <w:t xml:space="preserve">of the </w:t>
      </w:r>
      <w:r>
        <w:t xml:space="preserve">evidence </w:t>
      </w:r>
      <w:r w:rsidR="00CB36DD">
        <w:t xml:space="preserve">reported here </w:t>
      </w:r>
      <w:r>
        <w:t>supports</w:t>
      </w:r>
      <w:r w:rsidR="00BB5B02">
        <w:t xml:space="preserve"> the niche expansion </w:t>
      </w:r>
      <w:r w:rsidR="007C7DCA">
        <w:t>hypothesis</w:t>
      </w:r>
      <w:r w:rsidR="00FB198D">
        <w:t>, i.e.</w:t>
      </w:r>
      <w:r w:rsidR="007C7DCA">
        <w:t xml:space="preserve"> that</w:t>
      </w:r>
      <w:r w:rsidR="007C7DCA" w:rsidRPr="007B6825">
        <w:t xml:space="preserve"> a release from predation </w:t>
      </w:r>
      <w:r w:rsidR="008C4E2D">
        <w:t xml:space="preserve">pressure </w:t>
      </w:r>
      <w:r w:rsidR="007C7DCA" w:rsidRPr="007B6825">
        <w:t xml:space="preserve">would relax the </w:t>
      </w:r>
      <w:r w:rsidR="003A2304">
        <w:t xml:space="preserve">stringency of the ecosystem </w:t>
      </w:r>
      <w:r w:rsidR="007C7DCA" w:rsidRPr="007B6825">
        <w:t xml:space="preserve">requirements </w:t>
      </w:r>
      <w:r w:rsidR="007C7DCA">
        <w:t xml:space="preserve">of </w:t>
      </w:r>
      <w:r w:rsidR="00FB198D">
        <w:t xml:space="preserve">those </w:t>
      </w:r>
      <w:r w:rsidR="007C7DCA">
        <w:t>native species at risk from predation</w:t>
      </w:r>
      <w:r w:rsidR="003A2304">
        <w:t xml:space="preserve">: </w:t>
      </w:r>
      <w:r w:rsidR="00CB36DD">
        <w:t xml:space="preserve">the need for </w:t>
      </w:r>
      <w:r w:rsidR="007C7DCA" w:rsidRPr="007B6825">
        <w:t xml:space="preserve">shelter and </w:t>
      </w:r>
      <w:r w:rsidR="00CB36DD">
        <w:t xml:space="preserve">for </w:t>
      </w:r>
      <w:r w:rsidR="007C7DCA" w:rsidRPr="007B6825">
        <w:t xml:space="preserve">proximity of food </w:t>
      </w:r>
      <w:r w:rsidR="003A2304">
        <w:t>would be less</w:t>
      </w:r>
      <w:r w:rsidR="006C7B38">
        <w:t xml:space="preserve"> restrictive</w:t>
      </w:r>
      <w:r w:rsidR="003A2304">
        <w:t xml:space="preserve">, </w:t>
      </w:r>
      <w:r w:rsidR="007C7DCA" w:rsidRPr="007B6825">
        <w:t xml:space="preserve">and </w:t>
      </w:r>
      <w:r w:rsidR="003A2304">
        <w:t>this would</w:t>
      </w:r>
      <w:r w:rsidR="003A2304" w:rsidRPr="007B6825">
        <w:t xml:space="preserve"> </w:t>
      </w:r>
      <w:r w:rsidR="007C7DCA" w:rsidRPr="007B6825">
        <w:t>permit expansion of the realised niche</w:t>
      </w:r>
      <w:r w:rsidR="007C7DCA">
        <w:t>. In the presence of foxes</w:t>
      </w:r>
      <w:r w:rsidR="002A2CA5">
        <w:t>,</w:t>
      </w:r>
      <w:r w:rsidR="007C7DCA">
        <w:t xml:space="preserve"> </w:t>
      </w:r>
      <w:r w:rsidR="00CB36DD">
        <w:t xml:space="preserve">the persistence rate of </w:t>
      </w:r>
      <w:r w:rsidR="007C7DCA">
        <w:t>Southern Brown Bandicoots</w:t>
      </w:r>
      <w:r w:rsidR="00CB36DD">
        <w:t xml:space="preserve"> </w:t>
      </w:r>
      <w:r w:rsidR="007C7DCA">
        <w:t xml:space="preserve">increased with increase in </w:t>
      </w:r>
      <w:r w:rsidR="00A274E9">
        <w:t>topographic wetness index</w:t>
      </w:r>
      <w:r w:rsidR="007C7DCA">
        <w:t xml:space="preserve"> and decreased with </w:t>
      </w:r>
      <w:r w:rsidR="00A274E9">
        <w:t>time since fire</w:t>
      </w:r>
      <w:r w:rsidR="007C7DCA">
        <w:t xml:space="preserve">, while at locations </w:t>
      </w:r>
      <w:r w:rsidR="0036264B">
        <w:t xml:space="preserve">with </w:t>
      </w:r>
      <w:r w:rsidR="007C7DCA">
        <w:t>significantly reduced fox presence</w:t>
      </w:r>
      <w:r>
        <w:t>,</w:t>
      </w:r>
      <w:r w:rsidR="007C7DCA">
        <w:t xml:space="preserve"> </w:t>
      </w:r>
      <w:r w:rsidR="00CB36DD">
        <w:t xml:space="preserve">the </w:t>
      </w:r>
      <w:r>
        <w:t xml:space="preserve">modelled habitat characteristics did not influence </w:t>
      </w:r>
      <w:r w:rsidR="00CB36DD">
        <w:t xml:space="preserve">the </w:t>
      </w:r>
      <w:r w:rsidR="0036264B">
        <w:t>persistence</w:t>
      </w:r>
      <w:r w:rsidR="00CB36DD">
        <w:t xml:space="preserve"> of Southern Brown Bandicoots</w:t>
      </w:r>
      <w:r w:rsidR="006C7B38">
        <w:t>. This suggests they can occupy a broader range of habitat in the absence of foxes</w:t>
      </w:r>
      <w:r w:rsidR="007C7DCA">
        <w:t>.</w:t>
      </w:r>
    </w:p>
    <w:p w14:paraId="12EFCC1D" w14:textId="5565BA8B" w:rsidR="000421BC" w:rsidRDefault="00F902E2" w:rsidP="000421BC">
      <w:r w:rsidRPr="000421BC">
        <w:rPr>
          <w:szCs w:val="20"/>
        </w:rPr>
        <w:t>Overall,</w:t>
      </w:r>
      <w:r w:rsidR="004773E5" w:rsidRPr="000421BC">
        <w:rPr>
          <w:szCs w:val="20"/>
        </w:rPr>
        <w:t xml:space="preserve"> these results highlight the benefi</w:t>
      </w:r>
      <w:r w:rsidR="004773E5" w:rsidRPr="00CE39E2">
        <w:rPr>
          <w:szCs w:val="20"/>
        </w:rPr>
        <w:t>t of on</w:t>
      </w:r>
      <w:r w:rsidR="004773E5" w:rsidRPr="00231717">
        <w:rPr>
          <w:szCs w:val="20"/>
        </w:rPr>
        <w:t xml:space="preserve">going fox control for three native species </w:t>
      </w:r>
      <w:r w:rsidRPr="00231717">
        <w:rPr>
          <w:szCs w:val="20"/>
        </w:rPr>
        <w:t xml:space="preserve">at risk from fox predation. </w:t>
      </w:r>
      <w:r w:rsidR="000421BC" w:rsidRPr="000421BC">
        <w:rPr>
          <w:szCs w:val="20"/>
        </w:rPr>
        <w:t xml:space="preserve">We suggest </w:t>
      </w:r>
      <w:r w:rsidR="000421BC" w:rsidRPr="000421BC">
        <w:t xml:space="preserve">future directions for the monitoring and evaluation of Glenelg Ark so that land managers, policymakers and the community can continue to make informed, evidence-based assessments </w:t>
      </w:r>
      <w:r w:rsidR="000421BC" w:rsidRPr="000421BC">
        <w:lastRenderedPageBreak/>
        <w:t>of the success of this broadscale mainland fox control operation and have the information necessary for decision-making about future directions.</w:t>
      </w:r>
    </w:p>
    <w:p w14:paraId="6F08134F" w14:textId="36F639AA" w:rsidR="00CE39E2" w:rsidRDefault="00CE39E2" w:rsidP="00CE39E2">
      <w:pPr>
        <w:rPr>
          <w:lang w:val="en-US" w:eastAsia="en-AU"/>
        </w:rPr>
      </w:pPr>
      <w:r>
        <w:rPr>
          <w:lang w:val="en-US" w:eastAsia="en-AU"/>
        </w:rPr>
        <w:t>We recommend the following next steps in the monitoring program.</w:t>
      </w:r>
    </w:p>
    <w:p w14:paraId="23D9A6AD" w14:textId="77777777" w:rsidR="00CE39E2" w:rsidRPr="00CA4255" w:rsidRDefault="00CE39E2" w:rsidP="00CE39E2">
      <w:pPr>
        <w:pStyle w:val="ListParagraph"/>
        <w:numPr>
          <w:ilvl w:val="0"/>
          <w:numId w:val="41"/>
        </w:numPr>
        <w:spacing w:before="120"/>
        <w:ind w:left="714" w:hanging="357"/>
        <w:contextualSpacing w:val="0"/>
        <w:rPr>
          <w:rFonts w:ascii="Arial" w:hAnsi="Arial"/>
        </w:rPr>
      </w:pPr>
      <w:r w:rsidRPr="00CA4255">
        <w:rPr>
          <w:rFonts w:ascii="Arial" w:hAnsi="Arial"/>
        </w:rPr>
        <w:t xml:space="preserve">Add additional monitoring </w:t>
      </w:r>
      <w:r>
        <w:rPr>
          <w:rFonts w:ascii="Arial" w:hAnsi="Arial"/>
        </w:rPr>
        <w:t>at</w:t>
      </w:r>
      <w:r w:rsidRPr="00CA4255">
        <w:rPr>
          <w:rFonts w:ascii="Arial" w:hAnsi="Arial"/>
        </w:rPr>
        <w:t xml:space="preserve"> locations </w:t>
      </w:r>
      <w:r>
        <w:rPr>
          <w:rFonts w:ascii="Arial" w:hAnsi="Arial"/>
        </w:rPr>
        <w:t xml:space="preserve">of high predicted occupancy and/or at locations with covariate values </w:t>
      </w:r>
      <w:r w:rsidRPr="00CA4255">
        <w:rPr>
          <w:rFonts w:ascii="Arial" w:hAnsi="Arial"/>
        </w:rPr>
        <w:t xml:space="preserve">underrepresented in the occupancy model to improve model predictions and inferences </w:t>
      </w:r>
      <w:r>
        <w:rPr>
          <w:rFonts w:ascii="Arial" w:hAnsi="Arial"/>
        </w:rPr>
        <w:t>about</w:t>
      </w:r>
      <w:r w:rsidRPr="00CA4255">
        <w:rPr>
          <w:rFonts w:ascii="Arial" w:hAnsi="Arial"/>
        </w:rPr>
        <w:t xml:space="preserve"> the role of fox control in native species occupancy.</w:t>
      </w:r>
    </w:p>
    <w:p w14:paraId="6FDC00C1" w14:textId="77777777" w:rsidR="00CE39E2" w:rsidRPr="00CA4255" w:rsidRDefault="00CE39E2" w:rsidP="00CE39E2">
      <w:pPr>
        <w:pStyle w:val="ListParagraph"/>
        <w:numPr>
          <w:ilvl w:val="0"/>
          <w:numId w:val="41"/>
        </w:numPr>
        <w:spacing w:before="120"/>
        <w:ind w:left="714" w:hanging="357"/>
        <w:contextualSpacing w:val="0"/>
        <w:rPr>
          <w:rFonts w:ascii="Arial" w:hAnsi="Arial"/>
        </w:rPr>
      </w:pPr>
      <w:r w:rsidRPr="00CA4255">
        <w:rPr>
          <w:rFonts w:ascii="Arial" w:hAnsi="Arial"/>
        </w:rPr>
        <w:t xml:space="preserve">Include the additional variables </w:t>
      </w:r>
      <w:r w:rsidRPr="00C62ACA">
        <w:rPr>
          <w:rFonts w:ascii="Arial" w:hAnsi="Arial"/>
        </w:rPr>
        <w:t>Normali</w:t>
      </w:r>
      <w:r>
        <w:rPr>
          <w:rFonts w:ascii="Arial" w:hAnsi="Arial"/>
        </w:rPr>
        <w:t>sed Difference Vegetation Index</w:t>
      </w:r>
      <w:r w:rsidRPr="00CA4255">
        <w:rPr>
          <w:rFonts w:ascii="Arial" w:hAnsi="Arial"/>
        </w:rPr>
        <w:t xml:space="preserve">, Distance to Water, </w:t>
      </w:r>
      <w:r>
        <w:rPr>
          <w:rFonts w:ascii="Arial" w:hAnsi="Arial"/>
        </w:rPr>
        <w:t>Ecological Vegetation Class</w:t>
      </w:r>
      <w:r w:rsidRPr="00CA4255">
        <w:rPr>
          <w:rFonts w:ascii="Arial" w:hAnsi="Arial"/>
        </w:rPr>
        <w:t>, mean annual rainfall</w:t>
      </w:r>
      <w:r>
        <w:rPr>
          <w:rFonts w:ascii="Arial" w:hAnsi="Arial"/>
        </w:rPr>
        <w:t>,</w:t>
      </w:r>
      <w:r w:rsidRPr="00CA4255">
        <w:rPr>
          <w:rFonts w:ascii="Arial" w:hAnsi="Arial"/>
        </w:rPr>
        <w:t xml:space="preserve"> and mean annual temperature in the next round of analysis to strengthen the model predictions.</w:t>
      </w:r>
    </w:p>
    <w:p w14:paraId="6F0CB424" w14:textId="77777777" w:rsidR="00CE39E2" w:rsidRPr="00CA4255" w:rsidRDefault="00CE39E2" w:rsidP="00CE39E2">
      <w:pPr>
        <w:pStyle w:val="ListParagraph"/>
        <w:numPr>
          <w:ilvl w:val="0"/>
          <w:numId w:val="41"/>
        </w:numPr>
        <w:spacing w:before="120"/>
        <w:ind w:left="714" w:hanging="357"/>
        <w:contextualSpacing w:val="0"/>
        <w:rPr>
          <w:rFonts w:ascii="Arial" w:hAnsi="Arial"/>
          <w:lang w:val="en-US"/>
        </w:rPr>
      </w:pPr>
      <w:r w:rsidRPr="00CA4255">
        <w:rPr>
          <w:rFonts w:ascii="Arial" w:hAnsi="Arial"/>
          <w:lang w:val="en-US"/>
        </w:rPr>
        <w:t xml:space="preserve">Consider the collection and analysis of fox </w:t>
      </w:r>
      <w:r>
        <w:rPr>
          <w:rFonts w:ascii="Arial" w:hAnsi="Arial"/>
          <w:lang w:val="en-US"/>
        </w:rPr>
        <w:t>monitoring</w:t>
      </w:r>
      <w:r w:rsidRPr="00CA4255">
        <w:rPr>
          <w:rFonts w:ascii="Arial" w:hAnsi="Arial"/>
          <w:lang w:val="en-US"/>
        </w:rPr>
        <w:t xml:space="preserve"> data from Lower Glenelg</w:t>
      </w:r>
      <w:r>
        <w:rPr>
          <w:rFonts w:ascii="Arial" w:hAnsi="Arial"/>
          <w:lang w:val="en-US"/>
        </w:rPr>
        <w:t xml:space="preserve"> – S</w:t>
      </w:r>
      <w:r w:rsidRPr="00CA4255">
        <w:rPr>
          <w:rFonts w:ascii="Arial" w:hAnsi="Arial"/>
          <w:lang w:val="en-US"/>
        </w:rPr>
        <w:t xml:space="preserve">outh and </w:t>
      </w:r>
      <w:r>
        <w:rPr>
          <w:rFonts w:ascii="Arial" w:hAnsi="Arial"/>
          <w:lang w:val="en-US"/>
        </w:rPr>
        <w:t>Lower Glenelg – N</w:t>
      </w:r>
      <w:r w:rsidRPr="00CA4255">
        <w:rPr>
          <w:rFonts w:ascii="Arial" w:hAnsi="Arial"/>
          <w:lang w:val="en-US"/>
        </w:rPr>
        <w:t xml:space="preserve">orth to complete the assessment of fox density across Glenelg and confirm </w:t>
      </w:r>
      <w:proofErr w:type="spellStart"/>
      <w:r w:rsidRPr="00CA4255">
        <w:rPr>
          <w:rFonts w:ascii="Arial" w:hAnsi="Arial"/>
          <w:lang w:val="en-US"/>
        </w:rPr>
        <w:t>FoxNet</w:t>
      </w:r>
      <w:proofErr w:type="spellEnd"/>
      <w:r w:rsidRPr="00CA4255">
        <w:rPr>
          <w:rFonts w:ascii="Arial" w:hAnsi="Arial"/>
          <w:lang w:val="en-US"/>
        </w:rPr>
        <w:t xml:space="preserve"> model predictions.</w:t>
      </w:r>
    </w:p>
    <w:p w14:paraId="5567CD1A" w14:textId="77777777" w:rsidR="00CE39E2" w:rsidRPr="00CA4255" w:rsidRDefault="00CE39E2" w:rsidP="00CE39E2">
      <w:pPr>
        <w:pStyle w:val="ListParagraph"/>
        <w:numPr>
          <w:ilvl w:val="0"/>
          <w:numId w:val="41"/>
        </w:numPr>
        <w:spacing w:before="120"/>
        <w:ind w:left="714" w:hanging="357"/>
        <w:contextualSpacing w:val="0"/>
        <w:rPr>
          <w:rFonts w:ascii="Arial" w:hAnsi="Arial"/>
          <w:lang w:val="en-US"/>
        </w:rPr>
      </w:pPr>
      <w:r w:rsidRPr="00CA4255">
        <w:rPr>
          <w:rFonts w:ascii="Arial" w:hAnsi="Arial"/>
          <w:lang w:val="en-US"/>
        </w:rPr>
        <w:t xml:space="preserve">If recommendation </w:t>
      </w:r>
      <w:r>
        <w:rPr>
          <w:rFonts w:ascii="Arial" w:hAnsi="Arial"/>
          <w:lang w:val="en-US"/>
        </w:rPr>
        <w:t>three</w:t>
      </w:r>
      <w:r w:rsidRPr="00CA4255">
        <w:rPr>
          <w:rFonts w:ascii="Arial" w:hAnsi="Arial"/>
          <w:lang w:val="en-US"/>
        </w:rPr>
        <w:t xml:space="preserve"> is implemented and </w:t>
      </w:r>
      <w:r>
        <w:rPr>
          <w:rFonts w:ascii="Arial" w:hAnsi="Arial"/>
          <w:lang w:val="en-US"/>
        </w:rPr>
        <w:t xml:space="preserve">both LiDAR and fox </w:t>
      </w:r>
      <w:r w:rsidRPr="00CA4255">
        <w:rPr>
          <w:rFonts w:ascii="Arial" w:hAnsi="Arial"/>
          <w:lang w:val="en-US"/>
        </w:rPr>
        <w:t>density data is available f</w:t>
      </w:r>
      <w:r>
        <w:rPr>
          <w:rFonts w:ascii="Arial" w:hAnsi="Arial"/>
          <w:lang w:val="en-US"/>
        </w:rPr>
        <w:t>ro</w:t>
      </w:r>
      <w:r w:rsidRPr="00CA4255">
        <w:rPr>
          <w:rFonts w:ascii="Arial" w:hAnsi="Arial"/>
          <w:lang w:val="en-US"/>
        </w:rPr>
        <w:t xml:space="preserve">m </w:t>
      </w:r>
      <w:r>
        <w:rPr>
          <w:rFonts w:ascii="Arial" w:hAnsi="Arial"/>
          <w:lang w:val="en-US"/>
        </w:rPr>
        <w:t xml:space="preserve">the </w:t>
      </w:r>
      <w:r w:rsidRPr="00CA4255">
        <w:rPr>
          <w:rFonts w:ascii="Arial" w:hAnsi="Arial"/>
          <w:lang w:val="en-US"/>
        </w:rPr>
        <w:t>University of Melbourne project, incorporate this data directly into the occupancy model.</w:t>
      </w:r>
    </w:p>
    <w:p w14:paraId="731E7D79" w14:textId="570C71B2" w:rsidR="004773E5" w:rsidRDefault="00CE39E2" w:rsidP="00DC3852">
      <w:pPr>
        <w:pStyle w:val="ListParagraph"/>
        <w:numPr>
          <w:ilvl w:val="0"/>
          <w:numId w:val="41"/>
        </w:numPr>
        <w:spacing w:before="120"/>
        <w:ind w:left="714" w:hanging="357"/>
        <w:contextualSpacing w:val="0"/>
      </w:pPr>
      <w:r w:rsidRPr="00CA4255">
        <w:rPr>
          <w:rFonts w:ascii="Arial" w:hAnsi="Arial"/>
        </w:rPr>
        <w:t xml:space="preserve">Commence planning for the integration of feral cat control in </w:t>
      </w:r>
      <w:r>
        <w:rPr>
          <w:rFonts w:ascii="Arial" w:hAnsi="Arial"/>
        </w:rPr>
        <w:t xml:space="preserve">the financial year </w:t>
      </w:r>
      <w:r w:rsidRPr="00CA4255">
        <w:rPr>
          <w:rFonts w:ascii="Arial" w:hAnsi="Arial"/>
        </w:rPr>
        <w:t xml:space="preserve">2023/24. A possible design of the rollout for feral cat control is provided in Robley et al. (2019). This approach would </w:t>
      </w:r>
      <w:r>
        <w:rPr>
          <w:rFonts w:ascii="Arial" w:hAnsi="Arial"/>
        </w:rPr>
        <w:t>continue</w:t>
      </w:r>
      <w:r w:rsidR="00F276C7">
        <w:rPr>
          <w:rFonts w:ascii="Arial" w:hAnsi="Arial"/>
        </w:rPr>
        <w:t xml:space="preserve"> to add to the </w:t>
      </w:r>
      <w:r>
        <w:rPr>
          <w:rFonts w:ascii="Arial" w:hAnsi="Arial"/>
        </w:rPr>
        <w:t>current</w:t>
      </w:r>
      <w:r w:rsidRPr="00CA4255">
        <w:rPr>
          <w:rFonts w:ascii="Arial" w:hAnsi="Arial"/>
        </w:rPr>
        <w:t xml:space="preserve"> long-term monitoring dataset</w:t>
      </w:r>
      <w:r>
        <w:rPr>
          <w:rFonts w:ascii="Arial" w:hAnsi="Arial"/>
        </w:rPr>
        <w:t xml:space="preserve"> but</w:t>
      </w:r>
      <w:r w:rsidRPr="00CA4255">
        <w:rPr>
          <w:rFonts w:ascii="Arial" w:hAnsi="Arial"/>
        </w:rPr>
        <w:t xml:space="preserve"> allow for the integration of feral cat control</w:t>
      </w:r>
      <w:r w:rsidR="00F276C7">
        <w:rPr>
          <w:rFonts w:ascii="Arial" w:hAnsi="Arial"/>
        </w:rPr>
        <w:t>.</w:t>
      </w:r>
    </w:p>
    <w:p w14:paraId="5277A417" w14:textId="77777777" w:rsidR="00074331" w:rsidRPr="00CE7E5D" w:rsidRDefault="00074331" w:rsidP="00704099">
      <w:pPr>
        <w:pStyle w:val="Heading1-Numbered"/>
      </w:pPr>
      <w:bookmarkStart w:id="22" w:name="_Toc409798398"/>
      <w:r w:rsidRPr="00243764">
        <w:br w:type="page"/>
      </w:r>
      <w:bookmarkStart w:id="23" w:name="_Toc286018760"/>
      <w:bookmarkStart w:id="24" w:name="_Toc409798397"/>
      <w:bookmarkStart w:id="25" w:name="_Toc110599590"/>
      <w:r w:rsidRPr="00CE7E5D">
        <w:lastRenderedPageBreak/>
        <w:t>Introduction</w:t>
      </w:r>
      <w:bookmarkEnd w:id="23"/>
      <w:bookmarkEnd w:id="24"/>
      <w:bookmarkEnd w:id="25"/>
    </w:p>
    <w:p w14:paraId="52DEFB05" w14:textId="0E8C0197" w:rsidR="00801C4D" w:rsidRDefault="00A255A1" w:rsidP="003F2FBC">
      <w:r w:rsidRPr="00243764">
        <w:t xml:space="preserve">This is the </w:t>
      </w:r>
      <w:r w:rsidR="002D1AD6">
        <w:t>twelfth annual report on the progress of Glenelg Ark, and it updates the achievements to date of this project</w:t>
      </w:r>
      <w:r w:rsidR="0011624A">
        <w:t xml:space="preserve"> </w:t>
      </w:r>
      <w:r w:rsidR="002A2CA5">
        <w:t>concerning</w:t>
      </w:r>
      <w:r w:rsidR="0011624A">
        <w:t xml:space="preserve"> </w:t>
      </w:r>
      <w:r w:rsidR="00CB36DD">
        <w:t xml:space="preserve">(i) </w:t>
      </w:r>
      <w:r w:rsidR="0011624A">
        <w:t xml:space="preserve">managing the threat posed by foxes and </w:t>
      </w:r>
      <w:r w:rsidR="00CB36DD">
        <w:t xml:space="preserve">(ii) </w:t>
      </w:r>
      <w:r w:rsidR="0011624A">
        <w:t>the response of three native species at risk from fox predation</w:t>
      </w:r>
      <w:r w:rsidR="002D1AD6">
        <w:t>.</w:t>
      </w:r>
    </w:p>
    <w:p w14:paraId="4F50C189" w14:textId="24D8C072" w:rsidR="00FF150E" w:rsidRPr="003F2FBC" w:rsidRDefault="00FF150E" w:rsidP="003F2FBC">
      <w:pPr>
        <w:rPr>
          <w:szCs w:val="20"/>
        </w:rPr>
      </w:pPr>
      <w:r w:rsidRPr="003F2FBC">
        <w:rPr>
          <w:szCs w:val="20"/>
        </w:rPr>
        <w:t xml:space="preserve">The Glenelg Ark project has </w:t>
      </w:r>
      <w:r w:rsidR="00922154">
        <w:rPr>
          <w:szCs w:val="20"/>
        </w:rPr>
        <w:t xml:space="preserve">involved the </w:t>
      </w:r>
      <w:r w:rsidR="00922154" w:rsidRPr="003F2FBC">
        <w:rPr>
          <w:szCs w:val="20"/>
        </w:rPr>
        <w:t>implement</w:t>
      </w:r>
      <w:r w:rsidR="00922154">
        <w:rPr>
          <w:szCs w:val="20"/>
        </w:rPr>
        <w:t>ation of</w:t>
      </w:r>
      <w:r w:rsidR="00922154" w:rsidRPr="003F2FBC">
        <w:rPr>
          <w:szCs w:val="20"/>
        </w:rPr>
        <w:t xml:space="preserve"> </w:t>
      </w:r>
      <w:r w:rsidRPr="003F2FBC">
        <w:rPr>
          <w:szCs w:val="20"/>
        </w:rPr>
        <w:t xml:space="preserve">continuous, landscape-scale Red Fox </w:t>
      </w:r>
      <w:r w:rsidR="00922154">
        <w:rPr>
          <w:szCs w:val="20"/>
        </w:rPr>
        <w:t>(</w:t>
      </w:r>
      <w:r w:rsidRPr="003F2FBC">
        <w:rPr>
          <w:i/>
          <w:szCs w:val="20"/>
        </w:rPr>
        <w:t xml:space="preserve">Vulpes </w:t>
      </w:r>
      <w:proofErr w:type="spellStart"/>
      <w:r w:rsidRPr="003F2FBC">
        <w:rPr>
          <w:i/>
          <w:szCs w:val="20"/>
        </w:rPr>
        <w:t>vulpes</w:t>
      </w:r>
      <w:proofErr w:type="spellEnd"/>
      <w:r w:rsidR="00922154">
        <w:rPr>
          <w:szCs w:val="20"/>
        </w:rPr>
        <w:t>; hereafter ‘fox’</w:t>
      </w:r>
      <w:r w:rsidRPr="003F2FBC">
        <w:rPr>
          <w:szCs w:val="20"/>
        </w:rPr>
        <w:t>) baiting across 90</w:t>
      </w:r>
      <w:r w:rsidR="00922154">
        <w:rPr>
          <w:szCs w:val="20"/>
        </w:rPr>
        <w:t>,</w:t>
      </w:r>
      <w:r w:rsidRPr="003F2FBC">
        <w:rPr>
          <w:szCs w:val="20"/>
        </w:rPr>
        <w:t xml:space="preserve">000 ha of </w:t>
      </w:r>
      <w:r w:rsidR="00922154">
        <w:rPr>
          <w:szCs w:val="20"/>
        </w:rPr>
        <w:t>s</w:t>
      </w:r>
      <w:r w:rsidR="00922154" w:rsidRPr="003F2FBC">
        <w:rPr>
          <w:szCs w:val="20"/>
        </w:rPr>
        <w:t xml:space="preserve">tate </w:t>
      </w:r>
      <w:r w:rsidR="00922154">
        <w:rPr>
          <w:szCs w:val="20"/>
        </w:rPr>
        <w:t>f</w:t>
      </w:r>
      <w:r w:rsidR="00922154" w:rsidRPr="003F2FBC">
        <w:rPr>
          <w:szCs w:val="20"/>
        </w:rPr>
        <w:t xml:space="preserve">orest </w:t>
      </w:r>
      <w:r w:rsidRPr="003F2FBC">
        <w:rPr>
          <w:szCs w:val="20"/>
        </w:rPr>
        <w:t xml:space="preserve">and </w:t>
      </w:r>
      <w:r w:rsidR="00922154">
        <w:rPr>
          <w:szCs w:val="20"/>
        </w:rPr>
        <w:t>n</w:t>
      </w:r>
      <w:r w:rsidR="00922154" w:rsidRPr="003F2FBC">
        <w:rPr>
          <w:szCs w:val="20"/>
        </w:rPr>
        <w:t xml:space="preserve">ational </w:t>
      </w:r>
      <w:r w:rsidR="00922154">
        <w:rPr>
          <w:szCs w:val="20"/>
        </w:rPr>
        <w:t>p</w:t>
      </w:r>
      <w:r w:rsidR="00922154" w:rsidRPr="003F2FBC">
        <w:rPr>
          <w:szCs w:val="20"/>
        </w:rPr>
        <w:t xml:space="preserve">ark </w:t>
      </w:r>
      <w:r w:rsidRPr="003F2FBC">
        <w:rPr>
          <w:szCs w:val="20"/>
        </w:rPr>
        <w:t xml:space="preserve">in south-western Victoria since 2005. </w:t>
      </w:r>
      <w:r w:rsidR="008D714F">
        <w:rPr>
          <w:szCs w:val="20"/>
        </w:rPr>
        <w:t xml:space="preserve">The monitoring and evaluation component of Glenelg Ark </w:t>
      </w:r>
      <w:r w:rsidR="00922154">
        <w:rPr>
          <w:szCs w:val="20"/>
        </w:rPr>
        <w:t xml:space="preserve">has </w:t>
      </w:r>
      <w:r w:rsidR="00161890">
        <w:rPr>
          <w:szCs w:val="20"/>
        </w:rPr>
        <w:t>assess</w:t>
      </w:r>
      <w:r w:rsidR="008D714F">
        <w:rPr>
          <w:szCs w:val="20"/>
        </w:rPr>
        <w:t>e</w:t>
      </w:r>
      <w:r w:rsidR="00922154">
        <w:rPr>
          <w:szCs w:val="20"/>
        </w:rPr>
        <w:t>d</w:t>
      </w:r>
      <w:r w:rsidR="008D714F">
        <w:rPr>
          <w:szCs w:val="20"/>
        </w:rPr>
        <w:t xml:space="preserve"> </w:t>
      </w:r>
      <w:r w:rsidR="00161890">
        <w:rPr>
          <w:szCs w:val="20"/>
        </w:rPr>
        <w:t>the outcomes of</w:t>
      </w:r>
      <w:r w:rsidR="005F3539">
        <w:rPr>
          <w:szCs w:val="20"/>
        </w:rPr>
        <w:t xml:space="preserve"> the fox control activities </w:t>
      </w:r>
      <w:r w:rsidR="00161890">
        <w:rPr>
          <w:szCs w:val="20"/>
        </w:rPr>
        <w:t xml:space="preserve">in terms </w:t>
      </w:r>
      <w:r w:rsidR="005F3539">
        <w:rPr>
          <w:szCs w:val="20"/>
        </w:rPr>
        <w:t xml:space="preserve">of </w:t>
      </w:r>
      <w:r w:rsidR="008D714F">
        <w:rPr>
          <w:szCs w:val="20"/>
        </w:rPr>
        <w:t xml:space="preserve">(i) </w:t>
      </w:r>
      <w:r w:rsidR="007018B0">
        <w:rPr>
          <w:szCs w:val="20"/>
        </w:rPr>
        <w:t xml:space="preserve">modelled changes in </w:t>
      </w:r>
      <w:r w:rsidR="008D714F">
        <w:rPr>
          <w:szCs w:val="20"/>
        </w:rPr>
        <w:t>fox</w:t>
      </w:r>
      <w:r w:rsidR="00161890">
        <w:rPr>
          <w:szCs w:val="20"/>
        </w:rPr>
        <w:t xml:space="preserve"> </w:t>
      </w:r>
      <w:r w:rsidR="007018B0">
        <w:rPr>
          <w:szCs w:val="20"/>
        </w:rPr>
        <w:t>density</w:t>
      </w:r>
      <w:r w:rsidR="008D714F">
        <w:rPr>
          <w:szCs w:val="20"/>
        </w:rPr>
        <w:t xml:space="preserve"> and (ii) </w:t>
      </w:r>
      <w:r w:rsidR="00161890">
        <w:rPr>
          <w:szCs w:val="20"/>
        </w:rPr>
        <w:t>occupancy rates of the</w:t>
      </w:r>
      <w:r w:rsidR="008D714F">
        <w:rPr>
          <w:szCs w:val="20"/>
        </w:rPr>
        <w:t xml:space="preserve"> three </w:t>
      </w:r>
      <w:r w:rsidR="00161890">
        <w:rPr>
          <w:szCs w:val="20"/>
        </w:rPr>
        <w:t xml:space="preserve">selected </w:t>
      </w:r>
      <w:r w:rsidR="008D714F">
        <w:rPr>
          <w:szCs w:val="20"/>
        </w:rPr>
        <w:t xml:space="preserve">native species </w:t>
      </w:r>
      <w:r w:rsidR="00161890">
        <w:rPr>
          <w:szCs w:val="20"/>
        </w:rPr>
        <w:t xml:space="preserve">considered to be at </w:t>
      </w:r>
      <w:r w:rsidR="008D714F">
        <w:rPr>
          <w:szCs w:val="20"/>
        </w:rPr>
        <w:t xml:space="preserve">risk from fox predation. Glenelg Ark must demonstrate benefits to </w:t>
      </w:r>
      <w:r w:rsidR="00922154">
        <w:rPr>
          <w:szCs w:val="20"/>
        </w:rPr>
        <w:t xml:space="preserve">biodiversity in </w:t>
      </w:r>
      <w:r w:rsidR="008D714F">
        <w:rPr>
          <w:szCs w:val="20"/>
        </w:rPr>
        <w:t>Victoria to justify government commitment and community support</w:t>
      </w:r>
      <w:r w:rsidRPr="003F2FBC">
        <w:rPr>
          <w:szCs w:val="20"/>
        </w:rPr>
        <w:t>.</w:t>
      </w:r>
    </w:p>
    <w:p w14:paraId="681D92FD" w14:textId="60614474" w:rsidR="00FF150E" w:rsidRPr="007B6825" w:rsidRDefault="00FB4BAA" w:rsidP="003F2FBC">
      <w:r>
        <w:t>T</w:t>
      </w:r>
      <w:r w:rsidRPr="00950E64">
        <w:t xml:space="preserve">hree native mammal species </w:t>
      </w:r>
      <w:r>
        <w:t>found with</w:t>
      </w:r>
      <w:r w:rsidRPr="00950E64">
        <w:t xml:space="preserve">in the project area at the time </w:t>
      </w:r>
      <w:r>
        <w:t xml:space="preserve">of project commencement were selected for monitoring because they were </w:t>
      </w:r>
      <w:r w:rsidRPr="00950E64">
        <w:t>in low numbers</w:t>
      </w:r>
      <w:r w:rsidR="00DF6173">
        <w:t xml:space="preserve"> </w:t>
      </w:r>
      <w:r w:rsidR="00DF6173" w:rsidRPr="007B6825">
        <w:t>(Robley et al. 2011)</w:t>
      </w:r>
      <w:r w:rsidRPr="00950E64">
        <w:t xml:space="preserve">, </w:t>
      </w:r>
      <w:r>
        <w:t>had</w:t>
      </w:r>
      <w:r w:rsidRPr="00950E64">
        <w:t xml:space="preserve"> patchy distributions</w:t>
      </w:r>
      <w:r w:rsidR="00DF6173">
        <w:t xml:space="preserve"> </w:t>
      </w:r>
      <w:r w:rsidR="00DF6173" w:rsidRPr="007B6825">
        <w:t>(Menkhorst 1995)</w:t>
      </w:r>
      <w:r w:rsidRPr="00950E64">
        <w:t xml:space="preserve">, and </w:t>
      </w:r>
      <w:r>
        <w:t xml:space="preserve">were considered </w:t>
      </w:r>
      <w:r w:rsidRPr="00950E64">
        <w:t>at risk from fox predation</w:t>
      </w:r>
      <w:r>
        <w:t>:</w:t>
      </w:r>
      <w:r w:rsidRPr="00950E64">
        <w:t xml:space="preserve"> Common Brushtail</w:t>
      </w:r>
      <w:r w:rsidRPr="007B6825">
        <w:t xml:space="preserve"> Possum (</w:t>
      </w:r>
      <w:proofErr w:type="spellStart"/>
      <w:r w:rsidRPr="007B6825">
        <w:rPr>
          <w:i/>
        </w:rPr>
        <w:t>Trichosurus</w:t>
      </w:r>
      <w:proofErr w:type="spellEnd"/>
      <w:r w:rsidRPr="007B6825">
        <w:rPr>
          <w:i/>
        </w:rPr>
        <w:t xml:space="preserve"> </w:t>
      </w:r>
      <w:proofErr w:type="spellStart"/>
      <w:r w:rsidRPr="007B6825">
        <w:rPr>
          <w:i/>
        </w:rPr>
        <w:t>vulpecula</w:t>
      </w:r>
      <w:proofErr w:type="spellEnd"/>
      <w:r w:rsidRPr="007B6825">
        <w:t>)</w:t>
      </w:r>
      <w:r>
        <w:t xml:space="preserve">, </w:t>
      </w:r>
      <w:r w:rsidRPr="007B6825">
        <w:t>Long-nosed Potoroo (</w:t>
      </w:r>
      <w:proofErr w:type="spellStart"/>
      <w:r w:rsidRPr="007B6825">
        <w:rPr>
          <w:i/>
        </w:rPr>
        <w:t>Potorous</w:t>
      </w:r>
      <w:proofErr w:type="spellEnd"/>
      <w:r w:rsidRPr="007B6825">
        <w:rPr>
          <w:i/>
        </w:rPr>
        <w:t xml:space="preserve"> </w:t>
      </w:r>
      <w:proofErr w:type="spellStart"/>
      <w:r w:rsidRPr="007B6825">
        <w:rPr>
          <w:i/>
        </w:rPr>
        <w:t>tridactylus</w:t>
      </w:r>
      <w:proofErr w:type="spellEnd"/>
      <w:r w:rsidRPr="007B6825">
        <w:t xml:space="preserve">) </w:t>
      </w:r>
      <w:r>
        <w:t xml:space="preserve">and </w:t>
      </w:r>
      <w:r w:rsidRPr="007B6825">
        <w:t>Southern Brown Bandicoot (</w:t>
      </w:r>
      <w:proofErr w:type="spellStart"/>
      <w:r w:rsidRPr="007B6825">
        <w:rPr>
          <w:i/>
        </w:rPr>
        <w:t>Isoodon</w:t>
      </w:r>
      <w:proofErr w:type="spellEnd"/>
      <w:r w:rsidRPr="007B6825">
        <w:rPr>
          <w:i/>
        </w:rPr>
        <w:t xml:space="preserve"> </w:t>
      </w:r>
      <w:proofErr w:type="spellStart"/>
      <w:r w:rsidRPr="007B6825">
        <w:rPr>
          <w:i/>
        </w:rPr>
        <w:t>obesulus</w:t>
      </w:r>
      <w:proofErr w:type="spellEnd"/>
      <w:r w:rsidRPr="007B6825">
        <w:t>)</w:t>
      </w:r>
      <w:r>
        <w:t>.</w:t>
      </w:r>
      <w:r w:rsidR="00DF6173">
        <w:t xml:space="preserve"> </w:t>
      </w:r>
      <w:r w:rsidR="00FF150E" w:rsidRPr="007B6825">
        <w:t xml:space="preserve">All three species </w:t>
      </w:r>
      <w:r w:rsidR="00DF6173">
        <w:t>were</w:t>
      </w:r>
      <w:r w:rsidR="00DF6173" w:rsidRPr="007B6825">
        <w:t xml:space="preserve"> </w:t>
      </w:r>
      <w:r w:rsidR="00FF150E" w:rsidRPr="007B6825">
        <w:t xml:space="preserve">known to be preyed upon by foxes (Seebeck 1978) and </w:t>
      </w:r>
      <w:r w:rsidR="00DF6173">
        <w:t xml:space="preserve">to </w:t>
      </w:r>
      <w:r w:rsidR="00FF150E" w:rsidRPr="007B6825">
        <w:t>have respond</w:t>
      </w:r>
      <w:r w:rsidR="008D714F">
        <w:t>ed</w:t>
      </w:r>
      <w:r w:rsidR="00FF150E" w:rsidRPr="007B6825">
        <w:t xml:space="preserve"> positively to a reduction in foxes (Kinnear et al. 2002; Arthur et al. 2012).</w:t>
      </w:r>
    </w:p>
    <w:p w14:paraId="519CD52B" w14:textId="5D767CF0" w:rsidR="00FF150E" w:rsidRDefault="00FF150E" w:rsidP="003F2FBC">
      <w:r w:rsidRPr="007B6825">
        <w:t>We suggest that, in the presence of predators such as foxes, it is probable that populations can only persist in refugia that may be quite atypical of a species’ actual niche requirements. In terms of the Hutchinson (1978) concept of the niche (also see Kinnear</w:t>
      </w:r>
      <w:r>
        <w:t xml:space="preserve"> et al.</w:t>
      </w:r>
      <w:r w:rsidRPr="007B6825">
        <w:t xml:space="preserve"> 198</w:t>
      </w:r>
      <w:r w:rsidR="00EF650B">
        <w:t>8</w:t>
      </w:r>
      <w:r w:rsidRPr="007B6825">
        <w:t xml:space="preserve">), fox predation affects the dimensions of a species’ realised niche </w:t>
      </w:r>
      <w:r>
        <w:t>(</w:t>
      </w:r>
      <w:r w:rsidR="0011624A">
        <w:t>i.e.</w:t>
      </w:r>
      <w:r>
        <w:t xml:space="preserve"> where the species </w:t>
      </w:r>
      <w:r w:rsidR="001B7713">
        <w:t xml:space="preserve">actually </w:t>
      </w:r>
      <w:r w:rsidR="002A2CA5">
        <w:t>lives</w:t>
      </w:r>
      <w:r>
        <w:t xml:space="preserve">) </w:t>
      </w:r>
      <w:r w:rsidRPr="007B6825">
        <w:t xml:space="preserve">by exaggerating their requirements for protective shelter and their need for food to be nearby. Niche theory predicts that a release from predation would relax the requirements for shelter and the proximity of food and thus permit the expansion of the realised niche, </w:t>
      </w:r>
      <w:r>
        <w:t>as</w:t>
      </w:r>
      <w:r w:rsidRPr="007B6825">
        <w:t xml:space="preserve"> observed by Kinnear et al. (1988)</w:t>
      </w:r>
      <w:r>
        <w:t xml:space="preserve"> for Black-flanked R</w:t>
      </w:r>
      <w:r w:rsidRPr="007B6825">
        <w:t>ock-</w:t>
      </w:r>
      <w:r w:rsidRPr="009F7EEE">
        <w:t>wallabies (</w:t>
      </w:r>
      <w:proofErr w:type="spellStart"/>
      <w:r w:rsidRPr="009F7EEE">
        <w:rPr>
          <w:i/>
          <w:iCs/>
        </w:rPr>
        <w:t>Petrogale</w:t>
      </w:r>
      <w:proofErr w:type="spellEnd"/>
      <w:r w:rsidRPr="009F7EEE">
        <w:rPr>
          <w:i/>
          <w:iCs/>
        </w:rPr>
        <w:t xml:space="preserve"> lateralis</w:t>
      </w:r>
      <w:r w:rsidRPr="009F7EEE">
        <w:t xml:space="preserve">) </w:t>
      </w:r>
      <w:r w:rsidRPr="007B6825">
        <w:t>when foxes were controlled.</w:t>
      </w:r>
      <w:r w:rsidR="005722B5">
        <w:t xml:space="preserve"> Over time</w:t>
      </w:r>
      <w:r w:rsidR="001B7713">
        <w:t>,</w:t>
      </w:r>
      <w:r w:rsidR="005722B5">
        <w:t xml:space="preserve"> this relaxation may present in several metrics of occupancy.</w:t>
      </w:r>
    </w:p>
    <w:p w14:paraId="4BECAFE5" w14:textId="4F85DFEC" w:rsidR="00994EFD" w:rsidRDefault="00994EFD" w:rsidP="00994EFD">
      <w:r>
        <w:t xml:space="preserve">Environmental factors such as historical land use or fire regimes can influence </w:t>
      </w:r>
      <w:r w:rsidR="008D714F">
        <w:t>species distribution</w:t>
      </w:r>
      <w:r>
        <w:t xml:space="preserve"> (</w:t>
      </w:r>
      <w:r w:rsidR="00F00833">
        <w:t>MacKenzie et al</w:t>
      </w:r>
      <w:r w:rsidR="008D714F">
        <w:t>.</w:t>
      </w:r>
      <w:r w:rsidR="00F00833">
        <w:t xml:space="preserve"> 2017</w:t>
      </w:r>
      <w:r>
        <w:t>). To account for the possible effect of factors other than predation</w:t>
      </w:r>
      <w:r w:rsidR="007018B0">
        <w:t xml:space="preserve"> on species occupancy</w:t>
      </w:r>
      <w:r w:rsidR="008D714F">
        <w:t>,</w:t>
      </w:r>
      <w:r>
        <w:t xml:space="preserve"> we incorporated several possible explanatory variables in dynamic spatial occupancy models </w:t>
      </w:r>
      <w:r w:rsidRPr="00523303">
        <w:t>(</w:t>
      </w:r>
      <w:proofErr w:type="spellStart"/>
      <w:r w:rsidR="00523303">
        <w:t>Royle</w:t>
      </w:r>
      <w:proofErr w:type="spellEnd"/>
      <w:r w:rsidR="00523303">
        <w:t xml:space="preserve"> </w:t>
      </w:r>
      <w:r w:rsidR="006667C5">
        <w:t xml:space="preserve">and </w:t>
      </w:r>
      <w:proofErr w:type="spellStart"/>
      <w:r w:rsidR="006667C5">
        <w:t>Kéry</w:t>
      </w:r>
      <w:proofErr w:type="spellEnd"/>
      <w:r w:rsidR="00523303">
        <w:t xml:space="preserve"> 2007</w:t>
      </w:r>
      <w:r>
        <w:t xml:space="preserve">) to assess </w:t>
      </w:r>
      <w:r w:rsidR="00BC1BE5">
        <w:t xml:space="preserve">the response of the selected </w:t>
      </w:r>
      <w:r>
        <w:t>native species to fox control.</w:t>
      </w:r>
    </w:p>
    <w:p w14:paraId="5224CC0B" w14:textId="29DA5CAB" w:rsidR="00994EFD" w:rsidRPr="007B6825" w:rsidRDefault="009D639F" w:rsidP="00994EFD">
      <w:r>
        <w:t xml:space="preserve">We used </w:t>
      </w:r>
      <w:r w:rsidR="00994EFD" w:rsidRPr="007B6825">
        <w:t>a</w:t>
      </w:r>
      <w:r w:rsidR="00994EFD">
        <w:t xml:space="preserve"> spatially explicit individually based population model (</w:t>
      </w:r>
      <w:proofErr w:type="spellStart"/>
      <w:r w:rsidR="00994EFD">
        <w:t>FoxNet</w:t>
      </w:r>
      <w:proofErr w:type="spellEnd"/>
      <w:r w:rsidR="00994EFD">
        <w:t xml:space="preserve">; </w:t>
      </w:r>
      <w:proofErr w:type="spellStart"/>
      <w:r w:rsidR="00994EFD">
        <w:t>Hradsky</w:t>
      </w:r>
      <w:proofErr w:type="spellEnd"/>
      <w:r w:rsidR="00994EFD">
        <w:t xml:space="preserve"> </w:t>
      </w:r>
      <w:r w:rsidR="00994EFD" w:rsidRPr="00F00833">
        <w:t>et al. 20</w:t>
      </w:r>
      <w:r w:rsidR="00F00833" w:rsidRPr="00F00833">
        <w:t>19</w:t>
      </w:r>
      <w:r w:rsidR="00BC1BE5">
        <w:t>;</w:t>
      </w:r>
      <w:r w:rsidR="00BC1BE5" w:rsidRPr="007018B0">
        <w:t xml:space="preserve"> </w:t>
      </w:r>
      <w:r w:rsidR="00994EFD" w:rsidRPr="00F00833">
        <w:t>Francis et al. 20</w:t>
      </w:r>
      <w:r w:rsidR="00F00833" w:rsidRPr="00F00833">
        <w:t>20</w:t>
      </w:r>
      <w:r w:rsidR="00994EFD">
        <w:t xml:space="preserve">) </w:t>
      </w:r>
      <w:r w:rsidR="00994EFD" w:rsidRPr="007B6825">
        <w:t xml:space="preserve">to </w:t>
      </w:r>
      <w:r>
        <w:t>model</w:t>
      </w:r>
      <w:r w:rsidR="00994EFD" w:rsidRPr="007B6825">
        <w:t xml:space="preserve"> the differences in the relative abundance of foxes at locations with ongoing and continuous fox </w:t>
      </w:r>
      <w:r w:rsidR="00994EFD" w:rsidRPr="00994EFD">
        <w:t xml:space="preserve">control with locations with no history of fox control. We assessed outcome success (whether fox control has resulted in a positive </w:t>
      </w:r>
      <w:r w:rsidR="007018B0">
        <w:t>benefit to</w:t>
      </w:r>
      <w:r w:rsidR="00994EFD" w:rsidRPr="00994EFD">
        <w:t xml:space="preserve"> </w:t>
      </w:r>
      <w:r w:rsidR="008E3D83">
        <w:t xml:space="preserve">the </w:t>
      </w:r>
      <w:r w:rsidR="00994EFD" w:rsidRPr="00994EFD">
        <w:t>target native species</w:t>
      </w:r>
      <w:r w:rsidR="008D714F">
        <w:t>)</w:t>
      </w:r>
      <w:r w:rsidR="00994EFD" w:rsidRPr="00994EFD">
        <w:t xml:space="preserve"> by investigating </w:t>
      </w:r>
      <w:r w:rsidR="008E3D83">
        <w:t>four</w:t>
      </w:r>
      <w:r w:rsidR="008E3D83" w:rsidRPr="00994EFD">
        <w:t xml:space="preserve"> </w:t>
      </w:r>
      <w:r w:rsidR="00994EFD" w:rsidRPr="00994EFD">
        <w:t xml:space="preserve">population parameters: (i) the rate of occupancy, (ii) </w:t>
      </w:r>
      <w:r w:rsidR="008E3D83">
        <w:t xml:space="preserve">the rate of </w:t>
      </w:r>
      <w:r w:rsidR="00994EFD" w:rsidRPr="00994EFD">
        <w:t xml:space="preserve">colonisation </w:t>
      </w:r>
      <w:r w:rsidR="00994EFD" w:rsidRPr="00994EFD">
        <w:rPr>
          <w:szCs w:val="20"/>
        </w:rPr>
        <w:t>(i.e. the rate at which new sites are occupied each year)</w:t>
      </w:r>
      <w:r w:rsidR="00994EFD" w:rsidRPr="00994EFD">
        <w:t xml:space="preserve">, (iii) </w:t>
      </w:r>
      <w:r w:rsidR="008E3D83">
        <w:t xml:space="preserve">the rate of </w:t>
      </w:r>
      <w:r w:rsidR="00994EFD" w:rsidRPr="00994EFD">
        <w:t>persistence (</w:t>
      </w:r>
      <w:r w:rsidR="00994EFD" w:rsidRPr="00994EFD">
        <w:rPr>
          <w:szCs w:val="20"/>
        </w:rPr>
        <w:t>i.e. the rate at which previously occupied sites remain occupied)</w:t>
      </w:r>
      <w:r w:rsidR="00994EFD" w:rsidRPr="00994EFD">
        <w:t xml:space="preserve"> and (iv) </w:t>
      </w:r>
      <w:r w:rsidR="008E3D83">
        <w:t xml:space="preserve">the rate of </w:t>
      </w:r>
      <w:r w:rsidR="00994EFD" w:rsidRPr="00994EFD">
        <w:t xml:space="preserve">growth </w:t>
      </w:r>
      <w:r w:rsidR="00994EFD" w:rsidRPr="00994EFD">
        <w:rPr>
          <w:szCs w:val="20"/>
        </w:rPr>
        <w:t>(i.e. the rate at which occupied sites increase over time)</w:t>
      </w:r>
      <w:r w:rsidR="008E3D83">
        <w:rPr>
          <w:szCs w:val="20"/>
        </w:rPr>
        <w:t>, comparing the data for</w:t>
      </w:r>
      <w:r w:rsidR="00994EFD" w:rsidRPr="00994EFD">
        <w:t xml:space="preserve"> locations with and without ongoing fox control.</w:t>
      </w:r>
    </w:p>
    <w:p w14:paraId="08AAA39F" w14:textId="24386490" w:rsidR="00FF150E" w:rsidRPr="007B6825" w:rsidRDefault="00526920" w:rsidP="003F2FBC">
      <w:r>
        <w:t>It was predicted</w:t>
      </w:r>
      <w:r w:rsidR="00FF150E" w:rsidRPr="007B6825">
        <w:t xml:space="preserve"> that if fox control has been effective at Glenelg Ark, the three target species should exhibit niche expansion</w:t>
      </w:r>
      <w:r>
        <w:t>,</w:t>
      </w:r>
      <w:r w:rsidR="00FF150E">
        <w:t xml:space="preserve"> </w:t>
      </w:r>
      <w:r>
        <w:t xml:space="preserve">which would be </w:t>
      </w:r>
      <w:r w:rsidR="00FF150E">
        <w:t xml:space="preserve">indicated </w:t>
      </w:r>
      <w:r>
        <w:t>if</w:t>
      </w:r>
      <w:r w:rsidR="00FF150E" w:rsidRPr="007B6825">
        <w:t>:</w:t>
      </w:r>
    </w:p>
    <w:p w14:paraId="1553CBCD" w14:textId="34D43CD7" w:rsidR="00FF150E" w:rsidRPr="003F2FBC" w:rsidRDefault="006C7B38" w:rsidP="003F2FBC">
      <w:pPr>
        <w:pStyle w:val="ARIERBody"/>
        <w:numPr>
          <w:ilvl w:val="0"/>
          <w:numId w:val="38"/>
        </w:numPr>
        <w:rPr>
          <w:rFonts w:ascii="Arial" w:hAnsi="Arial"/>
          <w:sz w:val="20"/>
          <w:szCs w:val="20"/>
        </w:rPr>
      </w:pPr>
      <w:r>
        <w:rPr>
          <w:rFonts w:ascii="Arial" w:hAnsi="Arial"/>
          <w:sz w:val="20"/>
          <w:szCs w:val="20"/>
        </w:rPr>
        <w:t>C</w:t>
      </w:r>
      <w:r w:rsidR="00526920">
        <w:rPr>
          <w:rFonts w:ascii="Arial" w:hAnsi="Arial"/>
          <w:sz w:val="20"/>
          <w:szCs w:val="20"/>
        </w:rPr>
        <w:t xml:space="preserve">olonisation </w:t>
      </w:r>
      <w:r w:rsidR="003F2FBC">
        <w:rPr>
          <w:rFonts w:ascii="Arial" w:hAnsi="Arial"/>
          <w:sz w:val="20"/>
          <w:szCs w:val="20"/>
        </w:rPr>
        <w:t xml:space="preserve">rates </w:t>
      </w:r>
      <w:r w:rsidR="002A2CA5">
        <w:rPr>
          <w:rFonts w:ascii="Arial" w:hAnsi="Arial"/>
          <w:sz w:val="20"/>
          <w:szCs w:val="20"/>
        </w:rPr>
        <w:t>are</w:t>
      </w:r>
      <w:r w:rsidR="00994EFD">
        <w:rPr>
          <w:rFonts w:ascii="Arial" w:hAnsi="Arial"/>
          <w:sz w:val="20"/>
          <w:szCs w:val="20"/>
        </w:rPr>
        <w:t xml:space="preserve"> </w:t>
      </w:r>
      <w:r w:rsidR="00FF150E" w:rsidRPr="003F2FBC">
        <w:rPr>
          <w:rFonts w:ascii="Arial" w:hAnsi="Arial"/>
          <w:sz w:val="20"/>
          <w:szCs w:val="20"/>
        </w:rPr>
        <w:t>positive</w:t>
      </w:r>
      <w:r w:rsidR="003F2FBC">
        <w:rPr>
          <w:rFonts w:ascii="Arial" w:hAnsi="Arial"/>
          <w:sz w:val="20"/>
          <w:szCs w:val="20"/>
        </w:rPr>
        <w:t>ly</w:t>
      </w:r>
      <w:r w:rsidR="00FF150E" w:rsidRPr="003F2FBC">
        <w:rPr>
          <w:rFonts w:ascii="Arial" w:hAnsi="Arial"/>
          <w:sz w:val="20"/>
          <w:szCs w:val="20"/>
        </w:rPr>
        <w:t xml:space="preserve"> </w:t>
      </w:r>
      <w:r w:rsidR="003F2FBC">
        <w:rPr>
          <w:rFonts w:ascii="Arial" w:hAnsi="Arial"/>
          <w:sz w:val="20"/>
          <w:szCs w:val="20"/>
        </w:rPr>
        <w:t xml:space="preserve">associated with </w:t>
      </w:r>
      <w:r w:rsidR="00FF150E" w:rsidRPr="003F2FBC">
        <w:rPr>
          <w:rFonts w:ascii="Arial" w:hAnsi="Arial"/>
          <w:sz w:val="20"/>
          <w:szCs w:val="20"/>
        </w:rPr>
        <w:t>fox control</w:t>
      </w:r>
      <w:r w:rsidR="00526920">
        <w:rPr>
          <w:rFonts w:ascii="Arial" w:hAnsi="Arial"/>
          <w:sz w:val="20"/>
          <w:szCs w:val="20"/>
        </w:rPr>
        <w:t>: i</w:t>
      </w:r>
      <w:r w:rsidR="00FF150E" w:rsidRPr="003F2FBC">
        <w:rPr>
          <w:rFonts w:ascii="Arial" w:hAnsi="Arial"/>
          <w:sz w:val="20"/>
          <w:szCs w:val="20"/>
        </w:rPr>
        <w:t xml:space="preserve">f </w:t>
      </w:r>
      <w:r w:rsidR="00526920">
        <w:rPr>
          <w:rFonts w:ascii="Arial" w:hAnsi="Arial"/>
          <w:sz w:val="20"/>
          <w:szCs w:val="20"/>
        </w:rPr>
        <w:t xml:space="preserve">a </w:t>
      </w:r>
      <w:r w:rsidR="00FF150E" w:rsidRPr="003F2FBC">
        <w:rPr>
          <w:rFonts w:ascii="Arial" w:hAnsi="Arial"/>
          <w:sz w:val="20"/>
          <w:szCs w:val="20"/>
        </w:rPr>
        <w:t>species</w:t>
      </w:r>
      <w:r w:rsidR="00526920">
        <w:rPr>
          <w:rFonts w:ascii="Arial" w:hAnsi="Arial"/>
          <w:sz w:val="20"/>
          <w:szCs w:val="20"/>
        </w:rPr>
        <w:t>’</w:t>
      </w:r>
      <w:r w:rsidR="00FF150E" w:rsidRPr="003F2FBC">
        <w:rPr>
          <w:rFonts w:ascii="Arial" w:hAnsi="Arial"/>
          <w:sz w:val="20"/>
          <w:szCs w:val="20"/>
        </w:rPr>
        <w:t xml:space="preserve"> </w:t>
      </w:r>
      <w:r w:rsidR="003F2FBC">
        <w:rPr>
          <w:rFonts w:ascii="Arial" w:hAnsi="Arial"/>
          <w:sz w:val="20"/>
          <w:szCs w:val="20"/>
        </w:rPr>
        <w:t xml:space="preserve">niche is </w:t>
      </w:r>
      <w:r w:rsidR="00FF150E" w:rsidRPr="003F2FBC">
        <w:rPr>
          <w:rFonts w:ascii="Arial" w:hAnsi="Arial"/>
          <w:sz w:val="20"/>
          <w:szCs w:val="20"/>
        </w:rPr>
        <w:t xml:space="preserve">limited by predation, </w:t>
      </w:r>
      <w:r w:rsidR="003F2FBC">
        <w:rPr>
          <w:rFonts w:ascii="Arial" w:hAnsi="Arial"/>
          <w:sz w:val="20"/>
          <w:szCs w:val="20"/>
        </w:rPr>
        <w:t>reduced predation pressure should result</w:t>
      </w:r>
      <w:r w:rsidR="002A2CA5">
        <w:rPr>
          <w:rFonts w:ascii="Arial" w:hAnsi="Arial"/>
          <w:sz w:val="20"/>
          <w:szCs w:val="20"/>
        </w:rPr>
        <w:t xml:space="preserve"> in</w:t>
      </w:r>
      <w:r w:rsidR="003F2FBC">
        <w:rPr>
          <w:rFonts w:ascii="Arial" w:hAnsi="Arial"/>
          <w:sz w:val="20"/>
          <w:szCs w:val="20"/>
        </w:rPr>
        <w:t xml:space="preserve"> </w:t>
      </w:r>
      <w:r w:rsidR="00FF150E" w:rsidRPr="003F2FBC">
        <w:rPr>
          <w:rFonts w:ascii="Arial" w:hAnsi="Arial"/>
          <w:sz w:val="20"/>
          <w:szCs w:val="20"/>
        </w:rPr>
        <w:t>individuals occupying new sites as the population expands</w:t>
      </w:r>
      <w:r w:rsidR="003F2FBC">
        <w:rPr>
          <w:rFonts w:ascii="Arial" w:hAnsi="Arial"/>
          <w:sz w:val="20"/>
          <w:szCs w:val="20"/>
        </w:rPr>
        <w:t>.</w:t>
      </w:r>
    </w:p>
    <w:p w14:paraId="4ABE446C" w14:textId="1AE2B4A1" w:rsidR="00FF150E" w:rsidRPr="003F2FBC" w:rsidRDefault="006C7B38" w:rsidP="003F2FBC">
      <w:pPr>
        <w:pStyle w:val="ARIERBody"/>
        <w:numPr>
          <w:ilvl w:val="0"/>
          <w:numId w:val="38"/>
        </w:numPr>
        <w:rPr>
          <w:rFonts w:ascii="Arial" w:hAnsi="Arial"/>
          <w:sz w:val="20"/>
          <w:szCs w:val="20"/>
        </w:rPr>
      </w:pPr>
      <w:r>
        <w:rPr>
          <w:rFonts w:ascii="Arial" w:hAnsi="Arial"/>
          <w:sz w:val="20"/>
          <w:szCs w:val="20"/>
        </w:rPr>
        <w:t>P</w:t>
      </w:r>
      <w:r w:rsidR="00526920">
        <w:rPr>
          <w:rFonts w:ascii="Arial" w:hAnsi="Arial"/>
          <w:sz w:val="20"/>
          <w:szCs w:val="20"/>
        </w:rPr>
        <w:t xml:space="preserve">ersistence </w:t>
      </w:r>
      <w:r w:rsidR="003F2FBC">
        <w:rPr>
          <w:rFonts w:ascii="Arial" w:hAnsi="Arial"/>
          <w:sz w:val="20"/>
          <w:szCs w:val="20"/>
        </w:rPr>
        <w:t xml:space="preserve">rates </w:t>
      </w:r>
      <w:r w:rsidR="002A2CA5">
        <w:rPr>
          <w:rFonts w:ascii="Arial" w:hAnsi="Arial"/>
          <w:sz w:val="20"/>
          <w:szCs w:val="20"/>
        </w:rPr>
        <w:t>are</w:t>
      </w:r>
      <w:r w:rsidR="003F2FBC">
        <w:rPr>
          <w:rFonts w:ascii="Arial" w:hAnsi="Arial"/>
          <w:sz w:val="20"/>
          <w:szCs w:val="20"/>
        </w:rPr>
        <w:t xml:space="preserve"> positively associated with </w:t>
      </w:r>
      <w:r w:rsidR="00FF150E" w:rsidRPr="003F2FBC">
        <w:rPr>
          <w:rFonts w:ascii="Arial" w:hAnsi="Arial"/>
          <w:sz w:val="20"/>
          <w:szCs w:val="20"/>
        </w:rPr>
        <w:t>fox control</w:t>
      </w:r>
      <w:r w:rsidR="00526920">
        <w:rPr>
          <w:rFonts w:ascii="Arial" w:hAnsi="Arial"/>
          <w:sz w:val="20"/>
          <w:szCs w:val="20"/>
        </w:rPr>
        <w:t>: i</w:t>
      </w:r>
      <w:r w:rsidR="00FF150E" w:rsidRPr="003F2FBC">
        <w:rPr>
          <w:rFonts w:ascii="Arial" w:hAnsi="Arial"/>
          <w:sz w:val="20"/>
          <w:szCs w:val="20"/>
        </w:rPr>
        <w:t xml:space="preserve">f </w:t>
      </w:r>
      <w:r w:rsidR="003F2FBC">
        <w:rPr>
          <w:rFonts w:ascii="Arial" w:hAnsi="Arial"/>
          <w:sz w:val="20"/>
          <w:szCs w:val="20"/>
        </w:rPr>
        <w:t xml:space="preserve">a specie niche is limited by </w:t>
      </w:r>
      <w:r w:rsidR="00FF150E" w:rsidRPr="003F2FBC">
        <w:rPr>
          <w:rFonts w:ascii="Arial" w:hAnsi="Arial"/>
          <w:sz w:val="20"/>
          <w:szCs w:val="20"/>
        </w:rPr>
        <w:t>predation</w:t>
      </w:r>
      <w:r w:rsidR="003F2FBC">
        <w:rPr>
          <w:rFonts w:ascii="Arial" w:hAnsi="Arial"/>
          <w:sz w:val="20"/>
          <w:szCs w:val="20"/>
        </w:rPr>
        <w:t>, reduced predation pressure</w:t>
      </w:r>
      <w:r w:rsidR="00FF150E" w:rsidRPr="003F2FBC">
        <w:rPr>
          <w:rFonts w:ascii="Arial" w:hAnsi="Arial"/>
          <w:sz w:val="20"/>
          <w:szCs w:val="20"/>
        </w:rPr>
        <w:t xml:space="preserve"> should </w:t>
      </w:r>
      <w:r w:rsidR="003F2FBC">
        <w:rPr>
          <w:rFonts w:ascii="Arial" w:hAnsi="Arial"/>
          <w:sz w:val="20"/>
          <w:szCs w:val="20"/>
        </w:rPr>
        <w:t xml:space="preserve">result in </w:t>
      </w:r>
      <w:r w:rsidR="00FF150E" w:rsidRPr="003F2FBC">
        <w:rPr>
          <w:rFonts w:ascii="Arial" w:hAnsi="Arial"/>
          <w:sz w:val="20"/>
          <w:szCs w:val="20"/>
        </w:rPr>
        <w:t xml:space="preserve">higher </w:t>
      </w:r>
      <w:r w:rsidR="003F2FBC">
        <w:rPr>
          <w:rFonts w:ascii="Arial" w:hAnsi="Arial"/>
          <w:sz w:val="20"/>
          <w:szCs w:val="20"/>
        </w:rPr>
        <w:t xml:space="preserve">persistence rates </w:t>
      </w:r>
      <w:r w:rsidR="00526920">
        <w:rPr>
          <w:rFonts w:ascii="Arial" w:hAnsi="Arial"/>
          <w:sz w:val="20"/>
          <w:szCs w:val="20"/>
        </w:rPr>
        <w:t>at</w:t>
      </w:r>
      <w:r w:rsidR="00526920" w:rsidRPr="003F2FBC">
        <w:rPr>
          <w:rFonts w:ascii="Arial" w:hAnsi="Arial"/>
          <w:sz w:val="20"/>
          <w:szCs w:val="20"/>
        </w:rPr>
        <w:t xml:space="preserve"> </w:t>
      </w:r>
      <w:r w:rsidR="00FF150E" w:rsidRPr="003F2FBC">
        <w:rPr>
          <w:rFonts w:ascii="Arial" w:hAnsi="Arial"/>
          <w:sz w:val="20"/>
          <w:szCs w:val="20"/>
        </w:rPr>
        <w:t xml:space="preserve">locations with fewer foxes </w:t>
      </w:r>
      <w:r w:rsidR="008D714F">
        <w:rPr>
          <w:rFonts w:ascii="Arial" w:hAnsi="Arial"/>
          <w:sz w:val="20"/>
          <w:szCs w:val="20"/>
        </w:rPr>
        <w:t>than</w:t>
      </w:r>
      <w:r w:rsidR="00FF150E" w:rsidRPr="003F2FBC">
        <w:rPr>
          <w:rFonts w:ascii="Arial" w:hAnsi="Arial"/>
          <w:sz w:val="20"/>
          <w:szCs w:val="20"/>
        </w:rPr>
        <w:t xml:space="preserve"> </w:t>
      </w:r>
      <w:r w:rsidR="00526920">
        <w:rPr>
          <w:rFonts w:ascii="Arial" w:hAnsi="Arial"/>
          <w:sz w:val="20"/>
          <w:szCs w:val="20"/>
        </w:rPr>
        <w:t xml:space="preserve">at </w:t>
      </w:r>
      <w:r w:rsidR="00FF150E" w:rsidRPr="003F2FBC">
        <w:rPr>
          <w:rFonts w:ascii="Arial" w:hAnsi="Arial"/>
          <w:sz w:val="20"/>
          <w:szCs w:val="20"/>
        </w:rPr>
        <w:t>locations with more foxes</w:t>
      </w:r>
      <w:r w:rsidR="003F2FBC">
        <w:rPr>
          <w:rFonts w:ascii="Arial" w:hAnsi="Arial"/>
          <w:sz w:val="20"/>
          <w:szCs w:val="20"/>
        </w:rPr>
        <w:t>.</w:t>
      </w:r>
    </w:p>
    <w:p w14:paraId="2AAB4F7E" w14:textId="39E6C0F1" w:rsidR="00FF150E" w:rsidRPr="003F2FBC" w:rsidRDefault="006C7B38" w:rsidP="003F2FBC">
      <w:pPr>
        <w:pStyle w:val="ARIERBody"/>
        <w:numPr>
          <w:ilvl w:val="0"/>
          <w:numId w:val="38"/>
        </w:numPr>
        <w:rPr>
          <w:rFonts w:ascii="Arial" w:hAnsi="Arial"/>
          <w:sz w:val="20"/>
          <w:szCs w:val="20"/>
        </w:rPr>
      </w:pPr>
      <w:r>
        <w:rPr>
          <w:rFonts w:ascii="Arial" w:hAnsi="Arial"/>
          <w:sz w:val="20"/>
          <w:szCs w:val="20"/>
        </w:rPr>
        <w:t xml:space="preserve">The above </w:t>
      </w:r>
      <w:r w:rsidR="003F2FBC">
        <w:rPr>
          <w:rFonts w:ascii="Arial" w:hAnsi="Arial"/>
          <w:sz w:val="20"/>
          <w:szCs w:val="20"/>
        </w:rPr>
        <w:t xml:space="preserve">rates </w:t>
      </w:r>
      <w:r w:rsidR="002A2CA5">
        <w:rPr>
          <w:rFonts w:ascii="Arial" w:hAnsi="Arial"/>
          <w:sz w:val="20"/>
          <w:szCs w:val="20"/>
        </w:rPr>
        <w:t>are</w:t>
      </w:r>
      <w:r w:rsidR="003F2FBC">
        <w:rPr>
          <w:rFonts w:ascii="Arial" w:hAnsi="Arial"/>
          <w:sz w:val="20"/>
          <w:szCs w:val="20"/>
        </w:rPr>
        <w:t xml:space="preserve"> greater </w:t>
      </w:r>
      <w:r w:rsidR="00526920">
        <w:rPr>
          <w:rFonts w:ascii="Arial" w:hAnsi="Arial"/>
          <w:sz w:val="20"/>
          <w:szCs w:val="20"/>
        </w:rPr>
        <w:t xml:space="preserve">at locations </w:t>
      </w:r>
      <w:r w:rsidR="003F2FBC">
        <w:rPr>
          <w:rFonts w:ascii="Arial" w:hAnsi="Arial"/>
          <w:sz w:val="20"/>
          <w:szCs w:val="20"/>
        </w:rPr>
        <w:t xml:space="preserve">sites with fox control </w:t>
      </w:r>
      <w:r w:rsidR="00526920">
        <w:rPr>
          <w:rFonts w:ascii="Arial" w:hAnsi="Arial"/>
          <w:sz w:val="20"/>
          <w:szCs w:val="20"/>
        </w:rPr>
        <w:t>than at</w:t>
      </w:r>
      <w:r w:rsidR="003F2FBC">
        <w:rPr>
          <w:rFonts w:ascii="Arial" w:hAnsi="Arial"/>
          <w:sz w:val="20"/>
          <w:szCs w:val="20"/>
        </w:rPr>
        <w:t xml:space="preserve"> locations without</w:t>
      </w:r>
      <w:r w:rsidR="008D714F">
        <w:rPr>
          <w:rFonts w:ascii="Arial" w:hAnsi="Arial"/>
          <w:sz w:val="20"/>
          <w:szCs w:val="20"/>
        </w:rPr>
        <w:t xml:space="preserve"> </w:t>
      </w:r>
      <w:r w:rsidR="00526920">
        <w:rPr>
          <w:rFonts w:ascii="Arial" w:hAnsi="Arial"/>
          <w:sz w:val="20"/>
          <w:szCs w:val="20"/>
        </w:rPr>
        <w:t xml:space="preserve">fox </w:t>
      </w:r>
      <w:r w:rsidR="008D714F">
        <w:rPr>
          <w:rFonts w:ascii="Arial" w:hAnsi="Arial"/>
          <w:sz w:val="20"/>
          <w:szCs w:val="20"/>
        </w:rPr>
        <w:t>control</w:t>
      </w:r>
      <w:r w:rsidR="00FF150E" w:rsidRPr="003F2FBC">
        <w:rPr>
          <w:rFonts w:ascii="Arial" w:hAnsi="Arial"/>
          <w:sz w:val="20"/>
          <w:szCs w:val="20"/>
        </w:rPr>
        <w:t>.</w:t>
      </w:r>
    </w:p>
    <w:p w14:paraId="4942BCED" w14:textId="366A24E3" w:rsidR="00994EFD" w:rsidRDefault="00FF150E" w:rsidP="00994EFD">
      <w:r w:rsidRPr="007B6825">
        <w:t>This report updates the previous monitoring and evaluation report (Robley et al. 201</w:t>
      </w:r>
      <w:r w:rsidR="00994EFD">
        <w:t>9</w:t>
      </w:r>
      <w:r w:rsidRPr="007B6825">
        <w:t>) by incorporating new data on the outcome</w:t>
      </w:r>
      <w:r w:rsidR="003D6E04">
        <w:t>s</w:t>
      </w:r>
      <w:r w:rsidRPr="007B6825">
        <w:t xml:space="preserve"> of the fox control operation</w:t>
      </w:r>
      <w:r w:rsidR="003D6E04">
        <w:t xml:space="preserve"> as </w:t>
      </w:r>
      <w:r w:rsidR="00A434BA">
        <w:t>of</w:t>
      </w:r>
      <w:r w:rsidR="003D6E04">
        <w:t xml:space="preserve"> 2020, including</w:t>
      </w:r>
      <w:r w:rsidRPr="007B6825">
        <w:t xml:space="preserve"> </w:t>
      </w:r>
      <w:r w:rsidR="003D6E04">
        <w:t xml:space="preserve">data from monitoring of the target </w:t>
      </w:r>
      <w:r w:rsidRPr="007B6825">
        <w:lastRenderedPageBreak/>
        <w:t xml:space="preserve">native species. </w:t>
      </w:r>
      <w:r w:rsidR="003D6E04">
        <w:t>A</w:t>
      </w:r>
      <w:r w:rsidR="00523303">
        <w:t xml:space="preserve"> revised occupancy modelling approach </w:t>
      </w:r>
      <w:r w:rsidR="00536A70">
        <w:t>has been</w:t>
      </w:r>
      <w:r w:rsidR="003D6E04">
        <w:t xml:space="preserve"> implemented (</w:t>
      </w:r>
      <w:r w:rsidR="00523303">
        <w:t>inc</w:t>
      </w:r>
      <w:r w:rsidR="008D714F">
        <w:t>lud</w:t>
      </w:r>
      <w:r w:rsidR="00523303">
        <w:t xml:space="preserve">ing a set of plausible environmental variables </w:t>
      </w:r>
      <w:r w:rsidR="003D6E04">
        <w:t xml:space="preserve">for exploring </w:t>
      </w:r>
      <w:r w:rsidR="00523303">
        <w:t xml:space="preserve">drivers </w:t>
      </w:r>
      <w:r w:rsidR="003D6E04">
        <w:t>of the response of</w:t>
      </w:r>
      <w:r w:rsidR="00523303">
        <w:t xml:space="preserve"> target species to a changed level of predation risk</w:t>
      </w:r>
      <w:r w:rsidR="003D6E04">
        <w:t>)</w:t>
      </w:r>
      <w:r w:rsidR="00523303">
        <w:t xml:space="preserve">. </w:t>
      </w:r>
      <w:r w:rsidR="00536A70" w:rsidRPr="000421BC">
        <w:t>Finally, in this report, f</w:t>
      </w:r>
      <w:r w:rsidR="00523303" w:rsidRPr="000421BC">
        <w:t>uture directions for the monitoring and evaluation of Glenelg Ark</w:t>
      </w:r>
      <w:r w:rsidR="003D6E04" w:rsidRPr="000421BC">
        <w:t xml:space="preserve"> have been </w:t>
      </w:r>
      <w:r w:rsidR="00536A70" w:rsidRPr="000421BC">
        <w:t>suggest</w:t>
      </w:r>
      <w:r w:rsidR="003D6E04" w:rsidRPr="000421BC">
        <w:t>ed</w:t>
      </w:r>
      <w:r w:rsidRPr="000421BC">
        <w:t>. The outcome is that land managers, policymakers and the community can now make informed, evidence-based assessments of the success of this broadscale mainland fox control operation and have the information necessary for decision-making about future directions.</w:t>
      </w:r>
      <w:bookmarkStart w:id="26" w:name="_Toc286018763"/>
      <w:bookmarkEnd w:id="22"/>
    </w:p>
    <w:p w14:paraId="50EF8345" w14:textId="007BA252" w:rsidR="00994EFD" w:rsidRDefault="00994EFD" w:rsidP="00994EFD"/>
    <w:p w14:paraId="135E895C" w14:textId="039A15CB" w:rsidR="00980E26" w:rsidRPr="00CE7E5D" w:rsidRDefault="00980E26" w:rsidP="00994EFD">
      <w:pPr>
        <w:pStyle w:val="Heading1-Numbered"/>
      </w:pPr>
      <w:bookmarkStart w:id="27" w:name="_Toc110599591"/>
      <w:r w:rsidRPr="00CE7E5D">
        <w:t>Method</w:t>
      </w:r>
      <w:bookmarkEnd w:id="26"/>
      <w:r w:rsidR="00B705CE" w:rsidRPr="00CE7E5D">
        <w:t>s</w:t>
      </w:r>
      <w:bookmarkEnd w:id="27"/>
    </w:p>
    <w:p w14:paraId="2CC85501" w14:textId="04B6D96A" w:rsidR="002D1AD6" w:rsidRPr="007B6825" w:rsidRDefault="002D1AD6" w:rsidP="009776F4">
      <w:pPr>
        <w:pStyle w:val="Heading2-Numbered"/>
      </w:pPr>
      <w:bookmarkStart w:id="28" w:name="_Toc13824657"/>
      <w:bookmarkStart w:id="29" w:name="_Toc57381061"/>
      <w:bookmarkStart w:id="30" w:name="_Toc110599592"/>
      <w:r w:rsidRPr="007B6825">
        <w:t xml:space="preserve">Glenelg Ark </w:t>
      </w:r>
      <w:r w:rsidR="006C7B38">
        <w:t>operations</w:t>
      </w:r>
      <w:r w:rsidRPr="007B6825">
        <w:t xml:space="preserve"> area</w:t>
      </w:r>
      <w:bookmarkEnd w:id="28"/>
      <w:bookmarkEnd w:id="29"/>
      <w:bookmarkEnd w:id="30"/>
    </w:p>
    <w:p w14:paraId="5F05FB79" w14:textId="78D8B9EE" w:rsidR="00EE26D1" w:rsidRDefault="002D1AD6" w:rsidP="002D1AD6">
      <w:r w:rsidRPr="007B6825">
        <w:t xml:space="preserve">The Glenelg Ark </w:t>
      </w:r>
      <w:r w:rsidR="006C7B38">
        <w:t>operations</w:t>
      </w:r>
      <w:r w:rsidRPr="007B6825">
        <w:t xml:space="preserve"> area is in far south-western Victoria, near the township of Heywood (38°07'50"S, 147°37'45"E), and </w:t>
      </w:r>
      <w:r w:rsidR="00A434BA">
        <w:t>covers 90,000 ha of public land</w:t>
      </w:r>
      <w:r w:rsidR="00EE26D1">
        <w:t xml:space="preserve"> (Figure 1)</w:t>
      </w:r>
      <w:r w:rsidR="00A434BA">
        <w:t>.</w:t>
      </w:r>
      <w:r w:rsidR="00EE26D1">
        <w:t xml:space="preserve"> </w:t>
      </w:r>
    </w:p>
    <w:p w14:paraId="3945AF34" w14:textId="4B53C94F" w:rsidR="00EE26D1" w:rsidRDefault="00EE26D1" w:rsidP="002D1AD6">
      <w:r>
        <w:t xml:space="preserve">Fox control was consolidated in the southern half of the overall </w:t>
      </w:r>
      <w:r w:rsidR="00F00719">
        <w:t>operations</w:t>
      </w:r>
      <w:r>
        <w:t xml:space="preserve"> area to achieve a broadscale reduction in the abundance of foxes across the public land areas. Ideally, fox control would have been randomly allocated across the available public land blocks. This would have increased the strength of any assessment of the impact of fox control (the treatment) on the response (change in native species). </w:t>
      </w:r>
      <w:r w:rsidR="002D4720">
        <w:t xml:space="preserve"> </w:t>
      </w:r>
    </w:p>
    <w:p w14:paraId="4CB7D23E" w14:textId="3C2A1197" w:rsidR="00B96212" w:rsidRDefault="002D4720" w:rsidP="002D1AD6">
      <w:r>
        <w:t>Fox baiting using commercial shelf stable bait containing either s</w:t>
      </w:r>
      <w:r w:rsidRPr="002D4720">
        <w:t>odium fluoroacetate</w:t>
      </w:r>
      <w:r>
        <w:t xml:space="preserve"> (known as 1080) or </w:t>
      </w:r>
      <w:r w:rsidRPr="002D4720">
        <w:t>para-</w:t>
      </w:r>
      <w:proofErr w:type="spellStart"/>
      <w:r w:rsidRPr="002D4720">
        <w:t>aminopropiophenone</w:t>
      </w:r>
      <w:proofErr w:type="spellEnd"/>
      <w:r>
        <w:t xml:space="preserve"> (known as PAPP) is undertaken by burying a single bait in a bait station (Figure 1). Baits stations are checked every fortnight and taken baits replaced</w:t>
      </w:r>
      <w:r w:rsidR="00D407D3">
        <w:t xml:space="preserve"> year-round</w:t>
      </w:r>
      <w:r>
        <w:t>.</w:t>
      </w:r>
      <w:r w:rsidR="00B96212">
        <w:t xml:space="preserve"> </w:t>
      </w:r>
    </w:p>
    <w:p w14:paraId="58749294" w14:textId="77777777" w:rsidR="009776F4" w:rsidRDefault="009776F4" w:rsidP="009776F4">
      <w:pPr>
        <w:pStyle w:val="Heading2-Numbered"/>
      </w:pPr>
      <w:bookmarkStart w:id="31" w:name="_Toc110599593"/>
      <w:r>
        <w:t>Monitoring and evaluation design</w:t>
      </w:r>
      <w:bookmarkEnd w:id="31"/>
    </w:p>
    <w:p w14:paraId="0B2818CD" w14:textId="320B94BE" w:rsidR="0096013C" w:rsidRDefault="002D1AD6" w:rsidP="002D1AD6">
      <w:r>
        <w:t xml:space="preserve">Three treatment monitoring </w:t>
      </w:r>
      <w:r w:rsidRPr="002A2CA5">
        <w:t>locations (TMLs)</w:t>
      </w:r>
      <w:r>
        <w:t xml:space="preserve"> </w:t>
      </w:r>
      <w:r w:rsidR="00E602DD">
        <w:t>(</w:t>
      </w:r>
      <w:r w:rsidR="00191029">
        <w:t>i.e.</w:t>
      </w:r>
      <w:r>
        <w:t xml:space="preserve"> locations </w:t>
      </w:r>
      <w:r w:rsidR="000641DF">
        <w:t>with</w:t>
      </w:r>
      <w:r>
        <w:t xml:space="preserve"> fox control</w:t>
      </w:r>
      <w:r w:rsidR="00E602DD">
        <w:t>)</w:t>
      </w:r>
      <w:r>
        <w:t xml:space="preserve"> and three non-treatment monitoring </w:t>
      </w:r>
      <w:r w:rsidRPr="002A2CA5">
        <w:t xml:space="preserve">locations (NTMLs) </w:t>
      </w:r>
      <w:r w:rsidR="00E602DD">
        <w:t>(</w:t>
      </w:r>
      <w:r w:rsidR="00191029" w:rsidRPr="002A2CA5">
        <w:t>i</w:t>
      </w:r>
      <w:r w:rsidR="00191029">
        <w:t>.e.</w:t>
      </w:r>
      <w:r>
        <w:t xml:space="preserve"> locations </w:t>
      </w:r>
      <w:r w:rsidR="000641DF">
        <w:t>without</w:t>
      </w:r>
      <w:r>
        <w:t xml:space="preserve"> fox control</w:t>
      </w:r>
      <w:r w:rsidR="00E602DD">
        <w:t>)</w:t>
      </w:r>
      <w:r>
        <w:t xml:space="preserve"> (Figure 1) were used to assess the benefits of fox control to native species. These areas were matched as best as possible for </w:t>
      </w:r>
      <w:r w:rsidR="00C62ACA">
        <w:t xml:space="preserve">EVCs </w:t>
      </w:r>
      <w:r>
        <w:t xml:space="preserve">and fire history. There had been little fox control in the TMLs and NTMLs </w:t>
      </w:r>
      <w:r w:rsidR="002A2CA5">
        <w:t>before</w:t>
      </w:r>
      <w:r>
        <w:t xml:space="preserve"> 2005. </w:t>
      </w:r>
    </w:p>
    <w:p w14:paraId="2CB0CC2D" w14:textId="77777777" w:rsidR="002D4720" w:rsidRDefault="002D4720" w:rsidP="002D4720">
      <w:r w:rsidRPr="007B6825">
        <w:t xml:space="preserve">The main </w:t>
      </w:r>
      <w:r>
        <w:t>Ecological Vegetation Classes</w:t>
      </w:r>
      <w:r w:rsidRPr="007B6825" w:rsidDel="00C62ACA">
        <w:t xml:space="preserve"> </w:t>
      </w:r>
      <w:r>
        <w:t>(EVC</w:t>
      </w:r>
      <w:r w:rsidRPr="007B6825">
        <w:t>s</w:t>
      </w:r>
      <w:r>
        <w:t>)</w:t>
      </w:r>
      <w:r w:rsidRPr="007B6825">
        <w:t xml:space="preserve"> across all six locations are Heathy Woodland, Lowland Forest, Herb-rich Woodland, and Wet Heathland. The area receives an average annual rainfall of 700 mm, and the average minimum and maximum temperatures are 8.1°C and 17.6°C, respectively.</w:t>
      </w:r>
    </w:p>
    <w:p w14:paraId="03C56948" w14:textId="77777777" w:rsidR="002D4720" w:rsidRDefault="002D4720" w:rsidP="002D1AD6"/>
    <w:p w14:paraId="3D21644B" w14:textId="77777777" w:rsidR="0096013C" w:rsidRDefault="0096013C">
      <w:r>
        <w:br w:type="page"/>
      </w:r>
    </w:p>
    <w:p w14:paraId="1C4C2C91" w14:textId="6927FC1D" w:rsidR="002D1AD6" w:rsidRDefault="00CF46F7" w:rsidP="002D1AD6">
      <w:r>
        <w:rPr>
          <w:noProof/>
        </w:rPr>
        <w:lastRenderedPageBreak/>
        <w:drawing>
          <wp:inline distT="0" distB="0" distL="0" distR="0" wp14:anchorId="3DFFCC9C" wp14:editId="7FEDB967">
            <wp:extent cx="5448300" cy="4972050"/>
            <wp:effectExtent l="0" t="0" r="0" b="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5448300" cy="4972050"/>
                    </a:xfrm>
                    <a:prstGeom prst="rect">
                      <a:avLst/>
                    </a:prstGeom>
                    <a:ln>
                      <a:noFill/>
                    </a:ln>
                    <a:extLst>
                      <a:ext uri="{53640926-AAD7-44D8-BBD7-CCE9431645EC}">
                        <a14:shadowObscured xmlns:a14="http://schemas.microsoft.com/office/drawing/2010/main"/>
                      </a:ext>
                    </a:extLst>
                  </pic:spPr>
                </pic:pic>
              </a:graphicData>
            </a:graphic>
          </wp:inline>
        </w:drawing>
      </w:r>
      <w:r w:rsidR="002D1AD6">
        <w:t xml:space="preserve"> </w:t>
      </w:r>
    </w:p>
    <w:p w14:paraId="5F15BF17" w14:textId="4DDF2423" w:rsidR="002D1AD6" w:rsidRPr="004D00CE" w:rsidRDefault="002D1AD6" w:rsidP="00091D5C">
      <w:pPr>
        <w:pStyle w:val="Caption-Figure"/>
      </w:pPr>
      <w:bookmarkStart w:id="32" w:name="_Toc110599618"/>
      <w:r>
        <w:t xml:space="preserve">Figure 1. Glenelg Ark </w:t>
      </w:r>
      <w:r w:rsidR="00F00719">
        <w:t>operations</w:t>
      </w:r>
      <w:r>
        <w:t xml:space="preserve"> area</w:t>
      </w:r>
      <w:r w:rsidR="00982D04">
        <w:t xml:space="preserve">. </w:t>
      </w:r>
      <w:r w:rsidRPr="00091D5C">
        <w:rPr>
          <w:b w:val="0"/>
        </w:rPr>
        <w:t xml:space="preserve">Green </w:t>
      </w:r>
      <w:r w:rsidR="00CF46F7">
        <w:rPr>
          <w:b w:val="0"/>
        </w:rPr>
        <w:t>- Glenelg Ark operational areas</w:t>
      </w:r>
      <w:r w:rsidR="00F00719">
        <w:rPr>
          <w:b w:val="0"/>
        </w:rPr>
        <w:t>.</w:t>
      </w:r>
      <w:r w:rsidR="00CF46F7">
        <w:rPr>
          <w:b w:val="0"/>
        </w:rPr>
        <w:t xml:space="preserve"> </w:t>
      </w:r>
      <w:r w:rsidR="00F00719" w:rsidRPr="00091D5C">
        <w:rPr>
          <w:b w:val="0"/>
        </w:rPr>
        <w:t xml:space="preserve">Red dots indicate poison bait stations. </w:t>
      </w:r>
      <w:r w:rsidR="00F00719">
        <w:rPr>
          <w:b w:val="0"/>
        </w:rPr>
        <w:t>P</w:t>
      </w:r>
      <w:r w:rsidR="00CF46F7">
        <w:rPr>
          <w:b w:val="0"/>
        </w:rPr>
        <w:t>ale grey – other public land.</w:t>
      </w:r>
      <w:bookmarkEnd w:id="32"/>
    </w:p>
    <w:p w14:paraId="6050CEAA" w14:textId="77777777" w:rsidR="002D1AD6" w:rsidRDefault="002D1AD6" w:rsidP="002D1AD6">
      <w:r>
        <w:t>The six monitoring locations were:</w:t>
      </w:r>
    </w:p>
    <w:p w14:paraId="48395FD1" w14:textId="02FA13B9" w:rsidR="00B2183F" w:rsidRPr="00B2183F" w:rsidRDefault="00B2183F" w:rsidP="00B2183F">
      <w:pPr>
        <w:pStyle w:val="ListParagraph"/>
        <w:numPr>
          <w:ilvl w:val="0"/>
          <w:numId w:val="34"/>
        </w:numPr>
        <w:rPr>
          <w:rFonts w:ascii="Arial" w:hAnsi="Arial"/>
          <w:sz w:val="18"/>
          <w:szCs w:val="22"/>
        </w:rPr>
      </w:pPr>
      <w:proofErr w:type="spellStart"/>
      <w:r w:rsidRPr="00B2183F">
        <w:rPr>
          <w:rFonts w:ascii="Arial" w:hAnsi="Arial"/>
          <w:sz w:val="18"/>
          <w:szCs w:val="22"/>
        </w:rPr>
        <w:t>Annya</w:t>
      </w:r>
      <w:proofErr w:type="spellEnd"/>
      <w:r w:rsidRPr="00B2183F">
        <w:rPr>
          <w:rFonts w:ascii="Arial" w:hAnsi="Arial"/>
          <w:sz w:val="18"/>
          <w:szCs w:val="22"/>
        </w:rPr>
        <w:t xml:space="preserve"> State Forest (NTML; </w:t>
      </w:r>
      <w:r w:rsidR="007F148C" w:rsidRPr="00B2183F">
        <w:rPr>
          <w:rFonts w:ascii="Arial" w:hAnsi="Arial"/>
          <w:sz w:val="18"/>
          <w:szCs w:val="22"/>
        </w:rPr>
        <w:t>8520</w:t>
      </w:r>
      <w:r w:rsidR="007F148C">
        <w:rPr>
          <w:rFonts w:ascii="Arial" w:hAnsi="Arial"/>
          <w:sz w:val="18"/>
          <w:szCs w:val="22"/>
        </w:rPr>
        <w:t> </w:t>
      </w:r>
      <w:r w:rsidRPr="00B2183F">
        <w:rPr>
          <w:rFonts w:ascii="Arial" w:hAnsi="Arial"/>
          <w:sz w:val="18"/>
          <w:szCs w:val="22"/>
        </w:rPr>
        <w:t>ha)</w:t>
      </w:r>
    </w:p>
    <w:p w14:paraId="5C5872CF" w14:textId="4ED35C4D" w:rsidR="00B2183F" w:rsidRPr="00B2183F" w:rsidRDefault="00B2183F" w:rsidP="009776F4">
      <w:pPr>
        <w:pStyle w:val="ListParagraph"/>
        <w:numPr>
          <w:ilvl w:val="0"/>
          <w:numId w:val="34"/>
        </w:numPr>
        <w:rPr>
          <w:rFonts w:ascii="Arial" w:hAnsi="Arial"/>
          <w:sz w:val="18"/>
          <w:szCs w:val="22"/>
        </w:rPr>
      </w:pPr>
      <w:r w:rsidRPr="00B2183F">
        <w:rPr>
          <w:rFonts w:ascii="Arial" w:hAnsi="Arial"/>
          <w:sz w:val="18"/>
          <w:szCs w:val="22"/>
        </w:rPr>
        <w:t xml:space="preserve">Hotspur State Forest (NTML; </w:t>
      </w:r>
      <w:r w:rsidR="007F148C" w:rsidRPr="00B2183F">
        <w:rPr>
          <w:rFonts w:ascii="Arial" w:hAnsi="Arial"/>
          <w:sz w:val="18"/>
          <w:szCs w:val="22"/>
        </w:rPr>
        <w:t>6940</w:t>
      </w:r>
      <w:r w:rsidR="007F148C">
        <w:rPr>
          <w:rFonts w:ascii="Arial" w:hAnsi="Arial"/>
          <w:sz w:val="18"/>
          <w:szCs w:val="22"/>
        </w:rPr>
        <w:t> </w:t>
      </w:r>
      <w:r w:rsidRPr="00B2183F">
        <w:rPr>
          <w:rFonts w:ascii="Arial" w:hAnsi="Arial"/>
          <w:sz w:val="18"/>
          <w:szCs w:val="22"/>
        </w:rPr>
        <w:t>ha).</w:t>
      </w:r>
    </w:p>
    <w:p w14:paraId="2259BF36" w14:textId="22BC1CB5" w:rsidR="002D1AD6" w:rsidRPr="00B2183F" w:rsidRDefault="002D1AD6" w:rsidP="009776F4">
      <w:pPr>
        <w:pStyle w:val="ListParagraph"/>
        <w:numPr>
          <w:ilvl w:val="0"/>
          <w:numId w:val="34"/>
        </w:numPr>
        <w:rPr>
          <w:rFonts w:ascii="Arial" w:hAnsi="Arial"/>
          <w:sz w:val="18"/>
          <w:szCs w:val="22"/>
        </w:rPr>
      </w:pPr>
      <w:r w:rsidRPr="00B2183F">
        <w:rPr>
          <w:rFonts w:ascii="Arial" w:hAnsi="Arial"/>
          <w:sz w:val="18"/>
          <w:szCs w:val="22"/>
        </w:rPr>
        <w:t xml:space="preserve">Lower Glenelg National Park – </w:t>
      </w:r>
      <w:r w:rsidR="00C26181">
        <w:rPr>
          <w:rFonts w:ascii="Arial" w:hAnsi="Arial"/>
          <w:sz w:val="18"/>
          <w:szCs w:val="22"/>
        </w:rPr>
        <w:t>N</w:t>
      </w:r>
      <w:r w:rsidR="00C26181" w:rsidRPr="00B2183F">
        <w:rPr>
          <w:rFonts w:ascii="Arial" w:hAnsi="Arial"/>
          <w:sz w:val="18"/>
          <w:szCs w:val="22"/>
        </w:rPr>
        <w:t xml:space="preserve">orth </w:t>
      </w:r>
      <w:r w:rsidRPr="00B2183F">
        <w:rPr>
          <w:rFonts w:ascii="Arial" w:hAnsi="Arial"/>
          <w:sz w:val="18"/>
          <w:szCs w:val="22"/>
        </w:rPr>
        <w:t>(LGNP-north; NTML; 4659</w:t>
      </w:r>
      <w:r w:rsidR="007F148C">
        <w:rPr>
          <w:rFonts w:ascii="Arial" w:hAnsi="Arial"/>
          <w:sz w:val="18"/>
          <w:szCs w:val="22"/>
        </w:rPr>
        <w:t> </w:t>
      </w:r>
      <w:r w:rsidRPr="00B2183F">
        <w:rPr>
          <w:rFonts w:ascii="Arial" w:hAnsi="Arial"/>
          <w:sz w:val="18"/>
          <w:szCs w:val="22"/>
        </w:rPr>
        <w:t>ha) (separated from LGNP-south by the Glenelg River)</w:t>
      </w:r>
    </w:p>
    <w:p w14:paraId="68094CBD" w14:textId="25A615A3" w:rsidR="002D1AD6" w:rsidRPr="00B2183F" w:rsidRDefault="002D1AD6" w:rsidP="009776F4">
      <w:pPr>
        <w:pStyle w:val="ListParagraph"/>
        <w:numPr>
          <w:ilvl w:val="0"/>
          <w:numId w:val="34"/>
        </w:numPr>
        <w:rPr>
          <w:rFonts w:ascii="Arial" w:hAnsi="Arial"/>
          <w:sz w:val="18"/>
          <w:szCs w:val="22"/>
        </w:rPr>
      </w:pPr>
      <w:proofErr w:type="spellStart"/>
      <w:r w:rsidRPr="00B2183F">
        <w:rPr>
          <w:rFonts w:ascii="Arial" w:hAnsi="Arial"/>
          <w:sz w:val="18"/>
          <w:szCs w:val="22"/>
        </w:rPr>
        <w:t>Cobboboonee</w:t>
      </w:r>
      <w:proofErr w:type="spellEnd"/>
      <w:r w:rsidRPr="00B2183F">
        <w:rPr>
          <w:rFonts w:ascii="Arial" w:hAnsi="Arial"/>
          <w:sz w:val="18"/>
          <w:szCs w:val="22"/>
        </w:rPr>
        <w:t xml:space="preserve"> National Park (TML; </w:t>
      </w:r>
      <w:r w:rsidR="007F148C" w:rsidRPr="00B2183F">
        <w:rPr>
          <w:rFonts w:ascii="Arial" w:hAnsi="Arial"/>
          <w:sz w:val="18"/>
          <w:szCs w:val="22"/>
        </w:rPr>
        <w:t>9750</w:t>
      </w:r>
      <w:r w:rsidR="007F148C">
        <w:rPr>
          <w:rFonts w:ascii="Arial" w:hAnsi="Arial"/>
          <w:sz w:val="18"/>
          <w:szCs w:val="22"/>
        </w:rPr>
        <w:t> </w:t>
      </w:r>
      <w:r w:rsidRPr="00B2183F">
        <w:rPr>
          <w:rFonts w:ascii="Arial" w:hAnsi="Arial"/>
          <w:sz w:val="18"/>
          <w:szCs w:val="22"/>
        </w:rPr>
        <w:t>ha)</w:t>
      </w:r>
    </w:p>
    <w:p w14:paraId="387FE620" w14:textId="52DB2E81" w:rsidR="00B2183F" w:rsidRPr="00B2183F" w:rsidRDefault="00B2183F" w:rsidP="009776F4">
      <w:pPr>
        <w:pStyle w:val="ListParagraph"/>
        <w:numPr>
          <w:ilvl w:val="0"/>
          <w:numId w:val="34"/>
        </w:numPr>
        <w:rPr>
          <w:rFonts w:ascii="Arial" w:hAnsi="Arial"/>
          <w:sz w:val="18"/>
          <w:szCs w:val="22"/>
        </w:rPr>
      </w:pPr>
      <w:r w:rsidRPr="00B2183F">
        <w:rPr>
          <w:rFonts w:ascii="Arial" w:hAnsi="Arial"/>
          <w:sz w:val="18"/>
          <w:szCs w:val="22"/>
        </w:rPr>
        <w:t xml:space="preserve">Lower Glenelg National Park – </w:t>
      </w:r>
      <w:r w:rsidR="00C26181">
        <w:rPr>
          <w:rFonts w:ascii="Arial" w:hAnsi="Arial"/>
          <w:sz w:val="18"/>
          <w:szCs w:val="22"/>
        </w:rPr>
        <w:t>S</w:t>
      </w:r>
      <w:r w:rsidR="00C26181" w:rsidRPr="00B2183F">
        <w:rPr>
          <w:rFonts w:ascii="Arial" w:hAnsi="Arial"/>
          <w:sz w:val="18"/>
          <w:szCs w:val="22"/>
        </w:rPr>
        <w:t xml:space="preserve">outh </w:t>
      </w:r>
      <w:r w:rsidRPr="00B2183F">
        <w:rPr>
          <w:rFonts w:ascii="Arial" w:hAnsi="Arial"/>
          <w:sz w:val="18"/>
          <w:szCs w:val="22"/>
        </w:rPr>
        <w:t xml:space="preserve">(LGNP-south; TML; </w:t>
      </w:r>
      <w:r w:rsidR="007F148C" w:rsidRPr="00B2183F">
        <w:rPr>
          <w:rFonts w:ascii="Arial" w:hAnsi="Arial"/>
          <w:sz w:val="18"/>
          <w:szCs w:val="22"/>
        </w:rPr>
        <w:t>8954</w:t>
      </w:r>
      <w:r w:rsidR="007F148C">
        <w:rPr>
          <w:rFonts w:ascii="Arial" w:hAnsi="Arial"/>
          <w:sz w:val="18"/>
          <w:szCs w:val="22"/>
        </w:rPr>
        <w:t> </w:t>
      </w:r>
      <w:r w:rsidRPr="00B2183F">
        <w:rPr>
          <w:rFonts w:ascii="Arial" w:hAnsi="Arial"/>
          <w:sz w:val="18"/>
          <w:szCs w:val="22"/>
        </w:rPr>
        <w:t>ha)</w:t>
      </w:r>
    </w:p>
    <w:p w14:paraId="6D1204FF" w14:textId="3D93FC61" w:rsidR="002D1AD6" w:rsidRPr="00B2183F" w:rsidRDefault="002D1AD6" w:rsidP="00B2183F">
      <w:pPr>
        <w:pStyle w:val="ListParagraph"/>
        <w:numPr>
          <w:ilvl w:val="0"/>
          <w:numId w:val="34"/>
        </w:numPr>
        <w:rPr>
          <w:rFonts w:ascii="Arial" w:hAnsi="Arial"/>
          <w:sz w:val="18"/>
          <w:szCs w:val="22"/>
        </w:rPr>
      </w:pPr>
      <w:r w:rsidRPr="00B2183F">
        <w:rPr>
          <w:rFonts w:ascii="Arial" w:hAnsi="Arial"/>
          <w:sz w:val="18"/>
          <w:szCs w:val="22"/>
        </w:rPr>
        <w:t xml:space="preserve">Mount Clay State Forest (TML; </w:t>
      </w:r>
      <w:r w:rsidR="007F148C" w:rsidRPr="00B2183F">
        <w:rPr>
          <w:rFonts w:ascii="Arial" w:hAnsi="Arial"/>
          <w:sz w:val="18"/>
          <w:szCs w:val="22"/>
        </w:rPr>
        <w:t>4703</w:t>
      </w:r>
      <w:r w:rsidR="007F148C">
        <w:rPr>
          <w:rFonts w:ascii="Arial" w:hAnsi="Arial"/>
          <w:sz w:val="18"/>
          <w:szCs w:val="22"/>
        </w:rPr>
        <w:t> </w:t>
      </w:r>
      <w:r w:rsidRPr="00B2183F">
        <w:rPr>
          <w:rFonts w:ascii="Arial" w:hAnsi="Arial"/>
          <w:sz w:val="18"/>
          <w:szCs w:val="22"/>
        </w:rPr>
        <w:t>ha)</w:t>
      </w:r>
    </w:p>
    <w:p w14:paraId="6756AE35" w14:textId="08FF6CA3" w:rsidR="002D1AD6" w:rsidRDefault="008D714F" w:rsidP="002D1AD6">
      <w:r>
        <w:t>Th</w:t>
      </w:r>
      <w:r w:rsidR="00F00719">
        <w:t>e aim of this</w:t>
      </w:r>
      <w:r w:rsidR="002D1AD6">
        <w:t xml:space="preserve"> design </w:t>
      </w:r>
      <w:r>
        <w:t xml:space="preserve">was </w:t>
      </w:r>
      <w:r w:rsidR="002D1AD6">
        <w:t xml:space="preserve">to </w:t>
      </w:r>
      <w:r>
        <w:t>identify</w:t>
      </w:r>
      <w:r w:rsidR="002D1AD6">
        <w:t xml:space="preserve"> any patterns of association between a reduction in foxes and an increase in targeted native species.</w:t>
      </w:r>
    </w:p>
    <w:p w14:paraId="036625F6" w14:textId="2402B7A7" w:rsidR="009776F4" w:rsidRDefault="002A2CA5" w:rsidP="009776F4">
      <w:pPr>
        <w:pStyle w:val="Heading2-Numbered"/>
      </w:pPr>
      <w:bookmarkStart w:id="33" w:name="_Toc110599594"/>
      <w:r>
        <w:t>The d</w:t>
      </w:r>
      <w:r w:rsidR="0087583A">
        <w:t xml:space="preserve">ifference in fox density between </w:t>
      </w:r>
      <w:r w:rsidR="000267CD">
        <w:t>treatment and</w:t>
      </w:r>
      <w:r w:rsidR="0087583A">
        <w:t xml:space="preserve"> non-</w:t>
      </w:r>
      <w:r w:rsidR="000267CD">
        <w:t xml:space="preserve">treatment monitoring </w:t>
      </w:r>
      <w:r w:rsidR="0087583A">
        <w:t>locations</w:t>
      </w:r>
      <w:bookmarkEnd w:id="33"/>
    </w:p>
    <w:p w14:paraId="723FEE70" w14:textId="6B3A1CF3" w:rsidR="0087583A" w:rsidRDefault="00F37570" w:rsidP="0087583A">
      <w:pPr>
        <w:pStyle w:val="BodyText"/>
      </w:pPr>
      <w:r>
        <w:t>In the absence of data on the density of foxes in the TML and NTML w</w:t>
      </w:r>
      <w:r w:rsidR="0087583A" w:rsidRPr="002B71D3">
        <w:t>e used a spatially explicit, individually based population model, ‘</w:t>
      </w:r>
      <w:proofErr w:type="spellStart"/>
      <w:r w:rsidR="0087583A" w:rsidRPr="002B71D3">
        <w:t>FoxNet</w:t>
      </w:r>
      <w:proofErr w:type="spellEnd"/>
      <w:r w:rsidR="0087583A" w:rsidRPr="002B71D3">
        <w:t xml:space="preserve">’, to predict </w:t>
      </w:r>
      <w:r w:rsidR="0019670F" w:rsidRPr="002B71D3">
        <w:t xml:space="preserve">the difference in </w:t>
      </w:r>
      <w:r w:rsidR="0087583A" w:rsidRPr="002B71D3">
        <w:t>fox</w:t>
      </w:r>
      <w:r w:rsidR="0087583A">
        <w:t xml:space="preserve"> population density and responses to </w:t>
      </w:r>
      <w:r w:rsidR="0019670F">
        <w:t>baiting</w:t>
      </w:r>
      <w:r w:rsidR="0087583A">
        <w:t xml:space="preserve">. </w:t>
      </w:r>
      <w:proofErr w:type="spellStart"/>
      <w:r w:rsidR="0019670F">
        <w:t>FoxNet</w:t>
      </w:r>
      <w:proofErr w:type="spellEnd"/>
      <w:r w:rsidR="0019670F">
        <w:t xml:space="preserve"> </w:t>
      </w:r>
      <w:r w:rsidR="0087583A">
        <w:t>incorporate</w:t>
      </w:r>
      <w:r w:rsidR="0019670F">
        <w:t>s</w:t>
      </w:r>
      <w:r w:rsidR="0087583A" w:rsidRPr="00065843">
        <w:t xml:space="preserve"> parameters on dispersal and home ranges as a function of resource availability</w:t>
      </w:r>
      <w:r w:rsidR="0087583A">
        <w:t xml:space="preserve"> (</w:t>
      </w:r>
      <w:proofErr w:type="spellStart"/>
      <w:r w:rsidR="0087583A" w:rsidRPr="00065843">
        <w:t>Hradsky</w:t>
      </w:r>
      <w:proofErr w:type="spellEnd"/>
      <w:r w:rsidR="0087583A" w:rsidRPr="00065843">
        <w:t xml:space="preserve"> et al. 2019)</w:t>
      </w:r>
      <w:r w:rsidR="0087583A">
        <w:t xml:space="preserve"> and customise</w:t>
      </w:r>
      <w:r w:rsidR="0019670F">
        <w:t>s</w:t>
      </w:r>
      <w:r w:rsidR="0087583A">
        <w:t xml:space="preserve"> survival and reproductive parameters for south-eastern Australia (</w:t>
      </w:r>
      <w:r w:rsidR="00AB3A2C">
        <w:t xml:space="preserve">see </w:t>
      </w:r>
      <w:proofErr w:type="spellStart"/>
      <w:r w:rsidR="00AB3A2C">
        <w:t>Hradsky</w:t>
      </w:r>
      <w:proofErr w:type="spellEnd"/>
      <w:r w:rsidR="00AB3A2C">
        <w:t xml:space="preserve"> 2022 for detail of model </w:t>
      </w:r>
      <w:r w:rsidR="00B00D7D">
        <w:t>parameters</w:t>
      </w:r>
      <w:r w:rsidR="0087583A" w:rsidRPr="0015565D">
        <w:t>).</w:t>
      </w:r>
    </w:p>
    <w:p w14:paraId="19AB2977" w14:textId="4851671D" w:rsidR="0087583A" w:rsidRDefault="0087583A" w:rsidP="0087583A">
      <w:pPr>
        <w:pStyle w:val="BodyText"/>
      </w:pPr>
      <w:proofErr w:type="spellStart"/>
      <w:r>
        <w:t>FoxNet</w:t>
      </w:r>
      <w:proofErr w:type="spellEnd"/>
      <w:r>
        <w:t xml:space="preserve"> models foxes as mobile individuals whose behaviour is determined by age, sex</w:t>
      </w:r>
      <w:r w:rsidR="00F22D54">
        <w:t>,</w:t>
      </w:r>
      <w:r>
        <w:t xml:space="preserve"> status, and the time of year. Within the model, ‘alpha’ foxes seek to join or start their fox</w:t>
      </w:r>
      <w:r w:rsidR="002A2CA5">
        <w:t xml:space="preserve"> </w:t>
      </w:r>
      <w:r>
        <w:t xml:space="preserve">families, </w:t>
      </w:r>
      <w:r w:rsidR="00B00D7D">
        <w:t xml:space="preserve">establishing and </w:t>
      </w:r>
      <w:r w:rsidR="00187119">
        <w:t>maintaining</w:t>
      </w:r>
      <w:r>
        <w:t xml:space="preserve"> a </w:t>
      </w:r>
      <w:r>
        <w:lastRenderedPageBreak/>
        <w:t>territory. Each fox</w:t>
      </w:r>
      <w:r w:rsidR="002A2CA5">
        <w:t xml:space="preserve"> </w:t>
      </w:r>
      <w:r>
        <w:t xml:space="preserve">family must contain at least one alpha fox and may also include the alpha’s mate, </w:t>
      </w:r>
      <w:proofErr w:type="gramStart"/>
      <w:r>
        <w:t>cubs</w:t>
      </w:r>
      <w:proofErr w:type="gramEnd"/>
      <w:r>
        <w:t xml:space="preserve"> and subordinate offspring, who share the territory. Fox</w:t>
      </w:r>
      <w:r w:rsidR="002A2CA5">
        <w:t xml:space="preserve"> </w:t>
      </w:r>
      <w:r>
        <w:t xml:space="preserve">families can be characterised </w:t>
      </w:r>
      <w:r w:rsidR="00F22D54">
        <w:t>by</w:t>
      </w:r>
      <w:r>
        <w:t xml:space="preserve"> a description of the family members, the</w:t>
      </w:r>
      <w:r w:rsidR="00B00D7D">
        <w:t>ir territory</w:t>
      </w:r>
      <w:r>
        <w:t xml:space="preserve"> (habitat-cells) and the productivity of their territory.</w:t>
      </w:r>
    </w:p>
    <w:p w14:paraId="56626790" w14:textId="0E606100" w:rsidR="0087583A" w:rsidRDefault="0087583A" w:rsidP="0087583A">
      <w:pPr>
        <w:pStyle w:val="BodyText"/>
      </w:pPr>
      <w:r>
        <w:t xml:space="preserve">The landscape in </w:t>
      </w:r>
      <w:proofErr w:type="spellStart"/>
      <w:r>
        <w:t>FoxNet</w:t>
      </w:r>
      <w:proofErr w:type="spellEnd"/>
      <w:r>
        <w:t xml:space="preserve"> is divided into habitat</w:t>
      </w:r>
      <w:r w:rsidR="002A2CA5">
        <w:t xml:space="preserve"> </w:t>
      </w:r>
      <w:r>
        <w:t>cells, which we defined as 1 ha in size. Each habitat</w:t>
      </w:r>
      <w:r w:rsidR="002A2CA5">
        <w:t xml:space="preserve"> </w:t>
      </w:r>
      <w:r>
        <w:t>cell has a set of parameters that affect how fox</w:t>
      </w:r>
      <w:r w:rsidR="002A2CA5">
        <w:t xml:space="preserve"> </w:t>
      </w:r>
      <w:r>
        <w:t xml:space="preserve">families and individual foxes </w:t>
      </w:r>
      <w:r w:rsidRPr="0015565D">
        <w:t>behave.</w:t>
      </w:r>
    </w:p>
    <w:p w14:paraId="62F64241" w14:textId="39986814" w:rsidR="0087583A" w:rsidRDefault="0087583A" w:rsidP="0087583A">
      <w:pPr>
        <w:pStyle w:val="BodyText"/>
      </w:pPr>
      <w:r>
        <w:t xml:space="preserve">We updated our model processes at 1-week intervals (time steps). A series of </w:t>
      </w:r>
      <w:r w:rsidR="00B00D7D">
        <w:t>operation</w:t>
      </w:r>
      <w:r>
        <w:t>s occur consecutively at each time step, and key seasonal events [</w:t>
      </w:r>
      <w:r w:rsidR="00380E03">
        <w:t>e.g.</w:t>
      </w:r>
      <w:r>
        <w:t xml:space="preserve"> dispersal (March–April) and mating (July–September)] are linked to weeks of the year (9–21 and 27–40, respectively).</w:t>
      </w:r>
    </w:p>
    <w:p w14:paraId="0AB748F7" w14:textId="2EF36186" w:rsidR="0087583A" w:rsidRDefault="00B2183F" w:rsidP="0087583A">
      <w:pPr>
        <w:pStyle w:val="BodyText"/>
      </w:pPr>
      <w:r>
        <w:t>A</w:t>
      </w:r>
      <w:r w:rsidR="0087583A">
        <w:t xml:space="preserve">t each time step, foxes age; if old enough, they disperse between March and May </w:t>
      </w:r>
      <w:r w:rsidR="00F22D54">
        <w:t xml:space="preserve">of </w:t>
      </w:r>
      <w:r w:rsidR="0087583A">
        <w:t>each year. Within fox</w:t>
      </w:r>
      <w:r w:rsidR="002A2CA5">
        <w:t xml:space="preserve"> </w:t>
      </w:r>
      <w:r w:rsidR="0087583A">
        <w:t xml:space="preserve">families, an alpha male or female that dies (either by natural causes or baiting) is replaced by </w:t>
      </w:r>
      <w:r w:rsidR="001335FD">
        <w:t xml:space="preserve">an </w:t>
      </w:r>
      <w:r w:rsidR="0087583A">
        <w:t>age- and sex-appropriate subordinate from that family if a suitable individual is available. Otherwise, the position remains vacant for a disperser to join the fox</w:t>
      </w:r>
      <w:r w:rsidR="002A2CA5">
        <w:t xml:space="preserve"> </w:t>
      </w:r>
      <w:r w:rsidR="0087583A">
        <w:t>family. Fox families check their territories</w:t>
      </w:r>
      <w:r w:rsidR="001335FD">
        <w:t>;</w:t>
      </w:r>
      <w:r w:rsidR="0087583A">
        <w:t xml:space="preserve"> if productivity is insufficient, adults and subordinates disperse, and cubs die. This checking also enables fox families to expand and contract their territory size</w:t>
      </w:r>
      <w:r w:rsidR="00187119">
        <w:t xml:space="preserve"> in response</w:t>
      </w:r>
      <w:r w:rsidR="0087583A">
        <w:t xml:space="preserve"> to landscape productivity.</w:t>
      </w:r>
    </w:p>
    <w:p w14:paraId="3476E6C6" w14:textId="6370ABE9" w:rsidR="0087583A" w:rsidRDefault="0087583A" w:rsidP="0087583A">
      <w:pPr>
        <w:pStyle w:val="BodyText"/>
      </w:pPr>
      <w:r>
        <w:t xml:space="preserve">Baits are deployed at bait stations (according to </w:t>
      </w:r>
      <w:r w:rsidR="00ED0B4D">
        <w:t xml:space="preserve">the </w:t>
      </w:r>
      <w:r>
        <w:t xml:space="preserve">defined </w:t>
      </w:r>
      <w:r w:rsidR="00ED0B4D">
        <w:t xml:space="preserve">Glenelg Ark </w:t>
      </w:r>
      <w:r>
        <w:t xml:space="preserve">management strategy). Foxes whose territories overlap with one or more bait stations are exposed to these baits and </w:t>
      </w:r>
      <w:r w:rsidR="00B00D7D">
        <w:t>risk</w:t>
      </w:r>
      <w:r>
        <w:t xml:space="preserve"> dying</w:t>
      </w:r>
      <w:r w:rsidR="001335FD">
        <w:t>, with the level of risk</w:t>
      </w:r>
      <w:r>
        <w:t xml:space="preserve"> based on the number of baits, the size of their territory and the number of foxes in the fox</w:t>
      </w:r>
      <w:r w:rsidR="002A2CA5">
        <w:t xml:space="preserve"> </w:t>
      </w:r>
      <w:r>
        <w:t>family. All baits that are not ‘eaten’ by foxes are removed after each model time step (</w:t>
      </w:r>
      <w:r w:rsidR="001335FD">
        <w:t>1 </w:t>
      </w:r>
      <w:r>
        <w:t>week). Although baits may be available to foxes for longer</w:t>
      </w:r>
      <w:r w:rsidR="00772ED7">
        <w:t xml:space="preserve"> than a week</w:t>
      </w:r>
      <w:r>
        <w:t xml:space="preserve">, degradation of 1080 may render baits non-lethal </w:t>
      </w:r>
      <w:r w:rsidR="001335FD">
        <w:t>2 </w:t>
      </w:r>
      <w:r>
        <w:t>weeks after deployment (Saunders et al. 2000).</w:t>
      </w:r>
    </w:p>
    <w:p w14:paraId="5FC3D43C" w14:textId="00A6C88A" w:rsidR="0087583A" w:rsidRDefault="0087583A" w:rsidP="0087583A">
      <w:pPr>
        <w:pStyle w:val="BodyText"/>
      </w:pPr>
      <w:r w:rsidRPr="00673C3A">
        <w:t xml:space="preserve">Models were run for 40 </w:t>
      </w:r>
      <w:r>
        <w:t>iterations</w:t>
      </w:r>
      <w:r w:rsidRPr="00673C3A">
        <w:t xml:space="preserve"> to capture </w:t>
      </w:r>
      <w:r w:rsidRPr="00AA1C2D">
        <w:t>the underlying variance in fox responses</w:t>
      </w:r>
      <w:r>
        <w:t xml:space="preserve">. </w:t>
      </w:r>
      <w:r w:rsidRPr="00AA1C2D">
        <w:t>Adult fox densities were recorded</w:t>
      </w:r>
      <w:r>
        <w:t xml:space="preserve"> and updated</w:t>
      </w:r>
      <w:r w:rsidRPr="00AA1C2D">
        <w:t xml:space="preserve"> at each time</w:t>
      </w:r>
      <w:r>
        <w:t xml:space="preserve"> </w:t>
      </w:r>
      <w:r w:rsidRPr="00AA1C2D">
        <w:t>step</w:t>
      </w:r>
      <w:r>
        <w:t xml:space="preserve"> </w:t>
      </w:r>
      <w:r w:rsidRPr="00AA1C2D">
        <w:t>and were averaged across all model iterations.</w:t>
      </w:r>
      <w:r w:rsidR="00B2183F">
        <w:t xml:space="preserve"> </w:t>
      </w:r>
      <w:r w:rsidRPr="00AA1C2D">
        <w:t>Models were run with a buffer of ~30</w:t>
      </w:r>
      <w:r>
        <w:t> </w:t>
      </w:r>
      <w:r w:rsidRPr="00AA1C2D">
        <w:t xml:space="preserve">km around the </w:t>
      </w:r>
      <w:r w:rsidR="00ED0B4D">
        <w:t>locations</w:t>
      </w:r>
      <w:r w:rsidRPr="00AA1C2D">
        <w:t xml:space="preserve"> to capture &gt;9</w:t>
      </w:r>
      <w:r>
        <w:t>6</w:t>
      </w:r>
      <w:r w:rsidRPr="00AA1C2D">
        <w:t xml:space="preserve">% of dispersing female </w:t>
      </w:r>
      <w:r>
        <w:t xml:space="preserve">foxes </w:t>
      </w:r>
      <w:r w:rsidRPr="00AA1C2D">
        <w:t>and &gt;9</w:t>
      </w:r>
      <w:r>
        <w:t>3</w:t>
      </w:r>
      <w:r w:rsidRPr="00AA1C2D">
        <w:t xml:space="preserve">% of dispersing male foxes that might reach the </w:t>
      </w:r>
      <w:r w:rsidR="00ED0B4D">
        <w:t>location</w:t>
      </w:r>
      <w:r w:rsidRPr="00AA1C2D">
        <w:t>.</w:t>
      </w:r>
    </w:p>
    <w:p w14:paraId="76B1EA9E" w14:textId="648E0FDC" w:rsidR="0087583A" w:rsidRDefault="0087583A" w:rsidP="0087583A">
      <w:pPr>
        <w:pStyle w:val="BodyText"/>
      </w:pPr>
      <w:r w:rsidRPr="00AA1C2D">
        <w:t xml:space="preserve">Fox density was modelled for </w:t>
      </w:r>
      <w:r w:rsidR="001335FD">
        <w:t>10 </w:t>
      </w:r>
      <w:r w:rsidRPr="00AA1C2D">
        <w:t xml:space="preserve">years </w:t>
      </w:r>
      <w:r w:rsidR="002A2CA5">
        <w:t>before</w:t>
      </w:r>
      <w:r w:rsidRPr="00AA1C2D">
        <w:t xml:space="preserve"> the commencement of baiting</w:t>
      </w:r>
      <w:r>
        <w:t xml:space="preserve"> </w:t>
      </w:r>
      <w:r w:rsidR="001335FD">
        <w:t>(</w:t>
      </w:r>
      <w:r>
        <w:t>to allow the population to stabilise</w:t>
      </w:r>
      <w:r w:rsidR="001335FD">
        <w:t>)</w:t>
      </w:r>
      <w:r w:rsidRPr="00AA1C2D">
        <w:t xml:space="preserve"> and for </w:t>
      </w:r>
      <w:r w:rsidR="001335FD">
        <w:t>10 </w:t>
      </w:r>
      <w:r w:rsidRPr="00AA1C2D">
        <w:t xml:space="preserve">years following the </w:t>
      </w:r>
      <w:r w:rsidR="00B00D7D">
        <w:t>beginning</w:t>
      </w:r>
      <w:r w:rsidRPr="00AA1C2D">
        <w:t xml:space="preserve"> of baiting across each </w:t>
      </w:r>
      <w:r w:rsidR="000267CD">
        <w:t>TML</w:t>
      </w:r>
      <w:r w:rsidRPr="00AA1C2D">
        <w:t>.</w:t>
      </w:r>
    </w:p>
    <w:p w14:paraId="2282B406" w14:textId="77777777" w:rsidR="0087583A" w:rsidRDefault="0087583A" w:rsidP="0087583A">
      <w:pPr>
        <w:pStyle w:val="Heading3-Numbered"/>
        <w:numPr>
          <w:ilvl w:val="2"/>
          <w:numId w:val="17"/>
        </w:numPr>
      </w:pPr>
      <w:bookmarkStart w:id="34" w:name="_Toc39675454"/>
      <w:bookmarkStart w:id="35" w:name="_Toc110599595"/>
      <w:bookmarkStart w:id="36" w:name="_Hlk26786692"/>
      <w:r>
        <w:t>Calculating changes in fox density</w:t>
      </w:r>
      <w:bookmarkEnd w:id="34"/>
      <w:bookmarkEnd w:id="35"/>
    </w:p>
    <w:bookmarkEnd w:id="36"/>
    <w:p w14:paraId="0B411124" w14:textId="26F568C8" w:rsidR="0087583A" w:rsidRDefault="0087583A" w:rsidP="0087583A">
      <w:r>
        <w:t xml:space="preserve">The difference in mean fox density </w:t>
      </w:r>
      <w:r w:rsidR="004418B1">
        <w:t xml:space="preserve">between baited and unbaited models </w:t>
      </w:r>
      <w:r>
        <w:t>was used to assess the success of the control strategy. For each of the 40 model iterations, fox densities within a</w:t>
      </w:r>
      <w:r w:rsidR="004418B1">
        <w:t xml:space="preserve"> location</w:t>
      </w:r>
      <w:r>
        <w:t xml:space="preserve"> were averaged over </w:t>
      </w:r>
      <w:r w:rsidR="001335FD">
        <w:t>13 × </w:t>
      </w:r>
      <w:r>
        <w:t>13 1-ha cells</w:t>
      </w:r>
      <w:r w:rsidR="001335FD">
        <w:t>,</w:t>
      </w:r>
      <w:r>
        <w:t xml:space="preserve"> or 1.69 km², approximately 80% of the area of a fox’s home range. This produced an average fox density (number per km</w:t>
      </w:r>
      <w:r w:rsidRPr="00A1120B">
        <w:rPr>
          <w:vertAlign w:val="superscript"/>
        </w:rPr>
        <w:t>2</w:t>
      </w:r>
      <w:r>
        <w:t xml:space="preserve">) for </w:t>
      </w:r>
      <w:r w:rsidR="00E374DC">
        <w:t>both baited and unbaited locations</w:t>
      </w:r>
      <w:r>
        <w:t>, which was analysed to determine the percentage reduction in density [R package ‘raster’ (</w:t>
      </w:r>
      <w:proofErr w:type="spellStart"/>
      <w:r>
        <w:t>Hijmans</w:t>
      </w:r>
      <w:proofErr w:type="spellEnd"/>
      <w:r>
        <w:t xml:space="preserve"> 2015)]. </w:t>
      </w:r>
      <w:r w:rsidR="004418B1">
        <w:t>T</w:t>
      </w:r>
      <w:r>
        <w:t>his assessment was taken in week 23 of model year 20 to coincide with the midpoint between population peaks (cub independence).</w:t>
      </w:r>
    </w:p>
    <w:p w14:paraId="5A3B4614" w14:textId="1D04EE47" w:rsidR="0087583A" w:rsidRDefault="0087583A" w:rsidP="0087583A">
      <w:r>
        <w:t xml:space="preserve">A snapshot in time of the spatial effect of baiting on fox density was also produced; this ‘density map’ was </w:t>
      </w:r>
      <w:r w:rsidR="00E374DC">
        <w:t>also calculated</w:t>
      </w:r>
      <w:r>
        <w:t xml:space="preserve"> </w:t>
      </w:r>
      <w:r w:rsidR="00E374DC">
        <w:t>for week 23 of model year 20 to coincide with the midpoint between population peaks (cub independence)</w:t>
      </w:r>
      <w:r>
        <w:t xml:space="preserve">, and it illustrates the </w:t>
      </w:r>
      <w:r w:rsidR="00E374DC">
        <w:t>areas</w:t>
      </w:r>
      <w:r>
        <w:t xml:space="preserve"> with spatial reductions in fox density of between 50</w:t>
      </w:r>
      <w:r w:rsidR="00222869">
        <w:t xml:space="preserve"> and </w:t>
      </w:r>
      <w:r>
        <w:t xml:space="preserve">65% and &gt;65%. Spatial reduction calculations </w:t>
      </w:r>
      <w:r w:rsidR="0018189B">
        <w:t>contrasted</w:t>
      </w:r>
      <w:r>
        <w:t xml:space="preserve"> the unbaited and baited scenario spatial density outputs.</w:t>
      </w:r>
    </w:p>
    <w:p w14:paraId="40511A48" w14:textId="6E6CA0F7" w:rsidR="00B2183F" w:rsidRDefault="00B2183F" w:rsidP="00B2183F">
      <w:pPr>
        <w:pStyle w:val="BodyText"/>
      </w:pPr>
      <w:proofErr w:type="spellStart"/>
      <w:r w:rsidRPr="00065843">
        <w:t>FoxNet</w:t>
      </w:r>
      <w:proofErr w:type="spellEnd"/>
      <w:r w:rsidRPr="00065843">
        <w:t xml:space="preserve"> was built and run in the open-source software </w:t>
      </w:r>
      <w:proofErr w:type="spellStart"/>
      <w:r w:rsidRPr="00065843">
        <w:t>Netlogo</w:t>
      </w:r>
      <w:proofErr w:type="spellEnd"/>
      <w:r w:rsidRPr="00065843">
        <w:t xml:space="preserve"> (v</w:t>
      </w:r>
      <w:r>
        <w:t xml:space="preserve">. </w:t>
      </w:r>
      <w:r w:rsidRPr="00065843">
        <w:t>6.0.4</w:t>
      </w:r>
      <w:r w:rsidR="00222869">
        <w:t>,</w:t>
      </w:r>
      <w:r w:rsidRPr="00065843">
        <w:t xml:space="preserve"> Wilensky 1999)</w:t>
      </w:r>
      <w:r>
        <w:t>,</w:t>
      </w:r>
      <w:r w:rsidRPr="00065843">
        <w:t xml:space="preserve"> and models were executed using R v</w:t>
      </w:r>
      <w:r>
        <w:t xml:space="preserve">. </w:t>
      </w:r>
      <w:r w:rsidRPr="00065843">
        <w:t xml:space="preserve">3.5.3 (R Core Team </w:t>
      </w:r>
      <w:r w:rsidR="00A731AB" w:rsidRPr="00065843">
        <w:t>20</w:t>
      </w:r>
      <w:r w:rsidR="00A731AB">
        <w:t>21</w:t>
      </w:r>
      <w:r w:rsidRPr="00065843">
        <w:t>) and the ‘</w:t>
      </w:r>
      <w:proofErr w:type="spellStart"/>
      <w:r w:rsidRPr="00065843">
        <w:t>RNetLogo</w:t>
      </w:r>
      <w:proofErr w:type="spellEnd"/>
      <w:r w:rsidRPr="00065843">
        <w:t>’ package (Thiele</w:t>
      </w:r>
      <w:r>
        <w:t xml:space="preserve"> et al.</w:t>
      </w:r>
      <w:r w:rsidRPr="00065843">
        <w:t xml:space="preserve"> 2012; Thiele 2014). </w:t>
      </w:r>
      <w:r w:rsidR="0018189B">
        <w:t xml:space="preserve">Landscapes were built using ArcMap 10.3.1 (ESRI 2015) using Victorian Government GIS datasets (PLM25). A detailed model overview and description of </w:t>
      </w:r>
      <w:proofErr w:type="spellStart"/>
      <w:r w:rsidR="0018189B">
        <w:t>FoxNet</w:t>
      </w:r>
      <w:proofErr w:type="spellEnd"/>
      <w:r w:rsidR="0018189B">
        <w:t xml:space="preserve"> following the Overview, Design, Details protocol is provided in </w:t>
      </w:r>
      <w:proofErr w:type="spellStart"/>
      <w:r w:rsidR="0018189B">
        <w:t>Hradsky</w:t>
      </w:r>
      <w:proofErr w:type="spellEnd"/>
      <w:r w:rsidR="0018189B">
        <w:t xml:space="preserve"> et al. (2019</w:t>
      </w:r>
      <w:r w:rsidRPr="00065843">
        <w:t>)</w:t>
      </w:r>
      <w:r w:rsidRPr="00243764">
        <w:t>.</w:t>
      </w:r>
    </w:p>
    <w:p w14:paraId="07F5A2ED" w14:textId="19BA0E6E" w:rsidR="009776F4" w:rsidRDefault="009776F4" w:rsidP="009776F4">
      <w:pPr>
        <w:pStyle w:val="Heading2-Numbered"/>
      </w:pPr>
      <w:bookmarkStart w:id="37" w:name="_Toc110599596"/>
      <w:r>
        <w:t>Measuring the response in native mammal species</w:t>
      </w:r>
      <w:bookmarkEnd w:id="37"/>
    </w:p>
    <w:p w14:paraId="757824D4" w14:textId="2B971405" w:rsidR="009776F4" w:rsidRPr="007B6825" w:rsidRDefault="009776F4" w:rsidP="00B2183F">
      <w:r w:rsidRPr="007B6825">
        <w:t xml:space="preserve">Occupancy </w:t>
      </w:r>
      <w:r w:rsidR="003427B4">
        <w:t>by</w:t>
      </w:r>
      <w:r w:rsidR="003427B4" w:rsidRPr="007B6825">
        <w:t xml:space="preserve"> </w:t>
      </w:r>
      <w:r w:rsidRPr="007B6825">
        <w:t xml:space="preserve">the three target </w:t>
      </w:r>
      <w:r w:rsidR="003427B4">
        <w:t xml:space="preserve">native mammal </w:t>
      </w:r>
      <w:r w:rsidRPr="007B6825">
        <w:t xml:space="preserve">species (Long-nosed Potoroo, Southern Brown Bandicoot and Common Brushtail Possum) was monitored annually at 40 </w:t>
      </w:r>
      <w:r w:rsidR="00F00719">
        <w:t xml:space="preserve">camera trap </w:t>
      </w:r>
      <w:r w:rsidRPr="007B6825">
        <w:t xml:space="preserve">sites established within each TML and NTML (Figure 2). The </w:t>
      </w:r>
      <w:r w:rsidR="00F00719">
        <w:t xml:space="preserve">placement </w:t>
      </w:r>
      <w:r w:rsidRPr="007B6825">
        <w:t xml:space="preserve">of the monitoring sites was </w:t>
      </w:r>
      <w:r w:rsidR="00F00719">
        <w:t xml:space="preserve">chosen </w:t>
      </w:r>
      <w:r w:rsidRPr="007B6825">
        <w:t xml:space="preserve">based on descriptions of the habitat preferred by the target native mammal species (Menkhorst 1995) and aligned with EVCs; the </w:t>
      </w:r>
      <w:r w:rsidR="00F276C7">
        <w:t>number</w:t>
      </w:r>
      <w:r w:rsidRPr="007B6825">
        <w:t xml:space="preserve"> of sites </w:t>
      </w:r>
      <w:r w:rsidR="00F276C7">
        <w:lastRenderedPageBreak/>
        <w:t xml:space="preserve">within a EVC </w:t>
      </w:r>
      <w:r w:rsidRPr="007B6825">
        <w:t>w</w:t>
      </w:r>
      <w:r w:rsidR="0018189B">
        <w:t>as</w:t>
      </w:r>
      <w:r w:rsidRPr="007B6825">
        <w:t xml:space="preserve"> proportion</w:t>
      </w:r>
      <w:r w:rsidR="00F276C7">
        <w:t>al</w:t>
      </w:r>
      <w:r w:rsidRPr="007B6825">
        <w:t xml:space="preserve"> </w:t>
      </w:r>
      <w:r w:rsidR="00F276C7">
        <w:t>to the size of the</w:t>
      </w:r>
      <w:r w:rsidRPr="007B6825">
        <w:t xml:space="preserve"> preferred habitat within each TML and NTML. The position of the monitoring sites within locations was randomly </w:t>
      </w:r>
      <w:r w:rsidR="00737F53" w:rsidRPr="007B6825">
        <w:t>a</w:t>
      </w:r>
      <w:r w:rsidR="00737F53">
        <w:t>ssign</w:t>
      </w:r>
      <w:r w:rsidR="00737F53" w:rsidRPr="007B6825">
        <w:t>ed</w:t>
      </w:r>
      <w:r w:rsidR="00737F53">
        <w:t xml:space="preserve"> but</w:t>
      </w:r>
      <w:r w:rsidRPr="007B6825">
        <w:t xml:space="preserve"> constrained to be within 50 m of tracks. A site was assumed to sample the area potentially occupied by the target species, with home ranges for Southern Brown Bandicoot and Long-nosed Potoroo ranging from 2 to 4 ha (</w:t>
      </w:r>
      <w:r w:rsidRPr="003021E2">
        <w:t xml:space="preserve">Bennett 1987; Scott et al. 1999; </w:t>
      </w:r>
      <w:proofErr w:type="spellStart"/>
      <w:r w:rsidRPr="003021E2">
        <w:t>Ricciardello</w:t>
      </w:r>
      <w:proofErr w:type="spellEnd"/>
      <w:r w:rsidRPr="003021E2">
        <w:t xml:space="preserve"> 2006; McGregor et al. 201</w:t>
      </w:r>
      <w:r w:rsidR="00E84AFF">
        <w:t>3</w:t>
      </w:r>
      <w:r w:rsidR="003314B8">
        <w:t>)</w:t>
      </w:r>
      <w:r w:rsidRPr="003021E2">
        <w:t>.</w:t>
      </w:r>
    </w:p>
    <w:p w14:paraId="1D29D057" w14:textId="6C4A740B" w:rsidR="009776F4" w:rsidRPr="007B6825" w:rsidRDefault="009776F4" w:rsidP="00B2183F">
      <w:r w:rsidRPr="007B6825">
        <w:t xml:space="preserve">Monitoring </w:t>
      </w:r>
      <w:r w:rsidR="002A2CA5">
        <w:t>before</w:t>
      </w:r>
      <w:r w:rsidRPr="007B6825">
        <w:t xml:space="preserve"> the commencement of poison baiting was conducted in winter 2005, then usually undertaken in spring (2005, 2008–20</w:t>
      </w:r>
      <w:r w:rsidR="00B2183F">
        <w:t>20</w:t>
      </w:r>
      <w:r w:rsidRPr="007B6825">
        <w:t xml:space="preserve">). In 2006, sampling was </w:t>
      </w:r>
      <w:r w:rsidR="0018189B">
        <w:t>conducted</w:t>
      </w:r>
      <w:r w:rsidRPr="007B6825">
        <w:t xml:space="preserve"> in late winter, and the spring 2007 samplings at </w:t>
      </w:r>
      <w:r>
        <w:t>M</w:t>
      </w:r>
      <w:r w:rsidR="003427B4">
        <w:t>oun</w:t>
      </w:r>
      <w:r>
        <w:t>t</w:t>
      </w:r>
      <w:r w:rsidRPr="007B6825">
        <w:t xml:space="preserve"> Clay and Hotspur were delayed, with monitoring undertaken in the 2007–2008 summer.</w:t>
      </w:r>
    </w:p>
    <w:p w14:paraId="682A6A73" w14:textId="21FC7E59" w:rsidR="009776F4" w:rsidRPr="007B6825" w:rsidRDefault="009776F4" w:rsidP="00B2183F">
      <w:r w:rsidRPr="007B6825">
        <w:t>From 2005 to 2012, at each monitoring site</w:t>
      </w:r>
      <w:r w:rsidR="0018189B">
        <w:t>,</w:t>
      </w:r>
      <w:r w:rsidRPr="007B6825">
        <w:t xml:space="preserve"> nine ‘</w:t>
      </w:r>
      <w:proofErr w:type="spellStart"/>
      <w:r w:rsidRPr="007B6825">
        <w:t>Handiglaze</w:t>
      </w:r>
      <w:proofErr w:type="spellEnd"/>
      <w:r w:rsidRPr="007B6825">
        <w:t>’ hair</w:t>
      </w:r>
      <w:r w:rsidR="003427B4">
        <w:t>-</w:t>
      </w:r>
      <w:r w:rsidRPr="007B6825">
        <w:t>tubes (Murray 2005; Figure 3) baited with peanut butter, rolled oats</w:t>
      </w:r>
      <w:r w:rsidR="0018189B">
        <w:t>,</w:t>
      </w:r>
      <w:r w:rsidRPr="007B6825">
        <w:t xml:space="preserve"> and golden syrup w</w:t>
      </w:r>
      <w:r w:rsidR="0018189B">
        <w:t>ere</w:t>
      </w:r>
      <w:r w:rsidRPr="007B6825">
        <w:t xml:space="preserve"> set and checked daily for four consecutive days, with tapes being replaced each day. These daily </w:t>
      </w:r>
      <w:r w:rsidR="00F00719">
        <w:t>tape replacements</w:t>
      </w:r>
      <w:r w:rsidRPr="007B6825">
        <w:t xml:space="preserve"> represented four repeat surveys of the monitoring site per sampling period. Beginning in spring 2013, hair-tubing was discontinued, and a single digital camera (</w:t>
      </w:r>
      <w:proofErr w:type="spellStart"/>
      <w:r w:rsidRPr="007B6825">
        <w:t>Reconyx</w:t>
      </w:r>
      <w:proofErr w:type="spellEnd"/>
      <w:r w:rsidRPr="007B6825">
        <w:t xml:space="preserve"> </w:t>
      </w:r>
      <w:proofErr w:type="spellStart"/>
      <w:r w:rsidRPr="007B6825">
        <w:t>RapidFire</w:t>
      </w:r>
      <w:proofErr w:type="spellEnd"/>
      <w:r w:rsidRPr="007B6825">
        <w:t xml:space="preserve"> HC600, </w:t>
      </w:r>
      <w:proofErr w:type="spellStart"/>
      <w:r w:rsidRPr="007B6825">
        <w:t>Reconyx</w:t>
      </w:r>
      <w:proofErr w:type="spellEnd"/>
      <w:r w:rsidRPr="007B6825">
        <w:t xml:space="preserve">, LLP Wisconsin, USA) was set at one of four possible locations within a hair-tube grid at each monitoring site (Figure 3). A series of coin tosses determined the </w:t>
      </w:r>
      <w:r w:rsidR="003427B4">
        <w:t xml:space="preserve">camera’s </w:t>
      </w:r>
      <w:r w:rsidR="0018189B">
        <w:t>location</w:t>
      </w:r>
      <w:r w:rsidRPr="007B6825">
        <w:t xml:space="preserve"> within </w:t>
      </w:r>
      <w:r w:rsidR="00F00719">
        <w:t>the grid</w:t>
      </w:r>
      <w:r w:rsidRPr="007B6825">
        <w:t>. Cameras were attached to the nearest tree 20–30 cm above the ground. A lure of truffle oil, peanut butter, rolled oats</w:t>
      </w:r>
      <w:r w:rsidR="0018189B">
        <w:t>,</w:t>
      </w:r>
      <w:r w:rsidRPr="007B6825">
        <w:t xml:space="preserve"> and golden syrup was secured to the ground in a small, ventilated container 2 m in front of the camera. Cameras were </w:t>
      </w:r>
      <w:r>
        <w:t xml:space="preserve">set to take five images per trigger and </w:t>
      </w:r>
      <w:r w:rsidRPr="007B6825">
        <w:t>operated for a minimum of 30 days, with each day representing a repeat survey of the monitoring site per sampling period.</w:t>
      </w:r>
    </w:p>
    <w:p w14:paraId="3E42BD9B" w14:textId="70F5DFA2" w:rsidR="009776F4" w:rsidRPr="007B6825" w:rsidRDefault="00CF46F7" w:rsidP="009776F4">
      <w:pPr>
        <w:pStyle w:val="ARIERCaption-Figure"/>
      </w:pPr>
      <w:bookmarkStart w:id="38" w:name="_Ref284797477"/>
      <w:bookmarkStart w:id="39" w:name="_Toc284627857"/>
      <w:bookmarkStart w:id="40" w:name="_Ref376794724"/>
      <w:bookmarkStart w:id="41" w:name="_Toc409798463"/>
      <w:bookmarkStart w:id="42" w:name="_Ref284427832"/>
      <w:r>
        <w:rPr>
          <w:noProof/>
        </w:rPr>
        <w:drawing>
          <wp:inline distT="0" distB="0" distL="0" distR="0" wp14:anchorId="239150B9" wp14:editId="54DFEAB2">
            <wp:extent cx="5429250" cy="4962525"/>
            <wp:effectExtent l="0" t="0" r="0" b="9525"/>
            <wp:docPr id="233" name="Picture 23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Map&#10;&#10;Description automatically generated"/>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5429250" cy="4962525"/>
                    </a:xfrm>
                    <a:prstGeom prst="rect">
                      <a:avLst/>
                    </a:prstGeom>
                    <a:ln>
                      <a:noFill/>
                    </a:ln>
                    <a:extLst>
                      <a:ext uri="{53640926-AAD7-44D8-BBD7-CCE9431645EC}">
                        <a14:shadowObscured xmlns:a14="http://schemas.microsoft.com/office/drawing/2010/main"/>
                      </a:ext>
                    </a:extLst>
                  </pic:spPr>
                </pic:pic>
              </a:graphicData>
            </a:graphic>
          </wp:inline>
        </w:drawing>
      </w:r>
    </w:p>
    <w:p w14:paraId="2170B881" w14:textId="3E78A5A1" w:rsidR="009776F4" w:rsidRPr="00187119" w:rsidRDefault="009776F4" w:rsidP="00584FA8">
      <w:pPr>
        <w:pStyle w:val="Caption-Figure"/>
        <w:rPr>
          <w:b w:val="0"/>
        </w:rPr>
      </w:pPr>
      <w:bookmarkStart w:id="43" w:name="_Toc481753965"/>
      <w:bookmarkStart w:id="44" w:name="_Toc57381079"/>
      <w:bookmarkStart w:id="45" w:name="_Toc110599619"/>
      <w:r w:rsidRPr="009776F4">
        <w:t xml:space="preserve">Figure </w:t>
      </w:r>
      <w:bookmarkEnd w:id="38"/>
      <w:r w:rsidRPr="009776F4">
        <w:t xml:space="preserve">2. </w:t>
      </w:r>
      <w:bookmarkEnd w:id="39"/>
      <w:r w:rsidRPr="009776F4">
        <w:t xml:space="preserve">Monitoring sites in the treatment monitoring locations (TMLs; </w:t>
      </w:r>
      <w:r w:rsidR="00737F53">
        <w:t xml:space="preserve">dark </w:t>
      </w:r>
      <w:r w:rsidRPr="009776F4">
        <w:t xml:space="preserve">tan </w:t>
      </w:r>
      <w:r w:rsidR="00737F53">
        <w:t>areas</w:t>
      </w:r>
      <w:r w:rsidRPr="009776F4">
        <w:t xml:space="preserve">) and non-treatment monitoring locations (NTMLs; </w:t>
      </w:r>
      <w:r w:rsidR="00737F53">
        <w:t>pale tan</w:t>
      </w:r>
      <w:r w:rsidRPr="009776F4">
        <w:t xml:space="preserve"> </w:t>
      </w:r>
      <w:r w:rsidR="00737F53">
        <w:t>areas</w:t>
      </w:r>
      <w:r w:rsidRPr="009776F4">
        <w:t xml:space="preserve">) for Glenelg Ark are indicated by </w:t>
      </w:r>
      <w:r w:rsidR="00737F53">
        <w:t>purple</w:t>
      </w:r>
      <w:r w:rsidRPr="009776F4">
        <w:t xml:space="preserve"> dots.</w:t>
      </w:r>
      <w:bookmarkEnd w:id="43"/>
      <w:r w:rsidRPr="009776F4">
        <w:t xml:space="preserve"> </w:t>
      </w:r>
      <w:r w:rsidRPr="00187119">
        <w:rPr>
          <w:b w:val="0"/>
        </w:rPr>
        <w:t>LGNP = Lower Glenelg National Park.</w:t>
      </w:r>
      <w:bookmarkEnd w:id="44"/>
      <w:bookmarkEnd w:id="45"/>
    </w:p>
    <w:bookmarkEnd w:id="40"/>
    <w:bookmarkEnd w:id="41"/>
    <w:bookmarkEnd w:id="42"/>
    <w:p w14:paraId="7C62F47E" w14:textId="77777777" w:rsidR="009776F4" w:rsidRPr="007B6825" w:rsidRDefault="009776F4" w:rsidP="009776F4">
      <w:pPr>
        <w:pStyle w:val="Body2"/>
        <w:rPr>
          <w:rFonts w:asciiTheme="minorHAnsi" w:hAnsiTheme="minorHAnsi"/>
        </w:rPr>
      </w:pPr>
    </w:p>
    <w:p w14:paraId="7B4A787C" w14:textId="77777777" w:rsidR="009776F4" w:rsidRPr="007B6825" w:rsidRDefault="009776F4" w:rsidP="009776F4">
      <w:pPr>
        <w:pStyle w:val="ARIERCaption-Figure"/>
        <w:jc w:val="center"/>
      </w:pPr>
      <w:bookmarkStart w:id="46" w:name="_Toc462997269"/>
      <w:bookmarkStart w:id="47" w:name="_Toc463002695"/>
      <w:bookmarkStart w:id="48" w:name="_Toc468458650"/>
      <w:bookmarkStart w:id="49" w:name="_Toc468458717"/>
      <w:bookmarkStart w:id="50" w:name="_Toc471913020"/>
      <w:bookmarkStart w:id="51" w:name="_Toc481742427"/>
      <w:bookmarkStart w:id="52" w:name="_Toc481753966"/>
      <w:r w:rsidRPr="007B6825">
        <w:rPr>
          <w:rFonts w:eastAsia="MS Gothic" w:cs="Arial"/>
          <w:noProof/>
          <w:color w:val="D1DC58" w:themeColor="accent5" w:themeShade="BF"/>
          <w:sz w:val="24"/>
          <w:szCs w:val="24"/>
          <w:lang w:val="en-GB" w:eastAsia="en-GB"/>
        </w:rPr>
        <w:lastRenderedPageBreak/>
        <w:drawing>
          <wp:inline distT="0" distB="0" distL="0" distR="0" wp14:anchorId="73D17F5E" wp14:editId="47102498">
            <wp:extent cx="2248788" cy="1938528"/>
            <wp:effectExtent l="0" t="0" r="0" b="508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email">
                      <a:extLst>
                        <a:ext uri="{28A0092B-C50C-407E-A947-70E740481C1C}">
                          <a14:useLocalDpi xmlns:a14="http://schemas.microsoft.com/office/drawing/2010/main"/>
                        </a:ext>
                      </a:extLst>
                    </a:blip>
                    <a:srcRect/>
                    <a:stretch/>
                  </pic:blipFill>
                  <pic:spPr bwMode="auto">
                    <a:xfrm>
                      <a:off x="0" y="0"/>
                      <a:ext cx="2331883" cy="2010159"/>
                    </a:xfrm>
                    <a:prstGeom prst="rect">
                      <a:avLst/>
                    </a:prstGeom>
                    <a:noFill/>
                    <a:ln>
                      <a:noFill/>
                    </a:ln>
                    <a:extLst>
                      <a:ext uri="{53640926-AAD7-44D8-BBD7-CCE9431645EC}">
                        <a14:shadowObscured xmlns:a14="http://schemas.microsoft.com/office/drawing/2010/main"/>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bookmarkStart w:id="53" w:name="_Toc481753967"/>
      <w:bookmarkEnd w:id="46"/>
      <w:bookmarkEnd w:id="47"/>
      <w:bookmarkEnd w:id="48"/>
      <w:bookmarkEnd w:id="49"/>
      <w:bookmarkEnd w:id="50"/>
      <w:bookmarkEnd w:id="51"/>
      <w:bookmarkEnd w:id="52"/>
    </w:p>
    <w:p w14:paraId="72FD30D8" w14:textId="210168BD" w:rsidR="009776F4" w:rsidRDefault="009776F4" w:rsidP="00584FA8">
      <w:pPr>
        <w:pStyle w:val="Caption-Figure"/>
      </w:pPr>
      <w:bookmarkStart w:id="54" w:name="_Toc57381080"/>
      <w:bookmarkStart w:id="55" w:name="_Toc110599620"/>
      <w:r w:rsidRPr="00DA441D">
        <w:t xml:space="preserve">Figure 3. The layout of the nine </w:t>
      </w:r>
      <w:r w:rsidR="00E925F6" w:rsidRPr="00DA441D">
        <w:t>hair</w:t>
      </w:r>
      <w:r w:rsidR="00E925F6">
        <w:t>-</w:t>
      </w:r>
      <w:r w:rsidRPr="00DA441D">
        <w:t>tubes and possible location (A, B, C or D) of the single digital camera at a monitoring site</w:t>
      </w:r>
      <w:bookmarkEnd w:id="53"/>
      <w:bookmarkEnd w:id="54"/>
      <w:bookmarkEnd w:id="55"/>
    </w:p>
    <w:p w14:paraId="7647BBC9" w14:textId="77777777" w:rsidR="009E3258" w:rsidRDefault="009E3258" w:rsidP="009776F4">
      <w:pPr>
        <w:pStyle w:val="Heading2-Numbered"/>
      </w:pPr>
      <w:bookmarkStart w:id="56" w:name="_Toc110599597"/>
      <w:r>
        <w:t>Species occupancy</w:t>
      </w:r>
      <w:bookmarkEnd w:id="56"/>
    </w:p>
    <w:p w14:paraId="76EA934D" w14:textId="5DC9F3D8" w:rsidR="007702BD" w:rsidRDefault="00462445" w:rsidP="00462445">
      <w:r>
        <w:t xml:space="preserve">A </w:t>
      </w:r>
      <w:proofErr w:type="spellStart"/>
      <w:r w:rsidR="001306EF">
        <w:t>multi</w:t>
      </w:r>
      <w:r>
        <w:t>season</w:t>
      </w:r>
      <w:proofErr w:type="spellEnd"/>
      <w:r>
        <w:t xml:space="preserve"> occupancy model was used to estimate the occupancy (</w:t>
      </w:r>
      <m:oMath>
        <m:r>
          <w:rPr>
            <w:rFonts w:ascii="Cambria Math" w:hAnsi="Cambria Math"/>
          </w:rPr>
          <m:t>ψ</m:t>
        </m:r>
      </m:oMath>
      <w:r>
        <w:t>), detection (</w:t>
      </w:r>
      <m:oMath>
        <m:r>
          <w:rPr>
            <w:rFonts w:ascii="Cambria Math" w:hAnsi="Cambria Math"/>
          </w:rPr>
          <m:t>p</m:t>
        </m:r>
      </m:oMath>
      <w:r>
        <w:t>), local colonisation</w:t>
      </w:r>
      <w:r w:rsidR="003F5AEA">
        <w:t xml:space="preserve"> </w:t>
      </w:r>
      <m:oMath>
        <m:r>
          <w:rPr>
            <w:rFonts w:ascii="Cambria Math" w:hAnsi="Cambria Math"/>
          </w:rPr>
          <m:t>(γ</m:t>
        </m:r>
      </m:oMath>
      <w:r w:rsidR="001348A4">
        <w:t>, the probability that an unoccupied site in season</w:t>
      </w:r>
      <w:r w:rsidR="003F5AEA">
        <w:t xml:space="preserve">, </w:t>
      </w:r>
      <m:oMath>
        <m:r>
          <m:rPr>
            <m:sty m:val="p"/>
          </m:rPr>
          <w:rPr>
            <w:rFonts w:ascii="Cambria Math" w:hAnsi="Cambria Math"/>
          </w:rPr>
          <m:t>γ-t</m:t>
        </m:r>
      </m:oMath>
      <w:r w:rsidR="001348A4">
        <w:t xml:space="preserve"> is occupied in season</w:t>
      </w:r>
      <w:r w:rsidR="003F5AEA">
        <w:t xml:space="preserve"> </w:t>
      </w:r>
      <m:oMath>
        <m:r>
          <m:rPr>
            <m:sty m:val="p"/>
          </m:rPr>
          <w:rPr>
            <w:rFonts w:ascii="Cambria Math" w:hAnsi="Cambria Math"/>
          </w:rPr>
          <m:t>γ-(t+1))</m:t>
        </m:r>
      </m:oMath>
      <w:r w:rsidR="001348A4">
        <w:t xml:space="preserve"> a</w:t>
      </w:r>
      <w:proofErr w:type="spellStart"/>
      <w:r w:rsidR="003F5AEA">
        <w:t>n</w:t>
      </w:r>
      <w:r w:rsidR="001348A4">
        <w:t>d</w:t>
      </w:r>
      <w:proofErr w:type="spellEnd"/>
      <w:r w:rsidR="001348A4">
        <w:t xml:space="preserve"> local persistence</w:t>
      </w:r>
      <w:r w:rsidR="003F5AEA">
        <w:t xml:space="preserve"> (</w:t>
      </w:r>
      <m:oMath>
        <m:r>
          <w:rPr>
            <w:rFonts w:ascii="Cambria Math" w:hAnsi="Cambria Math"/>
          </w:rPr>
          <m:t>η</m:t>
        </m:r>
      </m:oMath>
      <w:r w:rsidR="001348A4">
        <w:t>, the probability that an unoccupied site site season</w:t>
      </w:r>
      <w:r w:rsidR="003F5AEA">
        <w:t xml:space="preserve"> </w:t>
      </w:r>
      <m:oMath>
        <m:r>
          <m:rPr>
            <m:sty m:val="p"/>
          </m:rPr>
          <w:rPr>
            <w:rFonts w:ascii="Cambria Math" w:hAnsi="Cambria Math"/>
          </w:rPr>
          <m:t>η-t</m:t>
        </m:r>
      </m:oMath>
      <w:r w:rsidR="001348A4">
        <w:t xml:space="preserve"> remains occupied in season</w:t>
      </w:r>
      <w:r w:rsidR="003F5AEA">
        <w:t xml:space="preserve"> </w:t>
      </w:r>
      <m:oMath>
        <m:r>
          <w:rPr>
            <w:rFonts w:ascii="Cambria Math" w:hAnsi="Cambria Math"/>
          </w:rPr>
          <m:t>η-(t+1)</m:t>
        </m:r>
      </m:oMath>
      <w:r w:rsidR="003F5AEA">
        <w:t xml:space="preserve">) </w:t>
      </w:r>
      <w:r>
        <w:t>(MacKenzie</w:t>
      </w:r>
      <w:r w:rsidR="00AC2483">
        <w:t xml:space="preserve"> </w:t>
      </w:r>
      <w:r>
        <w:t>et al. 2006</w:t>
      </w:r>
      <w:r w:rsidR="003314B8">
        <w:t>, 2017</w:t>
      </w:r>
      <w:r>
        <w:t>). The model was constructed in a Bayesian framework, using a space</w:t>
      </w:r>
      <w:r w:rsidR="00AC2483">
        <w:t>–</w:t>
      </w:r>
      <w:r>
        <w:t>state formulation (</w:t>
      </w:r>
      <w:proofErr w:type="spellStart"/>
      <w:r>
        <w:t>Royle</w:t>
      </w:r>
      <w:proofErr w:type="spellEnd"/>
      <w:r>
        <w:t xml:space="preserve"> and </w:t>
      </w:r>
      <w:proofErr w:type="spellStart"/>
      <w:r>
        <w:t>Kéry</w:t>
      </w:r>
      <w:proofErr w:type="spellEnd"/>
      <w:r>
        <w:t xml:space="preserve"> 2007). Separate models were </w:t>
      </w:r>
      <w:r w:rsidR="0018189B">
        <w:t>built</w:t>
      </w:r>
      <w:r>
        <w:t xml:space="preserve"> for each species of interest: </w:t>
      </w:r>
      <w:r w:rsidR="00AC0209">
        <w:t>CBP</w:t>
      </w:r>
      <w:r w:rsidR="0018189B">
        <w:t>,</w:t>
      </w:r>
      <w:r>
        <w:t xml:space="preserve"> LNP and SBB. Each model allowed for </w:t>
      </w:r>
      <w:r w:rsidR="002A2CA5">
        <w:t xml:space="preserve">a </w:t>
      </w:r>
      <w:r w:rsidR="0018189B">
        <w:t>parameter difference</w:t>
      </w:r>
      <w:r>
        <w:t xml:space="preserve"> at each of the six locations: </w:t>
      </w:r>
      <w:proofErr w:type="spellStart"/>
      <w:r>
        <w:t>Annya</w:t>
      </w:r>
      <w:proofErr w:type="spellEnd"/>
      <w:r w:rsidR="00F00719">
        <w:t xml:space="preserve"> State Forest</w:t>
      </w:r>
      <w:r w:rsidR="00AC2483">
        <w:t xml:space="preserve">, </w:t>
      </w:r>
      <w:r>
        <w:t>Hotspur</w:t>
      </w:r>
      <w:r w:rsidR="00F00719">
        <w:t xml:space="preserve"> State Forest</w:t>
      </w:r>
      <w:r w:rsidR="00AC2483">
        <w:t xml:space="preserve">, and </w:t>
      </w:r>
      <w:r>
        <w:t>Lower Glenelg Nation</w:t>
      </w:r>
      <w:r w:rsidR="00B00F24">
        <w:t>al</w:t>
      </w:r>
      <w:r>
        <w:t xml:space="preserve"> Park </w:t>
      </w:r>
      <w:r w:rsidR="00B062F2">
        <w:t>–</w:t>
      </w:r>
      <w:r>
        <w:t xml:space="preserve"> North</w:t>
      </w:r>
      <w:r w:rsidR="00B062F2">
        <w:t xml:space="preserve"> (</w:t>
      </w:r>
      <w:r w:rsidR="00B00F24">
        <w:t>no fox control</w:t>
      </w:r>
      <w:r w:rsidR="00B062F2">
        <w:t>)</w:t>
      </w:r>
      <w:r>
        <w:t xml:space="preserve">; </w:t>
      </w:r>
      <w:proofErr w:type="spellStart"/>
      <w:r>
        <w:t>Cobboboonee</w:t>
      </w:r>
      <w:proofErr w:type="spellEnd"/>
      <w:r w:rsidR="00F00719">
        <w:t xml:space="preserve"> National Park</w:t>
      </w:r>
      <w:r w:rsidR="00AC2483">
        <w:t xml:space="preserve">, </w:t>
      </w:r>
      <w:r>
        <w:t>M</w:t>
      </w:r>
      <w:r w:rsidR="00AC2483">
        <w:t>oun</w:t>
      </w:r>
      <w:r>
        <w:t>t Clay</w:t>
      </w:r>
      <w:r w:rsidR="00F00719">
        <w:t xml:space="preserve"> State Forest</w:t>
      </w:r>
      <w:r w:rsidR="00AC2483">
        <w:t xml:space="preserve">, </w:t>
      </w:r>
      <w:r>
        <w:t>and Lower Glenelg Nation</w:t>
      </w:r>
      <w:r w:rsidR="00B00F24">
        <w:t>al</w:t>
      </w:r>
      <w:r>
        <w:t xml:space="preserve"> Park </w:t>
      </w:r>
      <w:r w:rsidR="00B062F2">
        <w:t>–</w:t>
      </w:r>
      <w:r>
        <w:t xml:space="preserve"> South</w:t>
      </w:r>
      <w:r w:rsidR="00B062F2">
        <w:t xml:space="preserve"> (</w:t>
      </w:r>
      <w:r w:rsidR="00B00F24">
        <w:t>fox control</w:t>
      </w:r>
      <w:r w:rsidR="00B062F2">
        <w:t>)</w:t>
      </w:r>
      <w:r>
        <w:t xml:space="preserve">. Models were constructed that included several camera level covariates individually for local </w:t>
      </w:r>
      <w:r w:rsidR="008F04E0" w:rsidRPr="008F04E0">
        <w:t>persistence,</w:t>
      </w:r>
      <w:r>
        <w:t xml:space="preserve"> and local colonisation rates</w:t>
      </w:r>
      <w:r w:rsidR="007702BD">
        <w:t xml:space="preserve"> (Table 1)</w:t>
      </w:r>
      <w:r>
        <w:t>.</w:t>
      </w:r>
    </w:p>
    <w:p w14:paraId="0DFCB0D8" w14:textId="3B316861" w:rsidR="00176774" w:rsidRPr="00EC4F21" w:rsidRDefault="00176774" w:rsidP="00176774">
      <w:r w:rsidRPr="00420D53">
        <w:rPr>
          <w:u w:val="single"/>
        </w:rPr>
        <w:t>Distance to non-native vegetation</w:t>
      </w:r>
      <w:r w:rsidR="00267FDD">
        <w:rPr>
          <w:u w:val="single"/>
        </w:rPr>
        <w:t xml:space="preserve"> (DTNV)</w:t>
      </w:r>
      <w:r w:rsidRPr="00420D53">
        <w:rPr>
          <w:u w:val="single"/>
        </w:rPr>
        <w:t>.</w:t>
      </w:r>
      <w:r w:rsidRPr="00EC4F21">
        <w:t xml:space="preserve"> Invasive predators are well</w:t>
      </w:r>
      <w:r w:rsidR="00AC2483">
        <w:t xml:space="preserve"> </w:t>
      </w:r>
      <w:r w:rsidRPr="00EC4F21">
        <w:t>documented to prefer edges between forest and cleared land</w:t>
      </w:r>
      <w:r w:rsidR="00AC2483">
        <w:t>, because</w:t>
      </w:r>
      <w:r w:rsidRPr="00EC4F21">
        <w:t xml:space="preserve"> they facilitate efficient movement and hunting (e.g. McGregor et al. 2014; </w:t>
      </w:r>
      <w:proofErr w:type="spellStart"/>
      <w:r w:rsidR="00AC2483" w:rsidRPr="00EC4F21">
        <w:t>Hradsky</w:t>
      </w:r>
      <w:proofErr w:type="spellEnd"/>
      <w:r w:rsidR="00AC2483" w:rsidRPr="00EC4F21">
        <w:t xml:space="preserve"> et al. 2017; </w:t>
      </w:r>
      <w:r w:rsidRPr="00EC4F21">
        <w:t>Nichols et al. 2019). We modelled the effect of the minimum distance from each camera</w:t>
      </w:r>
      <w:r w:rsidR="00AC2483">
        <w:t xml:space="preserve"> </w:t>
      </w:r>
      <w:r w:rsidRPr="00EC4F21">
        <w:t xml:space="preserve">trap site to the nearest substantial area of non-native vegetation. We calculated this by inverting the extent of native vegetation (Department of Environment, Land, Water and Planning 2019) and removing cleared areas smaller than </w:t>
      </w:r>
      <w:r w:rsidR="00AC2483" w:rsidRPr="00EC4F21">
        <w:t>30</w:t>
      </w:r>
      <w:r w:rsidR="00AC2483">
        <w:t> </w:t>
      </w:r>
      <w:r w:rsidRPr="00EC4F21">
        <w:t>ha, as per Geary et al. (2020).</w:t>
      </w:r>
    </w:p>
    <w:p w14:paraId="46C6949E" w14:textId="1028C8DB" w:rsidR="00176774" w:rsidRPr="00EC4F21" w:rsidRDefault="00176774" w:rsidP="00176774">
      <w:r w:rsidRPr="00420D53">
        <w:rPr>
          <w:u w:val="single"/>
        </w:rPr>
        <w:t>Terrain ruggedness and wetness.</w:t>
      </w:r>
      <w:r w:rsidRPr="00EC4F21">
        <w:t xml:space="preserve"> High topographic complexity (i.e. ‘ruggedness’) can limit predator movement and predation rates, benefiting prey (</w:t>
      </w:r>
      <w:proofErr w:type="spellStart"/>
      <w:r w:rsidRPr="00EC4F21">
        <w:t>Hohnen</w:t>
      </w:r>
      <w:proofErr w:type="spellEnd"/>
      <w:r w:rsidRPr="00EC4F21">
        <w:t xml:space="preserve"> et al. 2016; McDonald et al. 2017; Stobo-Wilson et al. 2020). Soil moisture (estimated by the topographic wetness index) impacts vegetation</w:t>
      </w:r>
      <w:r w:rsidR="0018189B">
        <w:t xml:space="preserve"> and</w:t>
      </w:r>
      <w:r w:rsidRPr="00EC4F21">
        <w:t xml:space="preserve"> the availability of subterranean invertebrates and fungi</w:t>
      </w:r>
      <w:r w:rsidR="00AC2483">
        <w:t>—</w:t>
      </w:r>
      <w:r w:rsidRPr="00EC4F21">
        <w:t>key food sources for L</w:t>
      </w:r>
      <w:r w:rsidR="00267FDD">
        <w:t>ong-nosed Potoroo</w:t>
      </w:r>
      <w:r w:rsidRPr="00EC4F21">
        <w:t xml:space="preserve"> and S</w:t>
      </w:r>
      <w:r w:rsidR="00267FDD">
        <w:t>outhern Brown Bandicoot</w:t>
      </w:r>
      <w:r w:rsidRPr="00EC4F21">
        <w:t xml:space="preserve"> (</w:t>
      </w:r>
      <w:proofErr w:type="spellStart"/>
      <w:r w:rsidRPr="00EC4F21">
        <w:t>Lobert</w:t>
      </w:r>
      <w:proofErr w:type="spellEnd"/>
      <w:r w:rsidRPr="00EC4F21">
        <w:t xml:space="preserve"> 1990; </w:t>
      </w:r>
      <w:proofErr w:type="spellStart"/>
      <w:r w:rsidRPr="00EC4F21">
        <w:t>Nuske</w:t>
      </w:r>
      <w:proofErr w:type="spellEnd"/>
      <w:r w:rsidRPr="00EC4F21">
        <w:t xml:space="preserve"> et al. 2017).</w:t>
      </w:r>
    </w:p>
    <w:p w14:paraId="4B404BC3" w14:textId="1F5AE7F3" w:rsidR="00176774" w:rsidRPr="00EC4F21" w:rsidRDefault="00176774" w:rsidP="00176774">
      <w:r w:rsidRPr="00EC4F21">
        <w:t xml:space="preserve">We extracted </w:t>
      </w:r>
      <w:r w:rsidR="0018189B">
        <w:t xml:space="preserve">each </w:t>
      </w:r>
      <w:r w:rsidR="00AC2483">
        <w:t xml:space="preserve">site’s </w:t>
      </w:r>
      <w:r w:rsidR="0018189B">
        <w:t>elevation above sea level (metres)</w:t>
      </w:r>
      <w:r w:rsidRPr="00EC4F21">
        <w:t xml:space="preserve"> using a 10-</w:t>
      </w:r>
      <w:r w:rsidR="00AC2483" w:rsidRPr="00EC4F21">
        <w:t>m</w:t>
      </w:r>
      <w:r w:rsidR="00AC2483">
        <w:t>-</w:t>
      </w:r>
      <w:r w:rsidRPr="00EC4F21">
        <w:t>resolution digital elevation model (Department of Environment, Land, Water and Planning 2020). We also used this elevation layer to calculate the median terrain ruggedness index (</w:t>
      </w:r>
      <w:r w:rsidR="00267FDD">
        <w:t xml:space="preserve">TRI, </w:t>
      </w:r>
      <w:r w:rsidR="002A2CA5">
        <w:t xml:space="preserve">which </w:t>
      </w:r>
      <w:r w:rsidRPr="00EC4F21">
        <w:t>calculates the difference in elevation between a central cell and eight adjacent cells (Riley et al. 1999), taking the median value in a 30-m radius around each camera</w:t>
      </w:r>
      <w:r w:rsidR="00507881">
        <w:t xml:space="preserve"> </w:t>
      </w:r>
      <w:r w:rsidRPr="00EC4F21">
        <w:t xml:space="preserve">trap site. </w:t>
      </w:r>
      <w:r w:rsidR="0018189B">
        <w:t xml:space="preserve">We also took the median topographic wetness index in a 30-m radius around each camera-trap site, derived from a 30-m resolution layer (Gallant and Austin 2012). The </w:t>
      </w:r>
      <w:r w:rsidR="00A274E9">
        <w:t>topographic wetness index</w:t>
      </w:r>
      <w:r w:rsidR="0018189B">
        <w:t xml:space="preserve"> estimates where water will accumulate by accounting for topographic influences on hydrological processes (</w:t>
      </w:r>
      <w:proofErr w:type="spellStart"/>
      <w:r w:rsidR="0018189B">
        <w:t>Beven</w:t>
      </w:r>
      <w:proofErr w:type="spellEnd"/>
      <w:r w:rsidR="0018189B">
        <w:t xml:space="preserve"> and Kirkby 1979</w:t>
      </w:r>
      <w:r w:rsidRPr="00EC4F21">
        <w:t>).</w:t>
      </w:r>
    </w:p>
    <w:p w14:paraId="6D8E4E4A" w14:textId="7D810A53" w:rsidR="007C6A06" w:rsidRDefault="00996930" w:rsidP="007C6A06">
      <w:r w:rsidRPr="00420D53">
        <w:rPr>
          <w:u w:val="single"/>
        </w:rPr>
        <w:t>Time</w:t>
      </w:r>
      <w:r w:rsidR="00267FDD">
        <w:rPr>
          <w:u w:val="single"/>
        </w:rPr>
        <w:t xml:space="preserve"> </w:t>
      </w:r>
      <w:r w:rsidRPr="00420D53">
        <w:rPr>
          <w:u w:val="single"/>
        </w:rPr>
        <w:t>since</w:t>
      </w:r>
      <w:r w:rsidR="00267FDD" w:rsidRPr="00420D53">
        <w:rPr>
          <w:u w:val="single"/>
        </w:rPr>
        <w:t xml:space="preserve"> </w:t>
      </w:r>
      <w:r w:rsidRPr="00420D53">
        <w:rPr>
          <w:u w:val="single"/>
        </w:rPr>
        <w:t>fire</w:t>
      </w:r>
      <w:r w:rsidR="00267FDD">
        <w:rPr>
          <w:u w:val="single"/>
        </w:rPr>
        <w:t xml:space="preserve"> (TSF)</w:t>
      </w:r>
      <w:r w:rsidRPr="00EC4F21">
        <w:t xml:space="preserve">. </w:t>
      </w:r>
      <w:r w:rsidR="007C6A06" w:rsidRPr="00EC4F21">
        <w:t xml:space="preserve">We derived </w:t>
      </w:r>
      <w:r w:rsidRPr="00EC4F21">
        <w:t>the</w:t>
      </w:r>
      <w:r w:rsidR="007C6A06" w:rsidRPr="00EC4F21">
        <w:t xml:space="preserve"> time since </w:t>
      </w:r>
      <w:r w:rsidR="002A2CA5">
        <w:t xml:space="preserve">the </w:t>
      </w:r>
      <w:r w:rsidR="007C6A06" w:rsidRPr="00EC4F21">
        <w:t>last fire (in years) for each camera trap deployment</w:t>
      </w:r>
      <w:r w:rsidR="00507881">
        <w:t>,</w:t>
      </w:r>
      <w:r w:rsidR="007C6A06" w:rsidRPr="00EC4F21">
        <w:t xml:space="preserve"> using coarse fire scar mapping provided DELWP dating back to 1939</w:t>
      </w:r>
      <w:r w:rsidR="00507881">
        <w:t>,</w:t>
      </w:r>
      <w:r w:rsidR="007C6A06" w:rsidRPr="00EC4F21">
        <w:t xml:space="preserve"> when large wildfires burnt the region extensively.</w:t>
      </w:r>
    </w:p>
    <w:p w14:paraId="7D6D8B5D" w14:textId="235D5AF3" w:rsidR="00420D53" w:rsidRPr="00EC4F21" w:rsidRDefault="00420D53" w:rsidP="007C6A06">
      <w:r w:rsidRPr="00420D53">
        <w:rPr>
          <w:u w:val="single"/>
        </w:rPr>
        <w:t>Treatment</w:t>
      </w:r>
      <w:r>
        <w:t xml:space="preserve">. To allow for </w:t>
      </w:r>
      <w:r w:rsidR="003C7039">
        <w:t>covariate</w:t>
      </w:r>
      <w:r>
        <w:t xml:space="preserve"> effects to vary between locations with and without fox control</w:t>
      </w:r>
      <w:r w:rsidR="0018189B">
        <w:t>,</w:t>
      </w:r>
      <w:r>
        <w:t xml:space="preserve"> we included a binary variable for treatment representing fox control (1) and no fox control (0).</w:t>
      </w:r>
    </w:p>
    <w:p w14:paraId="6FBBB18E" w14:textId="77777777" w:rsidR="00507881" w:rsidRDefault="00507881">
      <w:pPr>
        <w:rPr>
          <w:b/>
          <w:bCs/>
          <w:color w:val="201547" w:themeColor="accent3"/>
          <w:sz w:val="22"/>
          <w:szCs w:val="22"/>
        </w:rPr>
      </w:pPr>
      <w:r>
        <w:br w:type="page"/>
      </w:r>
    </w:p>
    <w:p w14:paraId="2021F107" w14:textId="5A761A12" w:rsidR="007702BD" w:rsidRDefault="007702BD" w:rsidP="007702BD">
      <w:pPr>
        <w:pStyle w:val="Caption-Table"/>
      </w:pPr>
      <w:bookmarkStart w:id="57" w:name="_Toc110599611"/>
      <w:r>
        <w:lastRenderedPageBreak/>
        <w:t xml:space="preserve">Table 1. Camera level covariates used in the </w:t>
      </w:r>
      <w:proofErr w:type="spellStart"/>
      <w:r>
        <w:t>multiseason</w:t>
      </w:r>
      <w:proofErr w:type="spellEnd"/>
      <w:r>
        <w:t xml:space="preserve"> occupancy models</w:t>
      </w:r>
      <w:bookmarkEnd w:id="57"/>
    </w:p>
    <w:tbl>
      <w:tblPr>
        <w:tblStyle w:val="DELWPTable"/>
        <w:tblW w:w="0" w:type="auto"/>
        <w:tblLook w:val="01E0" w:firstRow="1" w:lastRow="1" w:firstColumn="1" w:lastColumn="1" w:noHBand="0" w:noVBand="0"/>
      </w:tblPr>
      <w:tblGrid>
        <w:gridCol w:w="2653"/>
        <w:gridCol w:w="6737"/>
      </w:tblGrid>
      <w:tr w:rsidR="007702BD" w:rsidRPr="002B71D3" w14:paraId="4706E2F7" w14:textId="77777777" w:rsidTr="00B228F3">
        <w:trPr>
          <w:cnfStyle w:val="100000000000" w:firstRow="1" w:lastRow="0" w:firstColumn="0" w:lastColumn="0" w:oddVBand="0" w:evenVBand="0" w:oddHBand="0" w:evenHBand="0" w:firstRowFirstColumn="0" w:firstRowLastColumn="0" w:lastRowFirstColumn="0" w:lastRowLastColumn="0"/>
        </w:trPr>
        <w:tc>
          <w:tcPr>
            <w:tcW w:w="2653" w:type="dxa"/>
            <w:hideMark/>
          </w:tcPr>
          <w:p w14:paraId="51285D5A" w14:textId="77777777" w:rsidR="007702BD" w:rsidRPr="00187119" w:rsidRDefault="007702BD" w:rsidP="00B228F3">
            <w:pPr>
              <w:pStyle w:val="Tableheadingtext"/>
              <w:rPr>
                <w:b w:val="0"/>
              </w:rPr>
            </w:pPr>
            <w:r w:rsidRPr="00187119">
              <w:rPr>
                <w:b w:val="0"/>
              </w:rPr>
              <w:t>Covariate</w:t>
            </w:r>
          </w:p>
        </w:tc>
        <w:tc>
          <w:tcPr>
            <w:tcW w:w="6737" w:type="dxa"/>
            <w:hideMark/>
          </w:tcPr>
          <w:p w14:paraId="14922E4C" w14:textId="77777777" w:rsidR="007702BD" w:rsidRPr="00187119" w:rsidRDefault="007702BD" w:rsidP="00B228F3">
            <w:pPr>
              <w:pStyle w:val="Tableheadingtext"/>
              <w:rPr>
                <w:b w:val="0"/>
              </w:rPr>
            </w:pPr>
            <w:r w:rsidRPr="00187119">
              <w:rPr>
                <w:b w:val="0"/>
              </w:rPr>
              <w:t>Description</w:t>
            </w:r>
          </w:p>
        </w:tc>
      </w:tr>
      <w:tr w:rsidR="00176774" w14:paraId="525B466A" w14:textId="77777777" w:rsidTr="00252A73">
        <w:tc>
          <w:tcPr>
            <w:tcW w:w="2653" w:type="dxa"/>
            <w:tcBorders>
              <w:top w:val="single" w:sz="4" w:space="0" w:color="00B2A9" w:themeColor="accent1"/>
              <w:left w:val="nil"/>
              <w:bottom w:val="single" w:sz="4" w:space="0" w:color="00B2A9" w:themeColor="accent1"/>
              <w:right w:val="nil"/>
            </w:tcBorders>
            <w:hideMark/>
          </w:tcPr>
          <w:p w14:paraId="77E81350" w14:textId="2E50EF25" w:rsidR="00176774" w:rsidRDefault="00176774" w:rsidP="002B71D3">
            <w:pPr>
              <w:pStyle w:val="Tablebodytext"/>
            </w:pPr>
            <w:r>
              <w:t>Distance to non-native vegetation (</w:t>
            </w:r>
            <w:r w:rsidR="00267FDD">
              <w:t>DTNV</w:t>
            </w:r>
            <w:r w:rsidR="009A01CA">
              <w:t xml:space="preserve">) </w:t>
            </w:r>
            <w:r>
              <w:t xml:space="preserve">patches </w:t>
            </w:r>
            <w:r w:rsidR="009A01CA">
              <w:t>of &gt;30 </w:t>
            </w:r>
            <w:r>
              <w:t>ha</w:t>
            </w:r>
          </w:p>
        </w:tc>
        <w:tc>
          <w:tcPr>
            <w:tcW w:w="6737" w:type="dxa"/>
            <w:tcBorders>
              <w:top w:val="single" w:sz="4" w:space="0" w:color="00B2A9" w:themeColor="accent1"/>
              <w:left w:val="nil"/>
              <w:bottom w:val="single" w:sz="4" w:space="0" w:color="00B2A9" w:themeColor="accent1"/>
              <w:right w:val="nil"/>
            </w:tcBorders>
            <w:hideMark/>
          </w:tcPr>
          <w:p w14:paraId="1D39ED8F" w14:textId="43F56680" w:rsidR="00176774" w:rsidRDefault="00176774" w:rsidP="002B71D3">
            <w:pPr>
              <w:pStyle w:val="Tablebodytext"/>
            </w:pPr>
            <w:r>
              <w:t>Distance in met</w:t>
            </w:r>
            <w:r w:rsidR="009A01CA">
              <w:t>re</w:t>
            </w:r>
            <w:r>
              <w:t>s to the nearest patch (&gt;</w:t>
            </w:r>
            <w:r w:rsidR="009A01CA">
              <w:t>30 </w:t>
            </w:r>
            <w:r>
              <w:t xml:space="preserve">ha) of non-native vegetation, e.g. </w:t>
            </w:r>
            <w:r w:rsidR="009A01CA">
              <w:t xml:space="preserve">pine </w:t>
            </w:r>
            <w:r>
              <w:t>plantation, open pasture</w:t>
            </w:r>
          </w:p>
        </w:tc>
      </w:tr>
      <w:tr w:rsidR="00176774" w14:paraId="79CD65C0" w14:textId="77777777" w:rsidTr="00252A73">
        <w:tc>
          <w:tcPr>
            <w:tcW w:w="2653" w:type="dxa"/>
            <w:tcBorders>
              <w:top w:val="single" w:sz="4" w:space="0" w:color="00B2A9" w:themeColor="accent1"/>
              <w:left w:val="nil"/>
              <w:bottom w:val="single" w:sz="4" w:space="0" w:color="00B2A9" w:themeColor="accent1"/>
              <w:right w:val="nil"/>
            </w:tcBorders>
            <w:hideMark/>
          </w:tcPr>
          <w:p w14:paraId="71F777B9" w14:textId="77777777" w:rsidR="00176774" w:rsidRDefault="00176774" w:rsidP="00252A73">
            <w:pPr>
              <w:pStyle w:val="Tablebodytext"/>
            </w:pPr>
            <w:r>
              <w:t>Terrain Ruggedness Index (TRI)</w:t>
            </w:r>
          </w:p>
        </w:tc>
        <w:tc>
          <w:tcPr>
            <w:tcW w:w="6737" w:type="dxa"/>
            <w:tcBorders>
              <w:top w:val="single" w:sz="4" w:space="0" w:color="00B2A9" w:themeColor="accent1"/>
              <w:left w:val="nil"/>
              <w:bottom w:val="single" w:sz="4" w:space="0" w:color="00B2A9" w:themeColor="accent1"/>
              <w:right w:val="nil"/>
            </w:tcBorders>
            <w:hideMark/>
          </w:tcPr>
          <w:p w14:paraId="3DB8E8F2" w14:textId="439B8433" w:rsidR="00176774" w:rsidRDefault="009A01CA" w:rsidP="002B71D3">
            <w:pPr>
              <w:pStyle w:val="Tablebodytext"/>
            </w:pPr>
            <w:r>
              <w:t xml:space="preserve">A measure of </w:t>
            </w:r>
            <w:r w:rsidR="0018189B">
              <w:t>t</w:t>
            </w:r>
            <w:r w:rsidR="00176774">
              <w:t xml:space="preserve">he difference in elevation </w:t>
            </w:r>
            <w:r>
              <w:t xml:space="preserve">between </w:t>
            </w:r>
            <w:r w:rsidR="00176774">
              <w:t xml:space="preserve">a centre cell and </w:t>
            </w:r>
            <w:r>
              <w:t xml:space="preserve">the </w:t>
            </w:r>
            <w:r w:rsidR="00176774">
              <w:t xml:space="preserve">eight cells directly surrounding </w:t>
            </w:r>
            <w:r w:rsidR="0015565D">
              <w:t>it.</w:t>
            </w:r>
            <w:r w:rsidR="00176774">
              <w:t xml:space="preserve"> </w:t>
            </w:r>
            <w:r>
              <w:t>T</w:t>
            </w:r>
            <w:r w:rsidR="00176774">
              <w:t>he eight elevation differences are squared and averaged. The square root of this average result is a TRI measurement for the centre cell.</w:t>
            </w:r>
          </w:p>
        </w:tc>
      </w:tr>
      <w:tr w:rsidR="00176774" w14:paraId="2A1576D5" w14:textId="77777777" w:rsidTr="00252A73">
        <w:tc>
          <w:tcPr>
            <w:tcW w:w="2653" w:type="dxa"/>
            <w:tcBorders>
              <w:top w:val="single" w:sz="4" w:space="0" w:color="00B2A9" w:themeColor="accent1"/>
              <w:left w:val="nil"/>
              <w:bottom w:val="single" w:sz="4" w:space="0" w:color="00B2A9" w:themeColor="accent1"/>
              <w:right w:val="nil"/>
            </w:tcBorders>
            <w:hideMark/>
          </w:tcPr>
          <w:p w14:paraId="4221DC0C" w14:textId="49FD1C6F" w:rsidR="00176774" w:rsidRDefault="00176774" w:rsidP="00252A73">
            <w:pPr>
              <w:pStyle w:val="Tablebodytext"/>
            </w:pPr>
            <w:r>
              <w:t>Time since fire</w:t>
            </w:r>
            <w:r w:rsidR="00267FDD">
              <w:t xml:space="preserve"> (TSF)</w:t>
            </w:r>
          </w:p>
        </w:tc>
        <w:tc>
          <w:tcPr>
            <w:tcW w:w="6737" w:type="dxa"/>
            <w:tcBorders>
              <w:top w:val="single" w:sz="4" w:space="0" w:color="00B2A9" w:themeColor="accent1"/>
              <w:left w:val="nil"/>
              <w:bottom w:val="single" w:sz="4" w:space="0" w:color="00B2A9" w:themeColor="accent1"/>
              <w:right w:val="nil"/>
            </w:tcBorders>
            <w:hideMark/>
          </w:tcPr>
          <w:p w14:paraId="28038516" w14:textId="602AF6A9" w:rsidR="00176774" w:rsidRDefault="009A01CA" w:rsidP="002B71D3">
            <w:pPr>
              <w:pStyle w:val="Tablebodytext"/>
            </w:pPr>
            <w:r>
              <w:t>T</w:t>
            </w:r>
            <w:r w:rsidR="00176774">
              <w:t xml:space="preserve">ime </w:t>
            </w:r>
            <w:r>
              <w:t>(</w:t>
            </w:r>
            <w:r w:rsidR="00176774">
              <w:t>in years</w:t>
            </w:r>
            <w:r>
              <w:t>)</w:t>
            </w:r>
            <w:r w:rsidR="00176774">
              <w:t xml:space="preserve"> since the camera site was last recorded </w:t>
            </w:r>
            <w:r>
              <w:t xml:space="preserve">as being </w:t>
            </w:r>
            <w:r w:rsidR="00176774">
              <w:t>burnt</w:t>
            </w:r>
          </w:p>
        </w:tc>
      </w:tr>
      <w:tr w:rsidR="007702BD" w14:paraId="1D846CB3" w14:textId="77777777" w:rsidTr="00B228F3">
        <w:tc>
          <w:tcPr>
            <w:tcW w:w="2653" w:type="dxa"/>
            <w:tcBorders>
              <w:top w:val="single" w:sz="4" w:space="0" w:color="00B2A9" w:themeColor="accent1"/>
              <w:left w:val="nil"/>
              <w:bottom w:val="single" w:sz="4" w:space="0" w:color="00B2A9" w:themeColor="accent1"/>
              <w:right w:val="nil"/>
            </w:tcBorders>
            <w:hideMark/>
          </w:tcPr>
          <w:p w14:paraId="269E1F47" w14:textId="6B459BB7" w:rsidR="007702BD" w:rsidRDefault="007702BD" w:rsidP="00B228F3">
            <w:pPr>
              <w:pStyle w:val="Tablebodytext"/>
            </w:pPr>
            <w:r>
              <w:t>Topographic Wetness Index (TWI)</w:t>
            </w:r>
          </w:p>
        </w:tc>
        <w:tc>
          <w:tcPr>
            <w:tcW w:w="6737" w:type="dxa"/>
            <w:tcBorders>
              <w:top w:val="single" w:sz="4" w:space="0" w:color="00B2A9" w:themeColor="accent1"/>
              <w:left w:val="nil"/>
              <w:bottom w:val="single" w:sz="4" w:space="0" w:color="00B2A9" w:themeColor="accent1"/>
              <w:right w:val="nil"/>
            </w:tcBorders>
            <w:hideMark/>
          </w:tcPr>
          <w:p w14:paraId="1B22B4F2" w14:textId="0E3943E3" w:rsidR="007702BD" w:rsidRDefault="0051149D" w:rsidP="002B71D3">
            <w:pPr>
              <w:pStyle w:val="Tablebodytext"/>
              <w:rPr>
                <w:szCs w:val="22"/>
              </w:rPr>
            </w:pPr>
            <w:r>
              <w:t>A quantitative measure of the</w:t>
            </w:r>
            <w:r w:rsidR="007702BD">
              <w:t xml:space="preserve"> terrain</w:t>
            </w:r>
            <w:r w:rsidR="00F957CF">
              <w:t>-</w:t>
            </w:r>
            <w:r w:rsidR="007702BD">
              <w:t>driven variation in soil moisture</w:t>
            </w:r>
            <w:r w:rsidR="00737F53">
              <w:t xml:space="preserve">. </w:t>
            </w:r>
            <w:r w:rsidR="00737F53" w:rsidRPr="00737F53">
              <w:t xml:space="preserve">Topographic Wetness Index (TWI) is calculated as </w:t>
            </w:r>
            <w:proofErr w:type="spellStart"/>
            <w:r w:rsidR="00737F53" w:rsidRPr="00737F53">
              <w:t>log_</w:t>
            </w:r>
            <w:proofErr w:type="gramStart"/>
            <w:r w:rsidR="00737F53" w:rsidRPr="00737F53">
              <w:t>e</w:t>
            </w:r>
            <w:proofErr w:type="spellEnd"/>
            <w:r w:rsidR="00737F53" w:rsidRPr="00737F53">
              <w:t>(</w:t>
            </w:r>
            <w:proofErr w:type="gramEnd"/>
            <w:r w:rsidR="00737F53" w:rsidRPr="00737F53">
              <w:t>specific catchment area / slope) and estimates the relative wetness within a catchment.</w:t>
            </w:r>
          </w:p>
        </w:tc>
      </w:tr>
      <w:tr w:rsidR="007702BD" w14:paraId="567F5FA4" w14:textId="77777777" w:rsidTr="00B228F3">
        <w:tc>
          <w:tcPr>
            <w:tcW w:w="2653" w:type="dxa"/>
            <w:tcBorders>
              <w:top w:val="single" w:sz="4" w:space="0" w:color="00B2A9" w:themeColor="accent1"/>
              <w:left w:val="nil"/>
              <w:bottom w:val="single" w:sz="4" w:space="0" w:color="00B2A9" w:themeColor="accent1"/>
              <w:right w:val="nil"/>
            </w:tcBorders>
          </w:tcPr>
          <w:p w14:paraId="40B909C2" w14:textId="77777777" w:rsidR="007702BD" w:rsidRDefault="007702BD" w:rsidP="00B228F3">
            <w:pPr>
              <w:pStyle w:val="Tablebodytext"/>
            </w:pPr>
            <w:r>
              <w:t>Treatment</w:t>
            </w:r>
          </w:p>
        </w:tc>
        <w:tc>
          <w:tcPr>
            <w:tcW w:w="6737" w:type="dxa"/>
            <w:tcBorders>
              <w:top w:val="single" w:sz="4" w:space="0" w:color="00B2A9" w:themeColor="accent1"/>
              <w:left w:val="nil"/>
              <w:bottom w:val="single" w:sz="4" w:space="0" w:color="00B2A9" w:themeColor="accent1"/>
              <w:right w:val="nil"/>
            </w:tcBorders>
          </w:tcPr>
          <w:p w14:paraId="15B832BE" w14:textId="4A1C6663" w:rsidR="007702BD" w:rsidRDefault="007702BD" w:rsidP="002B71D3">
            <w:pPr>
              <w:pStyle w:val="Tablebodytext"/>
            </w:pPr>
            <w:r>
              <w:t xml:space="preserve">A binary variable </w:t>
            </w:r>
            <w:r w:rsidR="0018189B">
              <w:t xml:space="preserve">that </w:t>
            </w:r>
            <w:r>
              <w:t>indicat</w:t>
            </w:r>
            <w:r w:rsidR="0018189B">
              <w:t>es</w:t>
            </w:r>
            <w:r>
              <w:t xml:space="preserve"> </w:t>
            </w:r>
            <w:r w:rsidR="0051149D">
              <w:t xml:space="preserve">whether </w:t>
            </w:r>
            <w:r>
              <w:t xml:space="preserve">a location </w:t>
            </w:r>
            <w:r w:rsidR="00772ED7">
              <w:t xml:space="preserve">received fox control </w:t>
            </w:r>
            <w:r>
              <w:t>or not. 0 = no fox control, 1= fox control</w:t>
            </w:r>
          </w:p>
        </w:tc>
      </w:tr>
    </w:tbl>
    <w:p w14:paraId="6F84EE64" w14:textId="77777777" w:rsidR="007702BD" w:rsidRDefault="007702BD" w:rsidP="007702BD"/>
    <w:p w14:paraId="29C99C8A" w14:textId="68E13E39" w:rsidR="00462445" w:rsidRDefault="0018189B" w:rsidP="00462445">
      <w:r>
        <w:t>A random effect was included in the local persistence and colonisation rate to account for annual variation</w:t>
      </w:r>
      <w:r w:rsidR="00462445" w:rsidRPr="00D916DD">
        <w:t>.</w:t>
      </w:r>
      <w:r w:rsidR="00462445">
        <w:t xml:space="preserve"> If there was evidence that the covariate was important (</w:t>
      </w:r>
      <w:r w:rsidR="00C62F71">
        <w:t xml:space="preserve">the </w:t>
      </w:r>
      <w:r w:rsidR="00462445">
        <w:t xml:space="preserve">95% </w:t>
      </w:r>
      <w:r w:rsidR="00462445" w:rsidRPr="00D916DD">
        <w:t>high</w:t>
      </w:r>
      <w:r w:rsidR="002A2CA5">
        <w:t>-</w:t>
      </w:r>
      <w:r w:rsidR="00462445" w:rsidRPr="00D916DD">
        <w:t>density interval/credible interval exclude</w:t>
      </w:r>
      <w:r w:rsidR="00C62F71" w:rsidRPr="00D916DD">
        <w:t>d</w:t>
      </w:r>
      <w:r w:rsidR="00462445" w:rsidRPr="00D916DD">
        <w:t xml:space="preserve"> 0)</w:t>
      </w:r>
      <w:r>
        <w:t>,</w:t>
      </w:r>
      <w:r w:rsidR="00462445">
        <w:t xml:space="preserve"> then that covariate was included in a combined model for that rate. Only the final combined model is reported</w:t>
      </w:r>
      <w:r w:rsidR="00C62F71">
        <w:t xml:space="preserve"> (</w:t>
      </w:r>
      <w:r w:rsidR="00C62F71" w:rsidRPr="00380E03">
        <w:t>see</w:t>
      </w:r>
      <w:r w:rsidR="002E18B3">
        <w:t xml:space="preserve"> A</w:t>
      </w:r>
      <w:r w:rsidR="00C62F71" w:rsidRPr="00380E03">
        <w:t xml:space="preserve">ppendix </w:t>
      </w:r>
      <w:r w:rsidR="00380E03" w:rsidRPr="00380E03">
        <w:t>2</w:t>
      </w:r>
      <w:r w:rsidR="00C62F71">
        <w:t xml:space="preserve"> for a list of all models)</w:t>
      </w:r>
      <w:r w:rsidR="00462445">
        <w:t>. The ecological fire group (EFG) was initially considered for inclusion, but once the data was compiled, it was clear that the dominant EFG w</w:t>
      </w:r>
      <w:r w:rsidR="002A2CA5">
        <w:t>as</w:t>
      </w:r>
      <w:r w:rsidR="00462445">
        <w:t xml:space="preserve"> aligned with the location and would therefore </w:t>
      </w:r>
      <w:r w:rsidR="00B062F2">
        <w:t>be</w:t>
      </w:r>
      <w:r w:rsidR="00462445">
        <w:t xml:space="preserve"> confounded. S</w:t>
      </w:r>
      <w:r w:rsidR="00B062F2">
        <w:t>i</w:t>
      </w:r>
      <w:r w:rsidR="00462445">
        <w:t>nce there were very limited EFGs outside the dominant ones</w:t>
      </w:r>
      <w:r>
        <w:t>,</w:t>
      </w:r>
      <w:r w:rsidR="00462445">
        <w:t xml:space="preserve"> we </w:t>
      </w:r>
      <w:r w:rsidR="00B062F2">
        <w:t>decided</w:t>
      </w:r>
      <w:r w:rsidR="00462445">
        <w:t xml:space="preserve"> to use location rather than EFG as an explanatory variable.</w:t>
      </w:r>
    </w:p>
    <w:p w14:paraId="368719BF" w14:textId="77777777" w:rsidR="00462445" w:rsidRDefault="00462445" w:rsidP="00462445">
      <w:r>
        <w:t>The general form of the model took the form:</w:t>
      </w:r>
    </w:p>
    <w:p w14:paraId="554228EB" w14:textId="77777777" w:rsidR="00D035F7" w:rsidRDefault="00273420" w:rsidP="00D035F7">
      <m:oMathPara>
        <m:oMathParaPr>
          <m:jc m:val="center"/>
        </m:oMathParaPr>
        <m:oMath>
          <m:m>
            <m:mPr>
              <m:plcHide m:val="1"/>
              <m:mcs>
                <m:mc>
                  <m:mcPr>
                    <m:count m:val="1"/>
                    <m:mcJc m:val="right"/>
                  </m:mcPr>
                </m:mc>
                <m:mc>
                  <m:mcPr>
                    <m:count m:val="1"/>
                    <m:mcJc m:val="left"/>
                  </m:mcPr>
                </m:mc>
              </m:mcs>
              <m:ctrlPr>
                <w:rPr>
                  <w:rFonts w:ascii="Cambria Math" w:hAnsi="Cambria Math"/>
                </w:rPr>
              </m:ctrlPr>
            </m:mPr>
            <m:mr>
              <m:e>
                <m:r>
                  <m:rPr>
                    <m:nor/>
                  </m:rPr>
                  <m:t>logit</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e>
              <m:e>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i</m:t>
                    </m:r>
                    <m:r>
                      <m:rPr>
                        <m:sty m:val="p"/>
                      </m:rPr>
                      <w:rPr>
                        <w:rFonts w:ascii="Cambria Math" w:hAnsi="Cambria Math"/>
                      </w:rPr>
                      <m:t>,</m:t>
                    </m:r>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+(1-</m:t>
                </m:r>
                <m:sSub>
                  <m:sSubPr>
                    <m:ctrlPr>
                      <w:rPr>
                        <w:rFonts w:ascii="Cambria Math" w:hAnsi="Cambria Math"/>
                      </w:rPr>
                    </m:ctrlPr>
                  </m:sSubPr>
                  <m:e>
                    <m:r>
                      <w:rPr>
                        <w:rFonts w:ascii="Cambria Math" w:hAnsi="Cambria Math"/>
                      </w:rPr>
                      <m:t>Z</m:t>
                    </m:r>
                  </m:e>
                  <m:sub>
                    <m:r>
                      <w:rPr>
                        <w:rFonts w:ascii="Cambria Math" w:hAnsi="Cambria Math"/>
                      </w:rPr>
                      <m:t>i</m:t>
                    </m:r>
                    <m:r>
                      <m:rPr>
                        <m:sty m:val="p"/>
                      </m:rPr>
                      <w:rPr>
                        <w:rFonts w:ascii="Cambria Math" w:hAnsi="Cambria Math"/>
                      </w:rPr>
                      <m:t>,</m:t>
                    </m:r>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r>
                      <m:rPr>
                        <m:sty m:val="p"/>
                      </m:rPr>
                      <w:rPr>
                        <w:rFonts w:ascii="Cambria Math" w:hAnsi="Cambria Math"/>
                      </w:rPr>
                      <m:t>,</m:t>
                    </m:r>
                    <m:r>
                      <w:rPr>
                        <w:rFonts w:ascii="Cambria Math" w:hAnsi="Cambria Math"/>
                      </w:rPr>
                      <m:t>t</m:t>
                    </m:r>
                  </m:sub>
                </m:sSub>
              </m:e>
            </m:mr>
            <m:mr>
              <m:e>
                <m:r>
                  <m:rPr>
                    <m:nor/>
                  </m:rPr>
                  <m:t>logit</m:t>
                </m:r>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e>
              <m:e>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Locatio</m:t>
                    </m:r>
                    <m:sSub>
                      <m:sSubPr>
                        <m:ctrlPr>
                          <w:rPr>
                            <w:rFonts w:ascii="Cambria Math" w:hAnsi="Cambria Math"/>
                          </w:rPr>
                        </m:ctrlPr>
                      </m:sSubPr>
                      <m:e>
                        <m:r>
                          <w:rPr>
                            <w:rFonts w:ascii="Cambria Math" w:hAnsi="Cambria Math"/>
                          </w:rPr>
                          <m:t>n</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m:t>
                    </m:r>
                    <m:r>
                      <w:rPr>
                        <w:rFonts w:ascii="Cambria Math" w:hAnsi="Cambria Math"/>
                      </w:rPr>
                      <m:t>t,h</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r>
                  <w:rPr>
                    <w:rFonts w:ascii="Cambria Math" w:hAnsi="Cambria Math"/>
                  </w:rPr>
                  <m:t>Contro</m:t>
                </m:r>
                <m:sSub>
                  <m:sSubPr>
                    <m:ctrlPr>
                      <w:rPr>
                        <w:rFonts w:ascii="Cambria Math" w:hAnsi="Cambria Math"/>
                      </w:rPr>
                    </m:ctrlPr>
                  </m:sSubPr>
                  <m:e>
                    <m:r>
                      <w:rPr>
                        <w:rFonts w:ascii="Cambria Math" w:hAnsi="Cambria Math"/>
                      </w:rPr>
                      <m:t>l</m:t>
                    </m:r>
                  </m:e>
                  <m:sub>
                    <m:r>
                      <w:rPr>
                        <w:rFonts w:ascii="Cambria Math" w:hAnsi="Cambria Math"/>
                      </w:rPr>
                      <m:t>Locatio</m:t>
                    </m:r>
                    <m:sSub>
                      <m:sSubPr>
                        <m:ctrlPr>
                          <w:rPr>
                            <w:rFonts w:ascii="Cambria Math" w:hAnsi="Cambria Math"/>
                          </w:rPr>
                        </m:ctrlPr>
                      </m:sSubPr>
                      <m:e>
                        <m:r>
                          <w:rPr>
                            <w:rFonts w:ascii="Cambria Math" w:hAnsi="Cambria Math"/>
                          </w:rPr>
                          <m:t>n</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C</m:t>
                    </m:r>
                    <m:r>
                      <m:rPr>
                        <m:sty m:val="p"/>
                      </m:rPr>
                      <w:rPr>
                        <w:rFonts w:ascii="Cambria Math" w:hAnsi="Cambria Math"/>
                      </w:rPr>
                      <m:t>,</m:t>
                    </m:r>
                    <m:r>
                      <w:rPr>
                        <w:rFonts w:ascii="Cambria Math" w:hAnsi="Cambria Math"/>
                      </w:rPr>
                      <m:t>t</m:t>
                    </m:r>
                  </m:sub>
                </m:sSub>
              </m:e>
            </m:mr>
            <m:mr>
              <m:e>
                <m:r>
                  <m:rPr>
                    <m:nor/>
                  </m:rPr>
                  <m:t>logit</m:t>
                </m:r>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e>
              <m:e>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Locatio</m:t>
                    </m:r>
                    <m:sSub>
                      <m:sSubPr>
                        <m:ctrlPr>
                          <w:rPr>
                            <w:rFonts w:ascii="Cambria Math" w:hAnsi="Cambria Math"/>
                          </w:rPr>
                        </m:ctrlPr>
                      </m:sSubPr>
                      <m:e>
                        <m:r>
                          <w:rPr>
                            <w:rFonts w:ascii="Cambria Math" w:hAnsi="Cambria Math"/>
                          </w:rPr>
                          <m:t>n</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m:t>
                    </m:r>
                    <m:r>
                      <w:rPr>
                        <w:rFonts w:ascii="Cambria Math" w:hAnsi="Cambria Math"/>
                      </w:rPr>
                      <m:t>t,h</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r>
                  <w:rPr>
                    <w:rFonts w:ascii="Cambria Math" w:hAnsi="Cambria Math"/>
                  </w:rPr>
                  <m:t>Contro</m:t>
                </m:r>
                <m:sSub>
                  <m:sSubPr>
                    <m:ctrlPr>
                      <w:rPr>
                        <w:rFonts w:ascii="Cambria Math" w:hAnsi="Cambria Math"/>
                      </w:rPr>
                    </m:ctrlPr>
                  </m:sSubPr>
                  <m:e>
                    <m:r>
                      <w:rPr>
                        <w:rFonts w:ascii="Cambria Math" w:hAnsi="Cambria Math"/>
                      </w:rPr>
                      <m:t>l</m:t>
                    </m:r>
                  </m:e>
                  <m:sub>
                    <m:r>
                      <w:rPr>
                        <w:rFonts w:ascii="Cambria Math" w:hAnsi="Cambria Math"/>
                      </w:rPr>
                      <m:t>Locatio</m:t>
                    </m:r>
                    <m:sSub>
                      <m:sSubPr>
                        <m:ctrlPr>
                          <w:rPr>
                            <w:rFonts w:ascii="Cambria Math" w:hAnsi="Cambria Math"/>
                          </w:rPr>
                        </m:ctrlPr>
                      </m:sSubPr>
                      <m:e>
                        <m:r>
                          <w:rPr>
                            <w:rFonts w:ascii="Cambria Math" w:hAnsi="Cambria Math"/>
                          </w:rPr>
                          <m:t>n</m:t>
                        </m:r>
                      </m:e>
                      <m:sub>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S</m:t>
                    </m:r>
                    <m:r>
                      <m:rPr>
                        <m:sty m:val="p"/>
                      </m:rPr>
                      <w:rPr>
                        <w:rFonts w:ascii="Cambria Math" w:hAnsi="Cambria Math"/>
                      </w:rPr>
                      <m:t>,</m:t>
                    </m:r>
                    <m:r>
                      <w:rPr>
                        <w:rFonts w:ascii="Cambria Math" w:hAnsi="Cambria Math"/>
                      </w:rPr>
                      <m:t>t</m:t>
                    </m:r>
                  </m:sub>
                </m:sSub>
              </m:e>
            </m:mr>
            <m:mr>
              <m:e>
                <m:sSub>
                  <m:sSubPr>
                    <m:ctrlPr>
                      <w:rPr>
                        <w:rFonts w:ascii="Cambria Math" w:hAnsi="Cambria Math"/>
                      </w:rPr>
                    </m:ctrlPr>
                  </m:sSubPr>
                  <m:e>
                    <m:r>
                      <w:rPr>
                        <w:rFonts w:ascii="Cambria Math" w:hAnsi="Cambria Math"/>
                      </w:rPr>
                      <m:t>Y</m:t>
                    </m:r>
                  </m:e>
                  <m:sub>
                    <m:r>
                      <w:rPr>
                        <w:rFonts w:ascii="Cambria Math" w:hAnsi="Cambria Math"/>
                      </w:rPr>
                      <m:t>i</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j</m:t>
                    </m:r>
                  </m:sub>
                </m:sSub>
              </m:e>
              <m:e>
                <m:r>
                  <m:rPr>
                    <m:sty m:val="p"/>
                  </m:rPr>
                  <w:rPr>
                    <w:rFonts w:ascii="Cambria Math" w:hAnsi="Cambria Math"/>
                  </w:rPr>
                  <m:t>∼</m:t>
                </m:r>
                <m:r>
                  <m:rPr>
                    <m:nor/>
                  </m:rPr>
                  <m:t>bern</m:t>
                </m:r>
                <m:r>
                  <m:rPr>
                    <m:sty m:val="p"/>
                  </m:rPr>
                  <w:rPr>
                    <w:rFonts w:ascii="Cambria Math" w:hAnsi="Cambria Math"/>
                  </w:rPr>
                  <m:t>(</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D</m:t>
                        </m:r>
                      </m:e>
                      <m:sub>
                        <m:r>
                          <w:rPr>
                            <w:rFonts w:ascii="Cambria Math" w:hAnsi="Cambria Math"/>
                          </w:rPr>
                          <m:t>j</m:t>
                        </m:r>
                      </m:sub>
                    </m:sSub>
                  </m:sub>
                </m:sSub>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e>
            </m:mr>
            <m:mr>
              <m:e>
                <m:sSub>
                  <m:sSubPr>
                    <m:ctrlPr>
                      <w:rPr>
                        <w:rFonts w:ascii="Cambria Math" w:hAnsi="Cambria Math"/>
                      </w:rPr>
                    </m:ctrlPr>
                  </m:sSubPr>
                  <m:e>
                    <m:r>
                      <w:rPr>
                        <w:rFonts w:ascii="Cambria Math" w:hAnsi="Cambria Math"/>
                      </w:rPr>
                      <m:t>Z</m:t>
                    </m:r>
                  </m:e>
                  <m:sub>
                    <m:r>
                      <w:rPr>
                        <w:rFonts w:ascii="Cambria Math" w:hAnsi="Cambria Math"/>
                      </w:rPr>
                      <m:t>i</m:t>
                    </m:r>
                    <m:r>
                      <m:rPr>
                        <m:sty m:val="p"/>
                      </m:rPr>
                      <w:rPr>
                        <w:rFonts w:ascii="Cambria Math" w:hAnsi="Cambria Math"/>
                      </w:rPr>
                      <m:t>,0</m:t>
                    </m:r>
                  </m:sub>
                </m:sSub>
              </m:e>
              <m:e>
                <m:r>
                  <m:rPr>
                    <m:sty m:val="p"/>
                  </m:rPr>
                  <w:rPr>
                    <w:rFonts w:ascii="Cambria Math" w:hAnsi="Cambria Math"/>
                  </w:rPr>
                  <m:t>∼</m:t>
                </m:r>
                <m:r>
                  <m:rPr>
                    <m:nor/>
                  </m:rPr>
                  <m:t>bern</m:t>
                </m:r>
                <m:r>
                  <m:rPr>
                    <m:sty m:val="p"/>
                  </m:rPr>
                  <w:rPr>
                    <w:rFonts w:ascii="Cambria Math" w:hAnsi="Cambria Math"/>
                  </w:rPr>
                  <m:t>(</m:t>
                </m:r>
                <m:sSub>
                  <m:sSubPr>
                    <m:ctrlPr>
                      <w:rPr>
                        <w:rFonts w:ascii="Cambria Math" w:hAnsi="Cambria Math"/>
                      </w:rPr>
                    </m:ctrlPr>
                  </m:sSubPr>
                  <m:e>
                    <m:r>
                      <w:rPr>
                        <w:rFonts w:ascii="Cambria Math" w:hAnsi="Cambria Math"/>
                      </w:rPr>
                      <m:t>ψ</m:t>
                    </m:r>
                  </m:e>
                  <m:sub>
                    <m:r>
                      <m:rPr>
                        <m:sty m:val="p"/>
                      </m:rPr>
                      <w:rPr>
                        <w:rFonts w:ascii="Cambria Math" w:hAnsi="Cambria Math"/>
                      </w:rPr>
                      <m:t>0</m:t>
                    </m:r>
                  </m:sub>
                </m:sSub>
                <m:r>
                  <m:rPr>
                    <m:sty m:val="p"/>
                  </m:rPr>
                  <w:rPr>
                    <w:rFonts w:ascii="Cambria Math" w:hAnsi="Cambria Math"/>
                  </w:rPr>
                  <m:t>)</m:t>
                </m:r>
              </m:e>
            </m:mr>
            <m:mr>
              <m:e>
                <m:sSub>
                  <m:sSubPr>
                    <m:ctrlPr>
                      <w:rPr>
                        <w:rFonts w:ascii="Cambria Math" w:hAnsi="Cambria Math"/>
                      </w:rPr>
                    </m:ctrlPr>
                  </m:sSubPr>
                  <m:e>
                    <m:r>
                      <w:rPr>
                        <w:rFonts w:ascii="Cambria Math" w:hAnsi="Cambria Math"/>
                      </w:rPr>
                      <m:t>Z</m:t>
                    </m:r>
                  </m:e>
                  <m:sub>
                    <m:r>
                      <w:rPr>
                        <w:rFonts w:ascii="Cambria Math" w:hAnsi="Cambria Math"/>
                      </w:rPr>
                      <m:t>i</m:t>
                    </m:r>
                    <m:r>
                      <m:rPr>
                        <m:sty m:val="p"/>
                      </m:rPr>
                      <w:rPr>
                        <w:rFonts w:ascii="Cambria Math" w:hAnsi="Cambria Math"/>
                      </w:rPr>
                      <m:t>,</m:t>
                    </m:r>
                    <m:r>
                      <w:rPr>
                        <w:rFonts w:ascii="Cambria Math" w:hAnsi="Cambria Math"/>
                      </w:rPr>
                      <m:t>t</m:t>
                    </m:r>
                  </m:sub>
                </m:sSub>
              </m:e>
              <m:e>
                <m:r>
                  <m:rPr>
                    <m:sty m:val="p"/>
                  </m:rPr>
                  <w:rPr>
                    <w:rFonts w:ascii="Cambria Math" w:hAnsi="Cambria Math"/>
                  </w:rPr>
                  <m:t>∼</m:t>
                </m:r>
                <m:r>
                  <m:rPr>
                    <m:nor/>
                  </m:rPr>
                  <m:t>bern</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m:t>
                </m:r>
                <m:r>
                  <w:rPr>
                    <w:rFonts w:ascii="Cambria Math" w:hAnsi="Cambria Math"/>
                  </w:rPr>
                  <m:t>t</m:t>
                </m:r>
                <m:r>
                  <m:rPr>
                    <m:sty m:val="p"/>
                  </m:rPr>
                  <w:rPr>
                    <w:rFonts w:ascii="Cambria Math" w:hAnsi="Cambria Math"/>
                  </w:rPr>
                  <m:t>&gt;0</m:t>
                </m:r>
              </m:e>
            </m:mr>
            <m:mr>
              <m:e>
                <m:sSub>
                  <m:sSubPr>
                    <m:ctrlPr>
                      <w:rPr>
                        <w:rFonts w:ascii="Cambria Math" w:hAnsi="Cambria Math"/>
                      </w:rPr>
                    </m:ctrlPr>
                  </m:sSubPr>
                  <m:e>
                    <m:r>
                      <w:rPr>
                        <w:rFonts w:ascii="Cambria Math" w:hAnsi="Cambria Math"/>
                      </w:rPr>
                      <m:t>ε</m:t>
                    </m:r>
                  </m:e>
                  <m:sub>
                    <m:r>
                      <w:rPr>
                        <w:rFonts w:ascii="Cambria Math" w:hAnsi="Cambria Math"/>
                      </w:rPr>
                      <m:t>C</m:t>
                    </m:r>
                    <m:r>
                      <m:rPr>
                        <m:sty m:val="p"/>
                      </m:rPr>
                      <w:rPr>
                        <w:rFonts w:ascii="Cambria Math" w:hAnsi="Cambria Math"/>
                      </w:rPr>
                      <m:t>,</m:t>
                    </m:r>
                    <m:r>
                      <w:rPr>
                        <w:rFonts w:ascii="Cambria Math" w:hAnsi="Cambria Math"/>
                      </w:rPr>
                      <m:t>t</m:t>
                    </m:r>
                  </m:sub>
                </m:sSub>
              </m:e>
              <m:e>
                <m:r>
                  <m:rPr>
                    <m:sty m:val="p"/>
                  </m:rPr>
                  <w:rPr>
                    <w:rFonts w:ascii="Cambria Math" w:hAnsi="Cambria Math"/>
                  </w:rPr>
                  <m:t>∼</m:t>
                </m:r>
                <m:r>
                  <m:rPr>
                    <m:nor/>
                  </m:rPr>
                  <m:t>N</m:t>
                </m:r>
                <m:r>
                  <m:rPr>
                    <m:sty m:val="p"/>
                  </m:rPr>
                  <w:rPr>
                    <w:rFonts w:ascii="Cambria Math" w:hAnsi="Cambria Math"/>
                  </w:rPr>
                  <m:t>(0,</m:t>
                </m:r>
                <m:sSubSup>
                  <m:sSubSupPr>
                    <m:ctrlPr>
                      <w:rPr>
                        <w:rFonts w:ascii="Cambria Math" w:hAnsi="Cambria Math"/>
                      </w:rPr>
                    </m:ctrlPr>
                  </m:sSubSupPr>
                  <m:e>
                    <m:r>
                      <w:rPr>
                        <w:rFonts w:ascii="Cambria Math" w:hAnsi="Cambria Math"/>
                      </w:rPr>
                      <m:t>σ</m:t>
                    </m:r>
                  </m:e>
                  <m:sub>
                    <m:r>
                      <w:rPr>
                        <w:rFonts w:ascii="Cambria Math" w:hAnsi="Cambria Math"/>
                      </w:rPr>
                      <m:t>C</m:t>
                    </m:r>
                  </m:sub>
                  <m:sup>
                    <m:r>
                      <m:rPr>
                        <m:sty m:val="p"/>
                      </m:rPr>
                      <w:rPr>
                        <w:rFonts w:ascii="Cambria Math" w:hAnsi="Cambria Math"/>
                      </w:rPr>
                      <m:t>2</m:t>
                    </m:r>
                  </m:sup>
                </m:sSubSup>
                <m:r>
                  <m:rPr>
                    <m:sty m:val="p"/>
                  </m:rPr>
                  <w:rPr>
                    <w:rFonts w:ascii="Cambria Math" w:hAnsi="Cambria Math"/>
                  </w:rPr>
                  <m:t>)</m:t>
                </m:r>
              </m:e>
            </m:mr>
            <m:mr>
              <m:e>
                <m:sSub>
                  <m:sSubPr>
                    <m:ctrlPr>
                      <w:rPr>
                        <w:rFonts w:ascii="Cambria Math" w:hAnsi="Cambria Math"/>
                      </w:rPr>
                    </m:ctrlPr>
                  </m:sSubPr>
                  <m:e>
                    <m:r>
                      <w:rPr>
                        <w:rFonts w:ascii="Cambria Math" w:hAnsi="Cambria Math"/>
                      </w:rPr>
                      <m:t>ε</m:t>
                    </m:r>
                  </m:e>
                  <m:sub>
                    <m:r>
                      <w:rPr>
                        <w:rFonts w:ascii="Cambria Math" w:hAnsi="Cambria Math"/>
                      </w:rPr>
                      <m:t>S</m:t>
                    </m:r>
                    <m:r>
                      <m:rPr>
                        <m:sty m:val="p"/>
                      </m:rPr>
                      <w:rPr>
                        <w:rFonts w:ascii="Cambria Math" w:hAnsi="Cambria Math"/>
                      </w:rPr>
                      <m:t>,</m:t>
                    </m:r>
                    <m:r>
                      <w:rPr>
                        <w:rFonts w:ascii="Cambria Math" w:hAnsi="Cambria Math"/>
                      </w:rPr>
                      <m:t>t</m:t>
                    </m:r>
                  </m:sub>
                </m:sSub>
              </m:e>
              <m:e>
                <m:r>
                  <m:rPr>
                    <m:sty m:val="p"/>
                  </m:rPr>
                  <w:rPr>
                    <w:rFonts w:ascii="Cambria Math" w:hAnsi="Cambria Math"/>
                  </w:rPr>
                  <m:t>∼</m:t>
                </m:r>
                <m:r>
                  <m:rPr>
                    <m:nor/>
                  </m:rPr>
                  <m:t>N</m:t>
                </m:r>
                <m:r>
                  <m:rPr>
                    <m:sty m:val="p"/>
                  </m:rPr>
                  <w:rPr>
                    <w:rFonts w:ascii="Cambria Math" w:hAnsi="Cambria Math"/>
                  </w:rPr>
                  <m:t>(0,</m:t>
                </m:r>
                <m:sSubSup>
                  <m:sSubSupPr>
                    <m:ctrlPr>
                      <w:rPr>
                        <w:rFonts w:ascii="Cambria Math" w:hAnsi="Cambria Math"/>
                      </w:rPr>
                    </m:ctrlPr>
                  </m:sSubSupPr>
                  <m:e>
                    <m:r>
                      <w:rPr>
                        <w:rFonts w:ascii="Cambria Math" w:hAnsi="Cambria Math"/>
                      </w:rPr>
                      <m:t>σ</m:t>
                    </m:r>
                  </m:e>
                  <m:sub>
                    <m:r>
                      <w:rPr>
                        <w:rFonts w:ascii="Cambria Math" w:hAnsi="Cambria Math"/>
                      </w:rPr>
                      <m:t>S</m:t>
                    </m:r>
                  </m:sub>
                  <m:sup>
                    <m:r>
                      <m:rPr>
                        <m:sty m:val="p"/>
                      </m:rPr>
                      <w:rPr>
                        <w:rFonts w:ascii="Cambria Math" w:hAnsi="Cambria Math"/>
                      </w:rPr>
                      <m:t>2</m:t>
                    </m:r>
                  </m:sup>
                </m:sSubSup>
                <m:r>
                  <m:rPr>
                    <m:sty m:val="p"/>
                  </m:rPr>
                  <w:rPr>
                    <w:rFonts w:ascii="Cambria Math" w:hAnsi="Cambria Math"/>
                  </w:rPr>
                  <m:t>)</m:t>
                </m:r>
              </m:e>
            </m:mr>
          </m:m>
        </m:oMath>
      </m:oMathPara>
    </w:p>
    <w:p w14:paraId="5CB266C4" w14:textId="77777777" w:rsidR="00133258" w:rsidRDefault="00133258">
      <w:pPr>
        <w:rPr>
          <w:b/>
          <w:bCs/>
          <w:color w:val="201547" w:themeColor="accent3"/>
          <w:sz w:val="22"/>
          <w:szCs w:val="22"/>
        </w:rPr>
      </w:pPr>
      <w:r>
        <w:br w:type="page"/>
      </w:r>
    </w:p>
    <w:p w14:paraId="56DD6AA5" w14:textId="241CF0FE" w:rsidR="00462445" w:rsidRDefault="00462445" w:rsidP="00B062F2">
      <w:pPr>
        <w:pStyle w:val="Caption-Table"/>
      </w:pPr>
      <w:bookmarkStart w:id="58" w:name="_Toc110599612"/>
      <w:r>
        <w:lastRenderedPageBreak/>
        <w:t xml:space="preserve">Table </w:t>
      </w:r>
      <w:r w:rsidR="00D916DD">
        <w:t>2.</w:t>
      </w:r>
      <w:r>
        <w:t xml:space="preserve"> </w:t>
      </w:r>
      <w:r w:rsidR="008F04E0">
        <w:t>Parameters and their definition</w:t>
      </w:r>
      <w:r w:rsidR="00133258">
        <w:t>s</w:t>
      </w:r>
      <w:r w:rsidR="008F04E0">
        <w:t xml:space="preserve"> used in the </w:t>
      </w:r>
      <w:proofErr w:type="spellStart"/>
      <w:r w:rsidR="001306EF">
        <w:t>multi</w:t>
      </w:r>
      <w:r w:rsidR="008F04E0">
        <w:t>season</w:t>
      </w:r>
      <w:proofErr w:type="spellEnd"/>
      <w:r w:rsidR="008F04E0">
        <w:t xml:space="preserve"> occupancy model</w:t>
      </w:r>
      <w:bookmarkEnd w:id="58"/>
    </w:p>
    <w:tbl>
      <w:tblPr>
        <w:tblStyle w:val="Table"/>
        <w:tblW w:w="5000" w:type="pct"/>
        <w:tblLook w:val="0020" w:firstRow="1" w:lastRow="0" w:firstColumn="0" w:lastColumn="0" w:noHBand="0" w:noVBand="0"/>
      </w:tblPr>
      <w:tblGrid>
        <w:gridCol w:w="1150"/>
        <w:gridCol w:w="8489"/>
      </w:tblGrid>
      <w:tr w:rsidR="00462445" w:rsidRPr="00010544" w14:paraId="2166DF2A" w14:textId="77777777" w:rsidTr="00B062F2">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shd w:val="clear" w:color="auto" w:fill="00B2A9"/>
          </w:tcPr>
          <w:p w14:paraId="07512093" w14:textId="77777777" w:rsidR="00462445" w:rsidRPr="00010544" w:rsidRDefault="00462445" w:rsidP="00B062F2">
            <w:pPr>
              <w:pStyle w:val="Tableheadingtext"/>
              <w:rPr>
                <w:b w:val="0"/>
                <w:sz w:val="20"/>
                <w:szCs w:val="16"/>
                <w:lang w:eastAsia="en-AU"/>
              </w:rPr>
            </w:pPr>
            <w:r w:rsidRPr="00010544">
              <w:rPr>
                <w:b w:val="0"/>
                <w:sz w:val="20"/>
                <w:szCs w:val="16"/>
                <w:lang w:eastAsia="en-AU"/>
              </w:rPr>
              <w:t>Parameter</w:t>
            </w:r>
          </w:p>
        </w:tc>
        <w:tc>
          <w:tcPr>
            <w:tcW w:w="0" w:type="auto"/>
            <w:tcBorders>
              <w:bottom w:val="none" w:sz="0" w:space="0" w:color="auto"/>
            </w:tcBorders>
            <w:shd w:val="clear" w:color="auto" w:fill="00B2A9"/>
          </w:tcPr>
          <w:p w14:paraId="4E5B58B4" w14:textId="77777777" w:rsidR="00462445" w:rsidRPr="00010544" w:rsidRDefault="00462445" w:rsidP="00B062F2">
            <w:pPr>
              <w:pStyle w:val="Tableheadingtext"/>
              <w:rPr>
                <w:b w:val="0"/>
                <w:sz w:val="20"/>
                <w:szCs w:val="16"/>
                <w:lang w:eastAsia="en-AU"/>
              </w:rPr>
            </w:pPr>
            <w:r w:rsidRPr="00010544">
              <w:rPr>
                <w:b w:val="0"/>
                <w:sz w:val="20"/>
                <w:szCs w:val="16"/>
                <w:lang w:eastAsia="en-AU"/>
              </w:rPr>
              <w:t>Definition</w:t>
            </w:r>
          </w:p>
        </w:tc>
      </w:tr>
      <w:tr w:rsidR="00462445" w:rsidRPr="00B062F2" w14:paraId="7EE1A1B0" w14:textId="77777777" w:rsidTr="00B062F2">
        <w:tc>
          <w:tcPr>
            <w:tcW w:w="0" w:type="auto"/>
            <w:tcBorders>
              <w:bottom w:val="single" w:sz="4" w:space="0" w:color="00B2A9"/>
            </w:tcBorders>
          </w:tcPr>
          <w:p w14:paraId="028C05B5" w14:textId="77777777" w:rsidR="00462445" w:rsidRPr="00B062F2" w:rsidRDefault="00462445" w:rsidP="00B062F2">
            <w:pPr>
              <w:rPr>
                <w:sz w:val="20"/>
                <w:szCs w:val="20"/>
              </w:rPr>
            </w:pPr>
            <m:oMathPara>
              <m:oMath>
                <m:r>
                  <w:rPr>
                    <w:rFonts w:ascii="Cambria Math" w:hAnsi="Cambria Math"/>
                    <w:sz w:val="20"/>
                    <w:szCs w:val="20"/>
                  </w:rPr>
                  <m:t>t</m:t>
                </m:r>
              </m:oMath>
            </m:oMathPara>
          </w:p>
        </w:tc>
        <w:tc>
          <w:tcPr>
            <w:tcW w:w="0" w:type="auto"/>
            <w:tcBorders>
              <w:bottom w:val="single" w:sz="4" w:space="0" w:color="00B2A9"/>
            </w:tcBorders>
          </w:tcPr>
          <w:p w14:paraId="50C3B41D" w14:textId="0556036A" w:rsidR="00462445" w:rsidRPr="00B062F2" w:rsidRDefault="00462445" w:rsidP="00B062F2">
            <w:pPr>
              <w:rPr>
                <w:sz w:val="20"/>
                <w:szCs w:val="20"/>
              </w:rPr>
            </w:pPr>
            <w:r w:rsidRPr="00B062F2">
              <w:rPr>
                <w:sz w:val="20"/>
                <w:szCs w:val="20"/>
              </w:rPr>
              <w:t>The survey period since the initial survey in 2005</w:t>
            </w:r>
          </w:p>
        </w:tc>
      </w:tr>
      <w:tr w:rsidR="00462445" w:rsidRPr="00B062F2" w14:paraId="2FA47687" w14:textId="77777777" w:rsidTr="00B062F2">
        <w:tc>
          <w:tcPr>
            <w:tcW w:w="0" w:type="auto"/>
            <w:tcBorders>
              <w:top w:val="single" w:sz="4" w:space="0" w:color="00B2A9"/>
              <w:bottom w:val="single" w:sz="4" w:space="0" w:color="00B2A9"/>
            </w:tcBorders>
          </w:tcPr>
          <w:p w14:paraId="3104D606"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t</m:t>
                    </m:r>
                    <m:r>
                      <m:rPr>
                        <m:sty m:val="p"/>
                      </m:rPr>
                      <w:rPr>
                        <w:rFonts w:ascii="Cambria Math" w:hAnsi="Cambria Math"/>
                        <w:sz w:val="20"/>
                        <w:szCs w:val="20"/>
                      </w:rPr>
                      <m:t>,</m:t>
                    </m:r>
                    <m:r>
                      <w:rPr>
                        <w:rFonts w:ascii="Cambria Math" w:hAnsi="Cambria Math"/>
                        <w:sz w:val="20"/>
                        <w:szCs w:val="20"/>
                      </w:rPr>
                      <m:t>j</m:t>
                    </m:r>
                  </m:sub>
                </m:sSub>
              </m:oMath>
            </m:oMathPara>
          </w:p>
        </w:tc>
        <w:tc>
          <w:tcPr>
            <w:tcW w:w="0" w:type="auto"/>
            <w:tcBorders>
              <w:top w:val="single" w:sz="4" w:space="0" w:color="00B2A9"/>
              <w:bottom w:val="single" w:sz="4" w:space="0" w:color="00B2A9"/>
            </w:tcBorders>
          </w:tcPr>
          <w:p w14:paraId="21936C0A" w14:textId="25F4B647" w:rsidR="00462445" w:rsidRPr="00B062F2" w:rsidRDefault="00462445" w:rsidP="002B71D3">
            <w:pPr>
              <w:rPr>
                <w:sz w:val="20"/>
                <w:szCs w:val="20"/>
              </w:rPr>
            </w:pPr>
            <w:r w:rsidRPr="00B062F2">
              <w:rPr>
                <w:sz w:val="20"/>
                <w:szCs w:val="20"/>
              </w:rPr>
              <w:t xml:space="preserve">Observation status of </w:t>
            </w:r>
            <w:r w:rsidR="009A01CA">
              <w:rPr>
                <w:sz w:val="20"/>
                <w:szCs w:val="20"/>
              </w:rPr>
              <w:t>a</w:t>
            </w:r>
            <w:r w:rsidR="009A01CA" w:rsidRPr="00B062F2">
              <w:rPr>
                <w:sz w:val="20"/>
                <w:szCs w:val="20"/>
              </w:rPr>
              <w:t xml:space="preserve"> </w:t>
            </w:r>
            <w:r w:rsidRPr="00B062F2">
              <w:rPr>
                <w:sz w:val="20"/>
                <w:szCs w:val="20"/>
              </w:rPr>
              <w:t xml:space="preserve">species at site </w:t>
            </w:r>
            <m:oMath>
              <m:r>
                <w:rPr>
                  <w:rFonts w:ascii="Cambria Math" w:hAnsi="Cambria Math"/>
                  <w:sz w:val="20"/>
                  <w:szCs w:val="20"/>
                </w:rPr>
                <m:t>i</m:t>
              </m:r>
            </m:oMath>
            <w:r w:rsidRPr="00B062F2">
              <w:rPr>
                <w:sz w:val="20"/>
                <w:szCs w:val="20"/>
              </w:rPr>
              <w:t xml:space="preserve"> in </w:t>
            </w:r>
            <w:r w:rsidR="00D209A4">
              <w:rPr>
                <w:sz w:val="20"/>
                <w:szCs w:val="20"/>
              </w:rPr>
              <w:t>period</w:t>
            </w:r>
            <w:r w:rsidR="00D209A4" w:rsidRPr="00B062F2">
              <w:rPr>
                <w:sz w:val="20"/>
                <w:szCs w:val="20"/>
              </w:rPr>
              <w:t xml:space="preserve"> </w:t>
            </w:r>
            <m:oMath>
              <m:r>
                <w:rPr>
                  <w:rFonts w:ascii="Cambria Math" w:hAnsi="Cambria Math"/>
                  <w:sz w:val="20"/>
                  <w:szCs w:val="20"/>
                </w:rPr>
                <m:t>t</m:t>
              </m:r>
            </m:oMath>
            <w:r w:rsidRPr="00B062F2">
              <w:rPr>
                <w:sz w:val="20"/>
                <w:szCs w:val="20"/>
              </w:rPr>
              <w:t xml:space="preserve"> on the </w:t>
            </w:r>
            <m:oMath>
              <m:r>
                <w:rPr>
                  <w:rFonts w:ascii="Cambria Math" w:hAnsi="Cambria Math"/>
                  <w:sz w:val="20"/>
                  <w:szCs w:val="20"/>
                </w:rPr>
                <m:t>j</m:t>
              </m:r>
            </m:oMath>
            <w:r w:rsidRPr="00B062F2">
              <w:rPr>
                <w:sz w:val="20"/>
                <w:szCs w:val="20"/>
              </w:rPr>
              <w:t xml:space="preserve"> observation</w:t>
            </w:r>
            <w:r w:rsidR="00D209A4">
              <w:rPr>
                <w:sz w:val="20"/>
                <w:szCs w:val="20"/>
              </w:rPr>
              <w:t>: 1</w:t>
            </w:r>
            <w:r w:rsidRPr="00B062F2">
              <w:rPr>
                <w:sz w:val="20"/>
                <w:szCs w:val="20"/>
              </w:rPr>
              <w:t xml:space="preserve"> </w:t>
            </w:r>
            <w:r w:rsidR="00D209A4">
              <w:rPr>
                <w:sz w:val="20"/>
                <w:szCs w:val="20"/>
              </w:rPr>
              <w:t>(</w:t>
            </w:r>
            <w:r w:rsidRPr="00B062F2">
              <w:rPr>
                <w:sz w:val="20"/>
                <w:szCs w:val="20"/>
              </w:rPr>
              <w:t>detected</w:t>
            </w:r>
            <w:r w:rsidR="00D209A4">
              <w:rPr>
                <w:sz w:val="20"/>
                <w:szCs w:val="20"/>
              </w:rPr>
              <w:t>)</w:t>
            </w:r>
            <w:r w:rsidRPr="00B062F2">
              <w:rPr>
                <w:sz w:val="20"/>
                <w:szCs w:val="20"/>
              </w:rPr>
              <w:t xml:space="preserve">, 0 </w:t>
            </w:r>
            <w:r w:rsidR="00D209A4">
              <w:rPr>
                <w:sz w:val="20"/>
                <w:szCs w:val="20"/>
              </w:rPr>
              <w:t>(</w:t>
            </w:r>
            <w:r w:rsidRPr="00B062F2">
              <w:rPr>
                <w:sz w:val="20"/>
                <w:szCs w:val="20"/>
              </w:rPr>
              <w:t>otherwise</w:t>
            </w:r>
            <w:r w:rsidR="00D209A4">
              <w:rPr>
                <w:sz w:val="20"/>
                <w:szCs w:val="20"/>
              </w:rPr>
              <w:t>)</w:t>
            </w:r>
          </w:p>
        </w:tc>
      </w:tr>
      <w:tr w:rsidR="00462445" w:rsidRPr="00B062F2" w14:paraId="65C84B38" w14:textId="77777777" w:rsidTr="00B062F2">
        <w:tc>
          <w:tcPr>
            <w:tcW w:w="0" w:type="auto"/>
            <w:tcBorders>
              <w:top w:val="single" w:sz="4" w:space="0" w:color="00B2A9"/>
              <w:bottom w:val="single" w:sz="4" w:space="0" w:color="00B2A9"/>
            </w:tcBorders>
          </w:tcPr>
          <w:p w14:paraId="5363EA0A"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Z</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t</m:t>
                    </m:r>
                  </m:sub>
                </m:sSub>
              </m:oMath>
            </m:oMathPara>
          </w:p>
        </w:tc>
        <w:tc>
          <w:tcPr>
            <w:tcW w:w="0" w:type="auto"/>
            <w:tcBorders>
              <w:top w:val="single" w:sz="4" w:space="0" w:color="00B2A9"/>
              <w:bottom w:val="single" w:sz="4" w:space="0" w:color="00B2A9"/>
            </w:tcBorders>
          </w:tcPr>
          <w:p w14:paraId="3B166909" w14:textId="52235228" w:rsidR="00462445" w:rsidRPr="00B062F2" w:rsidRDefault="00462445" w:rsidP="002B71D3">
            <w:pPr>
              <w:rPr>
                <w:sz w:val="20"/>
                <w:szCs w:val="20"/>
              </w:rPr>
            </w:pPr>
            <w:r w:rsidRPr="00B062F2">
              <w:rPr>
                <w:sz w:val="20"/>
                <w:szCs w:val="20"/>
              </w:rPr>
              <w:t xml:space="preserve">True occupancy status of </w:t>
            </w:r>
            <w:r w:rsidR="009A01CA">
              <w:rPr>
                <w:sz w:val="20"/>
                <w:szCs w:val="20"/>
              </w:rPr>
              <w:t>a</w:t>
            </w:r>
            <w:r w:rsidR="009A01CA" w:rsidRPr="00B062F2">
              <w:rPr>
                <w:sz w:val="20"/>
                <w:szCs w:val="20"/>
              </w:rPr>
              <w:t xml:space="preserve"> </w:t>
            </w:r>
            <w:r w:rsidRPr="00B062F2">
              <w:rPr>
                <w:sz w:val="20"/>
                <w:szCs w:val="20"/>
              </w:rPr>
              <w:t xml:space="preserve">species at site </w:t>
            </w:r>
            <m:oMath>
              <m:r>
                <w:rPr>
                  <w:rFonts w:ascii="Cambria Math" w:hAnsi="Cambria Math"/>
                  <w:sz w:val="20"/>
                  <w:szCs w:val="20"/>
                </w:rPr>
                <m:t>i</m:t>
              </m:r>
            </m:oMath>
            <w:r w:rsidRPr="00B062F2">
              <w:rPr>
                <w:sz w:val="20"/>
                <w:szCs w:val="20"/>
              </w:rPr>
              <w:t xml:space="preserve"> in period</w:t>
            </w:r>
            <w:r w:rsidR="00D209A4">
              <w:rPr>
                <w:sz w:val="20"/>
                <w:szCs w:val="20"/>
              </w:rPr>
              <w:t xml:space="preserve"> </w:t>
            </w:r>
            <m:oMath>
              <m:r>
                <w:rPr>
                  <w:rFonts w:ascii="Cambria Math" w:hAnsi="Cambria Math"/>
                  <w:sz w:val="20"/>
                  <w:szCs w:val="20"/>
                </w:rPr>
                <m:t>t</m:t>
              </m:r>
            </m:oMath>
            <w:r w:rsidR="00517235">
              <w:rPr>
                <w:sz w:val="20"/>
                <w:szCs w:val="20"/>
              </w:rPr>
              <w:t>: 1 (</w:t>
            </w:r>
            <w:r w:rsidRPr="00B062F2">
              <w:rPr>
                <w:sz w:val="20"/>
                <w:szCs w:val="20"/>
              </w:rPr>
              <w:t>occupied</w:t>
            </w:r>
            <w:r w:rsidR="00517235">
              <w:rPr>
                <w:sz w:val="20"/>
                <w:szCs w:val="20"/>
              </w:rPr>
              <w:t>)</w:t>
            </w:r>
            <w:r w:rsidRPr="00B062F2">
              <w:rPr>
                <w:sz w:val="20"/>
                <w:szCs w:val="20"/>
              </w:rPr>
              <w:t xml:space="preserve">, 0 </w:t>
            </w:r>
            <w:r w:rsidR="00517235">
              <w:rPr>
                <w:sz w:val="20"/>
                <w:szCs w:val="20"/>
              </w:rPr>
              <w:t>(</w:t>
            </w:r>
            <w:r w:rsidRPr="00B062F2">
              <w:rPr>
                <w:sz w:val="20"/>
                <w:szCs w:val="20"/>
              </w:rPr>
              <w:t>otherwise</w:t>
            </w:r>
            <w:r w:rsidR="00517235">
              <w:rPr>
                <w:sz w:val="20"/>
                <w:szCs w:val="20"/>
              </w:rPr>
              <w:t>)</w:t>
            </w:r>
          </w:p>
        </w:tc>
      </w:tr>
      <w:tr w:rsidR="00462445" w:rsidRPr="00B062F2" w14:paraId="0FBAF146" w14:textId="77777777" w:rsidTr="00B062F2">
        <w:tc>
          <w:tcPr>
            <w:tcW w:w="0" w:type="auto"/>
            <w:tcBorders>
              <w:top w:val="single" w:sz="4" w:space="0" w:color="00B2A9"/>
              <w:bottom w:val="single" w:sz="4" w:space="0" w:color="00B2A9"/>
            </w:tcBorders>
          </w:tcPr>
          <w:p w14:paraId="4FFA9216"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ψ</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t</m:t>
                    </m:r>
                  </m:sub>
                </m:sSub>
              </m:oMath>
            </m:oMathPara>
          </w:p>
        </w:tc>
        <w:tc>
          <w:tcPr>
            <w:tcW w:w="0" w:type="auto"/>
            <w:tcBorders>
              <w:top w:val="single" w:sz="4" w:space="0" w:color="00B2A9"/>
              <w:bottom w:val="single" w:sz="4" w:space="0" w:color="00B2A9"/>
            </w:tcBorders>
          </w:tcPr>
          <w:p w14:paraId="5AC341AA" w14:textId="01EC0A0D" w:rsidR="00462445" w:rsidRPr="00B062F2" w:rsidRDefault="002A2CA5" w:rsidP="002B71D3">
            <w:pPr>
              <w:rPr>
                <w:sz w:val="20"/>
                <w:szCs w:val="20"/>
              </w:rPr>
            </w:pPr>
            <w:r>
              <w:rPr>
                <w:sz w:val="20"/>
                <w:szCs w:val="20"/>
              </w:rPr>
              <w:t>The o</w:t>
            </w:r>
            <w:r w:rsidR="00462445" w:rsidRPr="00B062F2">
              <w:rPr>
                <w:sz w:val="20"/>
                <w:szCs w:val="20"/>
              </w:rPr>
              <w:t xml:space="preserve">ccupancy rate for </w:t>
            </w:r>
            <w:r w:rsidR="00517235">
              <w:rPr>
                <w:sz w:val="20"/>
                <w:szCs w:val="20"/>
              </w:rPr>
              <w:t>a</w:t>
            </w:r>
            <w:r w:rsidR="00517235" w:rsidRPr="00B062F2">
              <w:rPr>
                <w:sz w:val="20"/>
                <w:szCs w:val="20"/>
              </w:rPr>
              <w:t xml:space="preserve"> </w:t>
            </w:r>
            <w:r w:rsidR="00462445" w:rsidRPr="00B062F2">
              <w:rPr>
                <w:sz w:val="20"/>
                <w:szCs w:val="20"/>
              </w:rPr>
              <w:t xml:space="preserve">species at site </w:t>
            </w:r>
            <m:oMath>
              <m:r>
                <w:rPr>
                  <w:rFonts w:ascii="Cambria Math" w:hAnsi="Cambria Math"/>
                  <w:sz w:val="20"/>
                  <w:szCs w:val="20"/>
                </w:rPr>
                <m:t>i</m:t>
              </m:r>
            </m:oMath>
            <w:r w:rsidR="00462445" w:rsidRPr="00B062F2">
              <w:rPr>
                <w:sz w:val="20"/>
                <w:szCs w:val="20"/>
              </w:rPr>
              <w:t xml:space="preserve"> in period</w:t>
            </w:r>
            <w:r w:rsidR="00517235" w:rsidRPr="00B062F2">
              <w:rPr>
                <w:sz w:val="20"/>
                <w:szCs w:val="20"/>
              </w:rPr>
              <w:t xml:space="preserve"> </w:t>
            </w:r>
            <m:oMath>
              <m:r>
                <w:rPr>
                  <w:rFonts w:ascii="Cambria Math" w:hAnsi="Cambria Math"/>
                  <w:sz w:val="20"/>
                  <w:szCs w:val="20"/>
                </w:rPr>
                <m:t>t</m:t>
              </m:r>
            </m:oMath>
          </w:p>
        </w:tc>
      </w:tr>
      <w:tr w:rsidR="00D035F7" w:rsidRPr="00B062F2" w14:paraId="4895486A" w14:textId="77777777" w:rsidTr="00B062F2">
        <w:tc>
          <w:tcPr>
            <w:tcW w:w="0" w:type="auto"/>
            <w:tcBorders>
              <w:top w:val="single" w:sz="4" w:space="0" w:color="00B2A9"/>
              <w:bottom w:val="single" w:sz="4" w:space="0" w:color="00B2A9"/>
            </w:tcBorders>
          </w:tcPr>
          <w:p w14:paraId="11C6CE18" w14:textId="5BE165E6" w:rsidR="00D035F7" w:rsidRPr="00B062F2" w:rsidRDefault="00273420" w:rsidP="00D035F7">
            <w:pPr>
              <w:rPr>
                <w:sz w:val="20"/>
                <w:szCs w:val="20"/>
              </w:rPr>
            </w:pPr>
            <m:oMathPara>
              <m:oMath>
                <m:sSub>
                  <m:sSubPr>
                    <m:ctrlPr>
                      <w:rPr>
                        <w:rFonts w:ascii="Cambria Math" w:eastAsia="Times New Roman" w:hAnsi="Cambria Math"/>
                        <w:i/>
                        <w:sz w:val="20"/>
                        <w:lang w:val="en-AU"/>
                      </w:rPr>
                    </m:ctrlPr>
                  </m:sSubPr>
                  <m:e>
                    <m:r>
                      <w:rPr>
                        <w:rFonts w:ascii="Cambria Math" w:hAnsi="Cambria Math"/>
                      </w:rPr>
                      <m:t>p</m:t>
                    </m:r>
                  </m:e>
                  <m:sub>
                    <m:sSub>
                      <m:sSubPr>
                        <m:ctrlPr>
                          <w:rPr>
                            <w:rFonts w:ascii="Cambria Math" w:eastAsia="Times New Roman" w:hAnsi="Cambria Math"/>
                            <w:i/>
                            <w:sz w:val="20"/>
                            <w:lang w:val="en-AU"/>
                          </w:rPr>
                        </m:ctrlPr>
                      </m:sSubPr>
                      <m:e>
                        <m:r>
                          <w:rPr>
                            <w:rFonts w:ascii="Cambria Math" w:hAnsi="Cambria Math"/>
                          </w:rPr>
                          <m:t>D</m:t>
                        </m:r>
                      </m:e>
                      <m:sub>
                        <m:r>
                          <w:rPr>
                            <w:rFonts w:ascii="Cambria Math" w:hAnsi="Cambria Math"/>
                          </w:rPr>
                          <m:t>j</m:t>
                        </m:r>
                      </m:sub>
                    </m:sSub>
                  </m:sub>
                </m:sSub>
              </m:oMath>
            </m:oMathPara>
          </w:p>
        </w:tc>
        <w:tc>
          <w:tcPr>
            <w:tcW w:w="0" w:type="auto"/>
            <w:tcBorders>
              <w:top w:val="single" w:sz="4" w:space="0" w:color="00B2A9"/>
              <w:bottom w:val="single" w:sz="4" w:space="0" w:color="00B2A9"/>
            </w:tcBorders>
          </w:tcPr>
          <w:p w14:paraId="12DD2306" w14:textId="6B7944B8" w:rsidR="00D035F7" w:rsidRPr="00B062F2" w:rsidRDefault="00D035F7" w:rsidP="00D035F7">
            <w:pPr>
              <w:rPr>
                <w:sz w:val="20"/>
                <w:szCs w:val="20"/>
              </w:rPr>
            </w:pPr>
            <w:r w:rsidRPr="00B062F2">
              <w:rPr>
                <w:sz w:val="20"/>
                <w:szCs w:val="20"/>
              </w:rPr>
              <w:t xml:space="preserve">The daily detection rate </w:t>
            </w:r>
            <w:r>
              <w:rPr>
                <w:sz w:val="20"/>
                <w:szCs w:val="20"/>
              </w:rPr>
              <w:t xml:space="preserve">of a species depending on the device </w:t>
            </w:r>
            <m:oMath>
              <m:r>
                <w:rPr>
                  <w:rFonts w:ascii="Cambria Math" w:hAnsi="Cambria Math"/>
                  <w:sz w:val="20"/>
                  <w:szCs w:val="20"/>
                </w:rPr>
                <m:t>D</m:t>
              </m:r>
            </m:oMath>
            <w:r>
              <w:rPr>
                <w:sz w:val="20"/>
                <w:szCs w:val="20"/>
              </w:rPr>
              <w:t xml:space="preserve"> used on day </w:t>
            </w:r>
            <m:oMath>
              <m:r>
                <w:rPr>
                  <w:rFonts w:ascii="Cambria Math" w:hAnsi="Cambria Math"/>
                  <w:sz w:val="20"/>
                  <w:szCs w:val="20"/>
                </w:rPr>
                <m:t>j</m:t>
              </m:r>
            </m:oMath>
            <w:r>
              <w:rPr>
                <w:sz w:val="20"/>
                <w:szCs w:val="20"/>
              </w:rPr>
              <w:t xml:space="preserve"> </w:t>
            </w:r>
            <w:r w:rsidRPr="00B062F2">
              <w:rPr>
                <w:sz w:val="20"/>
                <w:szCs w:val="20"/>
              </w:rPr>
              <w:t xml:space="preserve">at </w:t>
            </w:r>
            <w:r>
              <w:rPr>
                <w:sz w:val="20"/>
                <w:szCs w:val="20"/>
              </w:rPr>
              <w:t xml:space="preserve">a </w:t>
            </w:r>
            <w:r w:rsidRPr="00B062F2">
              <w:rPr>
                <w:sz w:val="20"/>
                <w:szCs w:val="20"/>
              </w:rPr>
              <w:t>site</w:t>
            </w:r>
            <w:r>
              <w:rPr>
                <w:sz w:val="20"/>
                <w:szCs w:val="20"/>
              </w:rPr>
              <w:t>,</w:t>
            </w:r>
            <w:r w:rsidRPr="00B062F2">
              <w:rPr>
                <w:sz w:val="20"/>
                <w:szCs w:val="20"/>
              </w:rPr>
              <w:t xml:space="preserve"> give</w:t>
            </w:r>
            <w:r>
              <w:rPr>
                <w:sz w:val="20"/>
                <w:szCs w:val="20"/>
              </w:rPr>
              <w:t>n</w:t>
            </w:r>
            <w:r w:rsidRPr="00B062F2">
              <w:rPr>
                <w:sz w:val="20"/>
                <w:szCs w:val="20"/>
              </w:rPr>
              <w:t xml:space="preserve"> the site is occupied</w:t>
            </w:r>
          </w:p>
        </w:tc>
      </w:tr>
      <w:tr w:rsidR="00D035F7" w:rsidRPr="00B062F2" w14:paraId="57C89893" w14:textId="77777777" w:rsidTr="00B062F2">
        <w:tc>
          <w:tcPr>
            <w:tcW w:w="0" w:type="auto"/>
            <w:tcBorders>
              <w:top w:val="single" w:sz="4" w:space="0" w:color="00B2A9"/>
              <w:bottom w:val="single" w:sz="4" w:space="0" w:color="00B2A9"/>
            </w:tcBorders>
          </w:tcPr>
          <w:p w14:paraId="2207DCEE" w14:textId="1C80E7B1" w:rsidR="00D035F7" w:rsidRPr="00B062F2" w:rsidRDefault="00273420" w:rsidP="00D035F7">
            <w:pPr>
              <w:rPr>
                <w:sz w:val="20"/>
                <w:szCs w:val="20"/>
              </w:rPr>
            </w:pPr>
            <m:oMathPara>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t,h</m:t>
                    </m:r>
                  </m:sub>
                </m:sSub>
              </m:oMath>
            </m:oMathPara>
          </w:p>
        </w:tc>
        <w:tc>
          <w:tcPr>
            <w:tcW w:w="0" w:type="auto"/>
            <w:tcBorders>
              <w:top w:val="single" w:sz="4" w:space="0" w:color="00B2A9"/>
              <w:bottom w:val="single" w:sz="4" w:space="0" w:color="00B2A9"/>
            </w:tcBorders>
          </w:tcPr>
          <w:p w14:paraId="22B368CF" w14:textId="3D2051A1" w:rsidR="00D035F7" w:rsidRPr="00B062F2" w:rsidRDefault="00D035F7" w:rsidP="00D035F7">
            <w:pPr>
              <w:rPr>
                <w:sz w:val="20"/>
                <w:szCs w:val="20"/>
              </w:rPr>
            </w:pPr>
            <w:r w:rsidRPr="00B062F2">
              <w:rPr>
                <w:sz w:val="20"/>
                <w:szCs w:val="20"/>
              </w:rPr>
              <w:t>Variable of interest</w:t>
            </w:r>
            <w:r>
              <w:rPr>
                <w:sz w:val="20"/>
                <w:szCs w:val="20"/>
              </w:rPr>
              <w:t xml:space="preserve"> </w:t>
            </w:r>
            <m:oMath>
              <m:r>
                <w:rPr>
                  <w:rFonts w:ascii="Cambria Math" w:hAnsi="Cambria Math"/>
                  <w:sz w:val="20"/>
                  <w:szCs w:val="20"/>
                </w:rPr>
                <m:t>h</m:t>
              </m:r>
            </m:oMath>
            <w:r w:rsidRPr="00B062F2">
              <w:rPr>
                <w:sz w:val="20"/>
                <w:szCs w:val="20"/>
              </w:rPr>
              <w:t xml:space="preserve"> at site </w:t>
            </w:r>
            <m:oMath>
              <m:r>
                <w:rPr>
                  <w:rFonts w:ascii="Cambria Math" w:hAnsi="Cambria Math"/>
                  <w:sz w:val="20"/>
                  <w:szCs w:val="20"/>
                </w:rPr>
                <m:t>i</m:t>
              </m:r>
            </m:oMath>
            <w:r w:rsidRPr="00B062F2">
              <w:rPr>
                <w:sz w:val="20"/>
                <w:szCs w:val="20"/>
              </w:rPr>
              <w:t xml:space="preserve"> in period </w:t>
            </w:r>
            <m:oMath>
              <m:r>
                <w:rPr>
                  <w:rFonts w:ascii="Cambria Math" w:hAnsi="Cambria Math"/>
                  <w:sz w:val="20"/>
                  <w:szCs w:val="20"/>
                </w:rPr>
                <m:t>t</m:t>
              </m:r>
            </m:oMath>
          </w:p>
        </w:tc>
      </w:tr>
      <w:tr w:rsidR="00462445" w:rsidRPr="00B062F2" w14:paraId="784DD7A9" w14:textId="77777777" w:rsidTr="00B062F2">
        <w:tc>
          <w:tcPr>
            <w:tcW w:w="0" w:type="auto"/>
            <w:tcBorders>
              <w:top w:val="single" w:sz="4" w:space="0" w:color="00B2A9"/>
              <w:bottom w:val="single" w:sz="4" w:space="0" w:color="00B2A9"/>
            </w:tcBorders>
          </w:tcPr>
          <w:p w14:paraId="45923544"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γ</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t</m:t>
                    </m:r>
                  </m:sub>
                </m:sSub>
              </m:oMath>
            </m:oMathPara>
          </w:p>
        </w:tc>
        <w:tc>
          <w:tcPr>
            <w:tcW w:w="0" w:type="auto"/>
            <w:tcBorders>
              <w:top w:val="single" w:sz="4" w:space="0" w:color="00B2A9"/>
              <w:bottom w:val="single" w:sz="4" w:space="0" w:color="00B2A9"/>
            </w:tcBorders>
          </w:tcPr>
          <w:p w14:paraId="151240D5" w14:textId="030AF47F" w:rsidR="00462445" w:rsidRPr="00B062F2" w:rsidRDefault="00462445" w:rsidP="00B062F2">
            <w:pPr>
              <w:rPr>
                <w:sz w:val="20"/>
                <w:szCs w:val="20"/>
              </w:rPr>
            </w:pPr>
            <w:proofErr w:type="spellStart"/>
            <w:r w:rsidRPr="00B062F2">
              <w:rPr>
                <w:sz w:val="20"/>
                <w:szCs w:val="20"/>
              </w:rPr>
              <w:t>Colonisation</w:t>
            </w:r>
            <w:proofErr w:type="spellEnd"/>
            <w:r w:rsidRPr="00B062F2">
              <w:rPr>
                <w:sz w:val="20"/>
                <w:szCs w:val="20"/>
              </w:rPr>
              <w:t xml:space="preserve"> rate at site </w:t>
            </w:r>
            <m:oMath>
              <m:r>
                <w:rPr>
                  <w:rFonts w:ascii="Cambria Math" w:hAnsi="Cambria Math"/>
                  <w:sz w:val="20"/>
                  <w:szCs w:val="20"/>
                </w:rPr>
                <m:t>i</m:t>
              </m:r>
            </m:oMath>
            <w:r w:rsidRPr="00B062F2">
              <w:rPr>
                <w:sz w:val="20"/>
                <w:szCs w:val="20"/>
              </w:rPr>
              <w:t xml:space="preserve"> in period </w:t>
            </w:r>
            <m:oMath>
              <m:r>
                <w:rPr>
                  <w:rFonts w:ascii="Cambria Math" w:hAnsi="Cambria Math"/>
                  <w:sz w:val="20"/>
                  <w:szCs w:val="20"/>
                </w:rPr>
                <m:t>t</m:t>
              </m:r>
            </m:oMath>
          </w:p>
        </w:tc>
      </w:tr>
      <w:tr w:rsidR="00462445" w:rsidRPr="00B062F2" w14:paraId="3BB65A27" w14:textId="77777777" w:rsidTr="00B062F2">
        <w:tc>
          <w:tcPr>
            <w:tcW w:w="0" w:type="auto"/>
            <w:tcBorders>
              <w:top w:val="single" w:sz="4" w:space="0" w:color="00B2A9"/>
              <w:bottom w:val="single" w:sz="4" w:space="0" w:color="00B2A9"/>
            </w:tcBorders>
          </w:tcPr>
          <w:p w14:paraId="5D5755A5"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η</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t</m:t>
                    </m:r>
                  </m:sub>
                </m:sSub>
              </m:oMath>
            </m:oMathPara>
          </w:p>
        </w:tc>
        <w:tc>
          <w:tcPr>
            <w:tcW w:w="0" w:type="auto"/>
            <w:tcBorders>
              <w:top w:val="single" w:sz="4" w:space="0" w:color="00B2A9"/>
              <w:bottom w:val="single" w:sz="4" w:space="0" w:color="00B2A9"/>
            </w:tcBorders>
          </w:tcPr>
          <w:p w14:paraId="7A7D8077" w14:textId="56526D53" w:rsidR="00462445" w:rsidRPr="00B062F2" w:rsidRDefault="00462445" w:rsidP="00B062F2">
            <w:pPr>
              <w:rPr>
                <w:sz w:val="20"/>
                <w:szCs w:val="20"/>
              </w:rPr>
            </w:pPr>
            <w:r w:rsidRPr="00B062F2">
              <w:rPr>
                <w:sz w:val="20"/>
                <w:szCs w:val="20"/>
              </w:rPr>
              <w:t xml:space="preserve">Persistence rate at site </w:t>
            </w:r>
            <m:oMath>
              <m:r>
                <w:rPr>
                  <w:rFonts w:ascii="Cambria Math" w:hAnsi="Cambria Math"/>
                  <w:sz w:val="20"/>
                  <w:szCs w:val="20"/>
                </w:rPr>
                <m:t>i</m:t>
              </m:r>
            </m:oMath>
            <w:r w:rsidRPr="00B062F2">
              <w:rPr>
                <w:sz w:val="20"/>
                <w:szCs w:val="20"/>
              </w:rPr>
              <w:t xml:space="preserve"> in period </w:t>
            </w:r>
            <m:oMath>
              <m:r>
                <w:rPr>
                  <w:rFonts w:ascii="Cambria Math" w:hAnsi="Cambria Math"/>
                  <w:sz w:val="20"/>
                  <w:szCs w:val="20"/>
                </w:rPr>
                <m:t>t</m:t>
              </m:r>
            </m:oMath>
          </w:p>
        </w:tc>
      </w:tr>
      <w:tr w:rsidR="00462445" w:rsidRPr="00B062F2" w14:paraId="3E4D2F53" w14:textId="77777777" w:rsidTr="00B062F2">
        <w:tc>
          <w:tcPr>
            <w:tcW w:w="0" w:type="auto"/>
            <w:tcBorders>
              <w:top w:val="single" w:sz="4" w:space="0" w:color="00B2A9"/>
              <w:bottom w:val="single" w:sz="4" w:space="0" w:color="00B2A9"/>
            </w:tcBorders>
          </w:tcPr>
          <w:p w14:paraId="5DAD6CFF"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ε</m:t>
                    </m:r>
                  </m:e>
                  <m:sub>
                    <m:r>
                      <w:rPr>
                        <w:rFonts w:ascii="Cambria Math" w:hAnsi="Cambria Math"/>
                        <w:sz w:val="20"/>
                        <w:szCs w:val="20"/>
                      </w:rPr>
                      <m:t>C</m:t>
                    </m:r>
                    <m:r>
                      <m:rPr>
                        <m:sty m:val="p"/>
                      </m:rPr>
                      <w:rPr>
                        <w:rFonts w:ascii="Cambria Math" w:hAnsi="Cambria Math"/>
                        <w:sz w:val="20"/>
                        <w:szCs w:val="20"/>
                      </w:rPr>
                      <m:t>,</m:t>
                    </m:r>
                    <m:r>
                      <w:rPr>
                        <w:rFonts w:ascii="Cambria Math" w:hAnsi="Cambria Math"/>
                        <w:sz w:val="20"/>
                        <w:szCs w:val="20"/>
                      </w:rPr>
                      <m:t>t</m:t>
                    </m:r>
                  </m:sub>
                </m:sSub>
              </m:oMath>
            </m:oMathPara>
          </w:p>
        </w:tc>
        <w:tc>
          <w:tcPr>
            <w:tcW w:w="0" w:type="auto"/>
            <w:tcBorders>
              <w:top w:val="single" w:sz="4" w:space="0" w:color="00B2A9"/>
              <w:bottom w:val="single" w:sz="4" w:space="0" w:color="00B2A9"/>
            </w:tcBorders>
          </w:tcPr>
          <w:p w14:paraId="613B62E1" w14:textId="3338E40B" w:rsidR="00462445" w:rsidRPr="00B062F2" w:rsidRDefault="00462445" w:rsidP="00B062F2">
            <w:pPr>
              <w:rPr>
                <w:sz w:val="20"/>
                <w:szCs w:val="20"/>
              </w:rPr>
            </w:pPr>
            <w:r w:rsidRPr="00B062F2">
              <w:rPr>
                <w:sz w:val="20"/>
                <w:szCs w:val="20"/>
              </w:rPr>
              <w:t xml:space="preserve">Random variation in </w:t>
            </w:r>
            <w:proofErr w:type="spellStart"/>
            <w:r w:rsidRPr="00B062F2">
              <w:rPr>
                <w:sz w:val="20"/>
                <w:szCs w:val="20"/>
              </w:rPr>
              <w:t>colonisation</w:t>
            </w:r>
            <w:proofErr w:type="spellEnd"/>
            <w:r w:rsidRPr="00B062F2">
              <w:rPr>
                <w:sz w:val="20"/>
                <w:szCs w:val="20"/>
              </w:rPr>
              <w:t xml:space="preserve"> rates in period </w:t>
            </w:r>
            <m:oMath>
              <m:r>
                <w:rPr>
                  <w:rFonts w:ascii="Cambria Math" w:hAnsi="Cambria Math"/>
                  <w:sz w:val="20"/>
                  <w:szCs w:val="20"/>
                </w:rPr>
                <m:t>t</m:t>
              </m:r>
            </m:oMath>
          </w:p>
        </w:tc>
      </w:tr>
      <w:tr w:rsidR="00462445" w:rsidRPr="00B062F2" w14:paraId="579E5FA1" w14:textId="77777777" w:rsidTr="00B062F2">
        <w:tc>
          <w:tcPr>
            <w:tcW w:w="0" w:type="auto"/>
            <w:tcBorders>
              <w:top w:val="single" w:sz="4" w:space="0" w:color="00B2A9"/>
              <w:bottom w:val="single" w:sz="4" w:space="0" w:color="00B2A9"/>
            </w:tcBorders>
          </w:tcPr>
          <w:p w14:paraId="321D57F9"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ε</m:t>
                    </m:r>
                  </m:e>
                  <m:sub>
                    <m:r>
                      <w:rPr>
                        <w:rFonts w:ascii="Cambria Math" w:hAnsi="Cambria Math"/>
                        <w:sz w:val="20"/>
                        <w:szCs w:val="20"/>
                      </w:rPr>
                      <m:t>S</m:t>
                    </m:r>
                    <m:r>
                      <m:rPr>
                        <m:sty m:val="p"/>
                      </m:rPr>
                      <w:rPr>
                        <w:rFonts w:ascii="Cambria Math" w:hAnsi="Cambria Math"/>
                        <w:sz w:val="20"/>
                        <w:szCs w:val="20"/>
                      </w:rPr>
                      <m:t>,</m:t>
                    </m:r>
                    <m:r>
                      <w:rPr>
                        <w:rFonts w:ascii="Cambria Math" w:hAnsi="Cambria Math"/>
                        <w:sz w:val="20"/>
                        <w:szCs w:val="20"/>
                      </w:rPr>
                      <m:t>t</m:t>
                    </m:r>
                  </m:sub>
                </m:sSub>
              </m:oMath>
            </m:oMathPara>
          </w:p>
        </w:tc>
        <w:tc>
          <w:tcPr>
            <w:tcW w:w="0" w:type="auto"/>
            <w:tcBorders>
              <w:top w:val="single" w:sz="4" w:space="0" w:color="00B2A9"/>
              <w:bottom w:val="single" w:sz="4" w:space="0" w:color="00B2A9"/>
            </w:tcBorders>
          </w:tcPr>
          <w:p w14:paraId="2AC4B69D" w14:textId="28915124" w:rsidR="00462445" w:rsidRPr="00B062F2" w:rsidRDefault="00462445" w:rsidP="00B062F2">
            <w:pPr>
              <w:rPr>
                <w:sz w:val="20"/>
                <w:szCs w:val="20"/>
              </w:rPr>
            </w:pPr>
            <w:r w:rsidRPr="00B062F2">
              <w:rPr>
                <w:sz w:val="20"/>
                <w:szCs w:val="20"/>
              </w:rPr>
              <w:t xml:space="preserve">Random variation in persistence rates in period </w:t>
            </w:r>
            <m:oMath>
              <m:r>
                <w:rPr>
                  <w:rFonts w:ascii="Cambria Math" w:hAnsi="Cambria Math"/>
                  <w:sz w:val="20"/>
                  <w:szCs w:val="20"/>
                </w:rPr>
                <m:t>t</m:t>
              </m:r>
            </m:oMath>
          </w:p>
        </w:tc>
      </w:tr>
      <w:tr w:rsidR="00462445" w:rsidRPr="00B062F2" w14:paraId="12B6116D" w14:textId="77777777" w:rsidTr="008F04E0">
        <w:tc>
          <w:tcPr>
            <w:tcW w:w="0" w:type="auto"/>
            <w:tcBorders>
              <w:top w:val="single" w:sz="4" w:space="0" w:color="00B2A9"/>
              <w:bottom w:val="single" w:sz="4" w:space="0" w:color="00B2A9"/>
            </w:tcBorders>
          </w:tcPr>
          <w:p w14:paraId="71C77EF9"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σ</m:t>
                    </m:r>
                  </m:e>
                  <m:sub>
                    <m:r>
                      <w:rPr>
                        <w:rFonts w:ascii="Cambria Math" w:hAnsi="Cambria Math"/>
                        <w:sz w:val="20"/>
                        <w:szCs w:val="20"/>
                      </w:rPr>
                      <m:t>C</m:t>
                    </m:r>
                  </m:sub>
                </m:sSub>
              </m:oMath>
            </m:oMathPara>
          </w:p>
        </w:tc>
        <w:tc>
          <w:tcPr>
            <w:tcW w:w="0" w:type="auto"/>
            <w:tcBorders>
              <w:top w:val="single" w:sz="4" w:space="0" w:color="00B2A9"/>
              <w:bottom w:val="single" w:sz="4" w:space="0" w:color="00B2A9"/>
            </w:tcBorders>
          </w:tcPr>
          <w:p w14:paraId="0D5F0E59" w14:textId="308A99A2" w:rsidR="00462445" w:rsidRPr="00B062F2" w:rsidRDefault="00462445" w:rsidP="00B062F2">
            <w:pPr>
              <w:rPr>
                <w:sz w:val="20"/>
                <w:szCs w:val="20"/>
              </w:rPr>
            </w:pPr>
            <w:r w:rsidRPr="00B062F2">
              <w:rPr>
                <w:sz w:val="20"/>
                <w:szCs w:val="20"/>
              </w:rPr>
              <w:t xml:space="preserve">Standard deviation in the random variation in </w:t>
            </w:r>
            <w:proofErr w:type="spellStart"/>
            <w:r w:rsidRPr="00B062F2">
              <w:rPr>
                <w:sz w:val="20"/>
                <w:szCs w:val="20"/>
              </w:rPr>
              <w:t>colonisation</w:t>
            </w:r>
            <w:proofErr w:type="spellEnd"/>
            <w:r w:rsidRPr="00B062F2">
              <w:rPr>
                <w:sz w:val="20"/>
                <w:szCs w:val="20"/>
              </w:rPr>
              <w:t xml:space="preserve"> rates between </w:t>
            </w:r>
            <w:r w:rsidR="00822479">
              <w:rPr>
                <w:sz w:val="20"/>
                <w:szCs w:val="20"/>
              </w:rPr>
              <w:t>periods</w:t>
            </w:r>
          </w:p>
        </w:tc>
      </w:tr>
      <w:tr w:rsidR="00462445" w:rsidRPr="00B062F2" w14:paraId="6EF66BC9" w14:textId="77777777" w:rsidTr="008F04E0">
        <w:tc>
          <w:tcPr>
            <w:tcW w:w="0" w:type="auto"/>
            <w:tcBorders>
              <w:top w:val="single" w:sz="4" w:space="0" w:color="00B2A9"/>
              <w:bottom w:val="single" w:sz="4" w:space="0" w:color="00B2A9"/>
            </w:tcBorders>
          </w:tcPr>
          <w:p w14:paraId="6DC732B3" w14:textId="77777777" w:rsidR="00462445" w:rsidRPr="00B062F2" w:rsidRDefault="00273420" w:rsidP="00B062F2">
            <w:pPr>
              <w:rPr>
                <w:sz w:val="20"/>
                <w:szCs w:val="20"/>
              </w:rPr>
            </w:pPr>
            <m:oMathPara>
              <m:oMath>
                <m:sSub>
                  <m:sSubPr>
                    <m:ctrlPr>
                      <w:rPr>
                        <w:rFonts w:ascii="Cambria Math" w:hAnsi="Cambria Math"/>
                        <w:sz w:val="20"/>
                        <w:szCs w:val="20"/>
                      </w:rPr>
                    </m:ctrlPr>
                  </m:sSubPr>
                  <m:e>
                    <m:r>
                      <w:rPr>
                        <w:rFonts w:ascii="Cambria Math" w:hAnsi="Cambria Math"/>
                        <w:sz w:val="20"/>
                        <w:szCs w:val="20"/>
                      </w:rPr>
                      <m:t>σ</m:t>
                    </m:r>
                  </m:e>
                  <m:sub>
                    <m:r>
                      <w:rPr>
                        <w:rFonts w:ascii="Cambria Math" w:hAnsi="Cambria Math"/>
                        <w:sz w:val="20"/>
                        <w:szCs w:val="20"/>
                      </w:rPr>
                      <m:t>S</m:t>
                    </m:r>
                  </m:sub>
                </m:sSub>
              </m:oMath>
            </m:oMathPara>
          </w:p>
        </w:tc>
        <w:tc>
          <w:tcPr>
            <w:tcW w:w="0" w:type="auto"/>
            <w:tcBorders>
              <w:top w:val="single" w:sz="4" w:space="0" w:color="00B2A9"/>
              <w:bottom w:val="single" w:sz="4" w:space="0" w:color="00B2A9"/>
            </w:tcBorders>
          </w:tcPr>
          <w:p w14:paraId="0DF0EE66" w14:textId="5034A61B" w:rsidR="00462445" w:rsidRPr="00B062F2" w:rsidRDefault="00462445" w:rsidP="00B062F2">
            <w:pPr>
              <w:rPr>
                <w:sz w:val="20"/>
                <w:szCs w:val="20"/>
              </w:rPr>
            </w:pPr>
            <w:r w:rsidRPr="00B062F2">
              <w:rPr>
                <w:sz w:val="20"/>
                <w:szCs w:val="20"/>
              </w:rPr>
              <w:t xml:space="preserve">Standard deviation in the random variation in persistence rates between </w:t>
            </w:r>
            <w:r w:rsidR="00822479">
              <w:rPr>
                <w:sz w:val="20"/>
                <w:szCs w:val="20"/>
              </w:rPr>
              <w:t>periods</w:t>
            </w:r>
          </w:p>
        </w:tc>
      </w:tr>
    </w:tbl>
    <w:p w14:paraId="6F2552CE" w14:textId="31C2C396" w:rsidR="008F04E0" w:rsidRDefault="008F04E0" w:rsidP="00462445"/>
    <w:p w14:paraId="0E602C85" w14:textId="7EF6BB6F" w:rsidR="00C2291E" w:rsidRDefault="00C2291E" w:rsidP="00C2291E">
      <w:r>
        <w:t xml:space="preserve">The models also allowed for differences in daily detection rates based on whether a </w:t>
      </w:r>
      <w:r w:rsidR="002E18B3">
        <w:t>hair-</w:t>
      </w:r>
      <w:r>
        <w:t xml:space="preserve">tube or camera was used for detection. Additionally, </w:t>
      </w:r>
      <w:r w:rsidR="002E18B3">
        <w:t xml:space="preserve">hair-tube </w:t>
      </w:r>
      <w:r>
        <w:t xml:space="preserve">detection of </w:t>
      </w:r>
      <w:r w:rsidR="002E18B3">
        <w:t xml:space="preserve">Long-nosed Potoroos </w:t>
      </w:r>
      <w:r>
        <w:t xml:space="preserve">and </w:t>
      </w:r>
      <w:r w:rsidR="002E18B3">
        <w:t xml:space="preserve">Southern Brown Bandicoots </w:t>
      </w:r>
      <w:r>
        <w:t xml:space="preserve">was allowed to differ depending on whether </w:t>
      </w:r>
      <w:r w:rsidR="002E18B3">
        <w:t>Common Brushtail Possums</w:t>
      </w:r>
      <w:r>
        <w:t xml:space="preserve"> were detected at the site. The </w:t>
      </w:r>
      <w:r w:rsidR="002E18B3">
        <w:t>reasoning for this was</w:t>
      </w:r>
      <w:r>
        <w:t xml:space="preserve"> that the </w:t>
      </w:r>
      <w:r w:rsidR="002E18B3">
        <w:t>hair-</w:t>
      </w:r>
      <w:r>
        <w:t xml:space="preserve">tubes could be swamped with </w:t>
      </w:r>
      <w:r w:rsidR="002E18B3">
        <w:t>Common Brushtail Possum</w:t>
      </w:r>
      <w:r>
        <w:t xml:space="preserve"> hairs</w:t>
      </w:r>
      <w:r w:rsidR="00F00719">
        <w:t xml:space="preserve">, making it difficult for hair from other species to be </w:t>
      </w:r>
      <w:r w:rsidR="004927E2">
        <w:t>collected by the hair tubes</w:t>
      </w:r>
      <w:r w:rsidR="0018189B">
        <w:t>; therefore,</w:t>
      </w:r>
      <w:r>
        <w:t xml:space="preserve"> </w:t>
      </w:r>
      <w:r w:rsidR="005F5B6F">
        <w:t>Long-nosed Potoroos</w:t>
      </w:r>
      <w:r w:rsidR="005F5B6F" w:rsidRPr="008F04E0">
        <w:t xml:space="preserve"> </w:t>
      </w:r>
      <w:r w:rsidRPr="008F04E0">
        <w:t xml:space="preserve">and </w:t>
      </w:r>
      <w:r w:rsidR="005F5B6F">
        <w:t xml:space="preserve">Southern Brown Bandicoots </w:t>
      </w:r>
      <w:r>
        <w:t>could be underreported.</w:t>
      </w:r>
    </w:p>
    <w:p w14:paraId="20645B9D" w14:textId="61375F1C" w:rsidR="009776F4" w:rsidRDefault="000C025A" w:rsidP="009776F4">
      <w:r>
        <w:t xml:space="preserve">We then </w:t>
      </w:r>
      <w:r w:rsidR="009776F4">
        <w:t xml:space="preserve">derived </w:t>
      </w:r>
      <w:r w:rsidR="002A2CA5">
        <w:t xml:space="preserve">the </w:t>
      </w:r>
      <w:r>
        <w:t xml:space="preserve">growth rate </w:t>
      </w:r>
      <w:r w:rsidR="009776F4">
        <w:t>from the posterior distributions for the number of occupied sites</w:t>
      </w:r>
      <w:r w:rsidR="002772E3">
        <w:t xml:space="preserve">. </w:t>
      </w:r>
      <w:r w:rsidR="009776F4">
        <w:t>The growth rate is a comparison of the current occupancy rate with the previous season’s occupancy rate, i.e.</w:t>
      </w:r>
    </w:p>
    <w:p w14:paraId="451B47F0" w14:textId="77777777" w:rsidR="009776F4" w:rsidRDefault="00273420" w:rsidP="009776F4">
      <m:oMathPara>
        <m:oMath>
          <m:sSub>
            <m:sSubPr>
              <m:ctrlPr>
                <w:rPr>
                  <w:rFonts w:ascii="Cambria Math" w:hAnsi="Cambria Math"/>
                  <w:sz w:val="24"/>
                </w:rPr>
              </m:ctrlPr>
            </m:sSubPr>
            <m:e>
              <m:r>
                <m:rPr>
                  <m:nor/>
                </m:rPr>
                <w:rPr>
                  <w:i/>
                  <w:iCs/>
                </w:rPr>
                <m:t>Growth</m:t>
              </m:r>
            </m:e>
            <m:sub>
              <m:r>
                <w:rPr>
                  <w:rFonts w:ascii="Cambria Math" w:hAnsi="Cambria Math"/>
                </w:rPr>
                <m:t>t</m:t>
              </m:r>
            </m:sub>
          </m:sSub>
          <m:r>
            <w:rPr>
              <w:rFonts w:ascii="Cambria Math" w:hAnsi="Cambria Math"/>
            </w:rPr>
            <m:t>=</m:t>
          </m:r>
          <m:f>
            <m:fPr>
              <m:ctrlPr>
                <w:rPr>
                  <w:rFonts w:ascii="Cambria Math" w:hAnsi="Cambria Math"/>
                  <w:sz w:val="24"/>
                </w:rPr>
              </m:ctrlPr>
            </m:fPr>
            <m:num>
              <m:sSub>
                <m:sSubPr>
                  <m:ctrlPr>
                    <w:rPr>
                      <w:rFonts w:ascii="Cambria Math" w:hAnsi="Cambria Math"/>
                      <w:sz w:val="24"/>
                    </w:rPr>
                  </m:ctrlPr>
                </m:sSubPr>
                <m:e>
                  <m:r>
                    <w:rPr>
                      <w:rFonts w:ascii="Cambria Math" w:hAnsi="Cambria Math"/>
                    </w:rPr>
                    <m:t>ψ</m:t>
                  </m:r>
                </m:e>
                <m:sub>
                  <m:r>
                    <w:rPr>
                      <w:rFonts w:ascii="Cambria Math" w:hAnsi="Cambria Math"/>
                    </w:rPr>
                    <m:t>t</m:t>
                  </m:r>
                </m:sub>
              </m:sSub>
            </m:num>
            <m:den>
              <m:sSub>
                <m:sSubPr>
                  <m:ctrlPr>
                    <w:rPr>
                      <w:rFonts w:ascii="Cambria Math" w:hAnsi="Cambria Math"/>
                      <w:sz w:val="24"/>
                    </w:rPr>
                  </m:ctrlPr>
                </m:sSubPr>
                <m:e>
                  <m:r>
                    <w:rPr>
                      <w:rFonts w:ascii="Cambria Math" w:hAnsi="Cambria Math"/>
                    </w:rPr>
                    <m:t>ψ</m:t>
                  </m:r>
                </m:e>
                <m:sub>
                  <m:r>
                    <w:rPr>
                      <w:rFonts w:ascii="Cambria Math" w:hAnsi="Cambria Math"/>
                    </w:rPr>
                    <m:t>t-1</m:t>
                  </m:r>
                </m:sub>
              </m:sSub>
            </m:den>
          </m:f>
        </m:oMath>
      </m:oMathPara>
    </w:p>
    <w:p w14:paraId="42A39AFA" w14:textId="62B0ED26" w:rsidR="009776F4" w:rsidRDefault="009776F4" w:rsidP="009776F4">
      <w:r>
        <w:t xml:space="preserve">Growth rates </w:t>
      </w:r>
      <w:r w:rsidR="005F5B6F">
        <w:t xml:space="preserve">of </w:t>
      </w:r>
      <w:r>
        <w:t>&gt;1 imply increasing occupancy, whereas growth rates</w:t>
      </w:r>
      <w:r w:rsidR="005F5B6F">
        <w:t xml:space="preserve"> of</w:t>
      </w:r>
      <w:r>
        <w:t xml:space="preserve"> &lt;1 show that occupancy is decreasing</w:t>
      </w:r>
      <w:r w:rsidR="005F5B6F">
        <w:t>;</w:t>
      </w:r>
      <w:r>
        <w:t xml:space="preserve"> a growth rate of 1 shows </w:t>
      </w:r>
      <w:r w:rsidR="0018189B">
        <w:t>no occupancy change</w:t>
      </w:r>
      <w:r>
        <w:t>.</w:t>
      </w:r>
      <w:r w:rsidR="00D916DD">
        <w:t xml:space="preserve"> As a measure of the impact fox control had on </w:t>
      </w:r>
      <w:r w:rsidR="002A2CA5">
        <w:t xml:space="preserve">the </w:t>
      </w:r>
      <w:r w:rsidR="00D916DD">
        <w:t>growth rate, we calculated the percentage difference in growth rate between locations with and without fox control</w:t>
      </w:r>
      <w:r w:rsidR="00B913EC">
        <w:t>.</w:t>
      </w:r>
    </w:p>
    <w:p w14:paraId="3886C05E" w14:textId="644812C5" w:rsidR="00FE2C3F" w:rsidRDefault="00FE2C3F" w:rsidP="00C52342">
      <w:pPr>
        <w:pStyle w:val="Heading3-Numbered"/>
      </w:pPr>
      <w:bookmarkStart w:id="59" w:name="_Toc110599598"/>
      <w:r>
        <w:t>Spatial predictions of occupancy</w:t>
      </w:r>
      <w:bookmarkEnd w:id="59"/>
    </w:p>
    <w:p w14:paraId="7BCB79DA" w14:textId="77777777" w:rsidR="00A6787F" w:rsidRDefault="00FE2C3F" w:rsidP="00A6787F">
      <w:pPr>
        <w:rPr>
          <w:lang w:eastAsia="en-AU"/>
        </w:rPr>
      </w:pPr>
      <w:r>
        <w:t xml:space="preserve">We used predictions from the </w:t>
      </w:r>
      <w:r w:rsidR="00C52342">
        <w:t xml:space="preserve">occupancy </w:t>
      </w:r>
      <w:r>
        <w:t xml:space="preserve">models for Long-nosed Potoroos and Southern Brown Bandicoots to generate spatial maps of the occupancy probability across the Glenelg Ark operations landscape.  </w:t>
      </w:r>
      <w:r w:rsidR="00A6787F">
        <w:rPr>
          <w:lang w:eastAsia="en-AU"/>
        </w:rPr>
        <w:t>These surfaces can help visualise predicted occupancy for the current monitoring locations and for locations outside the monitored areas, aiding with decision-making regarding the placement of additional monitoring sites.</w:t>
      </w:r>
      <w:r w:rsidR="00A6787F" w:rsidRPr="00D367DA">
        <w:rPr>
          <w:lang w:eastAsia="en-AU"/>
        </w:rPr>
        <w:t xml:space="preserve"> </w:t>
      </w:r>
    </w:p>
    <w:p w14:paraId="4F524BC1" w14:textId="480E8E7D" w:rsidR="005F2F80" w:rsidRDefault="00FE2C3F" w:rsidP="005F2F80">
      <w:pPr>
        <w:rPr>
          <w:rFonts w:ascii="Calibri" w:hAnsi="Calibri" w:cs="Calibri"/>
          <w:szCs w:val="22"/>
        </w:rPr>
      </w:pPr>
      <w:r>
        <w:t xml:space="preserve">Predictions </w:t>
      </w:r>
      <w:r w:rsidR="00FE2571">
        <w:t>for each location, which including both sampled and unsampled locations, were conditional on</w:t>
      </w:r>
      <w:r>
        <w:t xml:space="preserve"> the values of all covariates at these locations used in the model fitting process. </w:t>
      </w:r>
      <w:r w:rsidR="0018189B">
        <w:t>The</w:t>
      </w:r>
      <w:r w:rsidR="00FE2571">
        <w:t>se</w:t>
      </w:r>
      <w:r w:rsidR="0018189B">
        <w:t xml:space="preserve"> spatial </w:t>
      </w:r>
      <w:r w:rsidR="00C52342">
        <w:t xml:space="preserve">maps </w:t>
      </w:r>
      <w:r w:rsidR="00FE2571">
        <w:t>were</w:t>
      </w:r>
      <w:r w:rsidR="0018189B">
        <w:t xml:space="preserve"> designed to help land managers evaluate the current camera</w:t>
      </w:r>
      <w:r w:rsidR="005F5B6F">
        <w:t xml:space="preserve"> </w:t>
      </w:r>
      <w:r w:rsidR="0018189B">
        <w:t xml:space="preserve">trap placement and consider where to place new cameras to help </w:t>
      </w:r>
      <w:r w:rsidR="00FE2571">
        <w:t>increase</w:t>
      </w:r>
      <w:r w:rsidR="0018189B">
        <w:t xml:space="preserve"> our understanding of the relationship between </w:t>
      </w:r>
      <w:r w:rsidR="005F5B6F">
        <w:t xml:space="preserve">the </w:t>
      </w:r>
      <w:r w:rsidR="0018189B">
        <w:t xml:space="preserve">explanatory variables, fox control and </w:t>
      </w:r>
      <w:r w:rsidR="005F5B6F">
        <w:t>occupancy by Long-nosed Potoroos and Southern Brown Bandicoots</w:t>
      </w:r>
      <w:r w:rsidR="0018189B">
        <w:t xml:space="preserve">. </w:t>
      </w:r>
      <w:r w:rsidR="005F2F80">
        <w:t xml:space="preserve">Some of the </w:t>
      </w:r>
      <w:r w:rsidR="00772ED7">
        <w:t xml:space="preserve">predicted </w:t>
      </w:r>
      <w:r w:rsidR="00FE2571">
        <w:t>locations</w:t>
      </w:r>
      <w:r w:rsidR="005F2F80">
        <w:t xml:space="preserve"> had values for explanatory variable</w:t>
      </w:r>
      <w:r w:rsidR="00FE2571">
        <w:t>s</w:t>
      </w:r>
      <w:r w:rsidR="005F2F80">
        <w:t xml:space="preserve"> that were </w:t>
      </w:r>
      <w:r w:rsidR="00FE2571">
        <w:t xml:space="preserve">outside the range of those included in the models. </w:t>
      </w:r>
      <w:r w:rsidR="005F2F80">
        <w:t xml:space="preserve"> </w:t>
      </w:r>
      <w:r w:rsidR="005F2F80">
        <w:lastRenderedPageBreak/>
        <w:t xml:space="preserve">Predictions at those </w:t>
      </w:r>
      <w:r w:rsidR="00FE2571">
        <w:t>locations</w:t>
      </w:r>
      <w:r w:rsidR="005F2F80">
        <w:t xml:space="preserve"> are extrapolations and assume the </w:t>
      </w:r>
      <w:r>
        <w:t xml:space="preserve">relationships are linear (on the logit scale) </w:t>
      </w:r>
      <w:r w:rsidR="005F2F80">
        <w:t xml:space="preserve">for those values, which may not be the case. </w:t>
      </w:r>
    </w:p>
    <w:p w14:paraId="57AAF28D" w14:textId="20A21D54" w:rsidR="00C2291E" w:rsidRDefault="00C2291E" w:rsidP="00C2291E">
      <w:r>
        <w:t>The models were constructed in JAGS (Plummer 2003) via R (R Core Team 2021) using the package R2jags (</w:t>
      </w:r>
      <w:proofErr w:type="spellStart"/>
      <w:r>
        <w:t>Su</w:t>
      </w:r>
      <w:proofErr w:type="spellEnd"/>
      <w:r>
        <w:t xml:space="preserve"> </w:t>
      </w:r>
      <w:r w:rsidR="005F5B6F">
        <w:t xml:space="preserve">and </w:t>
      </w:r>
      <w:proofErr w:type="spellStart"/>
      <w:r>
        <w:t>Yajima</w:t>
      </w:r>
      <w:proofErr w:type="spellEnd"/>
      <w:r>
        <w:t xml:space="preserve"> 201</w:t>
      </w:r>
      <w:r w:rsidR="00772ED7">
        <w:t>5</w:t>
      </w:r>
      <w:r>
        <w:t xml:space="preserve">. Model chains were run until the chains converged. Convergence was defined </w:t>
      </w:r>
      <w:r w:rsidR="00FE2571">
        <w:t xml:space="preserve">when the </w:t>
      </w:r>
      <w:r>
        <w:t xml:space="preserve">Gelman and Rubin’s convergence diagnostic </w:t>
      </w:r>
      <w:r w:rsidR="00FE2571">
        <w:t>(</w:t>
      </w:r>
      <w:r>
        <w:t>scale reduction factor</w:t>
      </w:r>
      <w:r w:rsidR="00FE2571">
        <w:t>)</w:t>
      </w:r>
      <w:r>
        <w:t xml:space="preserve"> </w:t>
      </w:r>
      <w:r w:rsidR="00FE2571">
        <w:t>was</w:t>
      </w:r>
      <w:r>
        <w:t xml:space="preserve"> </w:t>
      </w:r>
      <w:r w:rsidR="00F773C0">
        <w:t>&lt;</w:t>
      </w:r>
      <w:r>
        <w:t xml:space="preserve">1.05 </w:t>
      </w:r>
      <w:r w:rsidR="00FE2571">
        <w:t xml:space="preserve">for all parameters </w:t>
      </w:r>
      <w:r>
        <w:t>(Gelman</w:t>
      </w:r>
      <w:r w:rsidR="00F773C0">
        <w:t xml:space="preserve"> et al.</w:t>
      </w:r>
      <w:r>
        <w:t xml:space="preserve"> 2004).</w:t>
      </w:r>
      <w:r w:rsidR="009727A6">
        <w:t xml:space="preserve"> The model selection was performed by running a model with each variable separately and then including that variable in the final model if there was evidence it was important (95% CI excluded 0).</w:t>
      </w:r>
    </w:p>
    <w:p w14:paraId="124F3BE8" w14:textId="277D6A30" w:rsidR="00164DF0" w:rsidRDefault="00164DF0" w:rsidP="009776F4"/>
    <w:p w14:paraId="61A0468C" w14:textId="477113C2" w:rsidR="00CE37AA" w:rsidRDefault="00CE37AA" w:rsidP="00CE37AA">
      <w:pPr>
        <w:pStyle w:val="Heading1-Numbered"/>
      </w:pPr>
      <w:bookmarkStart w:id="60" w:name="_Toc110599599"/>
      <w:r>
        <w:t>Results</w:t>
      </w:r>
      <w:bookmarkEnd w:id="60"/>
    </w:p>
    <w:p w14:paraId="5CBF4E76" w14:textId="265841D8" w:rsidR="00CE37AA" w:rsidRDefault="00CE37AA" w:rsidP="00CE37AA">
      <w:pPr>
        <w:pStyle w:val="Heading2-Numbered"/>
        <w:rPr>
          <w:lang w:val="en-US"/>
        </w:rPr>
      </w:pPr>
      <w:bookmarkStart w:id="61" w:name="_Toc110599600"/>
      <w:r>
        <w:rPr>
          <w:lang w:val="en-US"/>
        </w:rPr>
        <w:t xml:space="preserve">Fox </w:t>
      </w:r>
      <w:r w:rsidR="00C177A1">
        <w:rPr>
          <w:lang w:val="en-US"/>
        </w:rPr>
        <w:t>density</w:t>
      </w:r>
      <w:bookmarkEnd w:id="61"/>
    </w:p>
    <w:p w14:paraId="2ECA9BD5" w14:textId="409BEC64" w:rsidR="005F2F80" w:rsidRDefault="005F2F80" w:rsidP="005F2F80">
      <w:proofErr w:type="spellStart"/>
      <w:r w:rsidRPr="00885C77">
        <w:t>FoxNet</w:t>
      </w:r>
      <w:proofErr w:type="spellEnd"/>
      <w:r w:rsidRPr="00885C77">
        <w:t xml:space="preserve"> modelling showed a reduction in fox density of 73% </w:t>
      </w:r>
      <w:r w:rsidR="001623BC">
        <w:t xml:space="preserve">at </w:t>
      </w:r>
      <w:r w:rsidR="00F773C0">
        <w:t>10 </w:t>
      </w:r>
      <w:r>
        <w:t>years after implementing model fox control (Figure 4)</w:t>
      </w:r>
      <w:r w:rsidRPr="00885C77">
        <w:t xml:space="preserve">. Fox densities </w:t>
      </w:r>
      <w:r>
        <w:t xml:space="preserve">at locations </w:t>
      </w:r>
      <w:r w:rsidRPr="00885C77">
        <w:t xml:space="preserve">with baiting became significantly different from fox densities </w:t>
      </w:r>
      <w:r>
        <w:t xml:space="preserve">at locations </w:t>
      </w:r>
      <w:r w:rsidRPr="00885C77">
        <w:t xml:space="preserve">without baiting </w:t>
      </w:r>
      <w:r w:rsidR="001623BC">
        <w:t>1 </w:t>
      </w:r>
      <w:r>
        <w:t xml:space="preserve">year after baiting began, </w:t>
      </w:r>
      <w:r w:rsidR="001623BC">
        <w:t xml:space="preserve">and the </w:t>
      </w:r>
      <w:r>
        <w:t xml:space="preserve">mean fox density across </w:t>
      </w:r>
      <w:r w:rsidR="00DB664F">
        <w:t>TMLs</w:t>
      </w:r>
      <w:r>
        <w:t xml:space="preserve"> was 0.46/km</w:t>
      </w:r>
      <w:r w:rsidRPr="0018033F">
        <w:rPr>
          <w:vertAlign w:val="superscript"/>
        </w:rPr>
        <w:t>2</w:t>
      </w:r>
      <w:r>
        <w:t xml:space="preserve"> (min</w:t>
      </w:r>
      <w:r w:rsidR="001623BC">
        <w:t>–</w:t>
      </w:r>
      <w:r>
        <w:t>max</w:t>
      </w:r>
      <w:r w:rsidR="001623BC">
        <w:t>:</w:t>
      </w:r>
      <w:r>
        <w:t xml:space="preserve"> </w:t>
      </w:r>
      <w:r w:rsidRPr="00090088">
        <w:rPr>
          <w:rFonts w:cs="Times New Roman"/>
          <w:szCs w:val="20"/>
        </w:rPr>
        <w:t>0.38–0.54)</w:t>
      </w:r>
      <w:r w:rsidRPr="00885C77">
        <w:t>.</w:t>
      </w:r>
    </w:p>
    <w:p w14:paraId="3C96243D" w14:textId="67BA9174" w:rsidR="00885C77" w:rsidRDefault="008C7A22" w:rsidP="00885C77">
      <w:pPr>
        <w:rPr>
          <w:lang w:val="en-US" w:eastAsia="en-AU"/>
        </w:rPr>
      </w:pPr>
      <w:r>
        <w:rPr>
          <w:noProof/>
          <w:lang w:val="en-GB" w:eastAsia="en-GB"/>
        </w:rPr>
        <w:drawing>
          <wp:inline distT="0" distB="0" distL="0" distR="0" wp14:anchorId="7B6AEBF9" wp14:editId="635E00F0">
            <wp:extent cx="4287887" cy="4046561"/>
            <wp:effectExtent l="0" t="0" r="0" b="0"/>
            <wp:docPr id="21" name="Picture 21" descr="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ine chart&#10;&#10;Description automatically generated"/>
                    <pic:cNvPicPr/>
                  </pic:nvPicPr>
                  <pic:blipFill rotWithShape="1">
                    <a:blip r:embed="rId56" cstate="email">
                      <a:extLst>
                        <a:ext uri="{28A0092B-C50C-407E-A947-70E740481C1C}">
                          <a14:useLocalDpi xmlns:a14="http://schemas.microsoft.com/office/drawing/2010/main"/>
                        </a:ext>
                      </a:extLst>
                    </a:blip>
                    <a:srcRect l="10034" t="10797" r="10918" b="10676"/>
                    <a:stretch/>
                  </pic:blipFill>
                  <pic:spPr bwMode="auto">
                    <a:xfrm>
                      <a:off x="0" y="0"/>
                      <a:ext cx="4308109" cy="4065645"/>
                    </a:xfrm>
                    <a:prstGeom prst="rect">
                      <a:avLst/>
                    </a:prstGeom>
                    <a:ln>
                      <a:noFill/>
                    </a:ln>
                    <a:extLst>
                      <a:ext uri="{53640926-AAD7-44D8-BBD7-CCE9431645EC}">
                        <a14:shadowObscured xmlns:a14="http://schemas.microsoft.com/office/drawing/2010/main"/>
                      </a:ext>
                    </a:extLst>
                  </pic:spPr>
                </pic:pic>
              </a:graphicData>
            </a:graphic>
          </wp:inline>
        </w:drawing>
      </w:r>
    </w:p>
    <w:p w14:paraId="396269FD" w14:textId="38C89EAE" w:rsidR="00885C77" w:rsidRPr="00885C77" w:rsidRDefault="00885C77" w:rsidP="00584FA8">
      <w:pPr>
        <w:pStyle w:val="Caption-Figure"/>
        <w:rPr>
          <w:lang w:val="en-US" w:eastAsia="en-AU"/>
        </w:rPr>
      </w:pPr>
      <w:bookmarkStart w:id="62" w:name="_Toc110599621"/>
      <w:r w:rsidRPr="00885C77">
        <w:rPr>
          <w:lang w:val="en-US" w:eastAsia="en-AU"/>
        </w:rPr>
        <w:t xml:space="preserve">Figure </w:t>
      </w:r>
      <w:r w:rsidR="00473385">
        <w:rPr>
          <w:lang w:val="en-US" w:eastAsia="en-AU"/>
        </w:rPr>
        <w:t>4</w:t>
      </w:r>
      <w:r w:rsidRPr="00885C77">
        <w:rPr>
          <w:lang w:val="en-US" w:eastAsia="en-AU"/>
        </w:rPr>
        <w:t>. The modelled fox densities for the Glenelg Ark program—</w:t>
      </w:r>
      <w:r w:rsidR="000641DF">
        <w:rPr>
          <w:lang w:val="en-US" w:eastAsia="en-AU"/>
        </w:rPr>
        <w:t>locations</w:t>
      </w:r>
      <w:r w:rsidR="004610CF">
        <w:rPr>
          <w:lang w:val="en-US" w:eastAsia="en-AU"/>
        </w:rPr>
        <w:t xml:space="preserve"> with fox control</w:t>
      </w:r>
      <w:r w:rsidRPr="00885C77">
        <w:rPr>
          <w:lang w:val="en-US" w:eastAsia="en-AU"/>
        </w:rPr>
        <w:t xml:space="preserve"> (</w:t>
      </w:r>
      <w:r w:rsidR="006C2447">
        <w:rPr>
          <w:lang w:val="en-US" w:eastAsia="en-AU"/>
        </w:rPr>
        <w:t>aqua</w:t>
      </w:r>
      <w:r w:rsidRPr="00885C77">
        <w:rPr>
          <w:lang w:val="en-US" w:eastAsia="en-AU"/>
        </w:rPr>
        <w:t xml:space="preserve">) and </w:t>
      </w:r>
      <w:r w:rsidR="000641DF">
        <w:rPr>
          <w:lang w:val="en-US" w:eastAsia="en-AU"/>
        </w:rPr>
        <w:t>locations</w:t>
      </w:r>
      <w:r w:rsidRPr="00885C77">
        <w:rPr>
          <w:lang w:val="en-US" w:eastAsia="en-AU"/>
        </w:rPr>
        <w:t xml:space="preserve"> </w:t>
      </w:r>
      <w:r w:rsidR="004610CF">
        <w:rPr>
          <w:lang w:val="en-US" w:eastAsia="en-AU"/>
        </w:rPr>
        <w:t xml:space="preserve">without fox control </w:t>
      </w:r>
      <w:r w:rsidRPr="00885C77">
        <w:rPr>
          <w:lang w:val="en-US" w:eastAsia="en-AU"/>
        </w:rPr>
        <w:t xml:space="preserve">(red). </w:t>
      </w:r>
      <w:r w:rsidRPr="00E611F4">
        <w:t>Fortnightly baiting commenced in model year 11</w:t>
      </w:r>
      <w:r w:rsidR="00E925F6">
        <w:t>,</w:t>
      </w:r>
      <w:r w:rsidRPr="00E611F4">
        <w:t xml:space="preserve"> as per </w:t>
      </w:r>
      <w:r w:rsidR="002A2CA5">
        <w:t xml:space="preserve">the </w:t>
      </w:r>
      <w:r w:rsidRPr="00E611F4">
        <w:t>project description</w:t>
      </w:r>
      <w:r w:rsidR="00E925F6">
        <w:t>,</w:t>
      </w:r>
      <w:r w:rsidRPr="00E611F4">
        <w:t xml:space="preserve"> and ran for the duration of the model.</w:t>
      </w:r>
      <w:bookmarkEnd w:id="62"/>
    </w:p>
    <w:p w14:paraId="54B77095" w14:textId="39528031" w:rsidR="00F93E30" w:rsidRDefault="001623BC" w:rsidP="00885C77">
      <w:pPr>
        <w:rPr>
          <w:lang w:val="en-US" w:eastAsia="en-AU"/>
        </w:rPr>
      </w:pPr>
      <w:r>
        <w:rPr>
          <w:lang w:val="en-US" w:eastAsia="en-AU"/>
        </w:rPr>
        <w:t>The m</w:t>
      </w:r>
      <w:r w:rsidR="00191029">
        <w:rPr>
          <w:lang w:val="en-US" w:eastAsia="en-AU"/>
        </w:rPr>
        <w:t>odelled f</w:t>
      </w:r>
      <w:r w:rsidR="00885C77" w:rsidRPr="00885C77">
        <w:rPr>
          <w:lang w:val="en-US" w:eastAsia="en-AU"/>
        </w:rPr>
        <w:t xml:space="preserve">ox density was reduced by &gt;65% over 43% of the </w:t>
      </w:r>
      <w:r w:rsidR="00DB664F">
        <w:rPr>
          <w:lang w:val="en-US" w:eastAsia="en-AU"/>
        </w:rPr>
        <w:t>TMLs</w:t>
      </w:r>
      <w:r w:rsidR="00885C77" w:rsidRPr="00885C77">
        <w:rPr>
          <w:lang w:val="en-US" w:eastAsia="en-AU"/>
        </w:rPr>
        <w:t xml:space="preserve"> by June in </w:t>
      </w:r>
      <w:r w:rsidR="0018033F">
        <w:rPr>
          <w:lang w:val="en-US" w:eastAsia="en-AU"/>
        </w:rPr>
        <w:t xml:space="preserve">model </w:t>
      </w:r>
      <w:r w:rsidR="00885C77" w:rsidRPr="00885C77">
        <w:rPr>
          <w:lang w:val="en-US" w:eastAsia="en-AU"/>
        </w:rPr>
        <w:t xml:space="preserve">year 20 (Figure </w:t>
      </w:r>
      <w:r w:rsidR="00473385">
        <w:rPr>
          <w:lang w:val="en-US" w:eastAsia="en-AU"/>
        </w:rPr>
        <w:t>5</w:t>
      </w:r>
      <w:r w:rsidR="00885C77" w:rsidRPr="00885C77">
        <w:rPr>
          <w:lang w:val="en-US" w:eastAsia="en-AU"/>
        </w:rPr>
        <w:t>).</w:t>
      </w:r>
      <w:r w:rsidR="00014E49">
        <w:rPr>
          <w:lang w:val="en-US" w:eastAsia="en-AU"/>
        </w:rPr>
        <w:t xml:space="preserve"> Table </w:t>
      </w:r>
      <w:r w:rsidR="00473385">
        <w:rPr>
          <w:lang w:val="en-US" w:eastAsia="en-AU"/>
        </w:rPr>
        <w:t>3</w:t>
      </w:r>
      <w:r w:rsidR="00014E49">
        <w:rPr>
          <w:lang w:val="en-US" w:eastAsia="en-AU"/>
        </w:rPr>
        <w:t xml:space="preserve"> shows the average mode</w:t>
      </w:r>
      <w:r w:rsidR="002A2CA5">
        <w:rPr>
          <w:lang w:val="en-US" w:eastAsia="en-AU"/>
        </w:rPr>
        <w:t>l</w:t>
      </w:r>
      <w:r w:rsidR="00014E49">
        <w:rPr>
          <w:lang w:val="en-US" w:eastAsia="en-AU"/>
        </w:rPr>
        <w:t>led density of foxes for each monitoring area</w:t>
      </w:r>
      <w:r w:rsidR="008327A3">
        <w:rPr>
          <w:lang w:val="en-US" w:eastAsia="en-AU"/>
        </w:rPr>
        <w:t xml:space="preserve"> in </w:t>
      </w:r>
      <w:r>
        <w:rPr>
          <w:lang w:val="en-US" w:eastAsia="en-AU"/>
        </w:rPr>
        <w:t xml:space="preserve">the </w:t>
      </w:r>
      <w:r w:rsidR="008327A3">
        <w:rPr>
          <w:lang w:val="en-US" w:eastAsia="en-AU"/>
        </w:rPr>
        <w:t xml:space="preserve">spring </w:t>
      </w:r>
      <w:r>
        <w:rPr>
          <w:lang w:val="en-US" w:eastAsia="en-AU"/>
        </w:rPr>
        <w:t>10 </w:t>
      </w:r>
      <w:r w:rsidR="008327A3">
        <w:rPr>
          <w:lang w:val="en-US" w:eastAsia="en-AU"/>
        </w:rPr>
        <w:t>years after baiting commenced</w:t>
      </w:r>
      <w:r w:rsidR="00014E49">
        <w:rPr>
          <w:lang w:val="en-US" w:eastAsia="en-AU"/>
        </w:rPr>
        <w:t>.</w:t>
      </w:r>
    </w:p>
    <w:p w14:paraId="30487CD5" w14:textId="1980E0B0" w:rsidR="00727255" w:rsidRDefault="00F93E30" w:rsidP="00A6787F">
      <w:pPr>
        <w:pStyle w:val="Caption-Table"/>
        <w:rPr>
          <w:lang w:val="en-US" w:eastAsia="en-AU"/>
        </w:rPr>
      </w:pPr>
      <w:r>
        <w:rPr>
          <w:lang w:val="en-US" w:eastAsia="en-AU"/>
        </w:rPr>
        <w:br w:type="column"/>
      </w:r>
      <w:bookmarkStart w:id="63" w:name="_Toc110599613"/>
      <w:r w:rsidR="00727255">
        <w:rPr>
          <w:lang w:val="en-US" w:eastAsia="en-AU"/>
        </w:rPr>
        <w:lastRenderedPageBreak/>
        <w:t xml:space="preserve">Table </w:t>
      </w:r>
      <w:r w:rsidR="00473385">
        <w:rPr>
          <w:lang w:val="en-US" w:eastAsia="en-AU"/>
        </w:rPr>
        <w:t>3</w:t>
      </w:r>
      <w:r w:rsidR="00727255">
        <w:rPr>
          <w:lang w:val="en-US" w:eastAsia="en-AU"/>
        </w:rPr>
        <w:t xml:space="preserve">. Modelled predictions of fox density at </w:t>
      </w:r>
      <w:r w:rsidR="00DB664F">
        <w:rPr>
          <w:lang w:val="en-US" w:eastAsia="en-AU"/>
        </w:rPr>
        <w:t xml:space="preserve">treatment </w:t>
      </w:r>
      <w:r w:rsidR="00727255">
        <w:rPr>
          <w:lang w:val="en-US" w:eastAsia="en-AU"/>
        </w:rPr>
        <w:t>and non-</w:t>
      </w:r>
      <w:r w:rsidR="00DB664F">
        <w:rPr>
          <w:lang w:val="en-US" w:eastAsia="en-AU"/>
        </w:rPr>
        <w:t>treatment monitoring locations</w:t>
      </w:r>
      <w:r w:rsidR="00727255">
        <w:rPr>
          <w:lang w:val="en-US" w:eastAsia="en-AU"/>
        </w:rPr>
        <w:t xml:space="preserve"> </w:t>
      </w:r>
      <w:r w:rsidR="00DB664F">
        <w:rPr>
          <w:lang w:val="en-US" w:eastAsia="en-AU"/>
        </w:rPr>
        <w:t>at 10 </w:t>
      </w:r>
      <w:r w:rsidR="00727255">
        <w:rPr>
          <w:lang w:val="en-US" w:eastAsia="en-AU"/>
        </w:rPr>
        <w:t xml:space="preserve">years </w:t>
      </w:r>
      <w:r w:rsidR="00DB664F">
        <w:rPr>
          <w:lang w:val="en-US" w:eastAsia="en-AU"/>
        </w:rPr>
        <w:t xml:space="preserve">after </w:t>
      </w:r>
      <w:r w:rsidR="00727255">
        <w:rPr>
          <w:lang w:val="en-US" w:eastAsia="en-AU"/>
        </w:rPr>
        <w:t>baiting commenced</w:t>
      </w:r>
      <w:r w:rsidR="0051149D">
        <w:rPr>
          <w:lang w:val="en-US" w:eastAsia="en-AU"/>
        </w:rPr>
        <w:t xml:space="preserve">, </w:t>
      </w:r>
      <w:proofErr w:type="gramStart"/>
      <w:r w:rsidR="0051149D">
        <w:rPr>
          <w:lang w:val="en-US" w:eastAsia="en-AU"/>
        </w:rPr>
        <w:t>i.e.</w:t>
      </w:r>
      <w:proofErr w:type="gramEnd"/>
      <w:r w:rsidR="0051149D">
        <w:rPr>
          <w:lang w:val="en-US" w:eastAsia="en-AU"/>
        </w:rPr>
        <w:t xml:space="preserve"> in 2015</w:t>
      </w:r>
      <w:bookmarkEnd w:id="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693"/>
        <w:gridCol w:w="3260"/>
      </w:tblGrid>
      <w:tr w:rsidR="00727255" w:rsidRPr="002B71D3" w14:paraId="5792E9DA" w14:textId="77777777" w:rsidTr="00772ED7">
        <w:tc>
          <w:tcPr>
            <w:tcW w:w="3119" w:type="dxa"/>
            <w:shd w:val="clear" w:color="auto" w:fill="00A9B2"/>
          </w:tcPr>
          <w:p w14:paraId="1D3E87E8" w14:textId="21621B21" w:rsidR="00727255" w:rsidRPr="00187119" w:rsidRDefault="00727255" w:rsidP="002B71D3">
            <w:pPr>
              <w:pStyle w:val="Tableheadingtext"/>
              <w:rPr>
                <w:b w:val="0"/>
                <w:lang w:val="en-US" w:eastAsia="en-AU"/>
              </w:rPr>
            </w:pPr>
            <w:r w:rsidRPr="00187119">
              <w:rPr>
                <w:b w:val="0"/>
                <w:lang w:val="en-US" w:eastAsia="en-AU"/>
              </w:rPr>
              <w:t>Treatment</w:t>
            </w:r>
          </w:p>
        </w:tc>
        <w:tc>
          <w:tcPr>
            <w:tcW w:w="2693" w:type="dxa"/>
            <w:shd w:val="clear" w:color="auto" w:fill="00A9B2"/>
          </w:tcPr>
          <w:p w14:paraId="38B00F68" w14:textId="7FDAEF9D" w:rsidR="00727255" w:rsidRPr="00187119" w:rsidRDefault="00727255" w:rsidP="00187119">
            <w:pPr>
              <w:pStyle w:val="Tableheadingtext"/>
              <w:jc w:val="center"/>
              <w:rPr>
                <w:b w:val="0"/>
                <w:lang w:val="en-US" w:eastAsia="en-AU"/>
              </w:rPr>
            </w:pPr>
            <w:r w:rsidRPr="00187119">
              <w:rPr>
                <w:b w:val="0"/>
                <w:lang w:val="en-US" w:eastAsia="en-AU"/>
              </w:rPr>
              <w:t xml:space="preserve">Monitoring </w:t>
            </w:r>
            <w:r w:rsidR="0051149D" w:rsidRPr="00187119">
              <w:rPr>
                <w:b w:val="0"/>
                <w:lang w:val="en-US" w:eastAsia="en-AU"/>
              </w:rPr>
              <w:t>l</w:t>
            </w:r>
            <w:r w:rsidR="00DB664F" w:rsidRPr="00187119">
              <w:rPr>
                <w:b w:val="0"/>
                <w:lang w:val="en-US" w:eastAsia="en-AU"/>
              </w:rPr>
              <w:t>ocation</w:t>
            </w:r>
          </w:p>
        </w:tc>
        <w:tc>
          <w:tcPr>
            <w:tcW w:w="3260" w:type="dxa"/>
            <w:shd w:val="clear" w:color="auto" w:fill="00A9B2"/>
          </w:tcPr>
          <w:p w14:paraId="48DA39EA" w14:textId="0D274B41" w:rsidR="00727255" w:rsidRPr="00187119" w:rsidRDefault="00727255" w:rsidP="00187119">
            <w:pPr>
              <w:pStyle w:val="Tableheadingtext"/>
              <w:jc w:val="center"/>
              <w:rPr>
                <w:lang w:val="en-US" w:eastAsia="en-AU"/>
              </w:rPr>
            </w:pPr>
            <w:r w:rsidRPr="00187119">
              <w:rPr>
                <w:b w:val="0"/>
                <w:lang w:val="en-US" w:eastAsia="en-AU"/>
              </w:rPr>
              <w:t>Modelled fox density (min</w:t>
            </w:r>
            <w:r w:rsidR="0038392A" w:rsidRPr="00187119">
              <w:rPr>
                <w:b w:val="0"/>
                <w:lang w:val="en-US" w:eastAsia="en-AU"/>
              </w:rPr>
              <w:t>–</w:t>
            </w:r>
            <w:r w:rsidRPr="00187119">
              <w:rPr>
                <w:b w:val="0"/>
                <w:lang w:val="en-US" w:eastAsia="en-AU"/>
              </w:rPr>
              <w:t>max)</w:t>
            </w:r>
          </w:p>
          <w:p w14:paraId="554BCA0B" w14:textId="2E59C3C1" w:rsidR="00A4769A" w:rsidRPr="00187119" w:rsidRDefault="00A4769A" w:rsidP="00187119">
            <w:pPr>
              <w:pStyle w:val="Tableheadingtext"/>
              <w:jc w:val="center"/>
              <w:rPr>
                <w:b w:val="0"/>
                <w:lang w:val="en-US" w:eastAsia="en-AU"/>
              </w:rPr>
            </w:pPr>
            <w:r w:rsidRPr="00187119">
              <w:rPr>
                <w:b w:val="0"/>
                <w:lang w:val="en-US" w:eastAsia="en-AU"/>
              </w:rPr>
              <w:t>(/km</w:t>
            </w:r>
            <w:r w:rsidRPr="00187119">
              <w:rPr>
                <w:b w:val="0"/>
                <w:vertAlign w:val="superscript"/>
                <w:lang w:val="en-US" w:eastAsia="en-AU"/>
              </w:rPr>
              <w:t>2</w:t>
            </w:r>
            <w:r w:rsidRPr="00187119">
              <w:rPr>
                <w:b w:val="0"/>
                <w:lang w:val="en-US" w:eastAsia="en-AU"/>
              </w:rPr>
              <w:t>)</w:t>
            </w:r>
          </w:p>
        </w:tc>
      </w:tr>
      <w:tr w:rsidR="00727255" w14:paraId="58C25A7A" w14:textId="77777777" w:rsidTr="00B8093B">
        <w:tc>
          <w:tcPr>
            <w:tcW w:w="3119" w:type="dxa"/>
            <w:vMerge w:val="restart"/>
            <w:vAlign w:val="center"/>
          </w:tcPr>
          <w:p w14:paraId="6130EE80" w14:textId="71E9390E" w:rsidR="00727255" w:rsidRDefault="00727255" w:rsidP="00727255">
            <w:pPr>
              <w:rPr>
                <w:lang w:val="en-US" w:eastAsia="en-AU"/>
              </w:rPr>
            </w:pPr>
            <w:r>
              <w:rPr>
                <w:lang w:val="en-US" w:eastAsia="en-AU"/>
              </w:rPr>
              <w:t>No fox control</w:t>
            </w:r>
          </w:p>
        </w:tc>
        <w:tc>
          <w:tcPr>
            <w:tcW w:w="2693" w:type="dxa"/>
            <w:tcBorders>
              <w:bottom w:val="single" w:sz="2" w:space="0" w:color="00A9B2"/>
            </w:tcBorders>
            <w:vAlign w:val="center"/>
          </w:tcPr>
          <w:p w14:paraId="3A223294" w14:textId="02F08BD4" w:rsidR="00727255" w:rsidRDefault="00727255" w:rsidP="008327A3">
            <w:pPr>
              <w:rPr>
                <w:lang w:val="en-US" w:eastAsia="en-AU"/>
              </w:rPr>
            </w:pPr>
            <w:proofErr w:type="spellStart"/>
            <w:r>
              <w:rPr>
                <w:lang w:val="en-US" w:eastAsia="en-AU"/>
              </w:rPr>
              <w:t>Annya</w:t>
            </w:r>
            <w:proofErr w:type="spellEnd"/>
          </w:p>
        </w:tc>
        <w:tc>
          <w:tcPr>
            <w:tcW w:w="3260" w:type="dxa"/>
            <w:tcBorders>
              <w:bottom w:val="single" w:sz="2" w:space="0" w:color="00A9B2"/>
            </w:tcBorders>
            <w:vAlign w:val="center"/>
          </w:tcPr>
          <w:p w14:paraId="4CFB1E33" w14:textId="14DC9582" w:rsidR="00727255" w:rsidRDefault="00727255" w:rsidP="008327A3">
            <w:pPr>
              <w:jc w:val="center"/>
              <w:rPr>
                <w:lang w:val="en-US" w:eastAsia="en-AU"/>
              </w:rPr>
            </w:pPr>
            <w:r>
              <w:rPr>
                <w:lang w:val="en-US" w:eastAsia="en-AU"/>
              </w:rPr>
              <w:t>1.20 (0.99–1.5)</w:t>
            </w:r>
          </w:p>
        </w:tc>
      </w:tr>
      <w:tr w:rsidR="00727255" w14:paraId="5E8346AB" w14:textId="77777777" w:rsidTr="00B8093B">
        <w:tc>
          <w:tcPr>
            <w:tcW w:w="3119" w:type="dxa"/>
            <w:vMerge/>
          </w:tcPr>
          <w:p w14:paraId="37FF58EE" w14:textId="77777777" w:rsidR="00727255" w:rsidRDefault="00727255" w:rsidP="008327A3">
            <w:pPr>
              <w:rPr>
                <w:lang w:val="en-US" w:eastAsia="en-AU"/>
              </w:rPr>
            </w:pPr>
          </w:p>
        </w:tc>
        <w:tc>
          <w:tcPr>
            <w:tcW w:w="2693" w:type="dxa"/>
            <w:tcBorders>
              <w:top w:val="single" w:sz="2" w:space="0" w:color="00A9B2"/>
              <w:bottom w:val="single" w:sz="2" w:space="0" w:color="00A9B2"/>
            </w:tcBorders>
            <w:vAlign w:val="center"/>
          </w:tcPr>
          <w:p w14:paraId="3315CCE4" w14:textId="2D3A7DF8" w:rsidR="00727255" w:rsidRDefault="00727255" w:rsidP="008327A3">
            <w:pPr>
              <w:rPr>
                <w:lang w:val="en-US" w:eastAsia="en-AU"/>
              </w:rPr>
            </w:pPr>
            <w:r>
              <w:rPr>
                <w:lang w:val="en-US" w:eastAsia="en-AU"/>
              </w:rPr>
              <w:t>Hotspur</w:t>
            </w:r>
          </w:p>
        </w:tc>
        <w:tc>
          <w:tcPr>
            <w:tcW w:w="3260" w:type="dxa"/>
            <w:tcBorders>
              <w:top w:val="single" w:sz="2" w:space="0" w:color="00A9B2"/>
              <w:bottom w:val="single" w:sz="2" w:space="0" w:color="00A9B2"/>
            </w:tcBorders>
            <w:vAlign w:val="center"/>
          </w:tcPr>
          <w:p w14:paraId="6662271C" w14:textId="268793E7" w:rsidR="00727255" w:rsidRDefault="00727255" w:rsidP="008327A3">
            <w:pPr>
              <w:jc w:val="center"/>
              <w:rPr>
                <w:lang w:val="en-US" w:eastAsia="en-AU"/>
              </w:rPr>
            </w:pPr>
            <w:r>
              <w:rPr>
                <w:lang w:val="en-US" w:eastAsia="en-AU"/>
              </w:rPr>
              <w:t>1.25 (0.94–1.7)</w:t>
            </w:r>
          </w:p>
        </w:tc>
      </w:tr>
      <w:tr w:rsidR="00727255" w14:paraId="5E7E212F" w14:textId="77777777" w:rsidTr="00B8093B">
        <w:tc>
          <w:tcPr>
            <w:tcW w:w="3119" w:type="dxa"/>
            <w:vMerge/>
            <w:tcBorders>
              <w:bottom w:val="single" w:sz="2" w:space="0" w:color="00A9B2"/>
            </w:tcBorders>
          </w:tcPr>
          <w:p w14:paraId="4EAE16B8" w14:textId="77777777" w:rsidR="00727255" w:rsidRDefault="00727255" w:rsidP="008327A3">
            <w:pPr>
              <w:rPr>
                <w:lang w:val="en-US" w:eastAsia="en-AU"/>
              </w:rPr>
            </w:pPr>
          </w:p>
        </w:tc>
        <w:tc>
          <w:tcPr>
            <w:tcW w:w="2693" w:type="dxa"/>
            <w:tcBorders>
              <w:top w:val="single" w:sz="2" w:space="0" w:color="00A9B2"/>
              <w:bottom w:val="single" w:sz="2" w:space="0" w:color="00A9B2"/>
            </w:tcBorders>
            <w:vAlign w:val="center"/>
          </w:tcPr>
          <w:p w14:paraId="6D3B04BB" w14:textId="5A036106" w:rsidR="00727255" w:rsidRDefault="00727255" w:rsidP="008327A3">
            <w:pPr>
              <w:rPr>
                <w:lang w:val="en-US" w:eastAsia="en-AU"/>
              </w:rPr>
            </w:pPr>
            <w:r>
              <w:rPr>
                <w:lang w:val="en-US" w:eastAsia="en-AU"/>
              </w:rPr>
              <w:t>Lower Glenelg – North</w:t>
            </w:r>
          </w:p>
        </w:tc>
        <w:tc>
          <w:tcPr>
            <w:tcW w:w="3260" w:type="dxa"/>
            <w:tcBorders>
              <w:top w:val="single" w:sz="2" w:space="0" w:color="00A9B2"/>
              <w:bottom w:val="single" w:sz="2" w:space="0" w:color="00A9B2"/>
            </w:tcBorders>
            <w:vAlign w:val="center"/>
          </w:tcPr>
          <w:p w14:paraId="0C316862" w14:textId="0BDD8C39" w:rsidR="00727255" w:rsidRDefault="00727255" w:rsidP="008327A3">
            <w:pPr>
              <w:jc w:val="center"/>
              <w:rPr>
                <w:lang w:val="en-US" w:eastAsia="en-AU"/>
              </w:rPr>
            </w:pPr>
            <w:r>
              <w:rPr>
                <w:lang w:val="en-US" w:eastAsia="en-AU"/>
              </w:rPr>
              <w:t>0.54 (0.34–0.70)</w:t>
            </w:r>
          </w:p>
        </w:tc>
      </w:tr>
      <w:tr w:rsidR="00727255" w14:paraId="7E6E5839" w14:textId="77777777" w:rsidTr="00B8093B">
        <w:tc>
          <w:tcPr>
            <w:tcW w:w="3119" w:type="dxa"/>
            <w:vMerge w:val="restart"/>
            <w:tcBorders>
              <w:top w:val="single" w:sz="2" w:space="0" w:color="00A9B2"/>
            </w:tcBorders>
            <w:vAlign w:val="center"/>
          </w:tcPr>
          <w:p w14:paraId="304FC74C" w14:textId="722F1ED3" w:rsidR="00727255" w:rsidRDefault="00727255" w:rsidP="00727255">
            <w:pPr>
              <w:rPr>
                <w:lang w:val="en-US" w:eastAsia="en-AU"/>
              </w:rPr>
            </w:pPr>
            <w:r>
              <w:rPr>
                <w:lang w:val="en-US" w:eastAsia="en-AU"/>
              </w:rPr>
              <w:t>Fox control</w:t>
            </w:r>
          </w:p>
        </w:tc>
        <w:tc>
          <w:tcPr>
            <w:tcW w:w="2693" w:type="dxa"/>
            <w:tcBorders>
              <w:top w:val="single" w:sz="2" w:space="0" w:color="00A9B2"/>
              <w:bottom w:val="single" w:sz="2" w:space="0" w:color="00A9B2"/>
            </w:tcBorders>
            <w:vAlign w:val="center"/>
          </w:tcPr>
          <w:p w14:paraId="27CC0103" w14:textId="661E6D9F" w:rsidR="00727255" w:rsidRDefault="00727255" w:rsidP="008327A3">
            <w:pPr>
              <w:rPr>
                <w:lang w:val="en-US" w:eastAsia="en-AU"/>
              </w:rPr>
            </w:pPr>
            <w:r>
              <w:rPr>
                <w:lang w:val="en-US" w:eastAsia="en-AU"/>
              </w:rPr>
              <w:t>M</w:t>
            </w:r>
            <w:r w:rsidR="0038392A">
              <w:rPr>
                <w:lang w:val="en-US" w:eastAsia="en-AU"/>
              </w:rPr>
              <w:t>oun</w:t>
            </w:r>
            <w:r>
              <w:rPr>
                <w:lang w:val="en-US" w:eastAsia="en-AU"/>
              </w:rPr>
              <w:t>t Clay</w:t>
            </w:r>
          </w:p>
        </w:tc>
        <w:tc>
          <w:tcPr>
            <w:tcW w:w="3260" w:type="dxa"/>
            <w:tcBorders>
              <w:top w:val="single" w:sz="2" w:space="0" w:color="00A9B2"/>
              <w:bottom w:val="single" w:sz="2" w:space="0" w:color="00A9B2"/>
            </w:tcBorders>
            <w:vAlign w:val="center"/>
          </w:tcPr>
          <w:p w14:paraId="584F8A02" w14:textId="6C9F2224" w:rsidR="00727255" w:rsidRDefault="00727255" w:rsidP="008327A3">
            <w:pPr>
              <w:jc w:val="center"/>
              <w:rPr>
                <w:lang w:val="en-US" w:eastAsia="en-AU"/>
              </w:rPr>
            </w:pPr>
            <w:r>
              <w:rPr>
                <w:lang w:val="en-US" w:eastAsia="en-AU"/>
              </w:rPr>
              <w:t>0.22 (0.11–0.38)</w:t>
            </w:r>
          </w:p>
        </w:tc>
      </w:tr>
      <w:tr w:rsidR="00727255" w14:paraId="43D948AE" w14:textId="77777777" w:rsidTr="00B8093B">
        <w:tc>
          <w:tcPr>
            <w:tcW w:w="3119" w:type="dxa"/>
            <w:vMerge/>
          </w:tcPr>
          <w:p w14:paraId="59CD7258" w14:textId="77777777" w:rsidR="00727255" w:rsidRDefault="00727255" w:rsidP="008327A3">
            <w:pPr>
              <w:rPr>
                <w:lang w:val="en-US" w:eastAsia="en-AU"/>
              </w:rPr>
            </w:pPr>
          </w:p>
        </w:tc>
        <w:tc>
          <w:tcPr>
            <w:tcW w:w="2693" w:type="dxa"/>
            <w:tcBorders>
              <w:top w:val="single" w:sz="2" w:space="0" w:color="00A9B2"/>
              <w:bottom w:val="single" w:sz="2" w:space="0" w:color="00A9B2"/>
            </w:tcBorders>
            <w:vAlign w:val="center"/>
          </w:tcPr>
          <w:p w14:paraId="6A3B7951" w14:textId="7F9D8A3E" w:rsidR="00727255" w:rsidRDefault="00727255" w:rsidP="008327A3">
            <w:pPr>
              <w:rPr>
                <w:lang w:val="en-US" w:eastAsia="en-AU"/>
              </w:rPr>
            </w:pPr>
            <w:proofErr w:type="spellStart"/>
            <w:r>
              <w:rPr>
                <w:lang w:val="en-US" w:eastAsia="en-AU"/>
              </w:rPr>
              <w:t>Cobboboonee</w:t>
            </w:r>
            <w:proofErr w:type="spellEnd"/>
          </w:p>
        </w:tc>
        <w:tc>
          <w:tcPr>
            <w:tcW w:w="3260" w:type="dxa"/>
            <w:tcBorders>
              <w:top w:val="single" w:sz="2" w:space="0" w:color="00A9B2"/>
              <w:bottom w:val="single" w:sz="2" w:space="0" w:color="00A9B2"/>
            </w:tcBorders>
            <w:vAlign w:val="center"/>
          </w:tcPr>
          <w:p w14:paraId="06AA06F3" w14:textId="4F65782D" w:rsidR="00727255" w:rsidRDefault="00727255" w:rsidP="008327A3">
            <w:pPr>
              <w:jc w:val="center"/>
              <w:rPr>
                <w:lang w:val="en-US" w:eastAsia="en-AU"/>
              </w:rPr>
            </w:pPr>
            <w:r>
              <w:rPr>
                <w:lang w:val="en-US" w:eastAsia="en-AU"/>
              </w:rPr>
              <w:t>0.09 (0.02–0.18)</w:t>
            </w:r>
          </w:p>
        </w:tc>
      </w:tr>
      <w:tr w:rsidR="00727255" w14:paraId="6174A60F" w14:textId="77777777" w:rsidTr="00B8093B">
        <w:tc>
          <w:tcPr>
            <w:tcW w:w="3119" w:type="dxa"/>
            <w:vMerge/>
            <w:tcBorders>
              <w:bottom w:val="single" w:sz="2" w:space="0" w:color="00A9B2"/>
            </w:tcBorders>
          </w:tcPr>
          <w:p w14:paraId="10D10275" w14:textId="77777777" w:rsidR="00727255" w:rsidRDefault="00727255" w:rsidP="008327A3">
            <w:pPr>
              <w:rPr>
                <w:lang w:val="en-US" w:eastAsia="en-AU"/>
              </w:rPr>
            </w:pPr>
          </w:p>
        </w:tc>
        <w:tc>
          <w:tcPr>
            <w:tcW w:w="2693" w:type="dxa"/>
            <w:tcBorders>
              <w:top w:val="single" w:sz="2" w:space="0" w:color="00A9B2"/>
              <w:bottom w:val="single" w:sz="2" w:space="0" w:color="00A9B2"/>
            </w:tcBorders>
            <w:vAlign w:val="center"/>
          </w:tcPr>
          <w:p w14:paraId="01C62217" w14:textId="02C04698" w:rsidR="00727255" w:rsidRDefault="00727255" w:rsidP="002B71D3">
            <w:pPr>
              <w:rPr>
                <w:lang w:val="en-US" w:eastAsia="en-AU"/>
              </w:rPr>
            </w:pPr>
            <w:r>
              <w:rPr>
                <w:lang w:val="en-US" w:eastAsia="en-AU"/>
              </w:rPr>
              <w:t xml:space="preserve">Lower Glenelg </w:t>
            </w:r>
            <w:r w:rsidR="0038392A">
              <w:rPr>
                <w:lang w:val="en-US" w:eastAsia="en-AU"/>
              </w:rPr>
              <w:t xml:space="preserve">– </w:t>
            </w:r>
            <w:r>
              <w:rPr>
                <w:lang w:val="en-US" w:eastAsia="en-AU"/>
              </w:rPr>
              <w:t>South</w:t>
            </w:r>
          </w:p>
        </w:tc>
        <w:tc>
          <w:tcPr>
            <w:tcW w:w="3260" w:type="dxa"/>
            <w:tcBorders>
              <w:top w:val="single" w:sz="2" w:space="0" w:color="00A9B2"/>
              <w:bottom w:val="single" w:sz="2" w:space="0" w:color="00A9B2"/>
            </w:tcBorders>
            <w:vAlign w:val="center"/>
          </w:tcPr>
          <w:p w14:paraId="29168EE5" w14:textId="125B7FE0" w:rsidR="00727255" w:rsidRDefault="00727255" w:rsidP="008327A3">
            <w:pPr>
              <w:jc w:val="center"/>
              <w:rPr>
                <w:lang w:val="en-US" w:eastAsia="en-AU"/>
              </w:rPr>
            </w:pPr>
            <w:r>
              <w:rPr>
                <w:lang w:val="en-US" w:eastAsia="en-AU"/>
              </w:rPr>
              <w:t>0.22 (0.16–0.34)</w:t>
            </w:r>
          </w:p>
        </w:tc>
      </w:tr>
    </w:tbl>
    <w:p w14:paraId="0F3C831E" w14:textId="5B45702B" w:rsidR="00885C77" w:rsidRPr="00885C77" w:rsidRDefault="00885C77" w:rsidP="00885C77">
      <w:pPr>
        <w:rPr>
          <w:lang w:val="en-US" w:eastAsia="en-AU"/>
        </w:rPr>
      </w:pPr>
    </w:p>
    <w:p w14:paraId="3757619B" w14:textId="4059781A" w:rsidR="00885C77" w:rsidRPr="00885C77" w:rsidRDefault="00E611F4" w:rsidP="00885C77">
      <w:pPr>
        <w:rPr>
          <w:lang w:val="en-US" w:eastAsia="en-AU"/>
        </w:rPr>
      </w:pPr>
      <w:r w:rsidRPr="00090088">
        <w:rPr>
          <w:noProof/>
          <w:lang w:val="en-GB" w:eastAsia="en-GB"/>
        </w:rPr>
        <w:drawing>
          <wp:inline distT="0" distB="0" distL="0" distR="0" wp14:anchorId="436157E2" wp14:editId="2B979003">
            <wp:extent cx="4299045" cy="4299045"/>
            <wp:effectExtent l="0" t="0" r="6350" b="635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email">
                      <a:extLst>
                        <a:ext uri="{28A0092B-C50C-407E-A947-70E740481C1C}">
                          <a14:useLocalDpi xmlns:a14="http://schemas.microsoft.com/office/drawing/2010/main"/>
                        </a:ext>
                      </a:extLst>
                    </a:blip>
                    <a:stretch>
                      <a:fillRect/>
                    </a:stretch>
                  </pic:blipFill>
                  <pic:spPr bwMode="auto">
                    <a:xfrm>
                      <a:off x="0" y="0"/>
                      <a:ext cx="4299045" cy="4299045"/>
                    </a:xfrm>
                    <a:prstGeom prst="rect">
                      <a:avLst/>
                    </a:prstGeom>
                    <a:noFill/>
                    <a:ln>
                      <a:noFill/>
                    </a:ln>
                  </pic:spPr>
                </pic:pic>
              </a:graphicData>
            </a:graphic>
          </wp:inline>
        </w:drawing>
      </w:r>
      <w:r w:rsidR="00885C77" w:rsidRPr="00885C77">
        <w:rPr>
          <w:lang w:val="en-US" w:eastAsia="en-AU"/>
        </w:rPr>
        <w:t xml:space="preserve"> </w:t>
      </w:r>
    </w:p>
    <w:p w14:paraId="3EF66792" w14:textId="11ECF984" w:rsidR="00E611F4" w:rsidRDefault="00885C77" w:rsidP="00584FA8">
      <w:pPr>
        <w:pStyle w:val="Caption-Figure"/>
        <w:rPr>
          <w:lang w:val="en-US" w:eastAsia="en-AU"/>
        </w:rPr>
      </w:pPr>
      <w:bookmarkStart w:id="64" w:name="_Toc110599622"/>
      <w:r w:rsidRPr="00885C77">
        <w:rPr>
          <w:lang w:val="en-US" w:eastAsia="en-AU"/>
        </w:rPr>
        <w:t xml:space="preserve">Figure </w:t>
      </w:r>
      <w:r w:rsidR="00473385">
        <w:rPr>
          <w:lang w:val="en-US" w:eastAsia="en-AU"/>
        </w:rPr>
        <w:t>5</w:t>
      </w:r>
      <w:r w:rsidRPr="00885C77">
        <w:rPr>
          <w:lang w:val="en-US" w:eastAsia="en-AU"/>
        </w:rPr>
        <w:t xml:space="preserve">. </w:t>
      </w:r>
      <w:r w:rsidR="00191029">
        <w:rPr>
          <w:lang w:val="en-US" w:eastAsia="en-AU"/>
        </w:rPr>
        <w:t>Modelled s</w:t>
      </w:r>
      <w:r w:rsidRPr="00885C77">
        <w:rPr>
          <w:lang w:val="en-US" w:eastAsia="en-AU"/>
        </w:rPr>
        <w:t>patial reduction in modelled fox densities for the Glenelg Ark program</w:t>
      </w:r>
      <w:bookmarkEnd w:id="64"/>
    </w:p>
    <w:p w14:paraId="64660CA7" w14:textId="1706DE17" w:rsidR="007B6C29" w:rsidRDefault="007B6C29" w:rsidP="007B6C29">
      <w:pPr>
        <w:pStyle w:val="Heading2-Numbered"/>
      </w:pPr>
      <w:bookmarkStart w:id="65" w:name="_Toc110599601"/>
      <w:r>
        <w:t>Feral cat density</w:t>
      </w:r>
      <w:bookmarkEnd w:id="65"/>
    </w:p>
    <w:p w14:paraId="7BD270CB" w14:textId="4BBCA8BF" w:rsidR="00F93E30" w:rsidRDefault="007B6C29" w:rsidP="00F93E30">
      <w:r>
        <w:t>Camera</w:t>
      </w:r>
      <w:r w:rsidR="00AC136F">
        <w:t xml:space="preserve"> </w:t>
      </w:r>
      <w:r>
        <w:t xml:space="preserve">trap data collected by the Glenelg Ark team as part of the Feral Cat project funded through the Biodiversity Response Planning program was added to </w:t>
      </w:r>
      <w:r w:rsidR="00AC136F">
        <w:t xml:space="preserve">the </w:t>
      </w:r>
      <w:r>
        <w:t>data co</w:t>
      </w:r>
      <w:r w:rsidR="0018189B">
        <w:t>mpil</w:t>
      </w:r>
      <w:r>
        <w:t xml:space="preserve">ed and </w:t>
      </w:r>
      <w:r w:rsidR="004927E2">
        <w:t xml:space="preserve">then </w:t>
      </w:r>
      <w:r>
        <w:t>analysed by University of Melbourne PhD candidate Matthew Rees.</w:t>
      </w:r>
      <w:r w:rsidR="00F93E30">
        <w:t xml:space="preserve"> Results from this analysis show that</w:t>
      </w:r>
      <w:r w:rsidR="0018189B">
        <w:t>,</w:t>
      </w:r>
      <w:r w:rsidR="00F93E30">
        <w:t xml:space="preserve"> on average</w:t>
      </w:r>
      <w:r w:rsidR="00AC136F">
        <w:t>, the</w:t>
      </w:r>
      <w:r w:rsidR="00F93E30">
        <w:t xml:space="preserve"> feral cat density at locations with fox control w</w:t>
      </w:r>
      <w:r w:rsidR="002A2CA5">
        <w:t>as</w:t>
      </w:r>
      <w:r w:rsidR="00F93E30">
        <w:t xml:space="preserve"> higher (0.47/km</w:t>
      </w:r>
      <w:r w:rsidR="00F93E30" w:rsidRPr="00E7371E">
        <w:rPr>
          <w:vertAlign w:val="superscript"/>
        </w:rPr>
        <w:t>2</w:t>
      </w:r>
      <w:r w:rsidR="00F93E30">
        <w:t xml:space="preserve"> 95%</w:t>
      </w:r>
      <w:r w:rsidR="00AC136F">
        <w:t xml:space="preserve"> </w:t>
      </w:r>
      <w:r w:rsidR="00F93E30">
        <w:t xml:space="preserve">CL 0.31–0.70) than </w:t>
      </w:r>
      <w:r w:rsidR="002A2CA5">
        <w:t xml:space="preserve">at </w:t>
      </w:r>
      <w:r w:rsidR="00F93E30">
        <w:t>locations without fox control (0.20/km</w:t>
      </w:r>
      <w:r w:rsidR="00F93E30" w:rsidRPr="00E7371E">
        <w:rPr>
          <w:vertAlign w:val="superscript"/>
        </w:rPr>
        <w:t>2</w:t>
      </w:r>
      <w:r w:rsidR="00F93E30">
        <w:t xml:space="preserve"> 95%</w:t>
      </w:r>
      <w:r w:rsidR="00AC136F">
        <w:t xml:space="preserve"> </w:t>
      </w:r>
      <w:r w:rsidR="00F93E30">
        <w:t xml:space="preserve">CL 0.13–0.34) (Table 4). Note that these estimates are for cat density from </w:t>
      </w:r>
      <w:r w:rsidR="00772ED7">
        <w:t>a single year (2021)</w:t>
      </w:r>
      <w:r w:rsidR="00AC136F">
        <w:t> </w:t>
      </w:r>
      <w:r w:rsidR="00F93E30">
        <w:t xml:space="preserve">year. </w:t>
      </w:r>
      <w:r w:rsidR="00AC136F">
        <w:t xml:space="preserve">The underlying </w:t>
      </w:r>
      <w:r w:rsidR="00F93E30">
        <w:t xml:space="preserve">density </w:t>
      </w:r>
      <w:r w:rsidR="00AC136F">
        <w:t xml:space="preserve">of feral cats </w:t>
      </w:r>
      <w:r w:rsidR="00F93E30">
        <w:t xml:space="preserve">may </w:t>
      </w:r>
      <w:r w:rsidR="00DC00EB">
        <w:t xml:space="preserve">differ between </w:t>
      </w:r>
      <w:r w:rsidR="00F93E30">
        <w:t>these locations</w:t>
      </w:r>
      <w:r w:rsidR="00DC00EB">
        <w:t>,</w:t>
      </w:r>
      <w:r w:rsidR="00F93E30">
        <w:t xml:space="preserve"> regardless of fox control.</w:t>
      </w:r>
    </w:p>
    <w:p w14:paraId="2A7FF773" w14:textId="6022E8EC" w:rsidR="00F93E30" w:rsidRPr="00187119" w:rsidRDefault="00F93E30" w:rsidP="00F93E30">
      <w:pPr>
        <w:pStyle w:val="Caption-Table"/>
        <w:rPr>
          <w:b w:val="0"/>
        </w:rPr>
      </w:pPr>
      <w:bookmarkStart w:id="66" w:name="_Toc110599614"/>
      <w:r>
        <w:lastRenderedPageBreak/>
        <w:t xml:space="preserve">Table 4. </w:t>
      </w:r>
      <w:r w:rsidR="0038392A">
        <w:t xml:space="preserve">Estimated </w:t>
      </w:r>
      <w:r>
        <w:t xml:space="preserve">feral cat </w:t>
      </w:r>
      <w:r w:rsidR="00620320">
        <w:t xml:space="preserve">densities </w:t>
      </w:r>
      <w:r>
        <w:t>at locations with and without fox control</w:t>
      </w:r>
      <w:bookmarkEnd w:id="66"/>
    </w:p>
    <w:tbl>
      <w:tblPr>
        <w:tblW w:w="0" w:type="auto"/>
        <w:tblCellMar>
          <w:left w:w="0" w:type="dxa"/>
          <w:right w:w="0" w:type="dxa"/>
        </w:tblCellMar>
        <w:tblLook w:val="0420" w:firstRow="1" w:lastRow="0" w:firstColumn="0" w:lastColumn="0" w:noHBand="0" w:noVBand="1"/>
      </w:tblPr>
      <w:tblGrid>
        <w:gridCol w:w="1545"/>
        <w:gridCol w:w="1067"/>
        <w:gridCol w:w="1600"/>
        <w:gridCol w:w="1600"/>
        <w:gridCol w:w="1200"/>
        <w:gridCol w:w="1122"/>
      </w:tblGrid>
      <w:tr w:rsidR="00F93E30" w:rsidRPr="002B71D3" w14:paraId="31637DF4" w14:textId="77777777" w:rsidTr="00187119">
        <w:trPr>
          <w:trHeight w:val="256"/>
        </w:trPr>
        <w:tc>
          <w:tcPr>
            <w:tcW w:w="0" w:type="auto"/>
            <w:tcBorders>
              <w:top w:val="single" w:sz="8" w:space="0" w:color="FFFFFF"/>
              <w:left w:val="single" w:sz="8" w:space="0" w:color="FFFFFF"/>
              <w:right w:val="single" w:sz="4" w:space="0" w:color="00B2A9" w:themeColor="accent1"/>
            </w:tcBorders>
            <w:shd w:val="clear" w:color="auto" w:fill="00A9B2"/>
            <w:tcMar>
              <w:top w:w="72" w:type="dxa"/>
              <w:left w:w="144" w:type="dxa"/>
              <w:bottom w:w="72" w:type="dxa"/>
              <w:right w:w="144" w:type="dxa"/>
            </w:tcMar>
            <w:hideMark/>
          </w:tcPr>
          <w:p w14:paraId="118BE143" w14:textId="77777777" w:rsidR="00F93E30" w:rsidRPr="00187119" w:rsidRDefault="00F93E30" w:rsidP="00010544">
            <w:pPr>
              <w:pStyle w:val="Tableheadingtext"/>
              <w:rPr>
                <w:b w:val="0"/>
                <w:lang w:eastAsia="en-AU"/>
              </w:rPr>
            </w:pPr>
            <w:r w:rsidRPr="00187119">
              <w:rPr>
                <w:b w:val="0"/>
                <w:lang w:eastAsia="en-AU"/>
              </w:rPr>
              <w:t>Landscape</w:t>
            </w:r>
          </w:p>
        </w:tc>
        <w:tc>
          <w:tcPr>
            <w:tcW w:w="0" w:type="auto"/>
            <w:tcBorders>
              <w:top w:val="single" w:sz="8" w:space="0" w:color="FFFFFF"/>
              <w:left w:val="single" w:sz="4" w:space="0" w:color="00B2A9" w:themeColor="accent1"/>
              <w:right w:val="single" w:sz="4" w:space="0" w:color="00B2A9" w:themeColor="accent1"/>
            </w:tcBorders>
            <w:shd w:val="clear" w:color="auto" w:fill="00A9B2"/>
            <w:tcMar>
              <w:top w:w="72" w:type="dxa"/>
              <w:left w:w="144" w:type="dxa"/>
              <w:bottom w:w="72" w:type="dxa"/>
              <w:right w:w="144" w:type="dxa"/>
            </w:tcMar>
            <w:hideMark/>
          </w:tcPr>
          <w:p w14:paraId="0B6E918B" w14:textId="77777777" w:rsidR="00F93E30" w:rsidRPr="00187119" w:rsidRDefault="00F93E30" w:rsidP="002B71D3">
            <w:pPr>
              <w:pStyle w:val="Tableheadingtext"/>
              <w:jc w:val="center"/>
              <w:rPr>
                <w:b w:val="0"/>
                <w:lang w:eastAsia="en-AU"/>
              </w:rPr>
            </w:pPr>
            <w:r w:rsidRPr="00187119">
              <w:rPr>
                <w:b w:val="0"/>
                <w:lang w:eastAsia="en-AU"/>
              </w:rPr>
              <w:t>Estimate</w:t>
            </w:r>
          </w:p>
          <w:p w14:paraId="3E4D8F45" w14:textId="6BF68D5A" w:rsidR="00620320" w:rsidRPr="00187119" w:rsidRDefault="00620320" w:rsidP="002B71D3">
            <w:pPr>
              <w:pStyle w:val="Tableheadingtext"/>
              <w:jc w:val="center"/>
              <w:rPr>
                <w:b w:val="0"/>
                <w:lang w:eastAsia="en-AU"/>
              </w:rPr>
            </w:pPr>
            <w:r w:rsidRPr="00187119">
              <w:rPr>
                <w:b w:val="0"/>
                <w:lang w:val="en-US" w:eastAsia="en-AU"/>
              </w:rPr>
              <w:t>(/km</w:t>
            </w:r>
            <w:r w:rsidRPr="00187119">
              <w:rPr>
                <w:b w:val="0"/>
                <w:vertAlign w:val="superscript"/>
                <w:lang w:val="en-US" w:eastAsia="en-AU"/>
              </w:rPr>
              <w:t>2</w:t>
            </w:r>
            <w:r w:rsidRPr="00187119">
              <w:rPr>
                <w:b w:val="0"/>
                <w:lang w:val="en-US" w:eastAsia="en-AU"/>
              </w:rPr>
              <w:t>)</w:t>
            </w:r>
          </w:p>
        </w:tc>
        <w:tc>
          <w:tcPr>
            <w:tcW w:w="0" w:type="auto"/>
            <w:tcBorders>
              <w:top w:val="single" w:sz="8" w:space="0" w:color="FFFFFF"/>
              <w:left w:val="single" w:sz="4" w:space="0" w:color="00B2A9" w:themeColor="accent1"/>
              <w:right w:val="single" w:sz="4" w:space="0" w:color="00B2A9" w:themeColor="accent1"/>
            </w:tcBorders>
            <w:shd w:val="clear" w:color="auto" w:fill="00A9B2"/>
            <w:tcMar>
              <w:top w:w="72" w:type="dxa"/>
              <w:left w:w="144" w:type="dxa"/>
              <w:bottom w:w="72" w:type="dxa"/>
              <w:right w:w="144" w:type="dxa"/>
            </w:tcMar>
            <w:hideMark/>
          </w:tcPr>
          <w:p w14:paraId="6E49908F" w14:textId="77777777" w:rsidR="00620320" w:rsidRPr="00187119" w:rsidRDefault="00F93E30" w:rsidP="002B71D3">
            <w:pPr>
              <w:pStyle w:val="Tableheadingtext"/>
              <w:jc w:val="center"/>
              <w:rPr>
                <w:b w:val="0"/>
                <w:lang w:eastAsia="en-AU"/>
              </w:rPr>
            </w:pPr>
            <w:r w:rsidRPr="00187119">
              <w:rPr>
                <w:b w:val="0"/>
                <w:lang w:eastAsia="en-AU"/>
              </w:rPr>
              <w:t>L</w:t>
            </w:r>
            <w:r w:rsidR="0038392A" w:rsidRPr="00187119">
              <w:rPr>
                <w:b w:val="0"/>
                <w:lang w:eastAsia="en-AU"/>
              </w:rPr>
              <w:t xml:space="preserve">ower </w:t>
            </w:r>
            <w:r w:rsidRPr="00187119">
              <w:rPr>
                <w:b w:val="0"/>
                <w:lang w:eastAsia="en-AU"/>
              </w:rPr>
              <w:t>95%</w:t>
            </w:r>
            <w:r w:rsidR="0038392A" w:rsidRPr="00187119">
              <w:rPr>
                <w:b w:val="0"/>
                <w:lang w:eastAsia="en-AU"/>
              </w:rPr>
              <w:t xml:space="preserve"> </w:t>
            </w:r>
            <w:r w:rsidRPr="00187119">
              <w:rPr>
                <w:b w:val="0"/>
                <w:lang w:eastAsia="en-AU"/>
              </w:rPr>
              <w:t>CL</w:t>
            </w:r>
          </w:p>
          <w:p w14:paraId="407E324B" w14:textId="173BA14F" w:rsidR="00F93E30" w:rsidRPr="00187119" w:rsidRDefault="00620320" w:rsidP="002B71D3">
            <w:pPr>
              <w:pStyle w:val="Tableheadingtext"/>
              <w:jc w:val="center"/>
              <w:rPr>
                <w:b w:val="0"/>
                <w:lang w:eastAsia="en-AU"/>
              </w:rPr>
            </w:pPr>
            <w:r w:rsidRPr="00187119">
              <w:rPr>
                <w:b w:val="0"/>
                <w:lang w:val="en-US" w:eastAsia="en-AU"/>
              </w:rPr>
              <w:t>(/km</w:t>
            </w:r>
            <w:r w:rsidRPr="00187119">
              <w:rPr>
                <w:b w:val="0"/>
                <w:vertAlign w:val="superscript"/>
                <w:lang w:val="en-US" w:eastAsia="en-AU"/>
              </w:rPr>
              <w:t>2</w:t>
            </w:r>
            <w:r w:rsidRPr="00187119">
              <w:rPr>
                <w:b w:val="0"/>
                <w:lang w:val="en-US" w:eastAsia="en-AU"/>
              </w:rPr>
              <w:t>)</w:t>
            </w:r>
          </w:p>
        </w:tc>
        <w:tc>
          <w:tcPr>
            <w:tcW w:w="0" w:type="auto"/>
            <w:tcBorders>
              <w:top w:val="single" w:sz="8" w:space="0" w:color="FFFFFF"/>
              <w:left w:val="single" w:sz="4" w:space="0" w:color="00B2A9" w:themeColor="accent1"/>
              <w:right w:val="single" w:sz="4" w:space="0" w:color="00B2A9" w:themeColor="accent1"/>
            </w:tcBorders>
            <w:shd w:val="clear" w:color="auto" w:fill="00A9B2"/>
            <w:tcMar>
              <w:top w:w="72" w:type="dxa"/>
              <w:left w:w="144" w:type="dxa"/>
              <w:bottom w:w="72" w:type="dxa"/>
              <w:right w:w="144" w:type="dxa"/>
            </w:tcMar>
            <w:hideMark/>
          </w:tcPr>
          <w:p w14:paraId="7D9C44C1" w14:textId="364E7E3A" w:rsidR="00620320" w:rsidRPr="00187119" w:rsidRDefault="00F93E30" w:rsidP="002B71D3">
            <w:pPr>
              <w:pStyle w:val="Tableheadingtext"/>
              <w:jc w:val="center"/>
              <w:rPr>
                <w:b w:val="0"/>
                <w:lang w:eastAsia="en-AU"/>
              </w:rPr>
            </w:pPr>
            <w:r w:rsidRPr="00187119">
              <w:rPr>
                <w:b w:val="0"/>
                <w:lang w:eastAsia="en-AU"/>
              </w:rPr>
              <w:t>U</w:t>
            </w:r>
            <w:r w:rsidR="0038392A" w:rsidRPr="00187119">
              <w:rPr>
                <w:b w:val="0"/>
                <w:lang w:eastAsia="en-AU"/>
              </w:rPr>
              <w:t xml:space="preserve">pper </w:t>
            </w:r>
            <w:r w:rsidRPr="00187119">
              <w:rPr>
                <w:b w:val="0"/>
                <w:lang w:eastAsia="en-AU"/>
              </w:rPr>
              <w:t>95%</w:t>
            </w:r>
            <w:r w:rsidR="0038392A" w:rsidRPr="00187119">
              <w:rPr>
                <w:b w:val="0"/>
                <w:lang w:eastAsia="en-AU"/>
              </w:rPr>
              <w:t xml:space="preserve"> CL</w:t>
            </w:r>
          </w:p>
          <w:p w14:paraId="445C341F" w14:textId="6F06A868" w:rsidR="00F93E30" w:rsidRPr="00187119" w:rsidRDefault="00620320" w:rsidP="002B71D3">
            <w:pPr>
              <w:pStyle w:val="Tableheadingtext"/>
              <w:jc w:val="center"/>
              <w:rPr>
                <w:b w:val="0"/>
                <w:lang w:eastAsia="en-AU"/>
              </w:rPr>
            </w:pPr>
            <w:r w:rsidRPr="00187119">
              <w:rPr>
                <w:b w:val="0"/>
                <w:lang w:val="en-US" w:eastAsia="en-AU"/>
              </w:rPr>
              <w:t>(/km</w:t>
            </w:r>
            <w:r w:rsidRPr="00187119">
              <w:rPr>
                <w:b w:val="0"/>
                <w:vertAlign w:val="superscript"/>
                <w:lang w:val="en-US" w:eastAsia="en-AU"/>
              </w:rPr>
              <w:t>2</w:t>
            </w:r>
            <w:r w:rsidRPr="00187119">
              <w:rPr>
                <w:b w:val="0"/>
                <w:lang w:val="en-US" w:eastAsia="en-AU"/>
              </w:rPr>
              <w:t>)</w:t>
            </w:r>
          </w:p>
        </w:tc>
        <w:tc>
          <w:tcPr>
            <w:tcW w:w="0" w:type="auto"/>
            <w:tcBorders>
              <w:top w:val="single" w:sz="8" w:space="0" w:color="FFFFFF"/>
              <w:left w:val="single" w:sz="4" w:space="0" w:color="00B2A9" w:themeColor="accent1"/>
              <w:right w:val="single" w:sz="4" w:space="0" w:color="00B2A9" w:themeColor="accent1"/>
            </w:tcBorders>
            <w:shd w:val="clear" w:color="auto" w:fill="00A9B2"/>
            <w:tcMar>
              <w:top w:w="72" w:type="dxa"/>
              <w:left w:w="144" w:type="dxa"/>
              <w:bottom w:w="72" w:type="dxa"/>
              <w:right w:w="144" w:type="dxa"/>
            </w:tcMar>
            <w:hideMark/>
          </w:tcPr>
          <w:p w14:paraId="2048710A" w14:textId="77777777" w:rsidR="00F93E30" w:rsidRPr="00187119" w:rsidRDefault="00F93E30" w:rsidP="002B71D3">
            <w:pPr>
              <w:pStyle w:val="Tableheadingtext"/>
              <w:jc w:val="center"/>
              <w:rPr>
                <w:b w:val="0"/>
                <w:lang w:eastAsia="en-AU"/>
              </w:rPr>
            </w:pPr>
            <w:r w:rsidRPr="00187119">
              <w:rPr>
                <w:b w:val="0"/>
                <w:lang w:eastAsia="en-AU"/>
              </w:rPr>
              <w:t>Treatment</w:t>
            </w:r>
          </w:p>
        </w:tc>
        <w:tc>
          <w:tcPr>
            <w:tcW w:w="0" w:type="auto"/>
            <w:tcBorders>
              <w:top w:val="single" w:sz="8" w:space="0" w:color="FFFFFF"/>
              <w:left w:val="single" w:sz="4" w:space="0" w:color="00B2A9" w:themeColor="accent1"/>
              <w:right w:val="single" w:sz="8" w:space="0" w:color="FFFFFF"/>
            </w:tcBorders>
            <w:shd w:val="clear" w:color="auto" w:fill="00A9B2"/>
            <w:tcMar>
              <w:top w:w="72" w:type="dxa"/>
              <w:left w:w="144" w:type="dxa"/>
              <w:bottom w:w="72" w:type="dxa"/>
              <w:right w:w="144" w:type="dxa"/>
            </w:tcMar>
            <w:hideMark/>
          </w:tcPr>
          <w:p w14:paraId="16255611" w14:textId="77777777" w:rsidR="00F93E30" w:rsidRPr="00187119" w:rsidRDefault="00F93E30" w:rsidP="002B71D3">
            <w:pPr>
              <w:pStyle w:val="Tableheadingtext"/>
              <w:jc w:val="center"/>
              <w:rPr>
                <w:b w:val="0"/>
                <w:lang w:eastAsia="en-AU"/>
              </w:rPr>
            </w:pPr>
            <w:r w:rsidRPr="00187119">
              <w:rPr>
                <w:b w:val="0"/>
                <w:lang w:eastAsia="en-AU"/>
              </w:rPr>
              <w:t>Replicate</w:t>
            </w:r>
          </w:p>
        </w:tc>
      </w:tr>
      <w:tr w:rsidR="00F93E30" w:rsidRPr="0015565D" w14:paraId="47E522B0" w14:textId="77777777" w:rsidTr="00187119">
        <w:trPr>
          <w:trHeight w:val="405"/>
        </w:trPr>
        <w:tc>
          <w:tcPr>
            <w:tcW w:w="0" w:type="auto"/>
            <w:tcBorders>
              <w:left w:val="nil"/>
              <w:bottom w:val="single" w:sz="4" w:space="0" w:color="00B2A9" w:themeColor="accent1"/>
            </w:tcBorders>
            <w:shd w:val="clear" w:color="auto" w:fill="auto"/>
            <w:tcMar>
              <w:top w:w="72" w:type="dxa"/>
              <w:left w:w="144" w:type="dxa"/>
              <w:bottom w:w="72" w:type="dxa"/>
              <w:right w:w="144" w:type="dxa"/>
            </w:tcMar>
            <w:vAlign w:val="center"/>
            <w:hideMark/>
          </w:tcPr>
          <w:p w14:paraId="50E3C0D2" w14:textId="4295BC8B" w:rsidR="00F93E30" w:rsidRPr="0015565D" w:rsidRDefault="00F93E30" w:rsidP="002B71D3">
            <w:pPr>
              <w:pStyle w:val="Tablebodytext"/>
              <w:spacing w:before="120"/>
              <w:contextualSpacing/>
            </w:pPr>
            <w:proofErr w:type="spellStart"/>
            <w:r w:rsidRPr="0015565D">
              <w:t>Annya</w:t>
            </w:r>
            <w:proofErr w:type="spellEnd"/>
          </w:p>
        </w:tc>
        <w:tc>
          <w:tcPr>
            <w:tcW w:w="0" w:type="auto"/>
            <w:tcBorders>
              <w:bottom w:val="single" w:sz="4" w:space="0" w:color="00B2A9" w:themeColor="accent1"/>
            </w:tcBorders>
            <w:shd w:val="clear" w:color="auto" w:fill="auto"/>
            <w:tcMar>
              <w:top w:w="72" w:type="dxa"/>
              <w:left w:w="144" w:type="dxa"/>
              <w:bottom w:w="72" w:type="dxa"/>
              <w:right w:w="144" w:type="dxa"/>
            </w:tcMar>
            <w:vAlign w:val="center"/>
            <w:hideMark/>
          </w:tcPr>
          <w:p w14:paraId="4C69278F" w14:textId="64CE3DB3" w:rsidR="00F93E30" w:rsidRPr="0015565D" w:rsidRDefault="00F93E30" w:rsidP="0015565D">
            <w:pPr>
              <w:pStyle w:val="Tablebodytext"/>
              <w:spacing w:before="120"/>
              <w:contextualSpacing/>
              <w:jc w:val="center"/>
            </w:pPr>
            <w:r w:rsidRPr="0015565D">
              <w:t>0.24</w:t>
            </w:r>
          </w:p>
        </w:tc>
        <w:tc>
          <w:tcPr>
            <w:tcW w:w="0" w:type="auto"/>
            <w:tcBorders>
              <w:bottom w:val="single" w:sz="4" w:space="0" w:color="00B2A9" w:themeColor="accent1"/>
            </w:tcBorders>
            <w:shd w:val="clear" w:color="auto" w:fill="auto"/>
            <w:tcMar>
              <w:top w:w="72" w:type="dxa"/>
              <w:left w:w="144" w:type="dxa"/>
              <w:bottom w:w="72" w:type="dxa"/>
              <w:right w:w="144" w:type="dxa"/>
            </w:tcMar>
            <w:vAlign w:val="center"/>
            <w:hideMark/>
          </w:tcPr>
          <w:p w14:paraId="791F68AB" w14:textId="77777777" w:rsidR="00F93E30" w:rsidRPr="0015565D" w:rsidRDefault="00F93E30" w:rsidP="0015565D">
            <w:pPr>
              <w:pStyle w:val="Tablebodytext"/>
              <w:spacing w:before="120"/>
              <w:contextualSpacing/>
              <w:jc w:val="center"/>
            </w:pPr>
            <w:r w:rsidRPr="0015565D">
              <w:t>0.17</w:t>
            </w:r>
          </w:p>
        </w:tc>
        <w:tc>
          <w:tcPr>
            <w:tcW w:w="0" w:type="auto"/>
            <w:tcBorders>
              <w:bottom w:val="single" w:sz="4" w:space="0" w:color="00B2A9" w:themeColor="accent1"/>
            </w:tcBorders>
            <w:shd w:val="clear" w:color="auto" w:fill="auto"/>
            <w:tcMar>
              <w:top w:w="72" w:type="dxa"/>
              <w:left w:w="144" w:type="dxa"/>
              <w:bottom w:w="72" w:type="dxa"/>
              <w:right w:w="144" w:type="dxa"/>
            </w:tcMar>
            <w:vAlign w:val="center"/>
            <w:hideMark/>
          </w:tcPr>
          <w:p w14:paraId="44FF7284" w14:textId="77777777" w:rsidR="00F93E30" w:rsidRPr="0015565D" w:rsidRDefault="00F93E30" w:rsidP="0015565D">
            <w:pPr>
              <w:pStyle w:val="Tablebodytext"/>
              <w:spacing w:before="120"/>
              <w:contextualSpacing/>
              <w:jc w:val="center"/>
            </w:pPr>
            <w:r w:rsidRPr="0015565D">
              <w:t>0.34</w:t>
            </w:r>
          </w:p>
        </w:tc>
        <w:tc>
          <w:tcPr>
            <w:tcW w:w="0" w:type="auto"/>
            <w:tcBorders>
              <w:bottom w:val="single" w:sz="4" w:space="0" w:color="00B2A9" w:themeColor="accent1"/>
            </w:tcBorders>
            <w:shd w:val="clear" w:color="auto" w:fill="auto"/>
            <w:tcMar>
              <w:top w:w="72" w:type="dxa"/>
              <w:left w:w="144" w:type="dxa"/>
              <w:bottom w:w="72" w:type="dxa"/>
              <w:right w:w="144" w:type="dxa"/>
            </w:tcMar>
            <w:vAlign w:val="center"/>
            <w:hideMark/>
          </w:tcPr>
          <w:p w14:paraId="16D8F850" w14:textId="77777777" w:rsidR="00F93E30" w:rsidRPr="0015565D" w:rsidRDefault="00F93E30" w:rsidP="0015565D">
            <w:pPr>
              <w:pStyle w:val="Tablebodytext"/>
              <w:spacing w:before="120"/>
              <w:contextualSpacing/>
              <w:jc w:val="center"/>
            </w:pPr>
            <w:r w:rsidRPr="0015565D">
              <w:t>NFC</w:t>
            </w:r>
          </w:p>
        </w:tc>
        <w:tc>
          <w:tcPr>
            <w:tcW w:w="0" w:type="auto"/>
            <w:tcBorders>
              <w:bottom w:val="single" w:sz="4" w:space="0" w:color="00B2A9" w:themeColor="accent1"/>
              <w:right w:val="nil"/>
            </w:tcBorders>
            <w:shd w:val="clear" w:color="auto" w:fill="auto"/>
            <w:tcMar>
              <w:top w:w="72" w:type="dxa"/>
              <w:left w:w="144" w:type="dxa"/>
              <w:bottom w:w="72" w:type="dxa"/>
              <w:right w:w="144" w:type="dxa"/>
            </w:tcMar>
            <w:vAlign w:val="center"/>
            <w:hideMark/>
          </w:tcPr>
          <w:p w14:paraId="1CBADE0C" w14:textId="77777777" w:rsidR="00F93E30" w:rsidRPr="0015565D" w:rsidRDefault="00F93E30" w:rsidP="0015565D">
            <w:pPr>
              <w:pStyle w:val="Tablebodytext"/>
              <w:spacing w:before="120"/>
              <w:contextualSpacing/>
              <w:jc w:val="center"/>
            </w:pPr>
            <w:r w:rsidRPr="0015565D">
              <w:t>1</w:t>
            </w:r>
          </w:p>
        </w:tc>
      </w:tr>
      <w:tr w:rsidR="00F93E30" w:rsidRPr="0015565D" w14:paraId="451D5D15" w14:textId="77777777" w:rsidTr="00187119">
        <w:trPr>
          <w:trHeight w:val="405"/>
        </w:trPr>
        <w:tc>
          <w:tcPr>
            <w:tcW w:w="0" w:type="auto"/>
            <w:tcBorders>
              <w:top w:val="single" w:sz="4" w:space="0" w:color="00B2A9" w:themeColor="accent1"/>
              <w:left w:val="nil"/>
              <w:bottom w:val="single" w:sz="4" w:space="0" w:color="00B2A9" w:themeColor="accent1"/>
            </w:tcBorders>
            <w:shd w:val="clear" w:color="auto" w:fill="auto"/>
            <w:tcMar>
              <w:top w:w="72" w:type="dxa"/>
              <w:left w:w="144" w:type="dxa"/>
              <w:bottom w:w="72" w:type="dxa"/>
              <w:right w:w="144" w:type="dxa"/>
            </w:tcMar>
            <w:vAlign w:val="center"/>
            <w:hideMark/>
          </w:tcPr>
          <w:p w14:paraId="3C7099D9" w14:textId="35159B4B" w:rsidR="00F93E30" w:rsidRPr="0015565D" w:rsidRDefault="00F93E30" w:rsidP="002B71D3">
            <w:pPr>
              <w:pStyle w:val="Tablebodytext"/>
              <w:spacing w:before="120"/>
              <w:contextualSpacing/>
            </w:pPr>
            <w:r w:rsidRPr="0015565D">
              <w:t>Hotspur</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46CAE07D" w14:textId="27062E5A" w:rsidR="00F93E30" w:rsidRPr="0015565D" w:rsidRDefault="00F93E30" w:rsidP="0015565D">
            <w:pPr>
              <w:pStyle w:val="Tablebodytext"/>
              <w:spacing w:before="120"/>
              <w:contextualSpacing/>
              <w:jc w:val="center"/>
            </w:pPr>
            <w:r w:rsidRPr="0015565D">
              <w:t>0.22</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70130043" w14:textId="77777777" w:rsidR="00F93E30" w:rsidRPr="0015565D" w:rsidRDefault="00F93E30" w:rsidP="0015565D">
            <w:pPr>
              <w:pStyle w:val="Tablebodytext"/>
              <w:spacing w:before="120"/>
              <w:contextualSpacing/>
              <w:jc w:val="center"/>
            </w:pPr>
            <w:r w:rsidRPr="0015565D">
              <w:t>0.14</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23FDF6EA" w14:textId="77777777" w:rsidR="00F93E30" w:rsidRPr="0015565D" w:rsidRDefault="00F93E30" w:rsidP="0015565D">
            <w:pPr>
              <w:pStyle w:val="Tablebodytext"/>
              <w:spacing w:before="120"/>
              <w:contextualSpacing/>
              <w:jc w:val="center"/>
            </w:pPr>
            <w:r w:rsidRPr="0015565D">
              <w:t>0.33</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60F62A20" w14:textId="77777777" w:rsidR="00F93E30" w:rsidRPr="0015565D" w:rsidRDefault="00F93E30" w:rsidP="0015565D">
            <w:pPr>
              <w:pStyle w:val="Tablebodytext"/>
              <w:spacing w:before="120"/>
              <w:contextualSpacing/>
              <w:jc w:val="center"/>
            </w:pPr>
            <w:r w:rsidRPr="0015565D">
              <w:t>NFC</w:t>
            </w:r>
          </w:p>
        </w:tc>
        <w:tc>
          <w:tcPr>
            <w:tcW w:w="0" w:type="auto"/>
            <w:tcBorders>
              <w:top w:val="single" w:sz="4" w:space="0" w:color="00B2A9" w:themeColor="accent1"/>
              <w:bottom w:val="single" w:sz="4" w:space="0" w:color="00B2A9" w:themeColor="accent1"/>
              <w:right w:val="nil"/>
            </w:tcBorders>
            <w:shd w:val="clear" w:color="auto" w:fill="auto"/>
            <w:tcMar>
              <w:top w:w="72" w:type="dxa"/>
              <w:left w:w="144" w:type="dxa"/>
              <w:bottom w:w="72" w:type="dxa"/>
              <w:right w:w="144" w:type="dxa"/>
            </w:tcMar>
            <w:vAlign w:val="center"/>
            <w:hideMark/>
          </w:tcPr>
          <w:p w14:paraId="5EBAF387" w14:textId="77777777" w:rsidR="00F93E30" w:rsidRPr="0015565D" w:rsidRDefault="00F93E30" w:rsidP="0015565D">
            <w:pPr>
              <w:pStyle w:val="Tablebodytext"/>
              <w:spacing w:before="120"/>
              <w:contextualSpacing/>
              <w:jc w:val="center"/>
            </w:pPr>
            <w:r w:rsidRPr="0015565D">
              <w:t>2</w:t>
            </w:r>
          </w:p>
        </w:tc>
      </w:tr>
      <w:tr w:rsidR="00F93E30" w:rsidRPr="0015565D" w14:paraId="68AE43B6" w14:textId="77777777" w:rsidTr="00187119">
        <w:trPr>
          <w:trHeight w:val="405"/>
        </w:trPr>
        <w:tc>
          <w:tcPr>
            <w:tcW w:w="0" w:type="auto"/>
            <w:tcBorders>
              <w:top w:val="single" w:sz="4" w:space="0" w:color="00B2A9" w:themeColor="accent1"/>
              <w:left w:val="nil"/>
              <w:bottom w:val="single" w:sz="4" w:space="0" w:color="00B2A9" w:themeColor="accent1"/>
            </w:tcBorders>
            <w:shd w:val="clear" w:color="auto" w:fill="auto"/>
            <w:tcMar>
              <w:top w:w="72" w:type="dxa"/>
              <w:left w:w="144" w:type="dxa"/>
              <w:bottom w:w="72" w:type="dxa"/>
              <w:right w:w="144" w:type="dxa"/>
            </w:tcMar>
            <w:vAlign w:val="center"/>
            <w:hideMark/>
          </w:tcPr>
          <w:p w14:paraId="1288BCB5" w14:textId="03D40ED7" w:rsidR="00F93E30" w:rsidRPr="0015565D" w:rsidRDefault="00F93E30" w:rsidP="002B71D3">
            <w:pPr>
              <w:pStyle w:val="Tablebodytext"/>
              <w:spacing w:before="120"/>
              <w:contextualSpacing/>
            </w:pPr>
            <w:r w:rsidRPr="0015565D">
              <w:t>LGNP-N</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22BC2992" w14:textId="4E2F9F85" w:rsidR="00F93E30" w:rsidRPr="0015565D" w:rsidRDefault="00F93E30" w:rsidP="0015565D">
            <w:pPr>
              <w:pStyle w:val="Tablebodytext"/>
              <w:spacing w:before="120"/>
              <w:contextualSpacing/>
              <w:jc w:val="center"/>
            </w:pPr>
            <w:r w:rsidRPr="0015565D">
              <w:t>0.15</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27939A43" w14:textId="77777777" w:rsidR="00F93E30" w:rsidRPr="0015565D" w:rsidRDefault="00F93E30" w:rsidP="0015565D">
            <w:pPr>
              <w:pStyle w:val="Tablebodytext"/>
              <w:spacing w:before="120"/>
              <w:contextualSpacing/>
              <w:jc w:val="center"/>
            </w:pPr>
            <w:r w:rsidRPr="0015565D">
              <w:t>0.07</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6491B61C" w14:textId="77777777" w:rsidR="00F93E30" w:rsidRPr="0015565D" w:rsidRDefault="00F93E30" w:rsidP="0015565D">
            <w:pPr>
              <w:pStyle w:val="Tablebodytext"/>
              <w:spacing w:before="120"/>
              <w:contextualSpacing/>
              <w:jc w:val="center"/>
            </w:pPr>
            <w:r w:rsidRPr="0015565D">
              <w:t>0.35</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45042BBC" w14:textId="77777777" w:rsidR="00F93E30" w:rsidRPr="0015565D" w:rsidRDefault="00F93E30" w:rsidP="0015565D">
            <w:pPr>
              <w:pStyle w:val="Tablebodytext"/>
              <w:spacing w:before="120"/>
              <w:contextualSpacing/>
              <w:jc w:val="center"/>
            </w:pPr>
            <w:r w:rsidRPr="0015565D">
              <w:t>NFC</w:t>
            </w:r>
          </w:p>
        </w:tc>
        <w:tc>
          <w:tcPr>
            <w:tcW w:w="0" w:type="auto"/>
            <w:tcBorders>
              <w:top w:val="single" w:sz="4" w:space="0" w:color="00B2A9" w:themeColor="accent1"/>
              <w:bottom w:val="single" w:sz="4" w:space="0" w:color="00B2A9" w:themeColor="accent1"/>
              <w:right w:val="nil"/>
            </w:tcBorders>
            <w:shd w:val="clear" w:color="auto" w:fill="auto"/>
            <w:tcMar>
              <w:top w:w="72" w:type="dxa"/>
              <w:left w:w="144" w:type="dxa"/>
              <w:bottom w:w="72" w:type="dxa"/>
              <w:right w:w="144" w:type="dxa"/>
            </w:tcMar>
            <w:vAlign w:val="center"/>
            <w:hideMark/>
          </w:tcPr>
          <w:p w14:paraId="4C0EA3C9" w14:textId="77777777" w:rsidR="00F93E30" w:rsidRPr="0015565D" w:rsidRDefault="00F93E30" w:rsidP="0015565D">
            <w:pPr>
              <w:pStyle w:val="Tablebodytext"/>
              <w:spacing w:before="120"/>
              <w:contextualSpacing/>
              <w:jc w:val="center"/>
            </w:pPr>
            <w:r w:rsidRPr="0015565D">
              <w:t>3</w:t>
            </w:r>
          </w:p>
        </w:tc>
      </w:tr>
      <w:tr w:rsidR="00F93E30" w:rsidRPr="0015565D" w14:paraId="07752603" w14:textId="77777777" w:rsidTr="00187119">
        <w:trPr>
          <w:trHeight w:val="405"/>
        </w:trPr>
        <w:tc>
          <w:tcPr>
            <w:tcW w:w="0" w:type="auto"/>
            <w:tcBorders>
              <w:top w:val="single" w:sz="4" w:space="0" w:color="00B2A9" w:themeColor="accent1"/>
              <w:left w:val="nil"/>
              <w:bottom w:val="single" w:sz="4" w:space="0" w:color="00B2A9" w:themeColor="accent1"/>
            </w:tcBorders>
            <w:shd w:val="clear" w:color="auto" w:fill="auto"/>
            <w:tcMar>
              <w:top w:w="72" w:type="dxa"/>
              <w:left w:w="144" w:type="dxa"/>
              <w:bottom w:w="72" w:type="dxa"/>
              <w:right w:w="144" w:type="dxa"/>
            </w:tcMar>
            <w:vAlign w:val="center"/>
            <w:hideMark/>
          </w:tcPr>
          <w:p w14:paraId="00689A54" w14:textId="7B1AEAAE" w:rsidR="00F93E30" w:rsidRPr="0015565D" w:rsidRDefault="00F93E30" w:rsidP="002B71D3">
            <w:pPr>
              <w:pStyle w:val="Tablebodytext"/>
              <w:spacing w:before="120"/>
              <w:contextualSpacing/>
            </w:pPr>
            <w:proofErr w:type="spellStart"/>
            <w:r w:rsidRPr="0015565D">
              <w:t>Cobboboonee</w:t>
            </w:r>
            <w:proofErr w:type="spellEnd"/>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47F529A2" w14:textId="7DB5EA95" w:rsidR="00F93E30" w:rsidRPr="0015565D" w:rsidRDefault="00F93E30" w:rsidP="0015565D">
            <w:pPr>
              <w:pStyle w:val="Tablebodytext"/>
              <w:spacing w:before="120"/>
              <w:contextualSpacing/>
              <w:jc w:val="center"/>
            </w:pPr>
            <w:r w:rsidRPr="0015565D">
              <w:t>0.60</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234B10A2" w14:textId="77777777" w:rsidR="00F93E30" w:rsidRPr="0015565D" w:rsidRDefault="00F93E30" w:rsidP="0015565D">
            <w:pPr>
              <w:pStyle w:val="Tablebodytext"/>
              <w:spacing w:before="120"/>
              <w:contextualSpacing/>
              <w:jc w:val="center"/>
            </w:pPr>
            <w:r w:rsidRPr="0015565D">
              <w:t>0.40</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11C9E47B" w14:textId="77777777" w:rsidR="00F93E30" w:rsidRPr="0015565D" w:rsidRDefault="00F93E30" w:rsidP="0015565D">
            <w:pPr>
              <w:pStyle w:val="Tablebodytext"/>
              <w:spacing w:before="120"/>
              <w:contextualSpacing/>
              <w:jc w:val="center"/>
            </w:pPr>
            <w:r w:rsidRPr="0015565D">
              <w:t>0.88</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094EFD0E" w14:textId="77777777" w:rsidR="00F93E30" w:rsidRPr="0015565D" w:rsidRDefault="00F93E30" w:rsidP="0015565D">
            <w:pPr>
              <w:pStyle w:val="Tablebodytext"/>
              <w:spacing w:before="120"/>
              <w:contextualSpacing/>
              <w:jc w:val="center"/>
            </w:pPr>
            <w:r w:rsidRPr="0015565D">
              <w:t>FC</w:t>
            </w:r>
          </w:p>
        </w:tc>
        <w:tc>
          <w:tcPr>
            <w:tcW w:w="0" w:type="auto"/>
            <w:tcBorders>
              <w:top w:val="single" w:sz="4" w:space="0" w:color="00B2A9" w:themeColor="accent1"/>
              <w:bottom w:val="single" w:sz="4" w:space="0" w:color="00B2A9" w:themeColor="accent1"/>
              <w:right w:val="nil"/>
            </w:tcBorders>
            <w:shd w:val="clear" w:color="auto" w:fill="auto"/>
            <w:tcMar>
              <w:top w:w="72" w:type="dxa"/>
              <w:left w:w="144" w:type="dxa"/>
              <w:bottom w:w="72" w:type="dxa"/>
              <w:right w:w="144" w:type="dxa"/>
            </w:tcMar>
            <w:vAlign w:val="center"/>
            <w:hideMark/>
          </w:tcPr>
          <w:p w14:paraId="364EC8AB" w14:textId="77777777" w:rsidR="00F93E30" w:rsidRPr="0015565D" w:rsidRDefault="00F93E30" w:rsidP="0015565D">
            <w:pPr>
              <w:pStyle w:val="Tablebodytext"/>
              <w:spacing w:before="120"/>
              <w:contextualSpacing/>
              <w:jc w:val="center"/>
            </w:pPr>
            <w:r w:rsidRPr="0015565D">
              <w:t>1</w:t>
            </w:r>
          </w:p>
        </w:tc>
      </w:tr>
      <w:tr w:rsidR="00F93E30" w:rsidRPr="0015565D" w14:paraId="52555A6F" w14:textId="77777777" w:rsidTr="00187119">
        <w:trPr>
          <w:trHeight w:val="405"/>
        </w:trPr>
        <w:tc>
          <w:tcPr>
            <w:tcW w:w="0" w:type="auto"/>
            <w:tcBorders>
              <w:top w:val="single" w:sz="4" w:space="0" w:color="00B2A9" w:themeColor="accent1"/>
              <w:left w:val="nil"/>
              <w:bottom w:val="single" w:sz="4" w:space="0" w:color="00B2A9" w:themeColor="accent1"/>
            </w:tcBorders>
            <w:shd w:val="clear" w:color="auto" w:fill="auto"/>
            <w:tcMar>
              <w:top w:w="72" w:type="dxa"/>
              <w:left w:w="144" w:type="dxa"/>
              <w:bottom w:w="72" w:type="dxa"/>
              <w:right w:w="144" w:type="dxa"/>
            </w:tcMar>
            <w:vAlign w:val="center"/>
            <w:hideMark/>
          </w:tcPr>
          <w:p w14:paraId="343FE50E" w14:textId="168D25F1" w:rsidR="00F93E30" w:rsidRPr="0015565D" w:rsidRDefault="00F93E30" w:rsidP="002B71D3">
            <w:pPr>
              <w:pStyle w:val="Tablebodytext"/>
              <w:spacing w:before="120"/>
              <w:contextualSpacing/>
            </w:pPr>
            <w:r w:rsidRPr="0015565D">
              <w:t>M</w:t>
            </w:r>
            <w:r w:rsidR="0038392A">
              <w:t>oun</w:t>
            </w:r>
            <w:r w:rsidRPr="0015565D">
              <w:t>t Clay</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12432B1F" w14:textId="65B35B62" w:rsidR="00F93E30" w:rsidRPr="0015565D" w:rsidRDefault="00F93E30" w:rsidP="0015565D">
            <w:pPr>
              <w:pStyle w:val="Tablebodytext"/>
              <w:spacing w:before="120"/>
              <w:contextualSpacing/>
              <w:jc w:val="center"/>
            </w:pPr>
            <w:r w:rsidRPr="0015565D">
              <w:t>0.24</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35DA005B" w14:textId="77777777" w:rsidR="00F93E30" w:rsidRPr="0015565D" w:rsidRDefault="00F93E30" w:rsidP="0015565D">
            <w:pPr>
              <w:pStyle w:val="Tablebodytext"/>
              <w:spacing w:before="120"/>
              <w:contextualSpacing/>
              <w:jc w:val="center"/>
            </w:pPr>
            <w:r w:rsidRPr="0015565D">
              <w:t>0.18</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074C7077" w14:textId="77777777" w:rsidR="00F93E30" w:rsidRPr="0015565D" w:rsidRDefault="00F93E30" w:rsidP="0015565D">
            <w:pPr>
              <w:pStyle w:val="Tablebodytext"/>
              <w:spacing w:before="120"/>
              <w:contextualSpacing/>
              <w:jc w:val="center"/>
            </w:pPr>
            <w:r w:rsidRPr="0015565D">
              <w:t>0.31</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1A832AB2" w14:textId="77777777" w:rsidR="00F93E30" w:rsidRPr="0015565D" w:rsidRDefault="00F93E30" w:rsidP="0015565D">
            <w:pPr>
              <w:pStyle w:val="Tablebodytext"/>
              <w:spacing w:before="120"/>
              <w:contextualSpacing/>
              <w:jc w:val="center"/>
            </w:pPr>
            <w:r w:rsidRPr="0015565D">
              <w:t>FC</w:t>
            </w:r>
          </w:p>
        </w:tc>
        <w:tc>
          <w:tcPr>
            <w:tcW w:w="0" w:type="auto"/>
            <w:tcBorders>
              <w:top w:val="single" w:sz="4" w:space="0" w:color="00B2A9" w:themeColor="accent1"/>
              <w:bottom w:val="single" w:sz="4" w:space="0" w:color="00B2A9" w:themeColor="accent1"/>
              <w:right w:val="nil"/>
            </w:tcBorders>
            <w:shd w:val="clear" w:color="auto" w:fill="auto"/>
            <w:tcMar>
              <w:top w:w="72" w:type="dxa"/>
              <w:left w:w="144" w:type="dxa"/>
              <w:bottom w:w="72" w:type="dxa"/>
              <w:right w:w="144" w:type="dxa"/>
            </w:tcMar>
            <w:vAlign w:val="center"/>
            <w:hideMark/>
          </w:tcPr>
          <w:p w14:paraId="3509C19C" w14:textId="77777777" w:rsidR="00F93E30" w:rsidRPr="0015565D" w:rsidRDefault="00F93E30" w:rsidP="0015565D">
            <w:pPr>
              <w:pStyle w:val="Tablebodytext"/>
              <w:spacing w:before="120"/>
              <w:contextualSpacing/>
              <w:jc w:val="center"/>
            </w:pPr>
            <w:r w:rsidRPr="0015565D">
              <w:t>2</w:t>
            </w:r>
          </w:p>
        </w:tc>
      </w:tr>
      <w:tr w:rsidR="00F93E30" w:rsidRPr="0015565D" w14:paraId="1CD52028" w14:textId="77777777" w:rsidTr="00187119">
        <w:trPr>
          <w:trHeight w:val="405"/>
        </w:trPr>
        <w:tc>
          <w:tcPr>
            <w:tcW w:w="0" w:type="auto"/>
            <w:tcBorders>
              <w:top w:val="single" w:sz="4" w:space="0" w:color="00B2A9" w:themeColor="accent1"/>
              <w:left w:val="nil"/>
              <w:bottom w:val="single" w:sz="4" w:space="0" w:color="00B2A9" w:themeColor="accent1"/>
            </w:tcBorders>
            <w:shd w:val="clear" w:color="auto" w:fill="auto"/>
            <w:tcMar>
              <w:top w:w="72" w:type="dxa"/>
              <w:left w:w="144" w:type="dxa"/>
              <w:bottom w:w="72" w:type="dxa"/>
              <w:right w:w="144" w:type="dxa"/>
            </w:tcMar>
            <w:vAlign w:val="center"/>
            <w:hideMark/>
          </w:tcPr>
          <w:p w14:paraId="2F7B2938" w14:textId="1CA550FF" w:rsidR="00F93E30" w:rsidRPr="0015565D" w:rsidRDefault="00F93E30" w:rsidP="002B71D3">
            <w:pPr>
              <w:pStyle w:val="Tablebodytext"/>
              <w:spacing w:before="120"/>
              <w:contextualSpacing/>
            </w:pPr>
            <w:r w:rsidRPr="0015565D">
              <w:t>LGNP-S</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22E91B78" w14:textId="6FA402F6" w:rsidR="00F93E30" w:rsidRPr="0015565D" w:rsidRDefault="00F93E30" w:rsidP="0015565D">
            <w:pPr>
              <w:pStyle w:val="Tablebodytext"/>
              <w:spacing w:before="120"/>
              <w:contextualSpacing/>
              <w:jc w:val="center"/>
            </w:pPr>
            <w:r w:rsidRPr="0015565D">
              <w:t>0.56</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63CF8111" w14:textId="77777777" w:rsidR="00F93E30" w:rsidRPr="0015565D" w:rsidRDefault="00F93E30" w:rsidP="0015565D">
            <w:pPr>
              <w:pStyle w:val="Tablebodytext"/>
              <w:spacing w:before="120"/>
              <w:contextualSpacing/>
              <w:jc w:val="center"/>
            </w:pPr>
            <w:r w:rsidRPr="0015565D">
              <w:t>0.34</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2A97450A" w14:textId="77777777" w:rsidR="00F93E30" w:rsidRPr="0015565D" w:rsidRDefault="00F93E30" w:rsidP="0015565D">
            <w:pPr>
              <w:pStyle w:val="Tablebodytext"/>
              <w:spacing w:before="120"/>
              <w:contextualSpacing/>
              <w:jc w:val="center"/>
            </w:pPr>
            <w:r w:rsidRPr="0015565D">
              <w:t>0.90</w:t>
            </w:r>
          </w:p>
        </w:tc>
        <w:tc>
          <w:tcPr>
            <w:tcW w:w="0" w:type="auto"/>
            <w:tcBorders>
              <w:top w:val="single" w:sz="4" w:space="0" w:color="00B2A9" w:themeColor="accent1"/>
              <w:bottom w:val="single" w:sz="4" w:space="0" w:color="00B2A9" w:themeColor="accent1"/>
            </w:tcBorders>
            <w:shd w:val="clear" w:color="auto" w:fill="auto"/>
            <w:tcMar>
              <w:top w:w="72" w:type="dxa"/>
              <w:left w:w="144" w:type="dxa"/>
              <w:bottom w:w="72" w:type="dxa"/>
              <w:right w:w="144" w:type="dxa"/>
            </w:tcMar>
            <w:vAlign w:val="center"/>
            <w:hideMark/>
          </w:tcPr>
          <w:p w14:paraId="08405EA3" w14:textId="77777777" w:rsidR="00F93E30" w:rsidRPr="0015565D" w:rsidRDefault="00F93E30" w:rsidP="0015565D">
            <w:pPr>
              <w:pStyle w:val="Tablebodytext"/>
              <w:spacing w:before="120"/>
              <w:contextualSpacing/>
              <w:jc w:val="center"/>
            </w:pPr>
            <w:r w:rsidRPr="0015565D">
              <w:t>FC</w:t>
            </w:r>
          </w:p>
        </w:tc>
        <w:tc>
          <w:tcPr>
            <w:tcW w:w="0" w:type="auto"/>
            <w:tcBorders>
              <w:top w:val="single" w:sz="4" w:space="0" w:color="00B2A9" w:themeColor="accent1"/>
              <w:bottom w:val="single" w:sz="4" w:space="0" w:color="00B2A9" w:themeColor="accent1"/>
              <w:right w:val="nil"/>
            </w:tcBorders>
            <w:shd w:val="clear" w:color="auto" w:fill="auto"/>
            <w:tcMar>
              <w:top w:w="72" w:type="dxa"/>
              <w:left w:w="144" w:type="dxa"/>
              <w:bottom w:w="72" w:type="dxa"/>
              <w:right w:w="144" w:type="dxa"/>
            </w:tcMar>
            <w:vAlign w:val="center"/>
            <w:hideMark/>
          </w:tcPr>
          <w:p w14:paraId="287B4A10" w14:textId="77777777" w:rsidR="00F93E30" w:rsidRPr="0015565D" w:rsidRDefault="00F93E30" w:rsidP="0015565D">
            <w:pPr>
              <w:pStyle w:val="Tablebodytext"/>
              <w:spacing w:before="120"/>
              <w:contextualSpacing/>
              <w:jc w:val="center"/>
            </w:pPr>
            <w:r w:rsidRPr="0015565D">
              <w:t>3</w:t>
            </w:r>
          </w:p>
        </w:tc>
      </w:tr>
    </w:tbl>
    <w:p w14:paraId="7D82C4A2" w14:textId="03A991F2" w:rsidR="007B6C29" w:rsidRPr="002B71D3" w:rsidRDefault="0038392A" w:rsidP="007B6C29">
      <w:r>
        <w:t xml:space="preserve">CL = confidence limit; </w:t>
      </w:r>
      <w:r w:rsidRPr="009E584A">
        <w:t>FC = fox control</w:t>
      </w:r>
      <w:r>
        <w:t xml:space="preserve">; </w:t>
      </w:r>
      <w:r w:rsidR="00620320">
        <w:t xml:space="preserve">LGNP-N = Lower Glenelg National Park – North; LGNP-S = Lower Glenelg National Park – South; </w:t>
      </w:r>
      <w:r w:rsidRPr="00187119">
        <w:t>NFC = no fox control,</w:t>
      </w:r>
    </w:p>
    <w:p w14:paraId="4F924452" w14:textId="08BF56E2" w:rsidR="007B6C29" w:rsidRDefault="007B6C29" w:rsidP="007B6C29">
      <w:pPr>
        <w:pStyle w:val="Heading2-Numbered"/>
      </w:pPr>
      <w:bookmarkStart w:id="67" w:name="_Toc110599602"/>
      <w:r>
        <w:t>The influence of site</w:t>
      </w:r>
      <w:r w:rsidR="002A2CA5">
        <w:t>-</w:t>
      </w:r>
      <w:r>
        <w:t>level covariates on colonisation</w:t>
      </w:r>
      <w:r w:rsidR="004610CF">
        <w:t>,</w:t>
      </w:r>
      <w:r>
        <w:t xml:space="preserve"> </w:t>
      </w:r>
      <w:r w:rsidR="0015565D">
        <w:t>persistence,</w:t>
      </w:r>
      <w:r>
        <w:t xml:space="preserve"> </w:t>
      </w:r>
      <w:r w:rsidR="004610CF">
        <w:t xml:space="preserve">and growth </w:t>
      </w:r>
      <w:r>
        <w:t xml:space="preserve">rates between </w:t>
      </w:r>
      <w:r w:rsidR="00A509C9">
        <w:t>locations with and without fox control</w:t>
      </w:r>
      <w:bookmarkEnd w:id="67"/>
    </w:p>
    <w:p w14:paraId="49F960B9" w14:textId="164A1865" w:rsidR="0079370C" w:rsidRDefault="0079370C" w:rsidP="00FF150E">
      <w:pPr>
        <w:pStyle w:val="Heading3-Numbered"/>
      </w:pPr>
      <w:bookmarkStart w:id="68" w:name="_Toc110599603"/>
      <w:r>
        <w:t>Common Brushtail Possum</w:t>
      </w:r>
      <w:bookmarkEnd w:id="68"/>
    </w:p>
    <w:p w14:paraId="18EB70EC" w14:textId="77777777" w:rsidR="00E7371E" w:rsidRPr="00164DF0" w:rsidRDefault="00E7371E" w:rsidP="00E7371E">
      <w:pPr>
        <w:pStyle w:val="Heading4"/>
        <w:rPr>
          <w:sz w:val="20"/>
          <w:szCs w:val="22"/>
          <w:lang w:eastAsia="en-AU"/>
        </w:rPr>
      </w:pPr>
      <w:r w:rsidRPr="00164DF0">
        <w:rPr>
          <w:sz w:val="20"/>
          <w:szCs w:val="22"/>
          <w:lang w:eastAsia="en-AU"/>
        </w:rPr>
        <w:t>Persistence</w:t>
      </w:r>
    </w:p>
    <w:p w14:paraId="1B57BF44" w14:textId="1B50AAB0" w:rsidR="00E7371E" w:rsidRDefault="000B2E20" w:rsidP="00E7371E">
      <w:pPr>
        <w:pStyle w:val="BodyText"/>
      </w:pPr>
      <w:r>
        <w:t xml:space="preserve">The persistence rates for </w:t>
      </w:r>
      <w:r w:rsidR="00DC00EB">
        <w:t xml:space="preserve">Common </w:t>
      </w:r>
      <w:r>
        <w:t xml:space="preserve">Brushtail </w:t>
      </w:r>
      <w:r w:rsidR="004610CF">
        <w:t>P</w:t>
      </w:r>
      <w:r>
        <w:t xml:space="preserve">ossums were higher at locations with fox control, while </w:t>
      </w:r>
      <w:r w:rsidR="00BE293B">
        <w:t xml:space="preserve">persistence tended to decline as distance to non-native vegetation increased, regardless of fox control status </w:t>
      </w:r>
      <w:r w:rsidR="00E7371E">
        <w:t xml:space="preserve">(Figure </w:t>
      </w:r>
      <w:r w:rsidR="0021390F">
        <w:t>6</w:t>
      </w:r>
      <w:r w:rsidR="00E7371E">
        <w:t>)</w:t>
      </w:r>
      <w:r w:rsidR="00BE293B">
        <w:t xml:space="preserve"> (Table 4).</w:t>
      </w:r>
    </w:p>
    <w:p w14:paraId="19835D1E" w14:textId="35AC59A8" w:rsidR="00E7371E" w:rsidRDefault="00E7371E" w:rsidP="0000767D">
      <w:pPr>
        <w:pStyle w:val="BodyText"/>
      </w:pPr>
      <w:r>
        <w:t xml:space="preserve">The odds of an occupied </w:t>
      </w:r>
      <w:r w:rsidR="00DC00EB">
        <w:t xml:space="preserve">site </w:t>
      </w:r>
      <w:r>
        <w:t xml:space="preserve">remaining occupied </w:t>
      </w:r>
      <w:r w:rsidR="00DC00EB">
        <w:t xml:space="preserve">by Common Brushtail Possums </w:t>
      </w:r>
      <w:r>
        <w:t>(i.e. persisting from one year to the next) w</w:t>
      </w:r>
      <w:r w:rsidR="00DC00EB">
        <w:t>ere great</w:t>
      </w:r>
      <w:r>
        <w:t xml:space="preserve">er by 43% (95% </w:t>
      </w:r>
      <w:r w:rsidR="00772ED7">
        <w:t>CI</w:t>
      </w:r>
      <w:r>
        <w:t xml:space="preserve"> 20</w:t>
      </w:r>
      <w:r w:rsidR="00DC00EB">
        <w:t>–</w:t>
      </w:r>
      <w:r>
        <w:t xml:space="preserve">72%) </w:t>
      </w:r>
      <w:r w:rsidR="00DC00EB">
        <w:t>than at</w:t>
      </w:r>
      <w:r>
        <w:t xml:space="preserve"> the equivalent site without fox control.</w:t>
      </w:r>
      <w:r w:rsidR="0000767D">
        <w:rPr>
          <w:noProof/>
        </w:rPr>
        <w:drawing>
          <wp:inline distT="0" distB="0" distL="0" distR="0" wp14:anchorId="4FC6CCE6" wp14:editId="2E850AC3">
            <wp:extent cx="5321935" cy="3398586"/>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58" cstate="email">
                      <a:extLst>
                        <a:ext uri="{28A0092B-C50C-407E-A947-70E740481C1C}">
                          <a14:useLocalDpi xmlns:a14="http://schemas.microsoft.com/office/drawing/2010/main"/>
                        </a:ext>
                      </a:extLst>
                    </a:blip>
                    <a:stretch>
                      <a:fillRect/>
                    </a:stretch>
                  </pic:blipFill>
                  <pic:spPr>
                    <a:xfrm>
                      <a:off x="0" y="0"/>
                      <a:ext cx="5337189" cy="3408327"/>
                    </a:xfrm>
                    <a:prstGeom prst="rect">
                      <a:avLst/>
                    </a:prstGeom>
                  </pic:spPr>
                </pic:pic>
              </a:graphicData>
            </a:graphic>
          </wp:inline>
        </w:drawing>
      </w:r>
    </w:p>
    <w:p w14:paraId="5F980C62" w14:textId="763FE133" w:rsidR="00E7371E" w:rsidRDefault="00E7371E" w:rsidP="00584FA8">
      <w:pPr>
        <w:pStyle w:val="Caption-Figure"/>
      </w:pPr>
      <w:bookmarkStart w:id="69" w:name="_Toc110599623"/>
      <w:r>
        <w:t xml:space="preserve">Figure </w:t>
      </w:r>
      <w:r w:rsidR="0021390F">
        <w:t>6</w:t>
      </w:r>
      <w:r>
        <w:t xml:space="preserve">. Estimated </w:t>
      </w:r>
      <w:r w:rsidR="000B2E20">
        <w:t>persistence</w:t>
      </w:r>
      <w:r>
        <w:t xml:space="preserve"> rate for Common Brushtail Possum </w:t>
      </w:r>
      <w:r w:rsidR="00E925F6">
        <w:t xml:space="preserve">in relation </w:t>
      </w:r>
      <w:r>
        <w:t>to distance to non-native vegetation</w:t>
      </w:r>
      <w:bookmarkEnd w:id="69"/>
    </w:p>
    <w:p w14:paraId="671FE630" w14:textId="77777777" w:rsidR="00E7371E" w:rsidRDefault="00E7371E" w:rsidP="00E7371E">
      <w:pPr>
        <w:pStyle w:val="Heading4"/>
        <w:rPr>
          <w:lang w:eastAsia="en-AU"/>
        </w:rPr>
      </w:pPr>
      <w:r>
        <w:rPr>
          <w:lang w:eastAsia="en-AU"/>
        </w:rPr>
        <w:lastRenderedPageBreak/>
        <w:t>Colonisation</w:t>
      </w:r>
    </w:p>
    <w:p w14:paraId="4DCEB06E" w14:textId="04B37405" w:rsidR="00E7371E" w:rsidRDefault="00E7371E" w:rsidP="00E7371E">
      <w:pPr>
        <w:pStyle w:val="BodyText"/>
      </w:pPr>
      <w:r>
        <w:t xml:space="preserve">The only covariate that influenced colonisation rates was the presence of fox control (Table </w:t>
      </w:r>
      <w:r w:rsidR="0021390F">
        <w:t>5</w:t>
      </w:r>
      <w:r>
        <w:t>). At sites with fox control</w:t>
      </w:r>
      <w:r w:rsidR="002A2CA5">
        <w:t>,</w:t>
      </w:r>
      <w:r>
        <w:t xml:space="preserve"> the odds of an unoccupied </w:t>
      </w:r>
      <w:r w:rsidR="00DC00EB">
        <w:t xml:space="preserve">site </w:t>
      </w:r>
      <w:r>
        <w:t xml:space="preserve">becoming occupied </w:t>
      </w:r>
      <w:r w:rsidR="00DC00EB">
        <w:t xml:space="preserve">by Common Brushtail Possums were greater </w:t>
      </w:r>
      <w:r>
        <w:t xml:space="preserve">by 35% (95% </w:t>
      </w:r>
      <w:r w:rsidR="00FA5CF4">
        <w:t>CI</w:t>
      </w:r>
      <w:r>
        <w:t xml:space="preserve"> 1</w:t>
      </w:r>
      <w:r w:rsidR="00DC00EB">
        <w:t>–</w:t>
      </w:r>
      <w:r>
        <w:t xml:space="preserve">79%) </w:t>
      </w:r>
      <w:r w:rsidR="00DC00EB">
        <w:t>than at</w:t>
      </w:r>
      <w:r>
        <w:t xml:space="preserve"> the equivalent site without fox control.</w:t>
      </w:r>
    </w:p>
    <w:p w14:paraId="4E2B20D6" w14:textId="49110D62" w:rsidR="00E7371E" w:rsidRPr="00473385" w:rsidRDefault="00E7371E" w:rsidP="00E7371E">
      <w:pPr>
        <w:pStyle w:val="Caption-Table"/>
      </w:pPr>
      <w:bookmarkStart w:id="70" w:name="_Toc110599615"/>
      <w:r w:rsidRPr="00473385">
        <w:t xml:space="preserve">Table </w:t>
      </w:r>
      <w:r w:rsidR="0021390F">
        <w:t>5</w:t>
      </w:r>
      <w:r w:rsidRPr="00473385">
        <w:t xml:space="preserve">. Results from the Common Brushtail Possum </w:t>
      </w:r>
      <w:r w:rsidR="002A2CA5">
        <w:t xml:space="preserve">occupancy </w:t>
      </w:r>
      <w:r w:rsidRPr="00473385">
        <w:t>model</w:t>
      </w:r>
      <w:bookmarkEnd w:id="70"/>
    </w:p>
    <w:tbl>
      <w:tblPr>
        <w:tblStyle w:val="Table"/>
        <w:tblW w:w="0" w:type="auto"/>
        <w:tblBorders>
          <w:insideH w:val="single" w:sz="2" w:space="0" w:color="00A9B2"/>
        </w:tblBorders>
        <w:tblLook w:val="0020" w:firstRow="1" w:lastRow="0" w:firstColumn="0" w:lastColumn="0" w:noHBand="0" w:noVBand="0"/>
      </w:tblPr>
      <w:tblGrid>
        <w:gridCol w:w="1428"/>
        <w:gridCol w:w="5164"/>
        <w:gridCol w:w="872"/>
        <w:gridCol w:w="828"/>
        <w:gridCol w:w="828"/>
      </w:tblGrid>
      <w:tr w:rsidR="00091D5C" w:rsidRPr="00010544" w14:paraId="791D719A" w14:textId="77777777" w:rsidTr="00187119">
        <w:trPr>
          <w:cnfStyle w:val="100000000000" w:firstRow="1" w:lastRow="0" w:firstColumn="0" w:lastColumn="0" w:oddVBand="0" w:evenVBand="0" w:oddHBand="0" w:evenHBand="0" w:firstRowFirstColumn="0" w:firstRowLastColumn="0" w:lastRowFirstColumn="0" w:lastRowLastColumn="0"/>
          <w:trHeight w:val="374"/>
        </w:trPr>
        <w:tc>
          <w:tcPr>
            <w:tcW w:w="0" w:type="auto"/>
            <w:shd w:val="clear" w:color="auto" w:fill="00A9B2"/>
            <w:vAlign w:val="center"/>
          </w:tcPr>
          <w:p w14:paraId="679780A4" w14:textId="77777777" w:rsidR="00E7371E" w:rsidRPr="00010544" w:rsidRDefault="00E7371E" w:rsidP="00252A73">
            <w:pPr>
              <w:pStyle w:val="Tableheadingtext"/>
              <w:rPr>
                <w:b w:val="0"/>
                <w:sz w:val="20"/>
                <w:szCs w:val="16"/>
              </w:rPr>
            </w:pPr>
            <w:r w:rsidRPr="00010544">
              <w:rPr>
                <w:b w:val="0"/>
                <w:sz w:val="20"/>
                <w:szCs w:val="16"/>
              </w:rPr>
              <w:t>Component</w:t>
            </w:r>
          </w:p>
        </w:tc>
        <w:tc>
          <w:tcPr>
            <w:tcW w:w="0" w:type="auto"/>
            <w:shd w:val="clear" w:color="auto" w:fill="00A9B2"/>
            <w:vAlign w:val="center"/>
          </w:tcPr>
          <w:p w14:paraId="3A2EF7AF" w14:textId="77777777" w:rsidR="00E7371E" w:rsidRPr="00010544" w:rsidRDefault="00E7371E" w:rsidP="00252A73">
            <w:pPr>
              <w:pStyle w:val="Tableheadingtext"/>
              <w:rPr>
                <w:b w:val="0"/>
                <w:sz w:val="20"/>
                <w:szCs w:val="16"/>
              </w:rPr>
            </w:pPr>
            <w:r w:rsidRPr="00010544">
              <w:rPr>
                <w:b w:val="0"/>
                <w:sz w:val="20"/>
                <w:szCs w:val="16"/>
              </w:rPr>
              <w:t>Parameter</w:t>
            </w:r>
          </w:p>
        </w:tc>
        <w:tc>
          <w:tcPr>
            <w:tcW w:w="0" w:type="auto"/>
            <w:shd w:val="clear" w:color="auto" w:fill="00A9B2"/>
          </w:tcPr>
          <w:p w14:paraId="36E0C1D3" w14:textId="77777777" w:rsidR="00E7371E" w:rsidRPr="00010544" w:rsidRDefault="00E7371E" w:rsidP="002B71D3">
            <w:pPr>
              <w:pStyle w:val="Tableheadingtext"/>
              <w:jc w:val="center"/>
              <w:rPr>
                <w:b w:val="0"/>
                <w:sz w:val="20"/>
                <w:szCs w:val="16"/>
              </w:rPr>
            </w:pPr>
            <w:r w:rsidRPr="00010544">
              <w:rPr>
                <w:b w:val="0"/>
                <w:sz w:val="20"/>
                <w:szCs w:val="16"/>
              </w:rPr>
              <w:t>Median</w:t>
            </w:r>
          </w:p>
        </w:tc>
        <w:tc>
          <w:tcPr>
            <w:tcW w:w="0" w:type="auto"/>
            <w:shd w:val="clear" w:color="auto" w:fill="00A9B2"/>
          </w:tcPr>
          <w:p w14:paraId="67789FE8" w14:textId="0A97EA9F" w:rsidR="00E7371E" w:rsidRPr="00010544" w:rsidRDefault="00E7371E" w:rsidP="002B71D3">
            <w:pPr>
              <w:pStyle w:val="Tableheadingtext"/>
              <w:jc w:val="center"/>
              <w:rPr>
                <w:b w:val="0"/>
                <w:sz w:val="20"/>
                <w:szCs w:val="16"/>
              </w:rPr>
            </w:pPr>
            <w:r w:rsidRPr="00010544">
              <w:rPr>
                <w:b w:val="0"/>
                <w:sz w:val="20"/>
                <w:szCs w:val="16"/>
              </w:rPr>
              <w:t>L</w:t>
            </w:r>
            <w:r w:rsidR="00553A78" w:rsidRPr="00010544">
              <w:rPr>
                <w:b w:val="0"/>
                <w:sz w:val="20"/>
                <w:szCs w:val="16"/>
              </w:rPr>
              <w:t>.B.</w:t>
            </w:r>
          </w:p>
        </w:tc>
        <w:tc>
          <w:tcPr>
            <w:tcW w:w="0" w:type="auto"/>
            <w:shd w:val="clear" w:color="auto" w:fill="00A9B2"/>
          </w:tcPr>
          <w:p w14:paraId="199B6279" w14:textId="461CFE15" w:rsidR="00E7371E" w:rsidRPr="00010544" w:rsidRDefault="00E7371E" w:rsidP="002B71D3">
            <w:pPr>
              <w:pStyle w:val="Tableheadingtext"/>
              <w:jc w:val="center"/>
              <w:rPr>
                <w:b w:val="0"/>
                <w:sz w:val="20"/>
                <w:szCs w:val="16"/>
              </w:rPr>
            </w:pPr>
            <w:r w:rsidRPr="00010544">
              <w:rPr>
                <w:b w:val="0"/>
                <w:sz w:val="20"/>
                <w:szCs w:val="16"/>
              </w:rPr>
              <w:t>U</w:t>
            </w:r>
            <w:r w:rsidR="00553A78" w:rsidRPr="00010544">
              <w:rPr>
                <w:b w:val="0"/>
                <w:sz w:val="20"/>
                <w:szCs w:val="16"/>
              </w:rPr>
              <w:t>.B.</w:t>
            </w:r>
          </w:p>
        </w:tc>
      </w:tr>
      <w:tr w:rsidR="00E7371E" w:rsidRPr="00D85CBC" w14:paraId="2385DFE1" w14:textId="77777777" w:rsidTr="00187119">
        <w:trPr>
          <w:trHeight w:val="374"/>
        </w:trPr>
        <w:tc>
          <w:tcPr>
            <w:tcW w:w="0" w:type="auto"/>
            <w:shd w:val="clear" w:color="auto" w:fill="F2F2F2" w:themeFill="background1" w:themeFillShade="F2"/>
            <w:vAlign w:val="center"/>
          </w:tcPr>
          <w:p w14:paraId="305793C3" w14:textId="77777777" w:rsidR="00E7371E" w:rsidRPr="00D85CBC" w:rsidRDefault="00E7371E" w:rsidP="00252A73">
            <w:pPr>
              <w:rPr>
                <w:b/>
                <w:bCs/>
                <w:sz w:val="20"/>
                <w:szCs w:val="20"/>
              </w:rPr>
            </w:pPr>
            <w:r>
              <w:rPr>
                <w:b/>
                <w:bCs/>
                <w:sz w:val="20"/>
                <w:szCs w:val="20"/>
              </w:rPr>
              <w:t>Persistence</w:t>
            </w:r>
          </w:p>
        </w:tc>
        <w:tc>
          <w:tcPr>
            <w:tcW w:w="0" w:type="auto"/>
            <w:shd w:val="clear" w:color="auto" w:fill="F2F2F2" w:themeFill="background1" w:themeFillShade="F2"/>
            <w:vAlign w:val="center"/>
          </w:tcPr>
          <w:p w14:paraId="2ACC63CD" w14:textId="77777777" w:rsidR="00E7371E" w:rsidRPr="00D85CBC" w:rsidRDefault="00E7371E" w:rsidP="00252A73">
            <w:pPr>
              <w:rPr>
                <w:b/>
                <w:bCs/>
                <w:sz w:val="20"/>
                <w:szCs w:val="20"/>
              </w:rPr>
            </w:pPr>
            <w:r w:rsidRPr="00D85CBC">
              <w:rPr>
                <w:b/>
                <w:bCs/>
                <w:sz w:val="20"/>
                <w:szCs w:val="20"/>
              </w:rPr>
              <w:t>Distance to non-native vegetation</w:t>
            </w:r>
          </w:p>
        </w:tc>
        <w:tc>
          <w:tcPr>
            <w:tcW w:w="0" w:type="auto"/>
            <w:shd w:val="clear" w:color="auto" w:fill="F2F2F2" w:themeFill="background1" w:themeFillShade="F2"/>
          </w:tcPr>
          <w:p w14:paraId="7E1D7FA4" w14:textId="2E3B4224" w:rsidR="00E7371E" w:rsidRPr="00D85CBC" w:rsidRDefault="001A43D7" w:rsidP="002B71D3">
            <w:pPr>
              <w:jc w:val="center"/>
              <w:rPr>
                <w:b/>
                <w:bCs/>
                <w:sz w:val="20"/>
                <w:szCs w:val="20"/>
              </w:rPr>
            </w:pPr>
            <w:r>
              <w:rPr>
                <w:b/>
                <w:bCs/>
                <w:sz w:val="20"/>
                <w:szCs w:val="20"/>
              </w:rPr>
              <w:t>–</w:t>
            </w:r>
            <w:r w:rsidR="00E7371E" w:rsidRPr="00D85CBC">
              <w:rPr>
                <w:b/>
                <w:bCs/>
                <w:sz w:val="20"/>
                <w:szCs w:val="20"/>
              </w:rPr>
              <w:t>0.326</w:t>
            </w:r>
          </w:p>
        </w:tc>
        <w:tc>
          <w:tcPr>
            <w:tcW w:w="0" w:type="auto"/>
            <w:shd w:val="clear" w:color="auto" w:fill="F2F2F2" w:themeFill="background1" w:themeFillShade="F2"/>
          </w:tcPr>
          <w:p w14:paraId="4CB6C46B" w14:textId="32653B3E" w:rsidR="00E7371E" w:rsidRPr="00D85CBC" w:rsidRDefault="001A43D7" w:rsidP="002B71D3">
            <w:pPr>
              <w:jc w:val="center"/>
              <w:rPr>
                <w:b/>
                <w:bCs/>
                <w:sz w:val="20"/>
                <w:szCs w:val="20"/>
              </w:rPr>
            </w:pPr>
            <w:r>
              <w:rPr>
                <w:b/>
                <w:bCs/>
                <w:sz w:val="20"/>
                <w:szCs w:val="20"/>
              </w:rPr>
              <w:t>–</w:t>
            </w:r>
            <w:r w:rsidR="00E7371E" w:rsidRPr="00D85CBC">
              <w:rPr>
                <w:b/>
                <w:bCs/>
                <w:sz w:val="20"/>
                <w:szCs w:val="20"/>
              </w:rPr>
              <w:t>0.630</w:t>
            </w:r>
          </w:p>
        </w:tc>
        <w:tc>
          <w:tcPr>
            <w:tcW w:w="0" w:type="auto"/>
            <w:shd w:val="clear" w:color="auto" w:fill="F2F2F2" w:themeFill="background1" w:themeFillShade="F2"/>
          </w:tcPr>
          <w:p w14:paraId="1A9A10DE" w14:textId="709E7D08" w:rsidR="00E7371E" w:rsidRPr="00D85CBC" w:rsidRDefault="001A43D7" w:rsidP="002B71D3">
            <w:pPr>
              <w:jc w:val="center"/>
              <w:rPr>
                <w:b/>
                <w:bCs/>
                <w:sz w:val="20"/>
                <w:szCs w:val="20"/>
              </w:rPr>
            </w:pPr>
            <w:r>
              <w:rPr>
                <w:b/>
                <w:bCs/>
                <w:sz w:val="20"/>
                <w:szCs w:val="20"/>
              </w:rPr>
              <w:t>–</w:t>
            </w:r>
            <w:r w:rsidR="00E7371E" w:rsidRPr="00D85CBC">
              <w:rPr>
                <w:b/>
                <w:bCs/>
                <w:sz w:val="20"/>
                <w:szCs w:val="20"/>
              </w:rPr>
              <w:t>0.015</w:t>
            </w:r>
          </w:p>
        </w:tc>
      </w:tr>
      <w:tr w:rsidR="00E7371E" w:rsidRPr="00D85CBC" w14:paraId="2615EE3A" w14:textId="77777777" w:rsidTr="00187119">
        <w:trPr>
          <w:trHeight w:val="374"/>
        </w:trPr>
        <w:tc>
          <w:tcPr>
            <w:tcW w:w="0" w:type="auto"/>
            <w:vAlign w:val="center"/>
          </w:tcPr>
          <w:p w14:paraId="61EA7C4C" w14:textId="77777777" w:rsidR="00E7371E" w:rsidRPr="00D85CBC" w:rsidRDefault="00E7371E" w:rsidP="00252A73">
            <w:pPr>
              <w:rPr>
                <w:sz w:val="20"/>
                <w:szCs w:val="20"/>
              </w:rPr>
            </w:pPr>
            <w:r>
              <w:rPr>
                <w:sz w:val="20"/>
                <w:szCs w:val="20"/>
              </w:rPr>
              <w:t>Persistence</w:t>
            </w:r>
          </w:p>
        </w:tc>
        <w:tc>
          <w:tcPr>
            <w:tcW w:w="0" w:type="auto"/>
            <w:vAlign w:val="center"/>
          </w:tcPr>
          <w:p w14:paraId="7BAF6D56" w14:textId="6FB4B265" w:rsidR="00E7371E" w:rsidRPr="00D85CBC" w:rsidRDefault="00E7371E" w:rsidP="00252A73">
            <w:pPr>
              <w:rPr>
                <w:sz w:val="20"/>
                <w:szCs w:val="20"/>
              </w:rPr>
            </w:pPr>
            <w:r w:rsidRPr="00D85CBC">
              <w:rPr>
                <w:sz w:val="20"/>
                <w:szCs w:val="20"/>
              </w:rPr>
              <w:t xml:space="preserve">Distance to non-native vegetation </w:t>
            </w:r>
            <w:r w:rsidR="004E5490" w:rsidRPr="004E5490">
              <w:rPr>
                <w:sz w:val="20"/>
                <w:szCs w:val="20"/>
              </w:rPr>
              <w:t>with fox control status</w:t>
            </w:r>
          </w:p>
        </w:tc>
        <w:tc>
          <w:tcPr>
            <w:tcW w:w="0" w:type="auto"/>
          </w:tcPr>
          <w:p w14:paraId="14027481" w14:textId="77777777" w:rsidR="00E7371E" w:rsidRPr="00D85CBC" w:rsidRDefault="00E7371E" w:rsidP="002B71D3">
            <w:pPr>
              <w:jc w:val="center"/>
              <w:rPr>
                <w:sz w:val="20"/>
                <w:szCs w:val="20"/>
              </w:rPr>
            </w:pPr>
            <w:r w:rsidRPr="00D85CBC">
              <w:rPr>
                <w:sz w:val="20"/>
                <w:szCs w:val="20"/>
              </w:rPr>
              <w:t>0.285</w:t>
            </w:r>
          </w:p>
        </w:tc>
        <w:tc>
          <w:tcPr>
            <w:tcW w:w="0" w:type="auto"/>
          </w:tcPr>
          <w:p w14:paraId="3D3C40DF" w14:textId="0B2F8F00" w:rsidR="00E7371E" w:rsidRPr="00D85CBC" w:rsidRDefault="001A43D7" w:rsidP="002B71D3">
            <w:pPr>
              <w:jc w:val="center"/>
              <w:rPr>
                <w:sz w:val="20"/>
                <w:szCs w:val="20"/>
              </w:rPr>
            </w:pPr>
            <w:r>
              <w:rPr>
                <w:sz w:val="20"/>
                <w:szCs w:val="20"/>
              </w:rPr>
              <w:t>–</w:t>
            </w:r>
            <w:r w:rsidR="00E7371E" w:rsidRPr="00D85CBC">
              <w:rPr>
                <w:sz w:val="20"/>
                <w:szCs w:val="20"/>
              </w:rPr>
              <w:t>0.118</w:t>
            </w:r>
          </w:p>
        </w:tc>
        <w:tc>
          <w:tcPr>
            <w:tcW w:w="0" w:type="auto"/>
          </w:tcPr>
          <w:p w14:paraId="4B9173D7" w14:textId="77777777" w:rsidR="00E7371E" w:rsidRPr="00D85CBC" w:rsidRDefault="00E7371E" w:rsidP="002B71D3">
            <w:pPr>
              <w:jc w:val="center"/>
              <w:rPr>
                <w:sz w:val="20"/>
                <w:szCs w:val="20"/>
              </w:rPr>
            </w:pPr>
            <w:r w:rsidRPr="00D85CBC">
              <w:rPr>
                <w:sz w:val="20"/>
                <w:szCs w:val="20"/>
              </w:rPr>
              <w:t>0.712</w:t>
            </w:r>
          </w:p>
        </w:tc>
      </w:tr>
      <w:tr w:rsidR="00091D5C" w:rsidRPr="00D85CBC" w14:paraId="3CFBE39E" w14:textId="77777777" w:rsidTr="00187119">
        <w:trPr>
          <w:trHeight w:val="374"/>
        </w:trPr>
        <w:tc>
          <w:tcPr>
            <w:tcW w:w="0" w:type="auto"/>
            <w:tcBorders>
              <w:bottom w:val="single" w:sz="2" w:space="0" w:color="00A9B2"/>
            </w:tcBorders>
            <w:shd w:val="clear" w:color="auto" w:fill="F2F2F2" w:themeFill="background1" w:themeFillShade="F2"/>
            <w:vAlign w:val="center"/>
          </w:tcPr>
          <w:p w14:paraId="3260E8DC" w14:textId="77777777" w:rsidR="00E7371E" w:rsidRPr="00D85CBC" w:rsidRDefault="00E7371E" w:rsidP="00252A73">
            <w:pPr>
              <w:rPr>
                <w:b/>
                <w:bCs/>
                <w:sz w:val="20"/>
                <w:szCs w:val="20"/>
              </w:rPr>
            </w:pPr>
            <w:r>
              <w:rPr>
                <w:b/>
                <w:bCs/>
                <w:sz w:val="20"/>
                <w:szCs w:val="20"/>
              </w:rPr>
              <w:t>Persistence</w:t>
            </w:r>
          </w:p>
        </w:tc>
        <w:tc>
          <w:tcPr>
            <w:tcW w:w="0" w:type="auto"/>
            <w:tcBorders>
              <w:bottom w:val="single" w:sz="2" w:space="0" w:color="00A9B2"/>
            </w:tcBorders>
            <w:shd w:val="clear" w:color="auto" w:fill="F2F2F2" w:themeFill="background1" w:themeFillShade="F2"/>
            <w:vAlign w:val="center"/>
          </w:tcPr>
          <w:p w14:paraId="4AD205D4" w14:textId="77777777" w:rsidR="00E7371E" w:rsidRPr="00D85CBC" w:rsidRDefault="00E7371E" w:rsidP="00252A73">
            <w:pPr>
              <w:rPr>
                <w:b/>
                <w:bCs/>
                <w:sz w:val="20"/>
                <w:szCs w:val="20"/>
              </w:rPr>
            </w:pPr>
            <w:r w:rsidRPr="00D85CBC">
              <w:rPr>
                <w:b/>
                <w:bCs/>
                <w:sz w:val="20"/>
                <w:szCs w:val="20"/>
              </w:rPr>
              <w:t>Fox control area</w:t>
            </w:r>
          </w:p>
        </w:tc>
        <w:tc>
          <w:tcPr>
            <w:tcW w:w="0" w:type="auto"/>
            <w:tcBorders>
              <w:bottom w:val="single" w:sz="2" w:space="0" w:color="00A9B2"/>
            </w:tcBorders>
            <w:shd w:val="clear" w:color="auto" w:fill="F2F2F2" w:themeFill="background1" w:themeFillShade="F2"/>
          </w:tcPr>
          <w:p w14:paraId="763681E9" w14:textId="77777777" w:rsidR="00E7371E" w:rsidRPr="00D85CBC" w:rsidRDefault="00E7371E" w:rsidP="002B71D3">
            <w:pPr>
              <w:jc w:val="center"/>
              <w:rPr>
                <w:b/>
                <w:bCs/>
                <w:sz w:val="20"/>
                <w:szCs w:val="20"/>
              </w:rPr>
            </w:pPr>
            <w:r w:rsidRPr="00D85CBC">
              <w:rPr>
                <w:b/>
                <w:bCs/>
                <w:sz w:val="20"/>
                <w:szCs w:val="20"/>
              </w:rPr>
              <w:t>0.360</w:t>
            </w:r>
          </w:p>
        </w:tc>
        <w:tc>
          <w:tcPr>
            <w:tcW w:w="0" w:type="auto"/>
            <w:tcBorders>
              <w:bottom w:val="single" w:sz="2" w:space="0" w:color="00A9B2"/>
            </w:tcBorders>
            <w:shd w:val="clear" w:color="auto" w:fill="F2F2F2" w:themeFill="background1" w:themeFillShade="F2"/>
          </w:tcPr>
          <w:p w14:paraId="2422B711" w14:textId="77777777" w:rsidR="00E7371E" w:rsidRPr="00D85CBC" w:rsidRDefault="00E7371E" w:rsidP="002B71D3">
            <w:pPr>
              <w:jc w:val="center"/>
              <w:rPr>
                <w:b/>
                <w:bCs/>
                <w:sz w:val="20"/>
                <w:szCs w:val="20"/>
              </w:rPr>
            </w:pPr>
            <w:r w:rsidRPr="00D85CBC">
              <w:rPr>
                <w:b/>
                <w:bCs/>
                <w:sz w:val="20"/>
                <w:szCs w:val="20"/>
              </w:rPr>
              <w:t>0.182</w:t>
            </w:r>
          </w:p>
        </w:tc>
        <w:tc>
          <w:tcPr>
            <w:tcW w:w="0" w:type="auto"/>
            <w:tcBorders>
              <w:bottom w:val="single" w:sz="2" w:space="0" w:color="00A9B2"/>
            </w:tcBorders>
            <w:shd w:val="clear" w:color="auto" w:fill="F2F2F2" w:themeFill="background1" w:themeFillShade="F2"/>
          </w:tcPr>
          <w:p w14:paraId="62D5BE8C" w14:textId="77777777" w:rsidR="00E7371E" w:rsidRPr="00D85CBC" w:rsidRDefault="00E7371E" w:rsidP="002B71D3">
            <w:pPr>
              <w:jc w:val="center"/>
              <w:rPr>
                <w:b/>
                <w:bCs/>
                <w:sz w:val="20"/>
                <w:szCs w:val="20"/>
              </w:rPr>
            </w:pPr>
            <w:r w:rsidRPr="00D85CBC">
              <w:rPr>
                <w:b/>
                <w:bCs/>
                <w:sz w:val="20"/>
                <w:szCs w:val="20"/>
              </w:rPr>
              <w:t>0.542</w:t>
            </w:r>
          </w:p>
        </w:tc>
      </w:tr>
      <w:tr w:rsidR="00091D5C" w:rsidRPr="00D85CBC" w14:paraId="3BC6E5D9" w14:textId="77777777" w:rsidTr="00187119">
        <w:trPr>
          <w:trHeight w:val="374"/>
        </w:trPr>
        <w:tc>
          <w:tcPr>
            <w:tcW w:w="0" w:type="auto"/>
            <w:tcBorders>
              <w:top w:val="single" w:sz="2" w:space="0" w:color="00A9B2"/>
              <w:bottom w:val="single" w:sz="2" w:space="0" w:color="00A9B2"/>
            </w:tcBorders>
            <w:shd w:val="clear" w:color="auto" w:fill="F2F2F2" w:themeFill="background1" w:themeFillShade="F2"/>
            <w:vAlign w:val="center"/>
          </w:tcPr>
          <w:p w14:paraId="2657E750" w14:textId="77777777" w:rsidR="00E7371E" w:rsidRPr="00D85CBC" w:rsidRDefault="00E7371E" w:rsidP="00252A73">
            <w:pPr>
              <w:rPr>
                <w:b/>
                <w:bCs/>
                <w:sz w:val="20"/>
                <w:szCs w:val="20"/>
              </w:rPr>
            </w:pPr>
            <w:proofErr w:type="spellStart"/>
            <w:r>
              <w:rPr>
                <w:b/>
                <w:bCs/>
                <w:sz w:val="20"/>
                <w:szCs w:val="20"/>
              </w:rPr>
              <w:t>C</w:t>
            </w:r>
            <w:r w:rsidRPr="00D85CBC">
              <w:rPr>
                <w:b/>
                <w:bCs/>
                <w:sz w:val="20"/>
                <w:szCs w:val="20"/>
              </w:rPr>
              <w:t>olonisation</w:t>
            </w:r>
            <w:proofErr w:type="spellEnd"/>
          </w:p>
        </w:tc>
        <w:tc>
          <w:tcPr>
            <w:tcW w:w="0" w:type="auto"/>
            <w:tcBorders>
              <w:top w:val="single" w:sz="2" w:space="0" w:color="00A9B2"/>
              <w:bottom w:val="single" w:sz="2" w:space="0" w:color="00A9B2"/>
            </w:tcBorders>
            <w:shd w:val="clear" w:color="auto" w:fill="F2F2F2" w:themeFill="background1" w:themeFillShade="F2"/>
            <w:vAlign w:val="center"/>
          </w:tcPr>
          <w:p w14:paraId="1551A369" w14:textId="77777777" w:rsidR="00E7371E" w:rsidRPr="00D85CBC" w:rsidRDefault="00E7371E" w:rsidP="00252A73">
            <w:pPr>
              <w:rPr>
                <w:b/>
                <w:bCs/>
                <w:sz w:val="20"/>
                <w:szCs w:val="20"/>
              </w:rPr>
            </w:pPr>
            <w:r w:rsidRPr="00D85CBC">
              <w:rPr>
                <w:b/>
                <w:bCs/>
                <w:sz w:val="20"/>
                <w:szCs w:val="20"/>
              </w:rPr>
              <w:t>Fox control area</w:t>
            </w:r>
          </w:p>
        </w:tc>
        <w:tc>
          <w:tcPr>
            <w:tcW w:w="0" w:type="auto"/>
            <w:tcBorders>
              <w:top w:val="single" w:sz="2" w:space="0" w:color="00A9B2"/>
              <w:bottom w:val="single" w:sz="2" w:space="0" w:color="00A9B2"/>
            </w:tcBorders>
            <w:shd w:val="clear" w:color="auto" w:fill="F2F2F2" w:themeFill="background1" w:themeFillShade="F2"/>
          </w:tcPr>
          <w:p w14:paraId="77F6A139" w14:textId="77777777" w:rsidR="00E7371E" w:rsidRPr="00D85CBC" w:rsidRDefault="00E7371E" w:rsidP="002B71D3">
            <w:pPr>
              <w:jc w:val="center"/>
              <w:rPr>
                <w:b/>
                <w:bCs/>
                <w:sz w:val="20"/>
                <w:szCs w:val="20"/>
              </w:rPr>
            </w:pPr>
            <w:r w:rsidRPr="00D85CBC">
              <w:rPr>
                <w:b/>
                <w:bCs/>
                <w:sz w:val="20"/>
                <w:szCs w:val="20"/>
              </w:rPr>
              <w:t>0.303</w:t>
            </w:r>
          </w:p>
        </w:tc>
        <w:tc>
          <w:tcPr>
            <w:tcW w:w="0" w:type="auto"/>
            <w:tcBorders>
              <w:top w:val="single" w:sz="2" w:space="0" w:color="00A9B2"/>
              <w:bottom w:val="single" w:sz="2" w:space="0" w:color="00A9B2"/>
            </w:tcBorders>
            <w:shd w:val="clear" w:color="auto" w:fill="F2F2F2" w:themeFill="background1" w:themeFillShade="F2"/>
          </w:tcPr>
          <w:p w14:paraId="4B93FCBF" w14:textId="77777777" w:rsidR="00E7371E" w:rsidRPr="00D85CBC" w:rsidRDefault="00E7371E" w:rsidP="002B71D3">
            <w:pPr>
              <w:jc w:val="center"/>
              <w:rPr>
                <w:b/>
                <w:bCs/>
                <w:sz w:val="20"/>
                <w:szCs w:val="20"/>
              </w:rPr>
            </w:pPr>
            <w:r w:rsidRPr="00D85CBC">
              <w:rPr>
                <w:b/>
                <w:bCs/>
                <w:sz w:val="20"/>
                <w:szCs w:val="20"/>
              </w:rPr>
              <w:t>0.014</w:t>
            </w:r>
          </w:p>
        </w:tc>
        <w:tc>
          <w:tcPr>
            <w:tcW w:w="0" w:type="auto"/>
            <w:tcBorders>
              <w:top w:val="single" w:sz="2" w:space="0" w:color="00A9B2"/>
              <w:bottom w:val="single" w:sz="2" w:space="0" w:color="00A9B2"/>
            </w:tcBorders>
            <w:shd w:val="clear" w:color="auto" w:fill="F2F2F2" w:themeFill="background1" w:themeFillShade="F2"/>
          </w:tcPr>
          <w:p w14:paraId="0753FABD" w14:textId="77777777" w:rsidR="00E7371E" w:rsidRPr="00D85CBC" w:rsidRDefault="00E7371E" w:rsidP="002B71D3">
            <w:pPr>
              <w:jc w:val="center"/>
              <w:rPr>
                <w:b/>
                <w:bCs/>
                <w:sz w:val="20"/>
                <w:szCs w:val="20"/>
              </w:rPr>
            </w:pPr>
            <w:r w:rsidRPr="00D85CBC">
              <w:rPr>
                <w:b/>
                <w:bCs/>
                <w:sz w:val="20"/>
                <w:szCs w:val="20"/>
              </w:rPr>
              <w:t>0.585</w:t>
            </w:r>
          </w:p>
        </w:tc>
      </w:tr>
    </w:tbl>
    <w:p w14:paraId="586C90B8" w14:textId="1FACD81E" w:rsidR="00E7371E" w:rsidRDefault="00C277F4" w:rsidP="00E7371E">
      <w:r>
        <w:t xml:space="preserve">Rows in </w:t>
      </w:r>
      <w:r w:rsidRPr="00C277F4">
        <w:rPr>
          <w:b/>
          <w:bCs/>
        </w:rPr>
        <w:t>bold</w:t>
      </w:r>
      <w:r>
        <w:t xml:space="preserve"> type are significant results. </w:t>
      </w:r>
      <w:r w:rsidR="001A43D7" w:rsidRPr="00473385">
        <w:t>L</w:t>
      </w:r>
      <w:r w:rsidR="001A43D7">
        <w:t>.B.</w:t>
      </w:r>
      <w:r w:rsidR="001A43D7" w:rsidRPr="00473385">
        <w:t xml:space="preserve"> and U</w:t>
      </w:r>
      <w:r w:rsidR="001A43D7">
        <w:t>.B.</w:t>
      </w:r>
      <w:r w:rsidR="001A43D7" w:rsidRPr="00473385">
        <w:t xml:space="preserve"> are the lower and upper bounds from the 95% credible interval</w:t>
      </w:r>
      <w:r w:rsidR="001A43D7">
        <w:t>,</w:t>
      </w:r>
      <w:r w:rsidR="001A43D7" w:rsidRPr="00473385">
        <w:t xml:space="preserve"> respectively. All estimates are on the logit scale.</w:t>
      </w:r>
    </w:p>
    <w:p w14:paraId="6700D9AB" w14:textId="602D489D" w:rsidR="00BE293B" w:rsidRDefault="00BE293B" w:rsidP="00E7371E">
      <w:pPr>
        <w:rPr>
          <w:b/>
          <w:bCs/>
          <w:i/>
          <w:iCs/>
          <w:sz w:val="22"/>
          <w:szCs w:val="28"/>
          <w:lang w:eastAsia="en-AU"/>
        </w:rPr>
      </w:pPr>
      <w:r w:rsidRPr="00BE293B">
        <w:rPr>
          <w:b/>
          <w:bCs/>
          <w:i/>
          <w:iCs/>
          <w:sz w:val="22"/>
          <w:szCs w:val="28"/>
          <w:lang w:eastAsia="en-AU"/>
        </w:rPr>
        <w:t>G</w:t>
      </w:r>
      <w:r>
        <w:rPr>
          <w:b/>
          <w:bCs/>
          <w:i/>
          <w:iCs/>
          <w:sz w:val="22"/>
          <w:szCs w:val="28"/>
          <w:lang w:eastAsia="en-AU"/>
        </w:rPr>
        <w:t>rowth rate</w:t>
      </w:r>
    </w:p>
    <w:p w14:paraId="444793BD" w14:textId="5A260A95" w:rsidR="00BE293B" w:rsidRDefault="007F794C" w:rsidP="00E7371E">
      <w:pPr>
        <w:rPr>
          <w:lang w:eastAsia="en-AU"/>
        </w:rPr>
      </w:pPr>
      <w:r w:rsidRPr="007F794C">
        <w:rPr>
          <w:lang w:eastAsia="en-AU"/>
        </w:rPr>
        <w:t>Since 2009</w:t>
      </w:r>
      <w:r w:rsidR="00873892">
        <w:rPr>
          <w:lang w:eastAsia="en-AU"/>
        </w:rPr>
        <w:t>,</w:t>
      </w:r>
      <w:r w:rsidRPr="007F794C">
        <w:rPr>
          <w:lang w:eastAsia="en-AU"/>
        </w:rPr>
        <w:t xml:space="preserve"> the </w:t>
      </w:r>
      <w:r w:rsidR="00C277F4">
        <w:rPr>
          <w:lang w:eastAsia="en-AU"/>
        </w:rPr>
        <w:t xml:space="preserve">difference in </w:t>
      </w:r>
      <w:r w:rsidR="004927E2">
        <w:rPr>
          <w:lang w:eastAsia="en-AU"/>
        </w:rPr>
        <w:t xml:space="preserve">occupancy </w:t>
      </w:r>
      <w:r w:rsidRPr="007F794C">
        <w:rPr>
          <w:lang w:eastAsia="en-AU"/>
        </w:rPr>
        <w:t xml:space="preserve">growth rate for </w:t>
      </w:r>
      <w:r w:rsidR="007C3488">
        <w:rPr>
          <w:lang w:eastAsia="en-AU"/>
        </w:rPr>
        <w:t>Common Brushtail Possums</w:t>
      </w:r>
      <w:r w:rsidR="007C3488" w:rsidRPr="007F794C">
        <w:rPr>
          <w:lang w:eastAsia="en-AU"/>
        </w:rPr>
        <w:t xml:space="preserve"> </w:t>
      </w:r>
      <w:r w:rsidRPr="007F794C">
        <w:rPr>
          <w:lang w:eastAsia="en-AU"/>
        </w:rPr>
        <w:t xml:space="preserve">has been very close to </w:t>
      </w:r>
      <w:r w:rsidR="00873892">
        <w:rPr>
          <w:lang w:eastAsia="en-AU"/>
        </w:rPr>
        <w:t>zero</w:t>
      </w:r>
      <w:r w:rsidR="00873892" w:rsidRPr="007F794C">
        <w:rPr>
          <w:lang w:eastAsia="en-AU"/>
        </w:rPr>
        <w:t xml:space="preserve"> </w:t>
      </w:r>
      <w:r>
        <w:rPr>
          <w:lang w:eastAsia="en-AU"/>
        </w:rPr>
        <w:t>across all locations</w:t>
      </w:r>
      <w:r w:rsidR="0018189B">
        <w:rPr>
          <w:lang w:eastAsia="en-AU"/>
        </w:rPr>
        <w:t>, suggesting that</w:t>
      </w:r>
      <w:r w:rsidRPr="007F794C">
        <w:rPr>
          <w:lang w:eastAsia="en-AU"/>
        </w:rPr>
        <w:t xml:space="preserve"> the </w:t>
      </w:r>
      <w:r w:rsidR="00C277F4">
        <w:t xml:space="preserve">most suitable habitat has </w:t>
      </w:r>
      <w:r w:rsidR="00B451CE">
        <w:t xml:space="preserve">become and remains occupied </w:t>
      </w:r>
      <w:r w:rsidR="00C277F4">
        <w:t>since then</w:t>
      </w:r>
      <w:r w:rsidRPr="007F794C">
        <w:rPr>
          <w:lang w:eastAsia="en-AU"/>
        </w:rPr>
        <w:t xml:space="preserve">. Hence, there </w:t>
      </w:r>
      <w:r w:rsidR="007C3488">
        <w:rPr>
          <w:lang w:eastAsia="en-AU"/>
        </w:rPr>
        <w:t>wa</w:t>
      </w:r>
      <w:r w:rsidR="007C3488" w:rsidRPr="007F794C">
        <w:rPr>
          <w:lang w:eastAsia="en-AU"/>
        </w:rPr>
        <w:t xml:space="preserve">s </w:t>
      </w:r>
      <w:r>
        <w:rPr>
          <w:lang w:eastAsia="en-AU"/>
        </w:rPr>
        <w:t>a slight decline in the difference in growth rate (as a percentage change) with fox control (Figure 7)</w:t>
      </w:r>
      <w:r w:rsidRPr="007F794C">
        <w:rPr>
          <w:lang w:eastAsia="en-AU"/>
        </w:rPr>
        <w:t>.</w:t>
      </w:r>
    </w:p>
    <w:p w14:paraId="14EBC916" w14:textId="669EEFF4" w:rsidR="007F794C" w:rsidRDefault="00750DA4" w:rsidP="00E7371E">
      <w:pPr>
        <w:rPr>
          <w:lang w:eastAsia="en-AU"/>
        </w:rPr>
      </w:pPr>
      <w:r>
        <w:rPr>
          <w:noProof/>
          <w:lang w:val="en-GB" w:eastAsia="en-GB"/>
        </w:rPr>
        <w:drawing>
          <wp:inline distT="0" distB="0" distL="0" distR="0" wp14:anchorId="5768AF56" wp14:editId="661B4E95">
            <wp:extent cx="5334000" cy="4148666"/>
            <wp:effectExtent l="0" t="0" r="0" b="0"/>
            <wp:docPr id="253" name="Picture" descr="Figure 2.10: Difference in growth rates (as percentage change) by fox control status for Common Brushtail Possum over time. The dot is the median and the lines represent the 95% high density interval."/>
            <wp:cNvGraphicFramePr/>
            <a:graphic xmlns:a="http://schemas.openxmlformats.org/drawingml/2006/main">
              <a:graphicData uri="http://schemas.openxmlformats.org/drawingml/2006/picture">
                <pic:pic xmlns:pic="http://schemas.openxmlformats.org/drawingml/2006/picture">
                  <pic:nvPicPr>
                    <pic:cNvPr id="0" name="Picture" descr="Glenelg-Update-2020-Covar-v2_files/figure-docx/BTPgrFoxD-1.png"/>
                    <pic:cNvPicPr>
                      <a:picLocks noChangeAspect="1" noChangeArrowheads="1"/>
                    </pic:cNvPicPr>
                  </pic:nvPicPr>
                  <pic:blipFill>
                    <a:blip r:embed="rId59" cstate="email">
                      <a:extLst>
                        <a:ext uri="{28A0092B-C50C-407E-A947-70E740481C1C}">
                          <a14:useLocalDpi xmlns:a14="http://schemas.microsoft.com/office/drawing/2010/main"/>
                        </a:ext>
                      </a:extLst>
                    </a:blip>
                    <a:stretch>
                      <a:fillRect/>
                    </a:stretch>
                  </pic:blipFill>
                  <pic:spPr bwMode="auto">
                    <a:xfrm>
                      <a:off x="0" y="0"/>
                      <a:ext cx="5334000" cy="4148666"/>
                    </a:xfrm>
                    <a:prstGeom prst="rect">
                      <a:avLst/>
                    </a:prstGeom>
                    <a:noFill/>
                    <a:ln w="9525">
                      <a:noFill/>
                      <a:headEnd/>
                      <a:tailEnd/>
                    </a:ln>
                  </pic:spPr>
                </pic:pic>
              </a:graphicData>
            </a:graphic>
          </wp:inline>
        </w:drawing>
      </w:r>
    </w:p>
    <w:p w14:paraId="32307769" w14:textId="10C0F955" w:rsidR="00750DA4" w:rsidRDefault="00750DA4" w:rsidP="00584FA8">
      <w:pPr>
        <w:pStyle w:val="Caption-Figure"/>
        <w:rPr>
          <w:b w:val="0"/>
        </w:rPr>
      </w:pPr>
      <w:bookmarkStart w:id="71" w:name="_Toc110599624"/>
      <w:r>
        <w:t xml:space="preserve">Figure 7. </w:t>
      </w:r>
      <w:r w:rsidR="002A2CA5">
        <w:t>The d</w:t>
      </w:r>
      <w:r>
        <w:t xml:space="preserve">ifference in growth rates (percentage </w:t>
      </w:r>
      <w:r w:rsidR="009405A0">
        <w:t>difference between sites with and without fox control</w:t>
      </w:r>
      <w:r>
        <w:t xml:space="preserve">) for Common Brushtail Possum over time. </w:t>
      </w:r>
      <w:r w:rsidRPr="00187119">
        <w:rPr>
          <w:b w:val="0"/>
        </w:rPr>
        <w:t>The dot is the median</w:t>
      </w:r>
      <w:r w:rsidR="0018189B" w:rsidRPr="00187119">
        <w:rPr>
          <w:b w:val="0"/>
        </w:rPr>
        <w:t>,</w:t>
      </w:r>
      <w:r w:rsidRPr="00187119">
        <w:rPr>
          <w:b w:val="0"/>
        </w:rPr>
        <w:t xml:space="preserve"> and the lines represent the 95% </w:t>
      </w:r>
      <w:r w:rsidR="009405A0">
        <w:rPr>
          <w:b w:val="0"/>
        </w:rPr>
        <w:t>credible</w:t>
      </w:r>
      <w:r w:rsidRPr="00187119">
        <w:rPr>
          <w:b w:val="0"/>
        </w:rPr>
        <w:t xml:space="preserve"> interval.</w:t>
      </w:r>
      <w:bookmarkEnd w:id="71"/>
    </w:p>
    <w:p w14:paraId="2B857576" w14:textId="1D7B34A4" w:rsidR="000B3C19" w:rsidRDefault="000B3C19" w:rsidP="000B3C19"/>
    <w:p w14:paraId="1A9F497A" w14:textId="77777777" w:rsidR="006346AA" w:rsidRDefault="006346AA" w:rsidP="000B3C19"/>
    <w:p w14:paraId="10A90DDA" w14:textId="5F937A2F" w:rsidR="0079370C" w:rsidRDefault="0079370C" w:rsidP="0079370C">
      <w:pPr>
        <w:pStyle w:val="Heading3-Numbered"/>
      </w:pPr>
      <w:bookmarkStart w:id="72" w:name="_Toc110599604"/>
      <w:r>
        <w:lastRenderedPageBreak/>
        <w:t>Long-nosed Potoroo</w:t>
      </w:r>
      <w:bookmarkEnd w:id="72"/>
    </w:p>
    <w:p w14:paraId="2533EEA4" w14:textId="77777777" w:rsidR="007B6C29" w:rsidRDefault="007B6C29" w:rsidP="007B6C29">
      <w:pPr>
        <w:pStyle w:val="Heading4"/>
        <w:rPr>
          <w:lang w:eastAsia="en-AU"/>
        </w:rPr>
      </w:pPr>
      <w:r>
        <w:rPr>
          <w:lang w:eastAsia="en-AU"/>
        </w:rPr>
        <w:t>Persistence</w:t>
      </w:r>
    </w:p>
    <w:p w14:paraId="5456E1B1" w14:textId="20FAFE9A" w:rsidR="007B6C29" w:rsidRDefault="007B6C29" w:rsidP="007B6C29">
      <w:r>
        <w:t xml:space="preserve">The covariates </w:t>
      </w:r>
      <w:r w:rsidR="0018189B">
        <w:t>influencing</w:t>
      </w:r>
      <w:r>
        <w:t xml:space="preserve"> </w:t>
      </w:r>
      <w:r w:rsidR="00FC0A4B">
        <w:t xml:space="preserve">Long-nosed Potoroo </w:t>
      </w:r>
      <w:r>
        <w:t xml:space="preserve">persistence rates were the presence of fox control and the topographic wetness </w:t>
      </w:r>
      <w:r w:rsidR="00FC0A4B">
        <w:t xml:space="preserve">index </w:t>
      </w:r>
      <w:r>
        <w:t xml:space="preserve">(Table </w:t>
      </w:r>
      <w:r w:rsidR="0021390F">
        <w:t>6</w:t>
      </w:r>
      <w:r>
        <w:t xml:space="preserve">). </w:t>
      </w:r>
      <w:r w:rsidR="0018189B">
        <w:t>S</w:t>
      </w:r>
      <w:r>
        <w:t>ites with fox control tended to have higher persistence rates than sites without fox control</w:t>
      </w:r>
      <w:r w:rsidR="0018189B">
        <w:t>,</w:t>
      </w:r>
      <w:r>
        <w:t xml:space="preserve"> but </w:t>
      </w:r>
      <w:r w:rsidR="0018189B">
        <w:t xml:space="preserve">this difference ceased as </w:t>
      </w:r>
      <w:r>
        <w:t>topographic wetness increased</w:t>
      </w:r>
      <w:r w:rsidR="00772ED7">
        <w:t xml:space="preserve"> above a TWI of 9.</w:t>
      </w:r>
      <w:r w:rsidR="0018189B">
        <w:t xml:space="preserve"> (Figure 9)</w:t>
      </w:r>
      <w:r>
        <w:t>.</w:t>
      </w:r>
    </w:p>
    <w:p w14:paraId="241D3485" w14:textId="1F5F2AD5" w:rsidR="007B6C29" w:rsidRDefault="007B6C29" w:rsidP="007B6C29">
      <w:r>
        <w:t xml:space="preserve">The odds of an occupied </w:t>
      </w:r>
      <w:r w:rsidR="00FC0A4B">
        <w:t xml:space="preserve">site </w:t>
      </w:r>
      <w:r>
        <w:t xml:space="preserve">remaining occupied </w:t>
      </w:r>
      <w:r w:rsidR="00FC0A4B">
        <w:t xml:space="preserve">were </w:t>
      </w:r>
      <w:r>
        <w:t xml:space="preserve">103% </w:t>
      </w:r>
      <w:r w:rsidR="00FC0A4B">
        <w:t xml:space="preserve">greater </w:t>
      </w:r>
      <w:r>
        <w:t xml:space="preserve">(95% </w:t>
      </w:r>
      <w:r w:rsidR="00772ED7">
        <w:t>CI</w:t>
      </w:r>
      <w:r>
        <w:t xml:space="preserve"> 8</w:t>
      </w:r>
      <w:r w:rsidR="00FC0A4B">
        <w:t>–</w:t>
      </w:r>
      <w:r>
        <w:t xml:space="preserve">276%) </w:t>
      </w:r>
      <w:r w:rsidR="00FC0A4B">
        <w:t>than for</w:t>
      </w:r>
      <w:r>
        <w:t xml:space="preserve"> the equivalent site without fox control.</w:t>
      </w:r>
    </w:p>
    <w:p w14:paraId="0F749767" w14:textId="1D0301C3" w:rsidR="007B6C29" w:rsidRDefault="0000767D" w:rsidP="007B6C29">
      <w:pPr>
        <w:pStyle w:val="CaptionedFigure"/>
      </w:pPr>
      <w:r>
        <w:rPr>
          <w:noProof/>
        </w:rPr>
        <w:drawing>
          <wp:inline distT="0" distB="0" distL="0" distR="0" wp14:anchorId="17675EF9" wp14:editId="73B334B8">
            <wp:extent cx="5731510" cy="3660140"/>
            <wp:effectExtent l="0" t="0" r="2540" b="0"/>
            <wp:docPr id="33"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60" cstate="email">
                      <a:extLst>
                        <a:ext uri="{28A0092B-C50C-407E-A947-70E740481C1C}">
                          <a14:useLocalDpi xmlns:a14="http://schemas.microsoft.com/office/drawing/2010/main"/>
                        </a:ext>
                      </a:extLst>
                    </a:blip>
                    <a:stretch>
                      <a:fillRect/>
                    </a:stretch>
                  </pic:blipFill>
                  <pic:spPr>
                    <a:xfrm>
                      <a:off x="0" y="0"/>
                      <a:ext cx="5731510" cy="3660140"/>
                    </a:xfrm>
                    <a:prstGeom prst="rect">
                      <a:avLst/>
                    </a:prstGeom>
                  </pic:spPr>
                </pic:pic>
              </a:graphicData>
            </a:graphic>
          </wp:inline>
        </w:drawing>
      </w:r>
    </w:p>
    <w:p w14:paraId="06E11008" w14:textId="4B13566B" w:rsidR="007B6C29" w:rsidRDefault="007B6C29" w:rsidP="00584FA8">
      <w:pPr>
        <w:pStyle w:val="Caption-Figure"/>
      </w:pPr>
      <w:bookmarkStart w:id="73" w:name="_Toc110599625"/>
      <w:r>
        <w:t xml:space="preserve">Figure </w:t>
      </w:r>
      <w:r w:rsidR="00281AF6">
        <w:t>9</w:t>
      </w:r>
      <w:r>
        <w:t xml:space="preserve">. Estimated </w:t>
      </w:r>
      <w:r w:rsidR="000641DF">
        <w:t>persistence</w:t>
      </w:r>
      <w:r>
        <w:t xml:space="preserve"> rate for Long-nosed Potoroo </w:t>
      </w:r>
      <w:r w:rsidR="00F842A4">
        <w:t xml:space="preserve">in relation </w:t>
      </w:r>
      <w:r>
        <w:t>to distance to non-native vegetation, separated by fox control status</w:t>
      </w:r>
      <w:bookmarkEnd w:id="73"/>
    </w:p>
    <w:p w14:paraId="0330AC92" w14:textId="77777777" w:rsidR="007B6C29" w:rsidRDefault="007B6C29" w:rsidP="007B6C29">
      <w:pPr>
        <w:pStyle w:val="Heading4"/>
        <w:rPr>
          <w:lang w:eastAsia="en-AU"/>
        </w:rPr>
      </w:pPr>
      <w:r>
        <w:rPr>
          <w:lang w:eastAsia="en-AU"/>
        </w:rPr>
        <w:t>Colonisation</w:t>
      </w:r>
    </w:p>
    <w:p w14:paraId="7D591036" w14:textId="4D89A45A" w:rsidR="007B6C29" w:rsidRDefault="007B6C29" w:rsidP="007B6C29">
      <w:r>
        <w:t xml:space="preserve">The covariate that influenced </w:t>
      </w:r>
      <w:r w:rsidR="00FC0A4B">
        <w:t xml:space="preserve">Long-nosed Potoroo </w:t>
      </w:r>
      <w:r>
        <w:t xml:space="preserve">colonisation rates was the presence of fox control (Table </w:t>
      </w:r>
      <w:r w:rsidR="0021390F">
        <w:t>6</w:t>
      </w:r>
      <w:r>
        <w:t>). At sites with fox control</w:t>
      </w:r>
      <w:r w:rsidR="002A2CA5">
        <w:t>,</w:t>
      </w:r>
      <w:r>
        <w:t xml:space="preserve"> the odds of an unoccupied </w:t>
      </w:r>
      <w:r w:rsidR="00FC0A4B">
        <w:t xml:space="preserve">site </w:t>
      </w:r>
      <w:r>
        <w:t xml:space="preserve">becoming occupied </w:t>
      </w:r>
      <w:r w:rsidR="00FC0A4B">
        <w:t xml:space="preserve">by Long-nosed Potoroo were </w:t>
      </w:r>
      <w:r>
        <w:t xml:space="preserve">239% </w:t>
      </w:r>
      <w:r w:rsidR="00FC0A4B">
        <w:t xml:space="preserve">greater </w:t>
      </w:r>
      <w:r>
        <w:t xml:space="preserve">(95% </w:t>
      </w:r>
      <w:r w:rsidR="00C277F4">
        <w:t>CI</w:t>
      </w:r>
      <w:r>
        <w:t xml:space="preserve"> 120</w:t>
      </w:r>
      <w:r w:rsidR="00FC0A4B">
        <w:t>–</w:t>
      </w:r>
      <w:r>
        <w:t xml:space="preserve">469%) </w:t>
      </w:r>
      <w:r w:rsidR="00FC0A4B">
        <w:t>than for</w:t>
      </w:r>
      <w:r>
        <w:t xml:space="preserve"> the equivalent site without fox control.</w:t>
      </w:r>
    </w:p>
    <w:p w14:paraId="5CCFEA25" w14:textId="2B46EEF7" w:rsidR="007B6C29" w:rsidRDefault="007B6C29" w:rsidP="007B6C29">
      <w:pPr>
        <w:pStyle w:val="Caption-Table"/>
      </w:pPr>
      <w:r>
        <w:br w:type="column"/>
      </w:r>
      <w:bookmarkStart w:id="74" w:name="_Toc110599616"/>
      <w:r>
        <w:lastRenderedPageBreak/>
        <w:t xml:space="preserve">Table </w:t>
      </w:r>
      <w:r w:rsidR="0021390F">
        <w:t>6</w:t>
      </w:r>
      <w:r>
        <w:t xml:space="preserve">. Results from the Long-nosed Potoroo </w:t>
      </w:r>
      <w:r w:rsidR="002A2CA5">
        <w:t xml:space="preserve">occupancy </w:t>
      </w:r>
      <w:r>
        <w:t>model</w:t>
      </w:r>
      <w:bookmarkEnd w:id="74"/>
    </w:p>
    <w:tbl>
      <w:tblPr>
        <w:tblStyle w:val="Table"/>
        <w:tblW w:w="4942" w:type="pct"/>
        <w:tblBorders>
          <w:insideH w:val="single" w:sz="2" w:space="0" w:color="00A9B2"/>
        </w:tblBorders>
        <w:tblLook w:val="0020" w:firstRow="1" w:lastRow="0" w:firstColumn="0" w:lastColumn="0" w:noHBand="0" w:noVBand="0"/>
      </w:tblPr>
      <w:tblGrid>
        <w:gridCol w:w="2245"/>
        <w:gridCol w:w="4129"/>
        <w:gridCol w:w="1004"/>
        <w:gridCol w:w="1151"/>
        <w:gridCol w:w="998"/>
      </w:tblGrid>
      <w:tr w:rsidR="007B6C29" w:rsidRPr="00010544" w14:paraId="73210FB9" w14:textId="77777777" w:rsidTr="006346AA">
        <w:trPr>
          <w:cnfStyle w:val="100000000000" w:firstRow="1" w:lastRow="0" w:firstColumn="0" w:lastColumn="0" w:oddVBand="0" w:evenVBand="0" w:oddHBand="0" w:evenHBand="0" w:firstRowFirstColumn="0" w:firstRowLastColumn="0" w:lastRowFirstColumn="0" w:lastRowLastColumn="0"/>
        </w:trPr>
        <w:tc>
          <w:tcPr>
            <w:tcW w:w="1178" w:type="pct"/>
            <w:tcBorders>
              <w:top w:val="nil"/>
              <w:bottom w:val="nil"/>
            </w:tcBorders>
            <w:shd w:val="clear" w:color="auto" w:fill="00A9B2"/>
            <w:vAlign w:val="center"/>
          </w:tcPr>
          <w:p w14:paraId="2F566808" w14:textId="77777777" w:rsidR="007B6C29" w:rsidRPr="00010544" w:rsidRDefault="007B6C29" w:rsidP="00252A73">
            <w:pPr>
              <w:pStyle w:val="Tableheadingtext"/>
              <w:rPr>
                <w:b w:val="0"/>
                <w:sz w:val="20"/>
                <w:szCs w:val="16"/>
              </w:rPr>
            </w:pPr>
            <w:r w:rsidRPr="00010544">
              <w:rPr>
                <w:b w:val="0"/>
                <w:sz w:val="20"/>
                <w:szCs w:val="16"/>
              </w:rPr>
              <w:t>Component</w:t>
            </w:r>
          </w:p>
        </w:tc>
        <w:tc>
          <w:tcPr>
            <w:tcW w:w="2167" w:type="pct"/>
            <w:tcBorders>
              <w:top w:val="nil"/>
              <w:bottom w:val="nil"/>
            </w:tcBorders>
            <w:shd w:val="clear" w:color="auto" w:fill="00A9B2"/>
            <w:vAlign w:val="center"/>
          </w:tcPr>
          <w:p w14:paraId="20E1C589" w14:textId="77777777" w:rsidR="007B6C29" w:rsidRPr="00010544" w:rsidRDefault="007B6C29" w:rsidP="00252A73">
            <w:pPr>
              <w:pStyle w:val="Tableheadingtext"/>
              <w:rPr>
                <w:b w:val="0"/>
                <w:sz w:val="20"/>
                <w:szCs w:val="16"/>
              </w:rPr>
            </w:pPr>
            <w:r w:rsidRPr="00010544">
              <w:rPr>
                <w:b w:val="0"/>
                <w:sz w:val="20"/>
                <w:szCs w:val="16"/>
              </w:rPr>
              <w:t>Parameter</w:t>
            </w:r>
          </w:p>
        </w:tc>
        <w:tc>
          <w:tcPr>
            <w:tcW w:w="0" w:type="auto"/>
            <w:tcBorders>
              <w:top w:val="nil"/>
              <w:bottom w:val="nil"/>
            </w:tcBorders>
            <w:shd w:val="clear" w:color="auto" w:fill="00A9B2"/>
            <w:vAlign w:val="center"/>
          </w:tcPr>
          <w:p w14:paraId="1063EF51" w14:textId="77777777" w:rsidR="007B6C29" w:rsidRPr="00010544" w:rsidRDefault="007B6C29" w:rsidP="00252A73">
            <w:pPr>
              <w:pStyle w:val="Tableheadingtext"/>
              <w:jc w:val="center"/>
              <w:rPr>
                <w:b w:val="0"/>
                <w:sz w:val="20"/>
                <w:szCs w:val="16"/>
              </w:rPr>
            </w:pPr>
            <w:r w:rsidRPr="00010544">
              <w:rPr>
                <w:b w:val="0"/>
                <w:sz w:val="20"/>
                <w:szCs w:val="16"/>
              </w:rPr>
              <w:t>Median</w:t>
            </w:r>
          </w:p>
        </w:tc>
        <w:tc>
          <w:tcPr>
            <w:tcW w:w="604" w:type="pct"/>
            <w:tcBorders>
              <w:top w:val="nil"/>
              <w:bottom w:val="nil"/>
            </w:tcBorders>
            <w:shd w:val="clear" w:color="auto" w:fill="00A9B2"/>
            <w:vAlign w:val="center"/>
          </w:tcPr>
          <w:p w14:paraId="64E0A208" w14:textId="5C75A8FD" w:rsidR="007B6C29" w:rsidRPr="00010544" w:rsidRDefault="007B6C29" w:rsidP="00252A73">
            <w:pPr>
              <w:pStyle w:val="Tableheadingtext"/>
              <w:jc w:val="center"/>
              <w:rPr>
                <w:b w:val="0"/>
                <w:sz w:val="20"/>
                <w:szCs w:val="16"/>
              </w:rPr>
            </w:pPr>
            <w:r w:rsidRPr="00010544">
              <w:rPr>
                <w:b w:val="0"/>
                <w:sz w:val="20"/>
                <w:szCs w:val="16"/>
              </w:rPr>
              <w:t>L</w:t>
            </w:r>
            <w:r w:rsidR="00553A78" w:rsidRPr="00010544">
              <w:rPr>
                <w:b w:val="0"/>
                <w:sz w:val="20"/>
                <w:szCs w:val="16"/>
              </w:rPr>
              <w:t>.B.</w:t>
            </w:r>
          </w:p>
        </w:tc>
        <w:tc>
          <w:tcPr>
            <w:tcW w:w="524" w:type="pct"/>
            <w:tcBorders>
              <w:top w:val="nil"/>
              <w:bottom w:val="nil"/>
            </w:tcBorders>
            <w:shd w:val="clear" w:color="auto" w:fill="00A9B2"/>
            <w:vAlign w:val="center"/>
          </w:tcPr>
          <w:p w14:paraId="18B5022C" w14:textId="46AFF727" w:rsidR="007B6C29" w:rsidRPr="00010544" w:rsidRDefault="007B6C29" w:rsidP="00252A73">
            <w:pPr>
              <w:pStyle w:val="Tableheadingtext"/>
              <w:jc w:val="center"/>
              <w:rPr>
                <w:b w:val="0"/>
                <w:sz w:val="20"/>
                <w:szCs w:val="16"/>
              </w:rPr>
            </w:pPr>
            <w:r w:rsidRPr="00010544">
              <w:rPr>
                <w:b w:val="0"/>
                <w:sz w:val="20"/>
                <w:szCs w:val="16"/>
              </w:rPr>
              <w:t>U</w:t>
            </w:r>
            <w:r w:rsidR="00553A78" w:rsidRPr="00010544">
              <w:rPr>
                <w:b w:val="0"/>
                <w:sz w:val="20"/>
                <w:szCs w:val="16"/>
              </w:rPr>
              <w:t>.B.</w:t>
            </w:r>
          </w:p>
        </w:tc>
      </w:tr>
      <w:tr w:rsidR="007B6C29" w:rsidRPr="00157640" w14:paraId="399BB623" w14:textId="77777777" w:rsidTr="006346AA">
        <w:trPr>
          <w:trHeight w:val="374"/>
        </w:trPr>
        <w:tc>
          <w:tcPr>
            <w:tcW w:w="1178" w:type="pct"/>
            <w:shd w:val="clear" w:color="auto" w:fill="F2F2F2" w:themeFill="background1" w:themeFillShade="F2"/>
            <w:vAlign w:val="center"/>
          </w:tcPr>
          <w:p w14:paraId="43A721B3" w14:textId="77777777" w:rsidR="007B6C29" w:rsidRPr="00157640" w:rsidRDefault="007B6C29" w:rsidP="00252A73">
            <w:pPr>
              <w:pStyle w:val="Compact"/>
              <w:rPr>
                <w:rFonts w:ascii="Arial" w:hAnsi="Arial" w:cs="Arial"/>
                <w:b/>
                <w:bCs/>
                <w:sz w:val="20"/>
                <w:szCs w:val="20"/>
              </w:rPr>
            </w:pPr>
            <w:r>
              <w:rPr>
                <w:rFonts w:ascii="Arial" w:hAnsi="Arial" w:cs="Arial"/>
                <w:b/>
                <w:bCs/>
                <w:sz w:val="20"/>
                <w:szCs w:val="20"/>
              </w:rPr>
              <w:t>P</w:t>
            </w:r>
            <w:r w:rsidRPr="00157640">
              <w:rPr>
                <w:rFonts w:ascii="Arial" w:hAnsi="Arial" w:cs="Arial"/>
                <w:b/>
                <w:bCs/>
                <w:sz w:val="20"/>
                <w:szCs w:val="20"/>
              </w:rPr>
              <w:t>ersistence</w:t>
            </w:r>
          </w:p>
        </w:tc>
        <w:tc>
          <w:tcPr>
            <w:tcW w:w="2167" w:type="pct"/>
            <w:shd w:val="clear" w:color="auto" w:fill="F2F2F2" w:themeFill="background1" w:themeFillShade="F2"/>
            <w:vAlign w:val="center"/>
          </w:tcPr>
          <w:p w14:paraId="7DC4B6C0" w14:textId="77777777" w:rsidR="007B6C29" w:rsidRPr="00157640" w:rsidRDefault="007B6C29" w:rsidP="00252A73">
            <w:pPr>
              <w:pStyle w:val="Compact"/>
              <w:rPr>
                <w:rFonts w:ascii="Arial" w:hAnsi="Arial" w:cs="Arial"/>
                <w:b/>
                <w:bCs/>
                <w:sz w:val="20"/>
                <w:szCs w:val="20"/>
              </w:rPr>
            </w:pPr>
            <w:r w:rsidRPr="00157640">
              <w:rPr>
                <w:rFonts w:ascii="Arial" w:hAnsi="Arial" w:cs="Arial"/>
                <w:b/>
                <w:bCs/>
                <w:sz w:val="20"/>
                <w:szCs w:val="20"/>
              </w:rPr>
              <w:t>Topographic wetness index</w:t>
            </w:r>
          </w:p>
        </w:tc>
        <w:tc>
          <w:tcPr>
            <w:tcW w:w="0" w:type="auto"/>
            <w:shd w:val="clear" w:color="auto" w:fill="F2F2F2" w:themeFill="background1" w:themeFillShade="F2"/>
            <w:vAlign w:val="center"/>
          </w:tcPr>
          <w:p w14:paraId="7EA3E513"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0.960</w:t>
            </w:r>
          </w:p>
        </w:tc>
        <w:tc>
          <w:tcPr>
            <w:tcW w:w="604" w:type="pct"/>
            <w:shd w:val="clear" w:color="auto" w:fill="F2F2F2" w:themeFill="background1" w:themeFillShade="F2"/>
            <w:vAlign w:val="center"/>
          </w:tcPr>
          <w:p w14:paraId="7097F785"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0.249</w:t>
            </w:r>
          </w:p>
        </w:tc>
        <w:tc>
          <w:tcPr>
            <w:tcW w:w="524" w:type="pct"/>
            <w:shd w:val="clear" w:color="auto" w:fill="F2F2F2" w:themeFill="background1" w:themeFillShade="F2"/>
            <w:vAlign w:val="center"/>
          </w:tcPr>
          <w:p w14:paraId="10FF9FA2"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1.796</w:t>
            </w:r>
          </w:p>
        </w:tc>
      </w:tr>
      <w:tr w:rsidR="007B6C29" w:rsidRPr="00157640" w14:paraId="7AB8B69E" w14:textId="77777777" w:rsidTr="006346AA">
        <w:trPr>
          <w:trHeight w:val="374"/>
        </w:trPr>
        <w:tc>
          <w:tcPr>
            <w:tcW w:w="1178" w:type="pct"/>
            <w:vAlign w:val="center"/>
          </w:tcPr>
          <w:p w14:paraId="25A71D9B" w14:textId="77777777" w:rsidR="007B6C29" w:rsidRPr="00157640" w:rsidRDefault="007B6C29" w:rsidP="00252A73">
            <w:pPr>
              <w:pStyle w:val="Compact"/>
              <w:rPr>
                <w:rFonts w:ascii="Arial" w:hAnsi="Arial" w:cs="Arial"/>
                <w:sz w:val="20"/>
                <w:szCs w:val="20"/>
              </w:rPr>
            </w:pPr>
            <w:r>
              <w:rPr>
                <w:rFonts w:ascii="Arial" w:hAnsi="Arial" w:cs="Arial"/>
                <w:sz w:val="20"/>
                <w:szCs w:val="20"/>
              </w:rPr>
              <w:t>P</w:t>
            </w:r>
            <w:r w:rsidRPr="00157640">
              <w:rPr>
                <w:rFonts w:ascii="Arial" w:hAnsi="Arial" w:cs="Arial"/>
                <w:sz w:val="20"/>
                <w:szCs w:val="20"/>
              </w:rPr>
              <w:t>ersistence</w:t>
            </w:r>
          </w:p>
        </w:tc>
        <w:tc>
          <w:tcPr>
            <w:tcW w:w="2167" w:type="pct"/>
            <w:vAlign w:val="center"/>
          </w:tcPr>
          <w:p w14:paraId="17278253" w14:textId="1F504C87" w:rsidR="007B6C29" w:rsidRPr="00157640" w:rsidRDefault="007B6C29" w:rsidP="00252A73">
            <w:pPr>
              <w:pStyle w:val="Compact"/>
              <w:rPr>
                <w:rFonts w:ascii="Arial" w:hAnsi="Arial" w:cs="Arial"/>
                <w:sz w:val="20"/>
                <w:szCs w:val="20"/>
              </w:rPr>
            </w:pPr>
            <w:r w:rsidRPr="00157640">
              <w:rPr>
                <w:rFonts w:ascii="Arial" w:hAnsi="Arial" w:cs="Arial"/>
                <w:sz w:val="20"/>
                <w:szCs w:val="20"/>
              </w:rPr>
              <w:t xml:space="preserve">Topographic wetness index </w:t>
            </w:r>
            <w:r w:rsidR="004E5490" w:rsidRPr="004E5490">
              <w:rPr>
                <w:rFonts w:ascii="Arial" w:hAnsi="Arial" w:cs="Arial"/>
                <w:sz w:val="20"/>
                <w:szCs w:val="20"/>
              </w:rPr>
              <w:t>with fox control status</w:t>
            </w:r>
          </w:p>
        </w:tc>
        <w:tc>
          <w:tcPr>
            <w:tcW w:w="0" w:type="auto"/>
            <w:vAlign w:val="center"/>
          </w:tcPr>
          <w:p w14:paraId="61BF7AC6" w14:textId="5FBDD34D" w:rsidR="007B6C29" w:rsidRPr="00157640" w:rsidRDefault="007406D1" w:rsidP="00252A73">
            <w:pPr>
              <w:pStyle w:val="Compact"/>
              <w:jc w:val="center"/>
              <w:rPr>
                <w:rFonts w:ascii="Arial" w:hAnsi="Arial" w:cs="Arial"/>
                <w:sz w:val="20"/>
                <w:szCs w:val="20"/>
              </w:rPr>
            </w:pPr>
            <w:r>
              <w:rPr>
                <w:rFonts w:ascii="Arial" w:hAnsi="Arial" w:cs="Arial"/>
                <w:sz w:val="20"/>
                <w:szCs w:val="20"/>
              </w:rPr>
              <w:t>–</w:t>
            </w:r>
            <w:r w:rsidR="007B6C29" w:rsidRPr="00157640">
              <w:rPr>
                <w:rFonts w:ascii="Arial" w:hAnsi="Arial" w:cs="Arial"/>
                <w:sz w:val="20"/>
                <w:szCs w:val="20"/>
              </w:rPr>
              <w:t>0.476</w:t>
            </w:r>
          </w:p>
        </w:tc>
        <w:tc>
          <w:tcPr>
            <w:tcW w:w="604" w:type="pct"/>
            <w:vAlign w:val="center"/>
          </w:tcPr>
          <w:p w14:paraId="09D5E8DB" w14:textId="106009D7" w:rsidR="007B6C29" w:rsidRPr="00157640" w:rsidRDefault="007406D1" w:rsidP="00252A73">
            <w:pPr>
              <w:pStyle w:val="Compact"/>
              <w:jc w:val="center"/>
              <w:rPr>
                <w:rFonts w:ascii="Arial" w:hAnsi="Arial" w:cs="Arial"/>
                <w:sz w:val="20"/>
                <w:szCs w:val="20"/>
              </w:rPr>
            </w:pPr>
            <w:r>
              <w:rPr>
                <w:rFonts w:ascii="Arial" w:hAnsi="Arial" w:cs="Arial"/>
                <w:sz w:val="20"/>
                <w:szCs w:val="20"/>
              </w:rPr>
              <w:t>–</w:t>
            </w:r>
            <w:r w:rsidR="007B6C29" w:rsidRPr="00157640">
              <w:rPr>
                <w:rFonts w:ascii="Arial" w:hAnsi="Arial" w:cs="Arial"/>
                <w:sz w:val="20"/>
                <w:szCs w:val="20"/>
              </w:rPr>
              <w:t>1.399</w:t>
            </w:r>
          </w:p>
        </w:tc>
        <w:tc>
          <w:tcPr>
            <w:tcW w:w="524" w:type="pct"/>
            <w:vAlign w:val="center"/>
          </w:tcPr>
          <w:p w14:paraId="6E52D4C0" w14:textId="77777777" w:rsidR="007B6C29" w:rsidRPr="00157640" w:rsidRDefault="007B6C29" w:rsidP="00252A73">
            <w:pPr>
              <w:pStyle w:val="Compact"/>
              <w:jc w:val="center"/>
              <w:rPr>
                <w:rFonts w:ascii="Arial" w:hAnsi="Arial" w:cs="Arial"/>
                <w:sz w:val="20"/>
                <w:szCs w:val="20"/>
              </w:rPr>
            </w:pPr>
            <w:r w:rsidRPr="00157640">
              <w:rPr>
                <w:rFonts w:ascii="Arial" w:hAnsi="Arial" w:cs="Arial"/>
                <w:sz w:val="20"/>
                <w:szCs w:val="20"/>
              </w:rPr>
              <w:t>0.432</w:t>
            </w:r>
          </w:p>
        </w:tc>
      </w:tr>
      <w:tr w:rsidR="007B6C29" w:rsidRPr="00157640" w14:paraId="6BD6737F" w14:textId="77777777" w:rsidTr="006346AA">
        <w:trPr>
          <w:trHeight w:val="374"/>
        </w:trPr>
        <w:tc>
          <w:tcPr>
            <w:tcW w:w="1178" w:type="pct"/>
            <w:tcBorders>
              <w:bottom w:val="single" w:sz="2" w:space="0" w:color="00A9B2"/>
            </w:tcBorders>
            <w:shd w:val="clear" w:color="auto" w:fill="F2F2F2" w:themeFill="background1" w:themeFillShade="F2"/>
            <w:vAlign w:val="center"/>
          </w:tcPr>
          <w:p w14:paraId="1B42C8C2" w14:textId="77777777" w:rsidR="007B6C29" w:rsidRPr="00157640" w:rsidRDefault="007B6C29" w:rsidP="00252A73">
            <w:pPr>
              <w:pStyle w:val="Compact"/>
              <w:rPr>
                <w:rFonts w:ascii="Arial" w:hAnsi="Arial" w:cs="Arial"/>
                <w:b/>
                <w:bCs/>
                <w:sz w:val="20"/>
                <w:szCs w:val="20"/>
              </w:rPr>
            </w:pPr>
            <w:r>
              <w:rPr>
                <w:rFonts w:ascii="Arial" w:hAnsi="Arial" w:cs="Arial"/>
                <w:b/>
                <w:bCs/>
                <w:sz w:val="20"/>
                <w:szCs w:val="20"/>
              </w:rPr>
              <w:t>P</w:t>
            </w:r>
            <w:r w:rsidRPr="00157640">
              <w:rPr>
                <w:rFonts w:ascii="Arial" w:hAnsi="Arial" w:cs="Arial"/>
                <w:b/>
                <w:bCs/>
                <w:sz w:val="20"/>
                <w:szCs w:val="20"/>
              </w:rPr>
              <w:t>ersistence</w:t>
            </w:r>
          </w:p>
        </w:tc>
        <w:tc>
          <w:tcPr>
            <w:tcW w:w="2167" w:type="pct"/>
            <w:tcBorders>
              <w:bottom w:val="single" w:sz="2" w:space="0" w:color="00A9B2"/>
            </w:tcBorders>
            <w:shd w:val="clear" w:color="auto" w:fill="F2F2F2" w:themeFill="background1" w:themeFillShade="F2"/>
            <w:vAlign w:val="center"/>
          </w:tcPr>
          <w:p w14:paraId="6C1C699B" w14:textId="77777777" w:rsidR="007B6C29" w:rsidRPr="00157640" w:rsidRDefault="007B6C29" w:rsidP="00252A73">
            <w:pPr>
              <w:pStyle w:val="Compact"/>
              <w:rPr>
                <w:rFonts w:ascii="Arial" w:hAnsi="Arial" w:cs="Arial"/>
                <w:b/>
                <w:bCs/>
                <w:sz w:val="20"/>
                <w:szCs w:val="20"/>
              </w:rPr>
            </w:pPr>
            <w:r w:rsidRPr="00157640">
              <w:rPr>
                <w:rFonts w:ascii="Arial" w:hAnsi="Arial" w:cs="Arial"/>
                <w:b/>
                <w:bCs/>
                <w:sz w:val="20"/>
                <w:szCs w:val="20"/>
              </w:rPr>
              <w:t>Fox control area</w:t>
            </w:r>
          </w:p>
        </w:tc>
        <w:tc>
          <w:tcPr>
            <w:tcW w:w="0" w:type="auto"/>
            <w:tcBorders>
              <w:bottom w:val="single" w:sz="2" w:space="0" w:color="00A9B2"/>
            </w:tcBorders>
            <w:shd w:val="clear" w:color="auto" w:fill="F2F2F2" w:themeFill="background1" w:themeFillShade="F2"/>
            <w:vAlign w:val="center"/>
          </w:tcPr>
          <w:p w14:paraId="190C42D1"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0.706</w:t>
            </w:r>
          </w:p>
        </w:tc>
        <w:tc>
          <w:tcPr>
            <w:tcW w:w="604" w:type="pct"/>
            <w:tcBorders>
              <w:bottom w:val="single" w:sz="2" w:space="0" w:color="00A9B2"/>
            </w:tcBorders>
            <w:shd w:val="clear" w:color="auto" w:fill="F2F2F2" w:themeFill="background1" w:themeFillShade="F2"/>
            <w:vAlign w:val="center"/>
          </w:tcPr>
          <w:p w14:paraId="066C07CC"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0.079</w:t>
            </w:r>
          </w:p>
        </w:tc>
        <w:tc>
          <w:tcPr>
            <w:tcW w:w="524" w:type="pct"/>
            <w:tcBorders>
              <w:bottom w:val="single" w:sz="2" w:space="0" w:color="00A9B2"/>
            </w:tcBorders>
            <w:shd w:val="clear" w:color="auto" w:fill="F2F2F2" w:themeFill="background1" w:themeFillShade="F2"/>
            <w:vAlign w:val="center"/>
          </w:tcPr>
          <w:p w14:paraId="7973D59A"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1.324</w:t>
            </w:r>
          </w:p>
        </w:tc>
      </w:tr>
      <w:tr w:rsidR="007B6C29" w:rsidRPr="00157640" w14:paraId="54AD7BCA" w14:textId="77777777" w:rsidTr="006346AA">
        <w:trPr>
          <w:trHeight w:val="374"/>
        </w:trPr>
        <w:tc>
          <w:tcPr>
            <w:tcW w:w="1178" w:type="pct"/>
            <w:tcBorders>
              <w:top w:val="single" w:sz="2" w:space="0" w:color="00A9B2"/>
              <w:bottom w:val="single" w:sz="2" w:space="0" w:color="00A9B2"/>
            </w:tcBorders>
            <w:shd w:val="clear" w:color="auto" w:fill="F2F2F2" w:themeFill="background1" w:themeFillShade="F2"/>
            <w:vAlign w:val="center"/>
          </w:tcPr>
          <w:p w14:paraId="1D19C766" w14:textId="77777777" w:rsidR="007B6C29" w:rsidRPr="00157640" w:rsidRDefault="007B6C29" w:rsidP="00252A73">
            <w:pPr>
              <w:pStyle w:val="Compact"/>
              <w:rPr>
                <w:rFonts w:ascii="Arial" w:hAnsi="Arial" w:cs="Arial"/>
                <w:b/>
                <w:bCs/>
                <w:sz w:val="20"/>
                <w:szCs w:val="20"/>
              </w:rPr>
            </w:pPr>
            <w:proofErr w:type="spellStart"/>
            <w:r>
              <w:rPr>
                <w:rFonts w:ascii="Arial" w:hAnsi="Arial" w:cs="Arial"/>
                <w:b/>
                <w:bCs/>
                <w:sz w:val="20"/>
                <w:szCs w:val="20"/>
              </w:rPr>
              <w:t>C</w:t>
            </w:r>
            <w:r w:rsidRPr="00157640">
              <w:rPr>
                <w:rFonts w:ascii="Arial" w:hAnsi="Arial" w:cs="Arial"/>
                <w:b/>
                <w:bCs/>
                <w:sz w:val="20"/>
                <w:szCs w:val="20"/>
              </w:rPr>
              <w:t>olonisation</w:t>
            </w:r>
            <w:proofErr w:type="spellEnd"/>
          </w:p>
        </w:tc>
        <w:tc>
          <w:tcPr>
            <w:tcW w:w="2167" w:type="pct"/>
            <w:tcBorders>
              <w:top w:val="single" w:sz="2" w:space="0" w:color="00A9B2"/>
              <w:bottom w:val="single" w:sz="2" w:space="0" w:color="00A9B2"/>
            </w:tcBorders>
            <w:shd w:val="clear" w:color="auto" w:fill="F2F2F2" w:themeFill="background1" w:themeFillShade="F2"/>
            <w:vAlign w:val="center"/>
          </w:tcPr>
          <w:p w14:paraId="01035C11" w14:textId="77777777" w:rsidR="007B6C29" w:rsidRPr="00157640" w:rsidRDefault="007B6C29" w:rsidP="00252A73">
            <w:pPr>
              <w:pStyle w:val="Compact"/>
              <w:rPr>
                <w:rFonts w:ascii="Arial" w:hAnsi="Arial" w:cs="Arial"/>
                <w:b/>
                <w:bCs/>
                <w:sz w:val="20"/>
                <w:szCs w:val="20"/>
              </w:rPr>
            </w:pPr>
            <w:r w:rsidRPr="00157640">
              <w:rPr>
                <w:rFonts w:ascii="Arial" w:hAnsi="Arial" w:cs="Arial"/>
                <w:b/>
                <w:bCs/>
                <w:sz w:val="20"/>
                <w:szCs w:val="20"/>
              </w:rPr>
              <w:t>Fox control area</w:t>
            </w:r>
          </w:p>
        </w:tc>
        <w:tc>
          <w:tcPr>
            <w:tcW w:w="0" w:type="auto"/>
            <w:tcBorders>
              <w:top w:val="single" w:sz="2" w:space="0" w:color="00A9B2"/>
              <w:bottom w:val="single" w:sz="2" w:space="0" w:color="00A9B2"/>
            </w:tcBorders>
            <w:shd w:val="clear" w:color="auto" w:fill="F2F2F2" w:themeFill="background1" w:themeFillShade="F2"/>
            <w:vAlign w:val="center"/>
          </w:tcPr>
          <w:p w14:paraId="78EF9AA4"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1.222</w:t>
            </w:r>
          </w:p>
        </w:tc>
        <w:tc>
          <w:tcPr>
            <w:tcW w:w="604" w:type="pct"/>
            <w:tcBorders>
              <w:top w:val="single" w:sz="2" w:space="0" w:color="00A9B2"/>
              <w:bottom w:val="single" w:sz="2" w:space="0" w:color="00A9B2"/>
            </w:tcBorders>
            <w:shd w:val="clear" w:color="auto" w:fill="F2F2F2" w:themeFill="background1" w:themeFillShade="F2"/>
            <w:vAlign w:val="center"/>
          </w:tcPr>
          <w:p w14:paraId="1B0C74B3"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0.789</w:t>
            </w:r>
          </w:p>
        </w:tc>
        <w:tc>
          <w:tcPr>
            <w:tcW w:w="524" w:type="pct"/>
            <w:tcBorders>
              <w:top w:val="single" w:sz="2" w:space="0" w:color="00A9B2"/>
              <w:bottom w:val="single" w:sz="2" w:space="0" w:color="00A9B2"/>
            </w:tcBorders>
            <w:shd w:val="clear" w:color="auto" w:fill="F2F2F2" w:themeFill="background1" w:themeFillShade="F2"/>
            <w:vAlign w:val="center"/>
          </w:tcPr>
          <w:p w14:paraId="47E5C46E" w14:textId="77777777" w:rsidR="007B6C29" w:rsidRPr="00157640" w:rsidRDefault="007B6C29" w:rsidP="00252A73">
            <w:pPr>
              <w:pStyle w:val="Compact"/>
              <w:jc w:val="center"/>
              <w:rPr>
                <w:rFonts w:ascii="Arial" w:hAnsi="Arial" w:cs="Arial"/>
                <w:b/>
                <w:bCs/>
                <w:sz w:val="20"/>
                <w:szCs w:val="20"/>
              </w:rPr>
            </w:pPr>
            <w:r w:rsidRPr="00157640">
              <w:rPr>
                <w:rFonts w:ascii="Arial" w:hAnsi="Arial" w:cs="Arial"/>
                <w:b/>
                <w:bCs/>
                <w:sz w:val="20"/>
                <w:szCs w:val="20"/>
              </w:rPr>
              <w:t>1.739</w:t>
            </w:r>
          </w:p>
        </w:tc>
      </w:tr>
    </w:tbl>
    <w:p w14:paraId="37C33DBC" w14:textId="09ADE048" w:rsidR="007B6C29" w:rsidRDefault="00C277F4" w:rsidP="007B6C29">
      <w:pPr>
        <w:rPr>
          <w:lang w:eastAsia="en-AU"/>
        </w:rPr>
      </w:pPr>
      <w:r>
        <w:t xml:space="preserve">Rows in </w:t>
      </w:r>
      <w:r w:rsidRPr="00C277F4">
        <w:rPr>
          <w:b/>
          <w:bCs/>
        </w:rPr>
        <w:t>bold</w:t>
      </w:r>
      <w:r>
        <w:t xml:space="preserve"> are significant results. </w:t>
      </w:r>
      <w:r w:rsidR="007406D1">
        <w:t>L.B. and U.B. are the lower and upper bounds from the 95% credible interval, respectively. All estimates are on the logit scale.</w:t>
      </w:r>
    </w:p>
    <w:p w14:paraId="2FCE837F" w14:textId="7C333238" w:rsidR="001274B6" w:rsidRDefault="001274B6" w:rsidP="007B6C29">
      <w:pPr>
        <w:rPr>
          <w:b/>
          <w:bCs/>
          <w:i/>
          <w:iCs/>
          <w:sz w:val="22"/>
          <w:szCs w:val="28"/>
        </w:rPr>
      </w:pPr>
      <w:r w:rsidRPr="001274B6">
        <w:rPr>
          <w:b/>
          <w:bCs/>
          <w:i/>
          <w:iCs/>
          <w:sz w:val="22"/>
          <w:szCs w:val="28"/>
        </w:rPr>
        <w:t>Growth rate</w:t>
      </w:r>
    </w:p>
    <w:p w14:paraId="21161B38" w14:textId="6BD71CFE" w:rsidR="001274B6" w:rsidRDefault="00750DA4" w:rsidP="007B6C29">
      <w:pPr>
        <w:rPr>
          <w:lang w:eastAsia="en-AU"/>
        </w:rPr>
      </w:pPr>
      <w:r>
        <w:rPr>
          <w:lang w:eastAsia="en-AU"/>
        </w:rPr>
        <w:t>T</w:t>
      </w:r>
      <w:r w:rsidRPr="00750DA4">
        <w:rPr>
          <w:lang w:eastAsia="en-AU"/>
        </w:rPr>
        <w:t xml:space="preserve">he </w:t>
      </w:r>
      <w:r w:rsidR="00C277F4">
        <w:rPr>
          <w:lang w:eastAsia="en-AU"/>
        </w:rPr>
        <w:t xml:space="preserve">difference in </w:t>
      </w:r>
      <w:r w:rsidRPr="00750DA4">
        <w:rPr>
          <w:lang w:eastAsia="en-AU"/>
        </w:rPr>
        <w:t>growth rate a</w:t>
      </w:r>
      <w:r>
        <w:rPr>
          <w:lang w:eastAsia="en-AU"/>
        </w:rPr>
        <w:t>t</w:t>
      </w:r>
      <w:r w:rsidRPr="00750DA4">
        <w:rPr>
          <w:lang w:eastAsia="en-AU"/>
        </w:rPr>
        <w:t xml:space="preserve"> locations </w:t>
      </w:r>
      <w:r w:rsidR="00FC0A4B">
        <w:rPr>
          <w:lang w:eastAsia="en-AU"/>
        </w:rPr>
        <w:t xml:space="preserve">with fox control </w:t>
      </w:r>
      <w:r w:rsidRPr="00750DA4">
        <w:rPr>
          <w:lang w:eastAsia="en-AU"/>
        </w:rPr>
        <w:t xml:space="preserve">has been consistently greater than </w:t>
      </w:r>
      <w:r w:rsidR="00FC0A4B">
        <w:rPr>
          <w:lang w:eastAsia="en-AU"/>
        </w:rPr>
        <w:t xml:space="preserve">at </w:t>
      </w:r>
      <w:r w:rsidRPr="00750DA4">
        <w:rPr>
          <w:lang w:eastAsia="en-AU"/>
        </w:rPr>
        <w:t xml:space="preserve">locations </w:t>
      </w:r>
      <w:r w:rsidR="00FC0A4B">
        <w:rPr>
          <w:lang w:eastAsia="en-AU"/>
        </w:rPr>
        <w:t xml:space="preserve">without fox control </w:t>
      </w:r>
      <w:r w:rsidRPr="00750DA4">
        <w:rPr>
          <w:lang w:eastAsia="en-AU"/>
        </w:rPr>
        <w:t xml:space="preserve">(Figure </w:t>
      </w:r>
      <w:r w:rsidR="00281AF6">
        <w:rPr>
          <w:lang w:eastAsia="en-AU"/>
        </w:rPr>
        <w:t>10</w:t>
      </w:r>
      <w:r>
        <w:rPr>
          <w:lang w:eastAsia="en-AU"/>
        </w:rPr>
        <w:t>)</w:t>
      </w:r>
      <w:r w:rsidRPr="00750DA4">
        <w:rPr>
          <w:lang w:eastAsia="en-AU"/>
        </w:rPr>
        <w:t>.</w:t>
      </w:r>
    </w:p>
    <w:p w14:paraId="6B9313CE" w14:textId="77777777" w:rsidR="00750DA4" w:rsidRDefault="00750DA4" w:rsidP="00750DA4">
      <w:pPr>
        <w:pStyle w:val="CaptionedFigure"/>
      </w:pPr>
      <w:r>
        <w:rPr>
          <w:noProof/>
          <w:lang w:val="en-GB" w:eastAsia="en-GB"/>
        </w:rPr>
        <w:drawing>
          <wp:inline distT="0" distB="0" distL="0" distR="0" wp14:anchorId="33D313D0" wp14:editId="43ABF1DF">
            <wp:extent cx="5543550" cy="3333750"/>
            <wp:effectExtent l="0" t="0" r="0" b="0"/>
            <wp:docPr id="20" name="Picture" descr="Figure 2.20: Difference in growth rates (as percentage change) by fox control status for Long-nosed Potoroo over time. The dot is the median and the lines represent the 95% high density interval."/>
            <wp:cNvGraphicFramePr/>
            <a:graphic xmlns:a="http://schemas.openxmlformats.org/drawingml/2006/main">
              <a:graphicData uri="http://schemas.openxmlformats.org/drawingml/2006/picture">
                <pic:pic xmlns:pic="http://schemas.openxmlformats.org/drawingml/2006/picture">
                  <pic:nvPicPr>
                    <pic:cNvPr id="0" name="Picture" descr="Glenelg-Update-2020-Covar-v2_files/figure-docx/LNPgrFoxD-1.png"/>
                    <pic:cNvPicPr>
                      <a:picLocks noChangeAspect="1" noChangeArrowheads="1"/>
                    </pic:cNvPicPr>
                  </pic:nvPicPr>
                  <pic:blipFill>
                    <a:blip r:embed="rId61" cstate="email">
                      <a:extLst>
                        <a:ext uri="{28A0092B-C50C-407E-A947-70E740481C1C}">
                          <a14:useLocalDpi xmlns:a14="http://schemas.microsoft.com/office/drawing/2010/main"/>
                        </a:ext>
                      </a:extLst>
                    </a:blip>
                    <a:stretch>
                      <a:fillRect/>
                    </a:stretch>
                  </pic:blipFill>
                  <pic:spPr bwMode="auto">
                    <a:xfrm>
                      <a:off x="0" y="0"/>
                      <a:ext cx="5543842" cy="3333926"/>
                    </a:xfrm>
                    <a:prstGeom prst="rect">
                      <a:avLst/>
                    </a:prstGeom>
                    <a:noFill/>
                    <a:ln w="9525">
                      <a:noFill/>
                      <a:headEnd/>
                      <a:tailEnd/>
                    </a:ln>
                  </pic:spPr>
                </pic:pic>
              </a:graphicData>
            </a:graphic>
          </wp:inline>
        </w:drawing>
      </w:r>
    </w:p>
    <w:p w14:paraId="046BBA34" w14:textId="5190BAE9" w:rsidR="00750DA4" w:rsidRDefault="00750DA4" w:rsidP="00584FA8">
      <w:pPr>
        <w:pStyle w:val="Caption-Figure"/>
      </w:pPr>
      <w:bookmarkStart w:id="75" w:name="_Toc110599626"/>
      <w:r>
        <w:t xml:space="preserve">Figure </w:t>
      </w:r>
      <w:r w:rsidR="00281AF6">
        <w:t>10</w:t>
      </w:r>
      <w:r w:rsidR="002A61B8">
        <w:t>.</w:t>
      </w:r>
      <w:r>
        <w:t xml:space="preserve"> </w:t>
      </w:r>
      <w:r w:rsidR="009405A0">
        <w:t xml:space="preserve">The difference in growth rates (percentage difference between sites with and without fox control) </w:t>
      </w:r>
      <w:r>
        <w:t xml:space="preserve">for Long-nosed Potoroo over time. </w:t>
      </w:r>
      <w:r w:rsidRPr="00C277F4">
        <w:rPr>
          <w:b w:val="0"/>
        </w:rPr>
        <w:t>The dot is the median</w:t>
      </w:r>
      <w:r w:rsidR="0018189B" w:rsidRPr="00C277F4">
        <w:rPr>
          <w:b w:val="0"/>
        </w:rPr>
        <w:t>,</w:t>
      </w:r>
      <w:r w:rsidRPr="00C277F4">
        <w:rPr>
          <w:b w:val="0"/>
        </w:rPr>
        <w:t xml:space="preserve"> and the lines represent the 95% high</w:t>
      </w:r>
      <w:r w:rsidR="002A2CA5" w:rsidRPr="00C277F4">
        <w:rPr>
          <w:b w:val="0"/>
        </w:rPr>
        <w:t>-</w:t>
      </w:r>
      <w:r w:rsidRPr="00C277F4">
        <w:rPr>
          <w:b w:val="0"/>
        </w:rPr>
        <w:t>density interval.</w:t>
      </w:r>
      <w:bookmarkEnd w:id="75"/>
    </w:p>
    <w:p w14:paraId="49288D55" w14:textId="77777777" w:rsidR="00750DA4" w:rsidRPr="001274B6" w:rsidRDefault="00750DA4" w:rsidP="007B6C29">
      <w:pPr>
        <w:rPr>
          <w:lang w:eastAsia="en-AU"/>
        </w:rPr>
      </w:pPr>
    </w:p>
    <w:p w14:paraId="57F1553A" w14:textId="0BC9E93B" w:rsidR="0079370C" w:rsidRDefault="0079370C" w:rsidP="0079370C">
      <w:pPr>
        <w:pStyle w:val="Heading3-Numbered"/>
      </w:pPr>
      <w:bookmarkStart w:id="76" w:name="_Toc110599605"/>
      <w:r>
        <w:t>Southern Brown Bandicoot</w:t>
      </w:r>
      <w:bookmarkEnd w:id="76"/>
    </w:p>
    <w:p w14:paraId="7C69CF1C" w14:textId="62064ADC" w:rsidR="007B6C29" w:rsidRDefault="007B6C29" w:rsidP="007B6C29">
      <w:pPr>
        <w:pStyle w:val="Heading4"/>
        <w:rPr>
          <w:lang w:eastAsia="en-AU"/>
        </w:rPr>
      </w:pPr>
      <w:r>
        <w:rPr>
          <w:lang w:eastAsia="en-AU"/>
        </w:rPr>
        <w:t>Persistence</w:t>
      </w:r>
    </w:p>
    <w:p w14:paraId="023B6946" w14:textId="49934685" w:rsidR="007B6C29" w:rsidRDefault="007B6C29" w:rsidP="007B6C29">
      <w:r>
        <w:t xml:space="preserve">The covariates </w:t>
      </w:r>
      <w:r w:rsidR="0018189B">
        <w:t>influencing</w:t>
      </w:r>
      <w:r>
        <w:t xml:space="preserve"> </w:t>
      </w:r>
      <w:r w:rsidR="001274B6">
        <w:t>persistence</w:t>
      </w:r>
      <w:r>
        <w:t xml:space="preserve"> </w:t>
      </w:r>
      <w:r w:rsidR="003420D3">
        <w:t xml:space="preserve">of Southern Brown Bandicoots </w:t>
      </w:r>
      <w:r>
        <w:t xml:space="preserve">were the presence of fox control, the topographic wetness </w:t>
      </w:r>
      <w:r w:rsidR="003420D3">
        <w:t>index</w:t>
      </w:r>
      <w:r>
        <w:t xml:space="preserve">, and the </w:t>
      </w:r>
      <w:r w:rsidR="00267FDD">
        <w:t>time since fire</w:t>
      </w:r>
      <w:r>
        <w:t xml:space="preserve"> (Table </w:t>
      </w:r>
      <w:r w:rsidR="0021390F">
        <w:t>7</w:t>
      </w:r>
      <w:r>
        <w:t>). At sites without fox control</w:t>
      </w:r>
      <w:r w:rsidR="002A2CA5">
        <w:t>,</w:t>
      </w:r>
      <w:r>
        <w:t xml:space="preserve"> the </w:t>
      </w:r>
      <w:r w:rsidR="003420D3">
        <w:t xml:space="preserve">Southern Brown Bandicoot </w:t>
      </w:r>
      <w:r>
        <w:t xml:space="preserve">persistence rate increased with an increase in </w:t>
      </w:r>
      <w:r w:rsidR="003420D3">
        <w:t xml:space="preserve">topographic wetness index </w:t>
      </w:r>
      <w:r>
        <w:t xml:space="preserve">(Figure </w:t>
      </w:r>
      <w:r w:rsidR="002A61B8">
        <w:t>1</w:t>
      </w:r>
      <w:r w:rsidR="00797421">
        <w:t>1</w:t>
      </w:r>
      <w:r>
        <w:t>a), while at sites with fox control</w:t>
      </w:r>
      <w:r w:rsidR="0018189B">
        <w:t>,</w:t>
      </w:r>
      <w:r>
        <w:t xml:space="preserve"> there was little evidence that </w:t>
      </w:r>
      <w:r w:rsidR="003420D3">
        <w:t xml:space="preserve">the topographic wetness index </w:t>
      </w:r>
      <w:r>
        <w:t>influenced persistence.</w:t>
      </w:r>
    </w:p>
    <w:p w14:paraId="3C425EE6" w14:textId="385F6791" w:rsidR="007B6C29" w:rsidRDefault="007B6C29" w:rsidP="007B6C29">
      <w:r>
        <w:t>At sites without fox control</w:t>
      </w:r>
      <w:r w:rsidR="002A2CA5">
        <w:t>,</w:t>
      </w:r>
      <w:r>
        <w:t xml:space="preserve"> the local persistence rate </w:t>
      </w:r>
      <w:r w:rsidR="003420D3">
        <w:t xml:space="preserve">of Southern Brown Bandicoots </w:t>
      </w:r>
      <w:r>
        <w:t>decreased with increas</w:t>
      </w:r>
      <w:r w:rsidR="009405A0">
        <w:t>ing</w:t>
      </w:r>
      <w:r>
        <w:t xml:space="preserve"> time</w:t>
      </w:r>
      <w:r w:rsidR="003420D3">
        <w:t xml:space="preserve"> </w:t>
      </w:r>
      <w:r>
        <w:t>since fire (Figure 1</w:t>
      </w:r>
      <w:r w:rsidR="00797421">
        <w:t>1</w:t>
      </w:r>
      <w:r>
        <w:t>b), while at sites with fox control</w:t>
      </w:r>
      <w:r w:rsidR="0018189B">
        <w:t>,</w:t>
      </w:r>
      <w:r>
        <w:t xml:space="preserve"> the local persistence rate did not seem to be influenced by </w:t>
      </w:r>
      <w:r w:rsidR="00267FDD">
        <w:t>time since fire</w:t>
      </w:r>
      <w:r>
        <w:t>.</w:t>
      </w:r>
    </w:p>
    <w:p w14:paraId="593F676F" w14:textId="3C011762" w:rsidR="007B6C29" w:rsidRDefault="00A6787F" w:rsidP="007B6C29">
      <w:pPr>
        <w:pStyle w:val="CaptionedFigure"/>
      </w:pPr>
      <w:r>
        <w:rPr>
          <w:noProof/>
        </w:rPr>
        <w:lastRenderedPageBreak/>
        <mc:AlternateContent>
          <mc:Choice Requires="wps">
            <w:drawing>
              <wp:anchor distT="45720" distB="45720" distL="114300" distR="114300" simplePos="0" relativeHeight="251671552" behindDoc="0" locked="0" layoutInCell="1" allowOverlap="1" wp14:anchorId="10EAE32C" wp14:editId="7916EA76">
                <wp:simplePos x="0" y="0"/>
                <wp:positionH relativeFrom="column">
                  <wp:posOffset>-477519</wp:posOffset>
                </wp:positionH>
                <wp:positionV relativeFrom="paragraph">
                  <wp:posOffset>1865629</wp:posOffset>
                </wp:positionV>
                <wp:extent cx="1197610" cy="236220"/>
                <wp:effectExtent l="4445" t="0" r="6985"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97610" cy="236220"/>
                        </a:xfrm>
                        <a:prstGeom prst="rect">
                          <a:avLst/>
                        </a:prstGeom>
                        <a:solidFill>
                          <a:srgbClr val="FFFFFF"/>
                        </a:solidFill>
                        <a:ln w="9525">
                          <a:noFill/>
                          <a:miter lim="800000"/>
                          <a:headEnd/>
                          <a:tailEnd/>
                        </a:ln>
                      </wps:spPr>
                      <wps:txbx>
                        <w:txbxContent>
                          <w:p w14:paraId="7C71A03F" w14:textId="7832A921" w:rsidR="00A6787F" w:rsidRPr="00A6787F" w:rsidRDefault="007574C9">
                            <w:pPr>
                              <w:rPr>
                                <w:color w:val="282727" w:themeColor="text1" w:themeShade="BF"/>
                                <w:sz w:val="16"/>
                                <w:szCs w:val="20"/>
                              </w:rPr>
                            </w:pPr>
                            <w:r>
                              <w:rPr>
                                <w:color w:val="282727" w:themeColor="text1" w:themeShade="BF"/>
                                <w:sz w:val="16"/>
                                <w:szCs w:val="20"/>
                              </w:rPr>
                              <w:t>Local p</w:t>
                            </w:r>
                            <w:r w:rsidR="00A6787F" w:rsidRPr="00A6787F">
                              <w:rPr>
                                <w:color w:val="282727" w:themeColor="text1" w:themeShade="BF"/>
                                <w:sz w:val="16"/>
                                <w:szCs w:val="20"/>
                              </w:rPr>
                              <w:t>ersistence</w:t>
                            </w:r>
                            <w:r>
                              <w:rPr>
                                <w:color w:val="282727" w:themeColor="text1" w:themeShade="BF"/>
                                <w:sz w:val="16"/>
                                <w:szCs w:val="20"/>
                              </w:rPr>
                              <w:t xml:space="preserve"> 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AE32C" id="Text Box 2" o:spid="_x0000_s1035" type="#_x0000_t202" style="position:absolute;margin-left:-37.6pt;margin-top:146.9pt;width:94.3pt;height:18.6pt;rotation:-90;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9ZuFwIAAAwEAAAOAAAAZHJzL2Uyb0RvYy54bWysk92O2yAQhe8r9R0Q941jN8lurDirbbap&#10;Km1/pG0fAGMco2KGAom9ffodJlESbe+q+gIBgw9zvhlWd2Nv2EH5oMFWPJ9MOVNWQqPtruI/f2zf&#10;3XIWorCNMGBVxZ9V4Hfrt29WgytVAR2YRnmGIjaUg6t4F6MrsyzITvUiTMApi8EWfC8iLv0ua7wY&#10;UL03WTGdLrIBfOM8SBUC7j4cg3xN+m2rZPzWtkFFZiqOuUUaPY11GrP1SpQ7L1yn5SkN8Q9Z9EJb&#10;vPQs9SCiYHuv/5LqtfQQoI0TCX0GbaulIg/oJp++cvPUCafIC8IJ7owp/D9Z+fXw5L57FscPMGIB&#10;yURwjyB/BWZh0wm7U/few9Ap0eDFeUKWDS6Up18T6lCGJFIPX6DBIot9BBIaW98zD0g9X2C18KNt&#10;tM3wMqzH87kGaoxMpgzy5c0ix5DEWPF+URRUpEyUSSwhdj7ETwp6liYV91hjUhWHxxBTcpcj6XgA&#10;o5utNoYWfldvjGcHgf2wpY/8vDpmLBsqvpwXc1K2kP6nVul1xH41uq/47dEQbSc4H21D8yi0Oc4x&#10;E2NPtBKgI6o41iPTzQllgldD84z4CBQ6x+eEvjrwfzgbsDUrHn7vhVecmc8WS7DMZ7PUy7SYzW+Q&#10;EPPXkfo6IqxEqYpHzo7TTaT+Tzgs3GOpWk3YLpmcUsaWI5qn55F6+npNpy6PeP0CAAD//wMAUEsD&#10;BBQABgAIAAAAIQCeMRCA4AAAAAcBAAAPAAAAZHJzL2Rvd25yZXYueG1sTI5NS8NAFEX3gv9heIIb&#10;sTOpNakxL0WKH3Qj2Bahu2nmmQQzb0Jm2kZ/veNKl5d7OfcUi9F24kiDbx0jJBMFgrhypuUaYbt5&#10;up6D8EGz0Z1jQvgiD4vy/KzQuXEnfqPjOtQiQtjnGqEJoc+l9FVDVvuJ64lj9+EGq0OMQy3NoE8R&#10;bjs5VSqVVrccHxrd07Kh6nN9sAjZy2u6C0v73e6e1eru8cqu+tk74uXF+HAPItAY/sbwqx/VoYxO&#10;e3dg40WHcBt3CNNknoCI9U2WgdgjzFSagSwL+d+//AEAAP//AwBQSwECLQAUAAYACAAAACEAtoM4&#10;kv4AAADhAQAAEwAAAAAAAAAAAAAAAAAAAAAAW0NvbnRlbnRfVHlwZXNdLnhtbFBLAQItABQABgAI&#10;AAAAIQA4/SH/1gAAAJQBAAALAAAAAAAAAAAAAAAAAC8BAABfcmVscy8ucmVsc1BLAQItABQABgAI&#10;AAAAIQB449ZuFwIAAAwEAAAOAAAAAAAAAAAAAAAAAC4CAABkcnMvZTJvRG9jLnhtbFBLAQItABQA&#10;BgAIAAAAIQCeMRCA4AAAAAcBAAAPAAAAAAAAAAAAAAAAAHEEAABkcnMvZG93bnJldi54bWxQSwUG&#10;AAAAAAQABADzAAAAfgUAAAAA&#10;" stroked="f">
                <v:textbox>
                  <w:txbxContent>
                    <w:p w14:paraId="7C71A03F" w14:textId="7832A921" w:rsidR="00A6787F" w:rsidRPr="00A6787F" w:rsidRDefault="007574C9">
                      <w:pPr>
                        <w:rPr>
                          <w:color w:val="282727" w:themeColor="text1" w:themeShade="BF"/>
                          <w:sz w:val="16"/>
                          <w:szCs w:val="20"/>
                        </w:rPr>
                      </w:pPr>
                      <w:r>
                        <w:rPr>
                          <w:color w:val="282727" w:themeColor="text1" w:themeShade="BF"/>
                          <w:sz w:val="16"/>
                          <w:szCs w:val="20"/>
                        </w:rPr>
                        <w:t>Local p</w:t>
                      </w:r>
                      <w:r w:rsidR="00A6787F" w:rsidRPr="00A6787F">
                        <w:rPr>
                          <w:color w:val="282727" w:themeColor="text1" w:themeShade="BF"/>
                          <w:sz w:val="16"/>
                          <w:szCs w:val="20"/>
                        </w:rPr>
                        <w:t>ersistence</w:t>
                      </w:r>
                      <w:r>
                        <w:rPr>
                          <w:color w:val="282727" w:themeColor="text1" w:themeShade="BF"/>
                          <w:sz w:val="16"/>
                          <w:szCs w:val="20"/>
                        </w:rPr>
                        <w:t xml:space="preserve"> rate</w:t>
                      </w:r>
                    </w:p>
                  </w:txbxContent>
                </v:textbox>
              </v:shape>
            </w:pict>
          </mc:Fallback>
        </mc:AlternateContent>
      </w:r>
      <w:r w:rsidR="007B6C29">
        <w:rPr>
          <w:noProof/>
          <w:lang w:val="en-GB" w:eastAsia="en-GB"/>
        </w:rPr>
        <w:drawing>
          <wp:inline distT="0" distB="0" distL="0" distR="0" wp14:anchorId="0AD1E10A" wp14:editId="30B2FC2C">
            <wp:extent cx="5334000" cy="4148666"/>
            <wp:effectExtent l="0" t="0" r="0" b="0"/>
            <wp:docPr id="246" name="Picture" descr="Figure 2.27: (A) Local survival rate for Southern Brown Bandicoot across different topographic wetness, separated by fox control status, given all other covariates are average. (B) Local survival rate for Southern Brown Bandicoot across different time-since-fire, separated by fox control status, given all other covariates are average. The line is the median and the shaded are represent the 95% high density interval."/>
            <wp:cNvGraphicFramePr/>
            <a:graphic xmlns:a="http://schemas.openxmlformats.org/drawingml/2006/main">
              <a:graphicData uri="http://schemas.openxmlformats.org/drawingml/2006/picture">
                <pic:pic xmlns:pic="http://schemas.openxmlformats.org/drawingml/2006/picture">
                  <pic:nvPicPr>
                    <pic:cNvPr id="0" name="Picture" descr="Glenelg-Update-2020-Covar-v2_files/figure-docx/fSBBSurv-1.png"/>
                    <pic:cNvPicPr>
                      <a:picLocks noChangeAspect="1" noChangeArrowheads="1"/>
                    </pic:cNvPicPr>
                  </pic:nvPicPr>
                  <pic:blipFill>
                    <a:blip r:embed="rId62" cstate="email">
                      <a:extLst>
                        <a:ext uri="{28A0092B-C50C-407E-A947-70E740481C1C}">
                          <a14:useLocalDpi xmlns:a14="http://schemas.microsoft.com/office/drawing/2010/main"/>
                        </a:ext>
                      </a:extLst>
                    </a:blip>
                    <a:stretch>
                      <a:fillRect/>
                    </a:stretch>
                  </pic:blipFill>
                  <pic:spPr bwMode="auto">
                    <a:xfrm>
                      <a:off x="0" y="0"/>
                      <a:ext cx="5334000" cy="4148666"/>
                    </a:xfrm>
                    <a:prstGeom prst="rect">
                      <a:avLst/>
                    </a:prstGeom>
                    <a:noFill/>
                    <a:ln w="9525">
                      <a:noFill/>
                      <a:headEnd/>
                      <a:tailEnd/>
                    </a:ln>
                  </pic:spPr>
                </pic:pic>
              </a:graphicData>
            </a:graphic>
          </wp:inline>
        </w:drawing>
      </w:r>
    </w:p>
    <w:p w14:paraId="707001E9" w14:textId="16B59E11" w:rsidR="007B6C29" w:rsidRDefault="007B6C29" w:rsidP="00584FA8">
      <w:pPr>
        <w:pStyle w:val="Caption-Figure"/>
        <w:rPr>
          <w:b w:val="0"/>
        </w:rPr>
      </w:pPr>
      <w:bookmarkStart w:id="77" w:name="_Toc110599627"/>
      <w:r>
        <w:t>Figure 1</w:t>
      </w:r>
      <w:r w:rsidR="00797421">
        <w:t>1</w:t>
      </w:r>
      <w:r>
        <w:t xml:space="preserve">. (A) </w:t>
      </w:r>
      <w:r w:rsidR="000641DF">
        <w:t>Persistence</w:t>
      </w:r>
      <w:r>
        <w:t xml:space="preserve"> rate</w:t>
      </w:r>
      <w:r w:rsidR="00F842A4">
        <w:t>s</w:t>
      </w:r>
      <w:r>
        <w:t xml:space="preserve"> for Southern Brown Bandicoot across different topographic wetness</w:t>
      </w:r>
      <w:r w:rsidR="00F842A4">
        <w:t xml:space="preserve"> indices</w:t>
      </w:r>
      <w:r>
        <w:t xml:space="preserve">, separated by fox control status, given all other covariates are </w:t>
      </w:r>
      <w:r w:rsidR="009405A0">
        <w:t>held at their mean value</w:t>
      </w:r>
      <w:r>
        <w:t xml:space="preserve">. (B) </w:t>
      </w:r>
      <w:r w:rsidR="000641DF">
        <w:t>Persistence</w:t>
      </w:r>
      <w:r>
        <w:t xml:space="preserve"> rate</w:t>
      </w:r>
      <w:r w:rsidR="00F842A4">
        <w:t>s</w:t>
      </w:r>
      <w:r>
        <w:t xml:space="preserve"> for Southern Brown Bandicoot across different </w:t>
      </w:r>
      <w:r w:rsidR="00267FDD">
        <w:t>time</w:t>
      </w:r>
      <w:r w:rsidR="002A2CA5">
        <w:t>s</w:t>
      </w:r>
      <w:r w:rsidR="00267FDD">
        <w:t xml:space="preserve"> since fire</w:t>
      </w:r>
      <w:r>
        <w:t xml:space="preserve">, separated by fox control status, given all other covariates are </w:t>
      </w:r>
      <w:r w:rsidR="005371AF">
        <w:t>held at their mean value</w:t>
      </w:r>
      <w:r>
        <w:t xml:space="preserve">. </w:t>
      </w:r>
      <w:r w:rsidRPr="00C277F4">
        <w:rPr>
          <w:b w:val="0"/>
        </w:rPr>
        <w:t>The line is the median</w:t>
      </w:r>
      <w:r w:rsidR="0018189B" w:rsidRPr="00C277F4">
        <w:rPr>
          <w:b w:val="0"/>
        </w:rPr>
        <w:t>,</w:t>
      </w:r>
      <w:r w:rsidRPr="00C277F4">
        <w:rPr>
          <w:b w:val="0"/>
        </w:rPr>
        <w:t xml:space="preserve"> and the shaded are</w:t>
      </w:r>
      <w:r w:rsidR="002A2CA5" w:rsidRPr="00C277F4">
        <w:rPr>
          <w:b w:val="0"/>
        </w:rPr>
        <w:t>a</w:t>
      </w:r>
      <w:r w:rsidRPr="00C277F4">
        <w:rPr>
          <w:b w:val="0"/>
        </w:rPr>
        <w:t xml:space="preserve"> represent</w:t>
      </w:r>
      <w:r w:rsidR="002A2CA5" w:rsidRPr="00C277F4">
        <w:rPr>
          <w:b w:val="0"/>
        </w:rPr>
        <w:t>s</w:t>
      </w:r>
      <w:r w:rsidRPr="00C277F4">
        <w:rPr>
          <w:b w:val="0"/>
        </w:rPr>
        <w:t xml:space="preserve"> the 95% </w:t>
      </w:r>
      <w:r w:rsidR="009405A0">
        <w:rPr>
          <w:b w:val="0"/>
        </w:rPr>
        <w:t>credible</w:t>
      </w:r>
      <w:r w:rsidRPr="00C277F4">
        <w:rPr>
          <w:b w:val="0"/>
        </w:rPr>
        <w:t xml:space="preserve"> interval.</w:t>
      </w:r>
      <w:bookmarkEnd w:id="77"/>
    </w:p>
    <w:p w14:paraId="140639C3" w14:textId="77777777" w:rsidR="007B6C29" w:rsidRDefault="007B6C29" w:rsidP="007B6C29">
      <w:pPr>
        <w:pStyle w:val="Heading4"/>
        <w:rPr>
          <w:lang w:eastAsia="en-AU"/>
        </w:rPr>
      </w:pPr>
      <w:r>
        <w:rPr>
          <w:lang w:eastAsia="en-AU"/>
        </w:rPr>
        <w:t>Colonisation</w:t>
      </w:r>
    </w:p>
    <w:p w14:paraId="4DE2B9E4" w14:textId="507DAC8B" w:rsidR="007B6C29" w:rsidRDefault="007B6C29" w:rsidP="007B6C29">
      <w:r>
        <w:t xml:space="preserve">The covariates </w:t>
      </w:r>
      <w:r w:rsidR="0018189B">
        <w:t>influencing</w:t>
      </w:r>
      <w:r>
        <w:t xml:space="preserve"> local colonisation rates </w:t>
      </w:r>
      <w:r w:rsidR="00635235">
        <w:t xml:space="preserve">of Southern Brown Bandicoots </w:t>
      </w:r>
      <w:r>
        <w:t xml:space="preserve">were the presence of fox control and the distance to non-native vegetation (Table </w:t>
      </w:r>
      <w:r w:rsidR="0021390F">
        <w:t>7</w:t>
      </w:r>
      <w:r>
        <w:t xml:space="preserve">). </w:t>
      </w:r>
      <w:r w:rsidR="002A2CA5">
        <w:t>The c</w:t>
      </w:r>
      <w:r>
        <w:t>olonisation rate increased with increas</w:t>
      </w:r>
      <w:r w:rsidR="009405A0">
        <w:t>ing</w:t>
      </w:r>
      <w:r>
        <w:t xml:space="preserve"> distance to native vegetation at sites with and without fox control, although sites with fox control had higher colonisation rates (Figure 1</w:t>
      </w:r>
      <w:r w:rsidR="00797421">
        <w:t>2</w:t>
      </w:r>
      <w:r>
        <w:t>).</w:t>
      </w:r>
    </w:p>
    <w:p w14:paraId="0E0247AF" w14:textId="58BF7B81" w:rsidR="007B6C29" w:rsidRDefault="007B6C29" w:rsidP="007B6C29">
      <w:r>
        <w:t xml:space="preserve">The odds of an unoccupied </w:t>
      </w:r>
      <w:r w:rsidR="002A2CA5">
        <w:t xml:space="preserve">site </w:t>
      </w:r>
      <w:r>
        <w:t>becoming occupied w</w:t>
      </w:r>
      <w:r w:rsidR="002A2CA5">
        <w:t>ere</w:t>
      </w:r>
      <w:r>
        <w:t xml:space="preserve"> 190% </w:t>
      </w:r>
      <w:r w:rsidR="00635235">
        <w:t xml:space="preserve">greater </w:t>
      </w:r>
      <w:r>
        <w:t xml:space="preserve">(95% </w:t>
      </w:r>
      <w:r w:rsidR="00C277F4">
        <w:t>CI</w:t>
      </w:r>
      <w:r>
        <w:t xml:space="preserve"> 85</w:t>
      </w:r>
      <w:r w:rsidR="00635235">
        <w:t>–</w:t>
      </w:r>
      <w:r>
        <w:t xml:space="preserve">357%) </w:t>
      </w:r>
      <w:r w:rsidR="00473419">
        <w:t>than at</w:t>
      </w:r>
      <w:r>
        <w:t xml:space="preserve"> the equivalent site without fox control.</w:t>
      </w:r>
    </w:p>
    <w:p w14:paraId="0884AE9D" w14:textId="77777777" w:rsidR="007B6C29" w:rsidRDefault="007B6C29" w:rsidP="007B6C29">
      <w:pPr>
        <w:pStyle w:val="CaptionedFigure"/>
      </w:pPr>
      <w:r>
        <w:rPr>
          <w:noProof/>
          <w:lang w:val="en-GB" w:eastAsia="en-GB"/>
        </w:rPr>
        <w:lastRenderedPageBreak/>
        <w:drawing>
          <wp:inline distT="0" distB="0" distL="0" distR="0" wp14:anchorId="5D80FF05" wp14:editId="38C45741">
            <wp:extent cx="5334000" cy="4148666"/>
            <wp:effectExtent l="0" t="0" r="0" b="0"/>
            <wp:docPr id="247" name="Picture" descr="Figure 2.29: Estimated local survival rate for Southern Brown Bandicoot related to distance to non-native vegetation, separated by fox control status."/>
            <wp:cNvGraphicFramePr/>
            <a:graphic xmlns:a="http://schemas.openxmlformats.org/drawingml/2006/main">
              <a:graphicData uri="http://schemas.openxmlformats.org/drawingml/2006/picture">
                <pic:pic xmlns:pic="http://schemas.openxmlformats.org/drawingml/2006/picture">
                  <pic:nvPicPr>
                    <pic:cNvPr id="0" name="Picture" descr="Glenelg-Update-2020-Covar-v2_files/figure-docx/SBBColCov-1.png"/>
                    <pic:cNvPicPr>
                      <a:picLocks noChangeAspect="1" noChangeArrowheads="1"/>
                    </pic:cNvPicPr>
                  </pic:nvPicPr>
                  <pic:blipFill>
                    <a:blip r:embed="rId63" cstate="email">
                      <a:extLst>
                        <a:ext uri="{28A0092B-C50C-407E-A947-70E740481C1C}">
                          <a14:useLocalDpi xmlns:a14="http://schemas.microsoft.com/office/drawing/2010/main"/>
                        </a:ext>
                      </a:extLst>
                    </a:blip>
                    <a:stretch>
                      <a:fillRect/>
                    </a:stretch>
                  </pic:blipFill>
                  <pic:spPr bwMode="auto">
                    <a:xfrm>
                      <a:off x="0" y="0"/>
                      <a:ext cx="5334000" cy="4148666"/>
                    </a:xfrm>
                    <a:prstGeom prst="rect">
                      <a:avLst/>
                    </a:prstGeom>
                    <a:noFill/>
                    <a:ln w="9525">
                      <a:noFill/>
                      <a:headEnd/>
                      <a:tailEnd/>
                    </a:ln>
                  </pic:spPr>
                </pic:pic>
              </a:graphicData>
            </a:graphic>
          </wp:inline>
        </w:drawing>
      </w:r>
    </w:p>
    <w:p w14:paraId="652B6CB0" w14:textId="2D2421C6" w:rsidR="007B6C29" w:rsidRDefault="007B6C29" w:rsidP="00584FA8">
      <w:pPr>
        <w:pStyle w:val="Caption-Figure"/>
      </w:pPr>
      <w:bookmarkStart w:id="78" w:name="_Toc110599628"/>
      <w:r>
        <w:t>Figure 1</w:t>
      </w:r>
      <w:r w:rsidR="00797421">
        <w:t>2</w:t>
      </w:r>
      <w:r>
        <w:t xml:space="preserve">. Estimated local colonisation rate for Southern Brown Bandicoot </w:t>
      </w:r>
      <w:r w:rsidR="00F842A4">
        <w:t xml:space="preserve">in relation </w:t>
      </w:r>
      <w:r>
        <w:t>to distance to non-native vegetation, separated by fox control status</w:t>
      </w:r>
      <w:bookmarkEnd w:id="78"/>
    </w:p>
    <w:p w14:paraId="17649D70" w14:textId="733F76E5" w:rsidR="001274B6" w:rsidRPr="001274B6" w:rsidRDefault="00584FA8" w:rsidP="001274B6">
      <w:pPr>
        <w:rPr>
          <w:b/>
          <w:bCs/>
          <w:i/>
          <w:iCs/>
        </w:rPr>
      </w:pPr>
      <w:r>
        <w:rPr>
          <w:b/>
          <w:bCs/>
          <w:i/>
          <w:iCs/>
          <w:sz w:val="22"/>
          <w:szCs w:val="28"/>
        </w:rPr>
        <w:br w:type="column"/>
      </w:r>
      <w:r w:rsidR="001274B6" w:rsidRPr="001274B6">
        <w:rPr>
          <w:b/>
          <w:bCs/>
          <w:i/>
          <w:iCs/>
          <w:sz w:val="22"/>
          <w:szCs w:val="28"/>
        </w:rPr>
        <w:lastRenderedPageBreak/>
        <w:t>Growth rate</w:t>
      </w:r>
    </w:p>
    <w:p w14:paraId="0B8DCCB8" w14:textId="673E69D0" w:rsidR="001274B6" w:rsidRDefault="00B451CE" w:rsidP="001274B6">
      <w:r>
        <w:t>The</w:t>
      </w:r>
      <w:r w:rsidR="00C277F4">
        <w:t xml:space="preserve"> difference in</w:t>
      </w:r>
      <w:r w:rsidR="00750DA4" w:rsidRPr="00750DA4">
        <w:t xml:space="preserve"> </w:t>
      </w:r>
      <w:r>
        <w:t xml:space="preserve">occupancy </w:t>
      </w:r>
      <w:r w:rsidR="00750DA4" w:rsidRPr="00750DA4">
        <w:t xml:space="preserve">growth rate </w:t>
      </w:r>
      <w:r w:rsidR="00473419">
        <w:t xml:space="preserve">of Southern Brown Bandicoots </w:t>
      </w:r>
      <w:r w:rsidR="00750DA4" w:rsidRPr="00750DA4">
        <w:t>a</w:t>
      </w:r>
      <w:r w:rsidR="00750DA4">
        <w:t>t</w:t>
      </w:r>
      <w:r w:rsidR="00473419">
        <w:t xml:space="preserve"> locations with</w:t>
      </w:r>
      <w:r w:rsidR="00750DA4" w:rsidRPr="00750DA4">
        <w:t xml:space="preserve"> fox control has been consistently greater than </w:t>
      </w:r>
      <w:r w:rsidR="00473419">
        <w:t xml:space="preserve">at locations without </w:t>
      </w:r>
      <w:r w:rsidR="00750DA4" w:rsidRPr="00750DA4">
        <w:t>fox control (Figure</w:t>
      </w:r>
      <w:r w:rsidR="00750DA4">
        <w:t xml:space="preserve"> </w:t>
      </w:r>
      <w:r w:rsidR="002A61B8">
        <w:t>1</w:t>
      </w:r>
      <w:r w:rsidR="00797421">
        <w:t>3</w:t>
      </w:r>
      <w:r w:rsidR="00750DA4" w:rsidRPr="00750DA4">
        <w:t>).</w:t>
      </w:r>
    </w:p>
    <w:p w14:paraId="45B5651C" w14:textId="77777777" w:rsidR="00750DA4" w:rsidRDefault="00750DA4" w:rsidP="00750DA4">
      <w:pPr>
        <w:pStyle w:val="CaptionedFigure"/>
      </w:pPr>
      <w:r>
        <w:rPr>
          <w:noProof/>
          <w:lang w:val="en-GB" w:eastAsia="en-GB"/>
        </w:rPr>
        <w:drawing>
          <wp:inline distT="0" distB="0" distL="0" distR="0" wp14:anchorId="7A152CFC" wp14:editId="0AF397E4">
            <wp:extent cx="5814204" cy="3303917"/>
            <wp:effectExtent l="0" t="0" r="0" b="0"/>
            <wp:docPr id="254" name="Picture" descr="Figure 2.31: Difference in growth rates (as percentage change) by fox control status for Southern Brown Bandicoot over time. The dot is the median and the lines represent the 95% high density interval."/>
            <wp:cNvGraphicFramePr/>
            <a:graphic xmlns:a="http://schemas.openxmlformats.org/drawingml/2006/main">
              <a:graphicData uri="http://schemas.openxmlformats.org/drawingml/2006/picture">
                <pic:pic xmlns:pic="http://schemas.openxmlformats.org/drawingml/2006/picture">
                  <pic:nvPicPr>
                    <pic:cNvPr id="0" name="Picture" descr="Glenelg-Update-2020-Covar-v2_files/figure-docx/SBBgrFoxD-1.png"/>
                    <pic:cNvPicPr>
                      <a:picLocks noChangeAspect="1" noChangeArrowheads="1"/>
                    </pic:cNvPicPr>
                  </pic:nvPicPr>
                  <pic:blipFill>
                    <a:blip r:embed="rId64" cstate="email">
                      <a:extLst>
                        <a:ext uri="{28A0092B-C50C-407E-A947-70E740481C1C}">
                          <a14:useLocalDpi xmlns:a14="http://schemas.microsoft.com/office/drawing/2010/main"/>
                        </a:ext>
                      </a:extLst>
                    </a:blip>
                    <a:stretch>
                      <a:fillRect/>
                    </a:stretch>
                  </pic:blipFill>
                  <pic:spPr bwMode="auto">
                    <a:xfrm>
                      <a:off x="0" y="0"/>
                      <a:ext cx="5826830" cy="3311092"/>
                    </a:xfrm>
                    <a:prstGeom prst="rect">
                      <a:avLst/>
                    </a:prstGeom>
                    <a:noFill/>
                    <a:ln w="9525">
                      <a:noFill/>
                      <a:headEnd/>
                      <a:tailEnd/>
                    </a:ln>
                  </pic:spPr>
                </pic:pic>
              </a:graphicData>
            </a:graphic>
          </wp:inline>
        </w:drawing>
      </w:r>
    </w:p>
    <w:p w14:paraId="5AF4BD76" w14:textId="47AEF5F0" w:rsidR="00750DA4" w:rsidRDefault="00750DA4" w:rsidP="00584FA8">
      <w:pPr>
        <w:pStyle w:val="Caption-Figure"/>
      </w:pPr>
      <w:bookmarkStart w:id="79" w:name="_Toc110599629"/>
      <w:r>
        <w:t xml:space="preserve">Figure </w:t>
      </w:r>
      <w:r w:rsidR="002A61B8">
        <w:t>1</w:t>
      </w:r>
      <w:r w:rsidR="00797421">
        <w:t>3</w:t>
      </w:r>
      <w:r w:rsidR="002A61B8">
        <w:t>.</w:t>
      </w:r>
      <w:r>
        <w:t xml:space="preserve"> </w:t>
      </w:r>
      <w:r w:rsidR="00641AF6">
        <w:t xml:space="preserve">The difference in growth rates (percentage difference between sites with and without fox control) </w:t>
      </w:r>
      <w:r>
        <w:t>for Southern Brown Bandicoot over time.</w:t>
      </w:r>
      <w:r w:rsidRPr="00C277F4">
        <w:rPr>
          <w:b w:val="0"/>
        </w:rPr>
        <w:t xml:space="preserve"> The dot is the median</w:t>
      </w:r>
      <w:r w:rsidR="0020196D" w:rsidRPr="00C277F4">
        <w:rPr>
          <w:b w:val="0"/>
        </w:rPr>
        <w:t>,</w:t>
      </w:r>
      <w:r w:rsidRPr="00C277F4">
        <w:rPr>
          <w:b w:val="0"/>
        </w:rPr>
        <w:t xml:space="preserve"> and the lines represent the 95% high</w:t>
      </w:r>
      <w:r w:rsidR="002A2CA5" w:rsidRPr="00C277F4">
        <w:rPr>
          <w:b w:val="0"/>
        </w:rPr>
        <w:t>-</w:t>
      </w:r>
      <w:r w:rsidRPr="00C277F4">
        <w:rPr>
          <w:b w:val="0"/>
        </w:rPr>
        <w:t>density interval.</w:t>
      </w:r>
      <w:bookmarkEnd w:id="79"/>
    </w:p>
    <w:p w14:paraId="75BE092C" w14:textId="77777777" w:rsidR="001453FA" w:rsidRDefault="001453FA" w:rsidP="001453FA">
      <w:pPr>
        <w:pStyle w:val="Caption-Table"/>
      </w:pPr>
      <w:bookmarkStart w:id="80" w:name="_Toc110599617"/>
      <w:r>
        <w:t>Table 7. Results from the Southern Brown Bandicoot model that relates to the covariates</w:t>
      </w:r>
      <w:bookmarkEnd w:id="80"/>
    </w:p>
    <w:tbl>
      <w:tblPr>
        <w:tblStyle w:val="Table"/>
        <w:tblW w:w="4835" w:type="pct"/>
        <w:tblLook w:val="0020" w:firstRow="1" w:lastRow="0" w:firstColumn="0" w:lastColumn="0" w:noHBand="0" w:noVBand="0"/>
      </w:tblPr>
      <w:tblGrid>
        <w:gridCol w:w="1458"/>
        <w:gridCol w:w="2653"/>
        <w:gridCol w:w="1849"/>
        <w:gridCol w:w="828"/>
        <w:gridCol w:w="2533"/>
      </w:tblGrid>
      <w:tr w:rsidR="00C277F4" w:rsidRPr="00010544" w14:paraId="52F7CEA1" w14:textId="77777777" w:rsidTr="00854BBB">
        <w:trPr>
          <w:cnfStyle w:val="100000000000" w:firstRow="1" w:lastRow="0" w:firstColumn="0" w:lastColumn="0" w:oddVBand="0" w:evenVBand="0" w:oddHBand="0" w:evenHBand="0" w:firstRowFirstColumn="0" w:firstRowLastColumn="0" w:lastRowFirstColumn="0" w:lastRowLastColumn="0"/>
        </w:trPr>
        <w:tc>
          <w:tcPr>
            <w:tcW w:w="782" w:type="pct"/>
            <w:shd w:val="clear" w:color="auto" w:fill="00A9B2"/>
          </w:tcPr>
          <w:p w14:paraId="1672E13C" w14:textId="77777777" w:rsidR="001453FA" w:rsidRPr="00010544" w:rsidRDefault="001453FA" w:rsidP="002B71D3">
            <w:pPr>
              <w:pStyle w:val="Tableheadingtext"/>
              <w:rPr>
                <w:b w:val="0"/>
                <w:sz w:val="18"/>
                <w:szCs w:val="14"/>
              </w:rPr>
            </w:pPr>
            <w:r w:rsidRPr="00010544">
              <w:rPr>
                <w:b w:val="0"/>
                <w:sz w:val="18"/>
                <w:szCs w:val="14"/>
              </w:rPr>
              <w:t>Component</w:t>
            </w:r>
          </w:p>
        </w:tc>
        <w:tc>
          <w:tcPr>
            <w:tcW w:w="1423" w:type="pct"/>
            <w:shd w:val="clear" w:color="auto" w:fill="00A9B2"/>
          </w:tcPr>
          <w:p w14:paraId="50378533" w14:textId="77777777" w:rsidR="001453FA" w:rsidRPr="00010544" w:rsidRDefault="001453FA" w:rsidP="002B71D3">
            <w:pPr>
              <w:pStyle w:val="Tableheadingtext"/>
              <w:rPr>
                <w:b w:val="0"/>
                <w:sz w:val="18"/>
                <w:szCs w:val="14"/>
              </w:rPr>
            </w:pPr>
            <w:r w:rsidRPr="00010544">
              <w:rPr>
                <w:b w:val="0"/>
                <w:sz w:val="18"/>
                <w:szCs w:val="14"/>
              </w:rPr>
              <w:t>Parameter</w:t>
            </w:r>
          </w:p>
        </w:tc>
        <w:tc>
          <w:tcPr>
            <w:tcW w:w="992" w:type="pct"/>
            <w:shd w:val="clear" w:color="auto" w:fill="00A9B2"/>
          </w:tcPr>
          <w:p w14:paraId="7CFDDD86" w14:textId="77777777" w:rsidR="001453FA" w:rsidRPr="00010544" w:rsidRDefault="001453FA" w:rsidP="002B71D3">
            <w:pPr>
              <w:pStyle w:val="Tableheadingtext"/>
              <w:jc w:val="center"/>
              <w:rPr>
                <w:b w:val="0"/>
                <w:sz w:val="18"/>
                <w:szCs w:val="14"/>
              </w:rPr>
            </w:pPr>
            <w:r w:rsidRPr="00010544">
              <w:rPr>
                <w:b w:val="0"/>
                <w:sz w:val="18"/>
                <w:szCs w:val="14"/>
              </w:rPr>
              <w:t>Median</w:t>
            </w:r>
          </w:p>
        </w:tc>
        <w:tc>
          <w:tcPr>
            <w:tcW w:w="444" w:type="pct"/>
            <w:shd w:val="clear" w:color="auto" w:fill="00A9B2"/>
          </w:tcPr>
          <w:p w14:paraId="32286261" w14:textId="77777777" w:rsidR="001453FA" w:rsidRPr="00010544" w:rsidRDefault="001453FA" w:rsidP="002B71D3">
            <w:pPr>
              <w:pStyle w:val="Tableheadingtext"/>
              <w:jc w:val="center"/>
              <w:rPr>
                <w:b w:val="0"/>
                <w:sz w:val="18"/>
                <w:szCs w:val="14"/>
              </w:rPr>
            </w:pPr>
            <w:r w:rsidRPr="00010544">
              <w:rPr>
                <w:b w:val="0"/>
                <w:sz w:val="18"/>
                <w:szCs w:val="14"/>
              </w:rPr>
              <w:t>L.B.</w:t>
            </w:r>
          </w:p>
        </w:tc>
        <w:tc>
          <w:tcPr>
            <w:tcW w:w="0" w:type="auto"/>
            <w:shd w:val="clear" w:color="auto" w:fill="00A9B2"/>
          </w:tcPr>
          <w:p w14:paraId="5252F117" w14:textId="77777777" w:rsidR="001453FA" w:rsidRPr="00010544" w:rsidRDefault="001453FA" w:rsidP="002B71D3">
            <w:pPr>
              <w:pStyle w:val="Tableheadingtext"/>
              <w:jc w:val="center"/>
              <w:rPr>
                <w:b w:val="0"/>
                <w:sz w:val="18"/>
                <w:szCs w:val="14"/>
              </w:rPr>
            </w:pPr>
            <w:r w:rsidRPr="00010544">
              <w:rPr>
                <w:b w:val="0"/>
                <w:sz w:val="18"/>
                <w:szCs w:val="14"/>
              </w:rPr>
              <w:t>U.B.</w:t>
            </w:r>
          </w:p>
        </w:tc>
      </w:tr>
      <w:tr w:rsidR="001453FA" w:rsidRPr="0079370C" w14:paraId="7145BC56" w14:textId="77777777" w:rsidTr="00854BBB">
        <w:tc>
          <w:tcPr>
            <w:tcW w:w="782" w:type="pct"/>
            <w:tcBorders>
              <w:top w:val="single" w:sz="2" w:space="0" w:color="00A9B2"/>
              <w:bottom w:val="single" w:sz="2" w:space="0" w:color="00A9B2"/>
            </w:tcBorders>
          </w:tcPr>
          <w:p w14:paraId="1D71422C" w14:textId="77777777" w:rsidR="001453FA" w:rsidRPr="0079370C" w:rsidRDefault="001453FA" w:rsidP="002B71D3">
            <w:pPr>
              <w:pStyle w:val="Tablebodytext"/>
              <w:rPr>
                <w:sz w:val="20"/>
                <w:szCs w:val="20"/>
              </w:rPr>
            </w:pPr>
            <w:r>
              <w:rPr>
                <w:sz w:val="20"/>
                <w:szCs w:val="20"/>
              </w:rPr>
              <w:t>P</w:t>
            </w:r>
            <w:r w:rsidRPr="0079370C">
              <w:rPr>
                <w:sz w:val="20"/>
                <w:szCs w:val="20"/>
              </w:rPr>
              <w:t>ersistence</w:t>
            </w:r>
          </w:p>
        </w:tc>
        <w:tc>
          <w:tcPr>
            <w:tcW w:w="1423" w:type="pct"/>
            <w:tcBorders>
              <w:top w:val="single" w:sz="2" w:space="0" w:color="00A9B2"/>
              <w:bottom w:val="single" w:sz="2" w:space="0" w:color="00A9B2"/>
            </w:tcBorders>
          </w:tcPr>
          <w:p w14:paraId="1D045F50" w14:textId="77777777" w:rsidR="001453FA" w:rsidRPr="0079370C" w:rsidRDefault="001453FA" w:rsidP="002B71D3">
            <w:pPr>
              <w:pStyle w:val="Tablebodytext"/>
              <w:rPr>
                <w:sz w:val="20"/>
                <w:szCs w:val="20"/>
              </w:rPr>
            </w:pPr>
            <w:r w:rsidRPr="0079370C">
              <w:rPr>
                <w:sz w:val="20"/>
                <w:szCs w:val="20"/>
              </w:rPr>
              <w:t>Topographic wetness index</w:t>
            </w:r>
          </w:p>
        </w:tc>
        <w:tc>
          <w:tcPr>
            <w:tcW w:w="992" w:type="pct"/>
            <w:tcBorders>
              <w:top w:val="single" w:sz="2" w:space="0" w:color="00A9B2"/>
              <w:bottom w:val="single" w:sz="2" w:space="0" w:color="00A9B2"/>
            </w:tcBorders>
          </w:tcPr>
          <w:p w14:paraId="4BC944EC" w14:textId="77777777" w:rsidR="001453FA" w:rsidRPr="0079370C" w:rsidRDefault="001453FA" w:rsidP="002B71D3">
            <w:pPr>
              <w:pStyle w:val="Tablebodytext"/>
              <w:jc w:val="center"/>
              <w:rPr>
                <w:sz w:val="20"/>
                <w:szCs w:val="20"/>
              </w:rPr>
            </w:pPr>
            <w:r w:rsidRPr="0079370C">
              <w:rPr>
                <w:sz w:val="20"/>
                <w:szCs w:val="20"/>
              </w:rPr>
              <w:t>0.609</w:t>
            </w:r>
          </w:p>
        </w:tc>
        <w:tc>
          <w:tcPr>
            <w:tcW w:w="444" w:type="pct"/>
            <w:tcBorders>
              <w:top w:val="single" w:sz="2" w:space="0" w:color="00A9B2"/>
              <w:bottom w:val="single" w:sz="2" w:space="0" w:color="00A9B2"/>
            </w:tcBorders>
          </w:tcPr>
          <w:p w14:paraId="0365E8CE" w14:textId="70444B01" w:rsidR="001453FA" w:rsidRPr="0079370C" w:rsidRDefault="00136C62" w:rsidP="002B71D3">
            <w:pPr>
              <w:pStyle w:val="Tablebodytext"/>
              <w:jc w:val="center"/>
              <w:rPr>
                <w:sz w:val="20"/>
                <w:szCs w:val="20"/>
              </w:rPr>
            </w:pPr>
            <w:r>
              <w:rPr>
                <w:sz w:val="20"/>
                <w:szCs w:val="20"/>
              </w:rPr>
              <w:t>–</w:t>
            </w:r>
            <w:r w:rsidR="001453FA" w:rsidRPr="0079370C">
              <w:rPr>
                <w:sz w:val="20"/>
                <w:szCs w:val="20"/>
              </w:rPr>
              <w:t>0.057</w:t>
            </w:r>
          </w:p>
        </w:tc>
        <w:tc>
          <w:tcPr>
            <w:tcW w:w="0" w:type="auto"/>
            <w:tcBorders>
              <w:top w:val="single" w:sz="2" w:space="0" w:color="00A9B2"/>
              <w:bottom w:val="single" w:sz="2" w:space="0" w:color="00A9B2"/>
            </w:tcBorders>
          </w:tcPr>
          <w:p w14:paraId="77A0DCDB" w14:textId="77777777" w:rsidR="001453FA" w:rsidRPr="0079370C" w:rsidRDefault="001453FA" w:rsidP="002B71D3">
            <w:pPr>
              <w:pStyle w:val="Tablebodytext"/>
              <w:jc w:val="center"/>
              <w:rPr>
                <w:sz w:val="20"/>
                <w:szCs w:val="20"/>
              </w:rPr>
            </w:pPr>
            <w:r w:rsidRPr="0079370C">
              <w:rPr>
                <w:sz w:val="20"/>
                <w:szCs w:val="20"/>
              </w:rPr>
              <w:t>1.309</w:t>
            </w:r>
          </w:p>
        </w:tc>
      </w:tr>
      <w:tr w:rsidR="00C277F4" w:rsidRPr="0079370C" w14:paraId="20C368A8" w14:textId="77777777" w:rsidTr="00854BBB">
        <w:tc>
          <w:tcPr>
            <w:tcW w:w="782" w:type="pct"/>
            <w:tcBorders>
              <w:top w:val="single" w:sz="2" w:space="0" w:color="00A9B2"/>
              <w:bottom w:val="single" w:sz="2" w:space="0" w:color="00A9B2"/>
            </w:tcBorders>
            <w:shd w:val="clear" w:color="auto" w:fill="F2F2F2" w:themeFill="background1" w:themeFillShade="F2"/>
          </w:tcPr>
          <w:p w14:paraId="1B5715F9" w14:textId="77777777" w:rsidR="001453FA" w:rsidRPr="0079370C" w:rsidRDefault="001453FA" w:rsidP="002B71D3">
            <w:pPr>
              <w:pStyle w:val="Tablebodytext"/>
              <w:rPr>
                <w:b/>
                <w:bCs/>
                <w:sz w:val="20"/>
                <w:szCs w:val="20"/>
              </w:rPr>
            </w:pPr>
            <w:r>
              <w:rPr>
                <w:b/>
                <w:bCs/>
                <w:sz w:val="20"/>
                <w:szCs w:val="20"/>
              </w:rPr>
              <w:t>P</w:t>
            </w:r>
            <w:r w:rsidRPr="0079370C">
              <w:rPr>
                <w:b/>
                <w:bCs/>
                <w:sz w:val="20"/>
                <w:szCs w:val="20"/>
              </w:rPr>
              <w:t>ersistence</w:t>
            </w:r>
          </w:p>
        </w:tc>
        <w:tc>
          <w:tcPr>
            <w:tcW w:w="1423" w:type="pct"/>
            <w:tcBorders>
              <w:top w:val="single" w:sz="2" w:space="0" w:color="00A9B2"/>
              <w:bottom w:val="single" w:sz="2" w:space="0" w:color="00A9B2"/>
            </w:tcBorders>
            <w:shd w:val="clear" w:color="auto" w:fill="F2F2F2" w:themeFill="background1" w:themeFillShade="F2"/>
          </w:tcPr>
          <w:p w14:paraId="76F2A621" w14:textId="77777777" w:rsidR="001453FA" w:rsidRPr="0079370C" w:rsidRDefault="001453FA" w:rsidP="002B71D3">
            <w:pPr>
              <w:pStyle w:val="Tablebodytext"/>
              <w:rPr>
                <w:b/>
                <w:bCs/>
                <w:sz w:val="20"/>
                <w:szCs w:val="20"/>
              </w:rPr>
            </w:pPr>
            <w:r w:rsidRPr="0079370C">
              <w:rPr>
                <w:b/>
                <w:bCs/>
                <w:sz w:val="20"/>
                <w:szCs w:val="20"/>
              </w:rPr>
              <w:t>Time</w:t>
            </w:r>
            <w:r>
              <w:rPr>
                <w:b/>
                <w:bCs/>
                <w:sz w:val="20"/>
                <w:szCs w:val="20"/>
              </w:rPr>
              <w:t xml:space="preserve"> </w:t>
            </w:r>
            <w:r w:rsidRPr="0079370C">
              <w:rPr>
                <w:b/>
                <w:bCs/>
                <w:sz w:val="20"/>
                <w:szCs w:val="20"/>
              </w:rPr>
              <w:t>since</w:t>
            </w:r>
            <w:r>
              <w:rPr>
                <w:b/>
                <w:bCs/>
                <w:sz w:val="20"/>
                <w:szCs w:val="20"/>
              </w:rPr>
              <w:t xml:space="preserve"> </w:t>
            </w:r>
            <w:r w:rsidRPr="0079370C">
              <w:rPr>
                <w:b/>
                <w:bCs/>
                <w:sz w:val="20"/>
                <w:szCs w:val="20"/>
              </w:rPr>
              <w:t>fire</w:t>
            </w:r>
          </w:p>
        </w:tc>
        <w:tc>
          <w:tcPr>
            <w:tcW w:w="992" w:type="pct"/>
            <w:tcBorders>
              <w:top w:val="single" w:sz="2" w:space="0" w:color="00A9B2"/>
              <w:bottom w:val="single" w:sz="2" w:space="0" w:color="00A9B2"/>
            </w:tcBorders>
            <w:shd w:val="clear" w:color="auto" w:fill="F2F2F2" w:themeFill="background1" w:themeFillShade="F2"/>
          </w:tcPr>
          <w:p w14:paraId="55DC346D" w14:textId="202336C3" w:rsidR="001453FA" w:rsidRPr="0079370C" w:rsidRDefault="00136C62" w:rsidP="002B71D3">
            <w:pPr>
              <w:pStyle w:val="Tablebodytext"/>
              <w:jc w:val="center"/>
              <w:rPr>
                <w:b/>
                <w:bCs/>
                <w:sz w:val="20"/>
                <w:szCs w:val="20"/>
              </w:rPr>
            </w:pPr>
            <w:r>
              <w:rPr>
                <w:b/>
                <w:bCs/>
                <w:sz w:val="20"/>
                <w:szCs w:val="20"/>
              </w:rPr>
              <w:t>–</w:t>
            </w:r>
            <w:r w:rsidR="001453FA" w:rsidRPr="0079370C">
              <w:rPr>
                <w:b/>
                <w:bCs/>
                <w:sz w:val="20"/>
                <w:szCs w:val="20"/>
              </w:rPr>
              <w:t>0.546</w:t>
            </w:r>
          </w:p>
        </w:tc>
        <w:tc>
          <w:tcPr>
            <w:tcW w:w="444" w:type="pct"/>
            <w:tcBorders>
              <w:top w:val="single" w:sz="2" w:space="0" w:color="00A9B2"/>
              <w:bottom w:val="single" w:sz="2" w:space="0" w:color="00A9B2"/>
            </w:tcBorders>
            <w:shd w:val="clear" w:color="auto" w:fill="F2F2F2" w:themeFill="background1" w:themeFillShade="F2"/>
          </w:tcPr>
          <w:p w14:paraId="7BD41DEC" w14:textId="69A20610" w:rsidR="001453FA" w:rsidRPr="0079370C" w:rsidRDefault="00136C62" w:rsidP="002B71D3">
            <w:pPr>
              <w:pStyle w:val="Tablebodytext"/>
              <w:jc w:val="center"/>
              <w:rPr>
                <w:b/>
                <w:bCs/>
                <w:sz w:val="20"/>
                <w:szCs w:val="20"/>
              </w:rPr>
            </w:pPr>
            <w:r>
              <w:rPr>
                <w:b/>
                <w:bCs/>
                <w:sz w:val="20"/>
                <w:szCs w:val="20"/>
              </w:rPr>
              <w:t>–</w:t>
            </w:r>
            <w:r w:rsidR="001453FA" w:rsidRPr="0079370C">
              <w:rPr>
                <w:b/>
                <w:bCs/>
                <w:sz w:val="20"/>
                <w:szCs w:val="20"/>
              </w:rPr>
              <w:t>0.966</w:t>
            </w:r>
          </w:p>
        </w:tc>
        <w:tc>
          <w:tcPr>
            <w:tcW w:w="0" w:type="auto"/>
            <w:tcBorders>
              <w:top w:val="single" w:sz="2" w:space="0" w:color="00A9B2"/>
              <w:bottom w:val="single" w:sz="2" w:space="0" w:color="00A9B2"/>
            </w:tcBorders>
            <w:shd w:val="clear" w:color="auto" w:fill="F2F2F2" w:themeFill="background1" w:themeFillShade="F2"/>
          </w:tcPr>
          <w:p w14:paraId="138CEF42" w14:textId="34F7EEA4" w:rsidR="001453FA" w:rsidRPr="0079370C" w:rsidRDefault="00136C62" w:rsidP="002B71D3">
            <w:pPr>
              <w:pStyle w:val="Tablebodytext"/>
              <w:jc w:val="center"/>
              <w:rPr>
                <w:b/>
                <w:bCs/>
                <w:sz w:val="20"/>
                <w:szCs w:val="20"/>
              </w:rPr>
            </w:pPr>
            <w:r>
              <w:rPr>
                <w:b/>
                <w:bCs/>
                <w:sz w:val="20"/>
                <w:szCs w:val="20"/>
              </w:rPr>
              <w:t>–</w:t>
            </w:r>
            <w:r w:rsidR="001453FA" w:rsidRPr="0079370C">
              <w:rPr>
                <w:b/>
                <w:bCs/>
                <w:sz w:val="20"/>
                <w:szCs w:val="20"/>
              </w:rPr>
              <w:t>0.145</w:t>
            </w:r>
          </w:p>
        </w:tc>
      </w:tr>
      <w:tr w:rsidR="00C277F4" w:rsidRPr="0079370C" w14:paraId="59B8A9DE" w14:textId="77777777" w:rsidTr="00854BBB">
        <w:tc>
          <w:tcPr>
            <w:tcW w:w="782" w:type="pct"/>
            <w:tcBorders>
              <w:top w:val="single" w:sz="2" w:space="0" w:color="00A9B2"/>
              <w:bottom w:val="single" w:sz="2" w:space="0" w:color="00A9B2"/>
            </w:tcBorders>
            <w:shd w:val="clear" w:color="auto" w:fill="F2F2F2" w:themeFill="background1" w:themeFillShade="F2"/>
          </w:tcPr>
          <w:p w14:paraId="0392B8EC" w14:textId="77777777" w:rsidR="001453FA" w:rsidRPr="0079370C" w:rsidRDefault="001453FA" w:rsidP="002B71D3">
            <w:pPr>
              <w:pStyle w:val="Tablebodytext"/>
              <w:rPr>
                <w:b/>
                <w:bCs/>
                <w:sz w:val="20"/>
                <w:szCs w:val="20"/>
              </w:rPr>
            </w:pPr>
            <w:r>
              <w:rPr>
                <w:b/>
                <w:bCs/>
                <w:sz w:val="20"/>
                <w:szCs w:val="20"/>
              </w:rPr>
              <w:t>P</w:t>
            </w:r>
            <w:r w:rsidRPr="0079370C">
              <w:rPr>
                <w:b/>
                <w:bCs/>
                <w:sz w:val="20"/>
                <w:szCs w:val="20"/>
              </w:rPr>
              <w:t>ersistence</w:t>
            </w:r>
          </w:p>
        </w:tc>
        <w:tc>
          <w:tcPr>
            <w:tcW w:w="1423" w:type="pct"/>
            <w:tcBorders>
              <w:top w:val="single" w:sz="2" w:space="0" w:color="00A9B2"/>
              <w:bottom w:val="single" w:sz="2" w:space="0" w:color="00A9B2"/>
            </w:tcBorders>
            <w:shd w:val="clear" w:color="auto" w:fill="F2F2F2" w:themeFill="background1" w:themeFillShade="F2"/>
          </w:tcPr>
          <w:p w14:paraId="2ECCD894" w14:textId="77777777" w:rsidR="001453FA" w:rsidRPr="0079370C" w:rsidRDefault="001453FA" w:rsidP="002B71D3">
            <w:pPr>
              <w:pStyle w:val="Tablebodytext"/>
              <w:rPr>
                <w:b/>
                <w:bCs/>
                <w:sz w:val="20"/>
                <w:szCs w:val="20"/>
              </w:rPr>
            </w:pPr>
            <w:r w:rsidRPr="0079370C">
              <w:rPr>
                <w:b/>
                <w:bCs/>
                <w:sz w:val="20"/>
                <w:szCs w:val="20"/>
              </w:rPr>
              <w:t xml:space="preserve">Topographic wetness index </w:t>
            </w:r>
            <w:r>
              <w:rPr>
                <w:b/>
                <w:bCs/>
                <w:sz w:val="20"/>
                <w:szCs w:val="20"/>
              </w:rPr>
              <w:t>with</w:t>
            </w:r>
            <w:r w:rsidRPr="0079370C">
              <w:rPr>
                <w:b/>
                <w:bCs/>
                <w:sz w:val="20"/>
                <w:szCs w:val="20"/>
              </w:rPr>
              <w:t xml:space="preserve"> fox control </w:t>
            </w:r>
            <w:r>
              <w:rPr>
                <w:b/>
                <w:bCs/>
                <w:sz w:val="20"/>
                <w:szCs w:val="20"/>
              </w:rPr>
              <w:t>status</w:t>
            </w:r>
          </w:p>
        </w:tc>
        <w:tc>
          <w:tcPr>
            <w:tcW w:w="992" w:type="pct"/>
            <w:tcBorders>
              <w:top w:val="single" w:sz="2" w:space="0" w:color="00A9B2"/>
              <w:bottom w:val="single" w:sz="2" w:space="0" w:color="00A9B2"/>
            </w:tcBorders>
            <w:shd w:val="clear" w:color="auto" w:fill="F2F2F2" w:themeFill="background1" w:themeFillShade="F2"/>
          </w:tcPr>
          <w:p w14:paraId="039D6B01" w14:textId="2C147EAF" w:rsidR="001453FA" w:rsidRPr="0079370C" w:rsidRDefault="00136C62" w:rsidP="002B71D3">
            <w:pPr>
              <w:pStyle w:val="Tablebodytext"/>
              <w:jc w:val="center"/>
              <w:rPr>
                <w:b/>
                <w:bCs/>
                <w:sz w:val="20"/>
                <w:szCs w:val="20"/>
              </w:rPr>
            </w:pPr>
            <w:r>
              <w:rPr>
                <w:b/>
                <w:bCs/>
                <w:sz w:val="20"/>
                <w:szCs w:val="20"/>
              </w:rPr>
              <w:t>–</w:t>
            </w:r>
            <w:r w:rsidR="001453FA" w:rsidRPr="0079370C">
              <w:rPr>
                <w:b/>
                <w:bCs/>
                <w:sz w:val="20"/>
                <w:szCs w:val="20"/>
              </w:rPr>
              <w:t>0.967</w:t>
            </w:r>
          </w:p>
        </w:tc>
        <w:tc>
          <w:tcPr>
            <w:tcW w:w="444" w:type="pct"/>
            <w:tcBorders>
              <w:top w:val="single" w:sz="2" w:space="0" w:color="00A9B2"/>
              <w:bottom w:val="single" w:sz="2" w:space="0" w:color="00A9B2"/>
            </w:tcBorders>
            <w:shd w:val="clear" w:color="auto" w:fill="F2F2F2" w:themeFill="background1" w:themeFillShade="F2"/>
          </w:tcPr>
          <w:p w14:paraId="491EB28B" w14:textId="4ECB632D" w:rsidR="001453FA" w:rsidRPr="0079370C" w:rsidRDefault="00136C62" w:rsidP="002B71D3">
            <w:pPr>
              <w:pStyle w:val="Tablebodytext"/>
              <w:jc w:val="center"/>
              <w:rPr>
                <w:b/>
                <w:bCs/>
                <w:sz w:val="20"/>
                <w:szCs w:val="20"/>
              </w:rPr>
            </w:pPr>
            <w:r>
              <w:rPr>
                <w:b/>
                <w:bCs/>
                <w:sz w:val="20"/>
                <w:szCs w:val="20"/>
              </w:rPr>
              <w:t>–</w:t>
            </w:r>
            <w:r w:rsidR="001453FA" w:rsidRPr="0079370C">
              <w:rPr>
                <w:b/>
                <w:bCs/>
                <w:sz w:val="20"/>
                <w:szCs w:val="20"/>
              </w:rPr>
              <w:t>1.797</w:t>
            </w:r>
          </w:p>
        </w:tc>
        <w:tc>
          <w:tcPr>
            <w:tcW w:w="0" w:type="auto"/>
            <w:tcBorders>
              <w:top w:val="single" w:sz="2" w:space="0" w:color="00A9B2"/>
              <w:bottom w:val="single" w:sz="2" w:space="0" w:color="00A9B2"/>
            </w:tcBorders>
            <w:shd w:val="clear" w:color="auto" w:fill="F2F2F2" w:themeFill="background1" w:themeFillShade="F2"/>
          </w:tcPr>
          <w:p w14:paraId="39B46CA4" w14:textId="249ECB48" w:rsidR="001453FA" w:rsidRPr="0079370C" w:rsidRDefault="00136C62" w:rsidP="002B71D3">
            <w:pPr>
              <w:pStyle w:val="Tablebodytext"/>
              <w:jc w:val="center"/>
              <w:rPr>
                <w:b/>
                <w:bCs/>
                <w:sz w:val="20"/>
                <w:szCs w:val="20"/>
              </w:rPr>
            </w:pPr>
            <w:r>
              <w:rPr>
                <w:b/>
                <w:bCs/>
                <w:sz w:val="20"/>
                <w:szCs w:val="20"/>
              </w:rPr>
              <w:t>–</w:t>
            </w:r>
            <w:r w:rsidR="001453FA" w:rsidRPr="0079370C">
              <w:rPr>
                <w:b/>
                <w:bCs/>
                <w:sz w:val="20"/>
                <w:szCs w:val="20"/>
              </w:rPr>
              <w:t>0.066</w:t>
            </w:r>
          </w:p>
        </w:tc>
      </w:tr>
      <w:tr w:rsidR="001453FA" w:rsidRPr="0079370C" w14:paraId="239604A0" w14:textId="77777777" w:rsidTr="00854BBB">
        <w:tc>
          <w:tcPr>
            <w:tcW w:w="782" w:type="pct"/>
            <w:tcBorders>
              <w:top w:val="single" w:sz="2" w:space="0" w:color="00A9B2"/>
              <w:bottom w:val="single" w:sz="2" w:space="0" w:color="00A9B2"/>
            </w:tcBorders>
          </w:tcPr>
          <w:p w14:paraId="1C597EC5" w14:textId="77777777" w:rsidR="001453FA" w:rsidRPr="0079370C" w:rsidRDefault="001453FA" w:rsidP="002B71D3">
            <w:pPr>
              <w:pStyle w:val="Tablebodytext"/>
              <w:rPr>
                <w:sz w:val="20"/>
                <w:szCs w:val="20"/>
              </w:rPr>
            </w:pPr>
            <w:r>
              <w:rPr>
                <w:sz w:val="20"/>
                <w:szCs w:val="20"/>
              </w:rPr>
              <w:t>P</w:t>
            </w:r>
            <w:r w:rsidRPr="0079370C">
              <w:rPr>
                <w:sz w:val="20"/>
                <w:szCs w:val="20"/>
              </w:rPr>
              <w:t>ersistence</w:t>
            </w:r>
          </w:p>
        </w:tc>
        <w:tc>
          <w:tcPr>
            <w:tcW w:w="1423" w:type="pct"/>
            <w:tcBorders>
              <w:top w:val="single" w:sz="2" w:space="0" w:color="00A9B2"/>
              <w:bottom w:val="single" w:sz="2" w:space="0" w:color="00A9B2"/>
            </w:tcBorders>
          </w:tcPr>
          <w:p w14:paraId="30610C3B" w14:textId="77777777" w:rsidR="001453FA" w:rsidRPr="0079370C" w:rsidRDefault="001453FA" w:rsidP="002B71D3">
            <w:pPr>
              <w:pStyle w:val="Tablebodytext"/>
              <w:rPr>
                <w:sz w:val="20"/>
                <w:szCs w:val="20"/>
              </w:rPr>
            </w:pPr>
            <w:r w:rsidRPr="0079370C">
              <w:rPr>
                <w:sz w:val="20"/>
                <w:szCs w:val="20"/>
              </w:rPr>
              <w:t>Time</w:t>
            </w:r>
            <w:r>
              <w:rPr>
                <w:sz w:val="20"/>
                <w:szCs w:val="20"/>
              </w:rPr>
              <w:t xml:space="preserve"> </w:t>
            </w:r>
            <w:r w:rsidRPr="0079370C">
              <w:rPr>
                <w:sz w:val="20"/>
                <w:szCs w:val="20"/>
              </w:rPr>
              <w:t>since</w:t>
            </w:r>
            <w:r>
              <w:rPr>
                <w:sz w:val="20"/>
                <w:szCs w:val="20"/>
              </w:rPr>
              <w:t xml:space="preserve"> </w:t>
            </w:r>
            <w:r w:rsidRPr="0079370C">
              <w:rPr>
                <w:sz w:val="20"/>
                <w:szCs w:val="20"/>
              </w:rPr>
              <w:t xml:space="preserve">fire </w:t>
            </w:r>
            <w:r>
              <w:rPr>
                <w:sz w:val="20"/>
                <w:szCs w:val="20"/>
              </w:rPr>
              <w:t>with</w:t>
            </w:r>
            <w:r w:rsidRPr="0079370C">
              <w:rPr>
                <w:sz w:val="20"/>
                <w:szCs w:val="20"/>
              </w:rPr>
              <w:t xml:space="preserve"> fox control </w:t>
            </w:r>
            <w:r>
              <w:rPr>
                <w:sz w:val="20"/>
                <w:szCs w:val="20"/>
              </w:rPr>
              <w:t>status</w:t>
            </w:r>
          </w:p>
        </w:tc>
        <w:tc>
          <w:tcPr>
            <w:tcW w:w="992" w:type="pct"/>
            <w:tcBorders>
              <w:top w:val="single" w:sz="2" w:space="0" w:color="00A9B2"/>
              <w:bottom w:val="single" w:sz="2" w:space="0" w:color="00A9B2"/>
            </w:tcBorders>
          </w:tcPr>
          <w:p w14:paraId="161F03E9" w14:textId="77777777" w:rsidR="001453FA" w:rsidRPr="0079370C" w:rsidRDefault="001453FA" w:rsidP="002B71D3">
            <w:pPr>
              <w:pStyle w:val="Tablebodytext"/>
              <w:jc w:val="center"/>
              <w:rPr>
                <w:sz w:val="20"/>
                <w:szCs w:val="20"/>
              </w:rPr>
            </w:pPr>
            <w:r w:rsidRPr="0079370C">
              <w:rPr>
                <w:sz w:val="20"/>
                <w:szCs w:val="20"/>
              </w:rPr>
              <w:t>0.049</w:t>
            </w:r>
          </w:p>
        </w:tc>
        <w:tc>
          <w:tcPr>
            <w:tcW w:w="444" w:type="pct"/>
            <w:tcBorders>
              <w:top w:val="single" w:sz="2" w:space="0" w:color="00A9B2"/>
              <w:bottom w:val="single" w:sz="2" w:space="0" w:color="00A9B2"/>
            </w:tcBorders>
          </w:tcPr>
          <w:p w14:paraId="3EE5B845" w14:textId="7F6CEF76" w:rsidR="001453FA" w:rsidRPr="0079370C" w:rsidRDefault="00136C62" w:rsidP="002B71D3">
            <w:pPr>
              <w:pStyle w:val="Tablebodytext"/>
              <w:jc w:val="center"/>
              <w:rPr>
                <w:sz w:val="20"/>
                <w:szCs w:val="20"/>
              </w:rPr>
            </w:pPr>
            <w:r>
              <w:rPr>
                <w:sz w:val="20"/>
                <w:szCs w:val="20"/>
              </w:rPr>
              <w:t>–</w:t>
            </w:r>
            <w:r w:rsidR="001453FA" w:rsidRPr="0079370C">
              <w:rPr>
                <w:sz w:val="20"/>
                <w:szCs w:val="20"/>
              </w:rPr>
              <w:t>0.552</w:t>
            </w:r>
          </w:p>
        </w:tc>
        <w:tc>
          <w:tcPr>
            <w:tcW w:w="0" w:type="auto"/>
            <w:tcBorders>
              <w:top w:val="single" w:sz="2" w:space="0" w:color="00A9B2"/>
              <w:bottom w:val="single" w:sz="2" w:space="0" w:color="00A9B2"/>
            </w:tcBorders>
          </w:tcPr>
          <w:p w14:paraId="0DDAF281" w14:textId="77777777" w:rsidR="001453FA" w:rsidRPr="0079370C" w:rsidRDefault="001453FA" w:rsidP="002B71D3">
            <w:pPr>
              <w:pStyle w:val="Tablebodytext"/>
              <w:jc w:val="center"/>
              <w:rPr>
                <w:sz w:val="20"/>
                <w:szCs w:val="20"/>
              </w:rPr>
            </w:pPr>
            <w:r w:rsidRPr="0079370C">
              <w:rPr>
                <w:sz w:val="20"/>
                <w:szCs w:val="20"/>
              </w:rPr>
              <w:t>0.616</w:t>
            </w:r>
          </w:p>
        </w:tc>
      </w:tr>
      <w:tr w:rsidR="001453FA" w:rsidRPr="0079370C" w14:paraId="05588895" w14:textId="77777777" w:rsidTr="00854BBB">
        <w:tc>
          <w:tcPr>
            <w:tcW w:w="782" w:type="pct"/>
            <w:tcBorders>
              <w:top w:val="single" w:sz="2" w:space="0" w:color="00A9B2"/>
              <w:bottom w:val="single" w:sz="2" w:space="0" w:color="00A9B2"/>
            </w:tcBorders>
          </w:tcPr>
          <w:p w14:paraId="4D3C25B9" w14:textId="77777777" w:rsidR="001453FA" w:rsidRPr="0079370C" w:rsidRDefault="001453FA" w:rsidP="002B71D3">
            <w:pPr>
              <w:pStyle w:val="Tablebodytext"/>
              <w:rPr>
                <w:sz w:val="20"/>
                <w:szCs w:val="20"/>
              </w:rPr>
            </w:pPr>
            <w:r>
              <w:rPr>
                <w:sz w:val="20"/>
                <w:szCs w:val="20"/>
              </w:rPr>
              <w:t>P</w:t>
            </w:r>
            <w:r w:rsidRPr="0079370C">
              <w:rPr>
                <w:sz w:val="20"/>
                <w:szCs w:val="20"/>
              </w:rPr>
              <w:t>ersistence</w:t>
            </w:r>
          </w:p>
        </w:tc>
        <w:tc>
          <w:tcPr>
            <w:tcW w:w="1423" w:type="pct"/>
            <w:tcBorders>
              <w:top w:val="single" w:sz="2" w:space="0" w:color="00A9B2"/>
              <w:bottom w:val="single" w:sz="2" w:space="0" w:color="00A9B2"/>
            </w:tcBorders>
          </w:tcPr>
          <w:p w14:paraId="177FFB82" w14:textId="77777777" w:rsidR="001453FA" w:rsidRPr="0079370C" w:rsidRDefault="001453FA" w:rsidP="002B71D3">
            <w:pPr>
              <w:pStyle w:val="Tablebodytext"/>
              <w:rPr>
                <w:sz w:val="20"/>
                <w:szCs w:val="20"/>
              </w:rPr>
            </w:pPr>
            <w:r w:rsidRPr="0079370C">
              <w:rPr>
                <w:sz w:val="20"/>
                <w:szCs w:val="20"/>
              </w:rPr>
              <w:t>Fox control area</w:t>
            </w:r>
          </w:p>
        </w:tc>
        <w:tc>
          <w:tcPr>
            <w:tcW w:w="992" w:type="pct"/>
            <w:tcBorders>
              <w:top w:val="single" w:sz="2" w:space="0" w:color="00A9B2"/>
              <w:bottom w:val="single" w:sz="2" w:space="0" w:color="00A9B2"/>
            </w:tcBorders>
          </w:tcPr>
          <w:p w14:paraId="23E060C7" w14:textId="77777777" w:rsidR="001453FA" w:rsidRPr="0079370C" w:rsidRDefault="001453FA" w:rsidP="002B71D3">
            <w:pPr>
              <w:pStyle w:val="Tablebodytext"/>
              <w:jc w:val="center"/>
              <w:rPr>
                <w:sz w:val="20"/>
                <w:szCs w:val="20"/>
              </w:rPr>
            </w:pPr>
            <w:r w:rsidRPr="0079370C">
              <w:rPr>
                <w:sz w:val="20"/>
                <w:szCs w:val="20"/>
              </w:rPr>
              <w:t>0.651</w:t>
            </w:r>
          </w:p>
        </w:tc>
        <w:tc>
          <w:tcPr>
            <w:tcW w:w="444" w:type="pct"/>
            <w:tcBorders>
              <w:top w:val="single" w:sz="2" w:space="0" w:color="00A9B2"/>
              <w:bottom w:val="single" w:sz="2" w:space="0" w:color="00A9B2"/>
            </w:tcBorders>
          </w:tcPr>
          <w:p w14:paraId="71ED6EC2" w14:textId="09491F6B" w:rsidR="001453FA" w:rsidRPr="0079370C" w:rsidRDefault="00136C62" w:rsidP="002B71D3">
            <w:pPr>
              <w:pStyle w:val="Tablebodytext"/>
              <w:jc w:val="center"/>
              <w:rPr>
                <w:sz w:val="20"/>
                <w:szCs w:val="20"/>
              </w:rPr>
            </w:pPr>
            <w:r>
              <w:rPr>
                <w:sz w:val="20"/>
                <w:szCs w:val="20"/>
              </w:rPr>
              <w:t>–</w:t>
            </w:r>
            <w:r w:rsidR="001453FA" w:rsidRPr="0079370C">
              <w:rPr>
                <w:sz w:val="20"/>
                <w:szCs w:val="20"/>
              </w:rPr>
              <w:t>0.143</w:t>
            </w:r>
          </w:p>
        </w:tc>
        <w:tc>
          <w:tcPr>
            <w:tcW w:w="0" w:type="auto"/>
            <w:tcBorders>
              <w:top w:val="single" w:sz="2" w:space="0" w:color="00A9B2"/>
              <w:bottom w:val="single" w:sz="2" w:space="0" w:color="00A9B2"/>
            </w:tcBorders>
          </w:tcPr>
          <w:p w14:paraId="3CBEF8B8" w14:textId="77777777" w:rsidR="001453FA" w:rsidRPr="0079370C" w:rsidRDefault="001453FA" w:rsidP="002B71D3">
            <w:pPr>
              <w:pStyle w:val="Tablebodytext"/>
              <w:jc w:val="center"/>
              <w:rPr>
                <w:sz w:val="20"/>
                <w:szCs w:val="20"/>
              </w:rPr>
            </w:pPr>
            <w:r w:rsidRPr="0079370C">
              <w:rPr>
                <w:sz w:val="20"/>
                <w:szCs w:val="20"/>
              </w:rPr>
              <w:t>1.465</w:t>
            </w:r>
          </w:p>
        </w:tc>
      </w:tr>
      <w:tr w:rsidR="00C277F4" w:rsidRPr="0079370C" w14:paraId="0068355F" w14:textId="77777777" w:rsidTr="00854BBB">
        <w:tc>
          <w:tcPr>
            <w:tcW w:w="782" w:type="pct"/>
            <w:tcBorders>
              <w:top w:val="single" w:sz="2" w:space="0" w:color="00A9B2"/>
              <w:bottom w:val="single" w:sz="2" w:space="0" w:color="00A9B2"/>
            </w:tcBorders>
            <w:shd w:val="clear" w:color="auto" w:fill="F2F2F2" w:themeFill="background1" w:themeFillShade="F2"/>
          </w:tcPr>
          <w:p w14:paraId="307C7886" w14:textId="77777777" w:rsidR="001453FA" w:rsidRPr="0079370C" w:rsidRDefault="001453FA" w:rsidP="002B71D3">
            <w:pPr>
              <w:pStyle w:val="Tablebodytext"/>
              <w:rPr>
                <w:b/>
                <w:bCs/>
                <w:sz w:val="20"/>
                <w:szCs w:val="20"/>
              </w:rPr>
            </w:pPr>
            <w:proofErr w:type="spellStart"/>
            <w:r>
              <w:rPr>
                <w:b/>
                <w:bCs/>
                <w:sz w:val="20"/>
                <w:szCs w:val="20"/>
              </w:rPr>
              <w:t>C</w:t>
            </w:r>
            <w:r w:rsidRPr="0079370C">
              <w:rPr>
                <w:b/>
                <w:bCs/>
                <w:sz w:val="20"/>
                <w:szCs w:val="20"/>
              </w:rPr>
              <w:t>olonisation</w:t>
            </w:r>
            <w:proofErr w:type="spellEnd"/>
          </w:p>
        </w:tc>
        <w:tc>
          <w:tcPr>
            <w:tcW w:w="1423" w:type="pct"/>
            <w:tcBorders>
              <w:top w:val="single" w:sz="2" w:space="0" w:color="00A9B2"/>
              <w:bottom w:val="single" w:sz="2" w:space="0" w:color="00A9B2"/>
            </w:tcBorders>
            <w:shd w:val="clear" w:color="auto" w:fill="F2F2F2" w:themeFill="background1" w:themeFillShade="F2"/>
          </w:tcPr>
          <w:p w14:paraId="32286F98" w14:textId="77777777" w:rsidR="001453FA" w:rsidRPr="0079370C" w:rsidRDefault="001453FA" w:rsidP="002B71D3">
            <w:pPr>
              <w:pStyle w:val="Tablebodytext"/>
              <w:rPr>
                <w:b/>
                <w:bCs/>
                <w:sz w:val="20"/>
                <w:szCs w:val="20"/>
              </w:rPr>
            </w:pPr>
            <w:r w:rsidRPr="0079370C">
              <w:rPr>
                <w:b/>
                <w:bCs/>
                <w:sz w:val="20"/>
                <w:szCs w:val="20"/>
              </w:rPr>
              <w:t>Distance to non-native vegetation</w:t>
            </w:r>
          </w:p>
        </w:tc>
        <w:tc>
          <w:tcPr>
            <w:tcW w:w="992" w:type="pct"/>
            <w:tcBorders>
              <w:top w:val="single" w:sz="2" w:space="0" w:color="00A9B2"/>
              <w:bottom w:val="single" w:sz="2" w:space="0" w:color="00A9B2"/>
            </w:tcBorders>
            <w:shd w:val="clear" w:color="auto" w:fill="F2F2F2" w:themeFill="background1" w:themeFillShade="F2"/>
          </w:tcPr>
          <w:p w14:paraId="544DD590" w14:textId="77777777" w:rsidR="001453FA" w:rsidRPr="0079370C" w:rsidRDefault="001453FA" w:rsidP="002B71D3">
            <w:pPr>
              <w:pStyle w:val="Tablebodytext"/>
              <w:jc w:val="center"/>
              <w:rPr>
                <w:b/>
                <w:bCs/>
                <w:sz w:val="20"/>
                <w:szCs w:val="20"/>
              </w:rPr>
            </w:pPr>
            <w:r w:rsidRPr="0079370C">
              <w:rPr>
                <w:b/>
                <w:bCs/>
                <w:sz w:val="20"/>
                <w:szCs w:val="20"/>
              </w:rPr>
              <w:t>0.490</w:t>
            </w:r>
          </w:p>
        </w:tc>
        <w:tc>
          <w:tcPr>
            <w:tcW w:w="444" w:type="pct"/>
            <w:tcBorders>
              <w:top w:val="single" w:sz="2" w:space="0" w:color="00A9B2"/>
              <w:bottom w:val="single" w:sz="2" w:space="0" w:color="00A9B2"/>
            </w:tcBorders>
            <w:shd w:val="clear" w:color="auto" w:fill="F2F2F2" w:themeFill="background1" w:themeFillShade="F2"/>
          </w:tcPr>
          <w:p w14:paraId="4906C9C2" w14:textId="77777777" w:rsidR="001453FA" w:rsidRPr="0079370C" w:rsidRDefault="001453FA" w:rsidP="002B71D3">
            <w:pPr>
              <w:pStyle w:val="Tablebodytext"/>
              <w:jc w:val="center"/>
              <w:rPr>
                <w:b/>
                <w:bCs/>
                <w:sz w:val="20"/>
                <w:szCs w:val="20"/>
              </w:rPr>
            </w:pPr>
            <w:r w:rsidRPr="0079370C">
              <w:rPr>
                <w:b/>
                <w:bCs/>
                <w:sz w:val="20"/>
                <w:szCs w:val="20"/>
              </w:rPr>
              <w:t>0.195</w:t>
            </w:r>
          </w:p>
        </w:tc>
        <w:tc>
          <w:tcPr>
            <w:tcW w:w="0" w:type="auto"/>
            <w:tcBorders>
              <w:top w:val="single" w:sz="2" w:space="0" w:color="00A9B2"/>
              <w:bottom w:val="single" w:sz="2" w:space="0" w:color="00A9B2"/>
            </w:tcBorders>
            <w:shd w:val="clear" w:color="auto" w:fill="F2F2F2" w:themeFill="background1" w:themeFillShade="F2"/>
          </w:tcPr>
          <w:p w14:paraId="2476E627" w14:textId="77777777" w:rsidR="001453FA" w:rsidRPr="0079370C" w:rsidRDefault="001453FA" w:rsidP="002B71D3">
            <w:pPr>
              <w:pStyle w:val="Tablebodytext"/>
              <w:jc w:val="center"/>
              <w:rPr>
                <w:b/>
                <w:bCs/>
                <w:sz w:val="20"/>
                <w:szCs w:val="20"/>
              </w:rPr>
            </w:pPr>
            <w:r w:rsidRPr="0079370C">
              <w:rPr>
                <w:b/>
                <w:bCs/>
                <w:sz w:val="20"/>
                <w:szCs w:val="20"/>
              </w:rPr>
              <w:t>0.795</w:t>
            </w:r>
          </w:p>
        </w:tc>
      </w:tr>
      <w:tr w:rsidR="001453FA" w:rsidRPr="0079370C" w14:paraId="76C67970" w14:textId="77777777" w:rsidTr="00854BBB">
        <w:tc>
          <w:tcPr>
            <w:tcW w:w="782" w:type="pct"/>
            <w:tcBorders>
              <w:top w:val="single" w:sz="2" w:space="0" w:color="00A9B2"/>
              <w:bottom w:val="single" w:sz="2" w:space="0" w:color="00A9B2"/>
            </w:tcBorders>
          </w:tcPr>
          <w:p w14:paraId="38D430C3" w14:textId="77777777" w:rsidR="001453FA" w:rsidRPr="0079370C" w:rsidRDefault="001453FA" w:rsidP="002B71D3">
            <w:pPr>
              <w:pStyle w:val="Tablebodytext"/>
              <w:rPr>
                <w:sz w:val="20"/>
                <w:szCs w:val="20"/>
              </w:rPr>
            </w:pPr>
            <w:proofErr w:type="spellStart"/>
            <w:r>
              <w:rPr>
                <w:sz w:val="20"/>
                <w:szCs w:val="20"/>
              </w:rPr>
              <w:t>C</w:t>
            </w:r>
            <w:r w:rsidRPr="0079370C">
              <w:rPr>
                <w:sz w:val="20"/>
                <w:szCs w:val="20"/>
              </w:rPr>
              <w:t>olonisation</w:t>
            </w:r>
            <w:proofErr w:type="spellEnd"/>
          </w:p>
        </w:tc>
        <w:tc>
          <w:tcPr>
            <w:tcW w:w="1423" w:type="pct"/>
            <w:tcBorders>
              <w:top w:val="single" w:sz="2" w:space="0" w:color="00A9B2"/>
              <w:bottom w:val="single" w:sz="2" w:space="0" w:color="00A9B2"/>
            </w:tcBorders>
          </w:tcPr>
          <w:p w14:paraId="3F5F8BF9" w14:textId="77777777" w:rsidR="001453FA" w:rsidRPr="0079370C" w:rsidRDefault="001453FA" w:rsidP="002B71D3">
            <w:pPr>
              <w:pStyle w:val="Tablebodytext"/>
              <w:rPr>
                <w:sz w:val="20"/>
                <w:szCs w:val="20"/>
              </w:rPr>
            </w:pPr>
            <w:r w:rsidRPr="0079370C">
              <w:rPr>
                <w:sz w:val="20"/>
                <w:szCs w:val="20"/>
              </w:rPr>
              <w:t xml:space="preserve">Distance to non-native vegetation </w:t>
            </w:r>
            <w:r>
              <w:rPr>
                <w:sz w:val="20"/>
                <w:szCs w:val="20"/>
              </w:rPr>
              <w:t>with</w:t>
            </w:r>
            <w:r w:rsidRPr="0079370C">
              <w:rPr>
                <w:sz w:val="20"/>
                <w:szCs w:val="20"/>
              </w:rPr>
              <w:t xml:space="preserve"> fox control </w:t>
            </w:r>
            <w:r>
              <w:rPr>
                <w:sz w:val="20"/>
                <w:szCs w:val="20"/>
              </w:rPr>
              <w:t>status</w:t>
            </w:r>
          </w:p>
        </w:tc>
        <w:tc>
          <w:tcPr>
            <w:tcW w:w="992" w:type="pct"/>
            <w:tcBorders>
              <w:top w:val="single" w:sz="2" w:space="0" w:color="00A9B2"/>
              <w:bottom w:val="single" w:sz="2" w:space="0" w:color="00A9B2"/>
            </w:tcBorders>
          </w:tcPr>
          <w:p w14:paraId="4F899D3B" w14:textId="551D47E4" w:rsidR="001453FA" w:rsidRPr="0079370C" w:rsidRDefault="00136C62" w:rsidP="002B71D3">
            <w:pPr>
              <w:pStyle w:val="Tablebodytext"/>
              <w:jc w:val="center"/>
              <w:rPr>
                <w:sz w:val="20"/>
                <w:szCs w:val="20"/>
              </w:rPr>
            </w:pPr>
            <w:r>
              <w:rPr>
                <w:sz w:val="20"/>
                <w:szCs w:val="20"/>
              </w:rPr>
              <w:t>–</w:t>
            </w:r>
            <w:r w:rsidR="001453FA" w:rsidRPr="0079370C">
              <w:rPr>
                <w:sz w:val="20"/>
                <w:szCs w:val="20"/>
              </w:rPr>
              <w:t>0.200</w:t>
            </w:r>
          </w:p>
        </w:tc>
        <w:tc>
          <w:tcPr>
            <w:tcW w:w="444" w:type="pct"/>
            <w:tcBorders>
              <w:top w:val="single" w:sz="2" w:space="0" w:color="00A9B2"/>
              <w:bottom w:val="single" w:sz="2" w:space="0" w:color="00A9B2"/>
            </w:tcBorders>
          </w:tcPr>
          <w:p w14:paraId="6D61CF1A" w14:textId="3606FFDD" w:rsidR="001453FA" w:rsidRPr="0079370C" w:rsidRDefault="00136C62" w:rsidP="002B71D3">
            <w:pPr>
              <w:pStyle w:val="Tablebodytext"/>
              <w:jc w:val="center"/>
              <w:rPr>
                <w:sz w:val="20"/>
                <w:szCs w:val="20"/>
              </w:rPr>
            </w:pPr>
            <w:r>
              <w:rPr>
                <w:sz w:val="20"/>
                <w:szCs w:val="20"/>
              </w:rPr>
              <w:t>–</w:t>
            </w:r>
            <w:r w:rsidR="001453FA" w:rsidRPr="0079370C">
              <w:rPr>
                <w:sz w:val="20"/>
                <w:szCs w:val="20"/>
              </w:rPr>
              <w:t>0.602</w:t>
            </w:r>
          </w:p>
        </w:tc>
        <w:tc>
          <w:tcPr>
            <w:tcW w:w="0" w:type="auto"/>
            <w:tcBorders>
              <w:top w:val="single" w:sz="2" w:space="0" w:color="00A9B2"/>
              <w:bottom w:val="single" w:sz="2" w:space="0" w:color="00A9B2"/>
            </w:tcBorders>
          </w:tcPr>
          <w:p w14:paraId="5C52FD26" w14:textId="77777777" w:rsidR="001453FA" w:rsidRPr="0079370C" w:rsidRDefault="001453FA" w:rsidP="002B71D3">
            <w:pPr>
              <w:pStyle w:val="Tablebodytext"/>
              <w:jc w:val="center"/>
              <w:rPr>
                <w:sz w:val="20"/>
                <w:szCs w:val="20"/>
              </w:rPr>
            </w:pPr>
            <w:r w:rsidRPr="0079370C">
              <w:rPr>
                <w:sz w:val="20"/>
                <w:szCs w:val="20"/>
              </w:rPr>
              <w:t>0.193</w:t>
            </w:r>
          </w:p>
        </w:tc>
      </w:tr>
      <w:tr w:rsidR="00C277F4" w:rsidRPr="0079370C" w14:paraId="48B208C3" w14:textId="77777777" w:rsidTr="00854BBB">
        <w:tc>
          <w:tcPr>
            <w:tcW w:w="782" w:type="pct"/>
            <w:tcBorders>
              <w:top w:val="single" w:sz="2" w:space="0" w:color="00A9B2"/>
              <w:bottom w:val="single" w:sz="2" w:space="0" w:color="00A9B2"/>
            </w:tcBorders>
            <w:shd w:val="clear" w:color="auto" w:fill="F2F2F2" w:themeFill="background1" w:themeFillShade="F2"/>
          </w:tcPr>
          <w:p w14:paraId="372DA756" w14:textId="77777777" w:rsidR="001453FA" w:rsidRPr="0079370C" w:rsidRDefault="001453FA" w:rsidP="002B71D3">
            <w:pPr>
              <w:pStyle w:val="Tablebodytext"/>
              <w:rPr>
                <w:b/>
                <w:bCs/>
                <w:sz w:val="20"/>
                <w:szCs w:val="20"/>
              </w:rPr>
            </w:pPr>
            <w:proofErr w:type="spellStart"/>
            <w:r>
              <w:rPr>
                <w:b/>
                <w:bCs/>
                <w:sz w:val="20"/>
                <w:szCs w:val="20"/>
              </w:rPr>
              <w:t>C</w:t>
            </w:r>
            <w:r w:rsidRPr="0079370C">
              <w:rPr>
                <w:b/>
                <w:bCs/>
                <w:sz w:val="20"/>
                <w:szCs w:val="20"/>
              </w:rPr>
              <w:t>olonisation</w:t>
            </w:r>
            <w:proofErr w:type="spellEnd"/>
          </w:p>
        </w:tc>
        <w:tc>
          <w:tcPr>
            <w:tcW w:w="1423" w:type="pct"/>
            <w:tcBorders>
              <w:top w:val="single" w:sz="2" w:space="0" w:color="00A9B2"/>
              <w:bottom w:val="single" w:sz="2" w:space="0" w:color="00A9B2"/>
            </w:tcBorders>
            <w:shd w:val="clear" w:color="auto" w:fill="F2F2F2" w:themeFill="background1" w:themeFillShade="F2"/>
          </w:tcPr>
          <w:p w14:paraId="6D796C93" w14:textId="77777777" w:rsidR="001453FA" w:rsidRPr="0079370C" w:rsidRDefault="001453FA" w:rsidP="002B71D3">
            <w:pPr>
              <w:pStyle w:val="Tablebodytext"/>
              <w:rPr>
                <w:b/>
                <w:bCs/>
                <w:sz w:val="20"/>
                <w:szCs w:val="20"/>
              </w:rPr>
            </w:pPr>
            <w:r w:rsidRPr="0079370C">
              <w:rPr>
                <w:b/>
                <w:bCs/>
                <w:sz w:val="20"/>
                <w:szCs w:val="20"/>
              </w:rPr>
              <w:t>Fox control area</w:t>
            </w:r>
          </w:p>
        </w:tc>
        <w:tc>
          <w:tcPr>
            <w:tcW w:w="992" w:type="pct"/>
            <w:tcBorders>
              <w:top w:val="single" w:sz="2" w:space="0" w:color="00A9B2"/>
              <w:bottom w:val="single" w:sz="2" w:space="0" w:color="00A9B2"/>
            </w:tcBorders>
            <w:shd w:val="clear" w:color="auto" w:fill="F2F2F2" w:themeFill="background1" w:themeFillShade="F2"/>
          </w:tcPr>
          <w:p w14:paraId="6647378A" w14:textId="77777777" w:rsidR="001453FA" w:rsidRPr="0079370C" w:rsidRDefault="001453FA" w:rsidP="002B71D3">
            <w:pPr>
              <w:pStyle w:val="Tablebodytext"/>
              <w:jc w:val="center"/>
              <w:rPr>
                <w:b/>
                <w:bCs/>
                <w:sz w:val="20"/>
                <w:szCs w:val="20"/>
              </w:rPr>
            </w:pPr>
            <w:r w:rsidRPr="0079370C">
              <w:rPr>
                <w:b/>
                <w:bCs/>
                <w:sz w:val="20"/>
                <w:szCs w:val="20"/>
              </w:rPr>
              <w:t>1.065</w:t>
            </w:r>
          </w:p>
        </w:tc>
        <w:tc>
          <w:tcPr>
            <w:tcW w:w="444" w:type="pct"/>
            <w:tcBorders>
              <w:top w:val="single" w:sz="2" w:space="0" w:color="00A9B2"/>
              <w:bottom w:val="single" w:sz="2" w:space="0" w:color="00A9B2"/>
            </w:tcBorders>
            <w:shd w:val="clear" w:color="auto" w:fill="F2F2F2" w:themeFill="background1" w:themeFillShade="F2"/>
          </w:tcPr>
          <w:p w14:paraId="552A97F3" w14:textId="77777777" w:rsidR="001453FA" w:rsidRPr="0079370C" w:rsidRDefault="001453FA" w:rsidP="002B71D3">
            <w:pPr>
              <w:pStyle w:val="Tablebodytext"/>
              <w:jc w:val="center"/>
              <w:rPr>
                <w:b/>
                <w:bCs/>
                <w:sz w:val="20"/>
                <w:szCs w:val="20"/>
              </w:rPr>
            </w:pPr>
            <w:r w:rsidRPr="0079370C">
              <w:rPr>
                <w:b/>
                <w:bCs/>
                <w:sz w:val="20"/>
                <w:szCs w:val="20"/>
              </w:rPr>
              <w:t>0.617</w:t>
            </w:r>
          </w:p>
        </w:tc>
        <w:tc>
          <w:tcPr>
            <w:tcW w:w="0" w:type="auto"/>
            <w:tcBorders>
              <w:top w:val="single" w:sz="2" w:space="0" w:color="00A9B2"/>
              <w:bottom w:val="single" w:sz="2" w:space="0" w:color="00A9B2"/>
            </w:tcBorders>
            <w:shd w:val="clear" w:color="auto" w:fill="F2F2F2" w:themeFill="background1" w:themeFillShade="F2"/>
          </w:tcPr>
          <w:p w14:paraId="5E1437EB" w14:textId="77777777" w:rsidR="001453FA" w:rsidRPr="0079370C" w:rsidRDefault="001453FA" w:rsidP="002B71D3">
            <w:pPr>
              <w:pStyle w:val="Tablebodytext"/>
              <w:jc w:val="center"/>
              <w:rPr>
                <w:b/>
                <w:bCs/>
                <w:sz w:val="20"/>
                <w:szCs w:val="20"/>
              </w:rPr>
            </w:pPr>
            <w:r w:rsidRPr="0079370C">
              <w:rPr>
                <w:b/>
                <w:bCs/>
                <w:sz w:val="20"/>
                <w:szCs w:val="20"/>
              </w:rPr>
              <w:t>1.519</w:t>
            </w:r>
          </w:p>
        </w:tc>
      </w:tr>
    </w:tbl>
    <w:p w14:paraId="65B8E252" w14:textId="606E3590" w:rsidR="001453FA" w:rsidRDefault="00F05262" w:rsidP="00F05262">
      <w:r>
        <w:t xml:space="preserve">Rows in </w:t>
      </w:r>
      <w:r w:rsidRPr="00C277F4">
        <w:rPr>
          <w:b/>
          <w:bCs/>
        </w:rPr>
        <w:t>bold</w:t>
      </w:r>
      <w:r>
        <w:t xml:space="preserve"> are significant results. </w:t>
      </w:r>
      <w:r w:rsidR="001453FA">
        <w:t>L.B. and U.B. are the lower and upper bounds from the 95% credible interval, respectively. All estimates are on the logit scale.</w:t>
      </w:r>
    </w:p>
    <w:p w14:paraId="7F09CFD1" w14:textId="36768474" w:rsidR="00B451CE" w:rsidRDefault="00B451CE" w:rsidP="00F05262"/>
    <w:p w14:paraId="7BC435F8" w14:textId="77777777" w:rsidR="00B451CE" w:rsidRDefault="00B451CE" w:rsidP="00F05262"/>
    <w:p w14:paraId="590480F7" w14:textId="6723B69D" w:rsidR="0079370C" w:rsidRPr="0079370C" w:rsidRDefault="00B42ADE" w:rsidP="0038654A">
      <w:pPr>
        <w:pStyle w:val="Heading2-Numbered"/>
      </w:pPr>
      <w:bookmarkStart w:id="81" w:name="_Toc110599606"/>
      <w:r>
        <w:lastRenderedPageBreak/>
        <w:t>A</w:t>
      </w:r>
      <w:r w:rsidR="0038654A">
        <w:t xml:space="preserve">reas of potential </w:t>
      </w:r>
      <w:r>
        <w:t xml:space="preserve">additional monitoring </w:t>
      </w:r>
      <w:r w:rsidR="0038654A">
        <w:t>for Long-nosed Potoroo and Southern Brown Bandicoot</w:t>
      </w:r>
      <w:bookmarkEnd w:id="81"/>
    </w:p>
    <w:p w14:paraId="5887F81D" w14:textId="2135C262" w:rsidR="00B42ADE" w:rsidRDefault="00B42ADE" w:rsidP="00B42ADE">
      <w:r>
        <w:t>We plotted the count</w:t>
      </w:r>
      <w:r w:rsidR="007771BD">
        <w:t>s</w:t>
      </w:r>
      <w:r>
        <w:t xml:space="preserve"> of the current monitoring sites for each </w:t>
      </w:r>
      <w:r w:rsidR="0020196D">
        <w:t>predictor variable</w:t>
      </w:r>
      <w:r>
        <w:t xml:space="preserve"> and </w:t>
      </w:r>
      <w:r w:rsidRPr="00B42ADE">
        <w:t xml:space="preserve">included </w:t>
      </w:r>
      <w:r w:rsidR="00C62ACA">
        <w:t>Normalised Difference Vegetation Index (</w:t>
      </w:r>
      <w:r w:rsidR="00C62ACA" w:rsidRPr="00516DFC">
        <w:t>NDVI</w:t>
      </w:r>
      <w:r w:rsidR="00C62ACA">
        <w:t>)</w:t>
      </w:r>
      <w:r w:rsidRPr="00B42ADE">
        <w:t>, EVC</w:t>
      </w:r>
      <w:r w:rsidR="007771BD">
        <w:t>,</w:t>
      </w:r>
      <w:r>
        <w:t xml:space="preserve"> and Distance to Water </w:t>
      </w:r>
      <w:r w:rsidR="0029768C">
        <w:t xml:space="preserve">(distance to a water course) </w:t>
      </w:r>
      <w:r>
        <w:t>as possible variables to include in the next update (Figure 1</w:t>
      </w:r>
      <w:r w:rsidR="00797421">
        <w:t>4</w:t>
      </w:r>
      <w:r>
        <w:t xml:space="preserve">). </w:t>
      </w:r>
      <w:r w:rsidR="007771BD">
        <w:t>Other suggestions for inclusion in</w:t>
      </w:r>
      <w:r>
        <w:t xml:space="preserve"> </w:t>
      </w:r>
      <w:r w:rsidR="00F957CF">
        <w:t xml:space="preserve">the </w:t>
      </w:r>
      <w:r>
        <w:t xml:space="preserve">next update </w:t>
      </w:r>
      <w:r w:rsidR="007771BD">
        <w:t>are</w:t>
      </w:r>
      <w:r>
        <w:t xml:space="preserve"> </w:t>
      </w:r>
      <w:r w:rsidR="00F957CF">
        <w:t xml:space="preserve">the </w:t>
      </w:r>
      <w:r>
        <w:t>mean annual temperature</w:t>
      </w:r>
      <w:r w:rsidR="00342578">
        <w:t xml:space="preserve">, </w:t>
      </w:r>
      <w:r w:rsidR="007771BD">
        <w:t xml:space="preserve">the </w:t>
      </w:r>
      <w:r>
        <w:t>mean annual precipitation</w:t>
      </w:r>
      <w:r w:rsidR="007771BD">
        <w:t>,</w:t>
      </w:r>
      <w:r w:rsidR="00342578">
        <w:t xml:space="preserve"> and </w:t>
      </w:r>
      <w:r w:rsidR="007771BD">
        <w:t xml:space="preserve">the </w:t>
      </w:r>
      <w:r w:rsidR="00342578">
        <w:t xml:space="preserve">mean moisture index of </w:t>
      </w:r>
      <w:r w:rsidR="00F957CF">
        <w:t xml:space="preserve">the </w:t>
      </w:r>
      <w:r w:rsidR="00342578">
        <w:t>highest quarter</w:t>
      </w:r>
      <w:r>
        <w:t>.</w:t>
      </w:r>
    </w:p>
    <w:p w14:paraId="47B588BE" w14:textId="21AE68FA" w:rsidR="006F6304" w:rsidRDefault="00E459A8" w:rsidP="00B42ADE">
      <w:r>
        <w:t>Inspection of Figure 1</w:t>
      </w:r>
      <w:r w:rsidR="00797421">
        <w:t>4</w:t>
      </w:r>
      <w:r>
        <w:t>a</w:t>
      </w:r>
      <w:r w:rsidR="007771BD">
        <w:t>–</w:t>
      </w:r>
      <w:r w:rsidR="006F6304">
        <w:t>l</w:t>
      </w:r>
      <w:r>
        <w:t xml:space="preserve"> indicates that the distribution of camera sites is roughly proportional to the availability of locations for each covariate</w:t>
      </w:r>
      <w:r w:rsidR="0020196D">
        <w:t>,</w:t>
      </w:r>
      <w:r w:rsidR="006F6304">
        <w:t xml:space="preserve"> with some of the more extreme values </w:t>
      </w:r>
      <w:r w:rsidR="007771BD">
        <w:t xml:space="preserve">being </w:t>
      </w:r>
      <w:r w:rsidR="006F6304">
        <w:t>slightly less well represented in the current monitoring design</w:t>
      </w:r>
      <w:r>
        <w:t>.</w:t>
      </w:r>
    </w:p>
    <w:p w14:paraId="65CC9328" w14:textId="345E44C8" w:rsidR="00B42ADE" w:rsidRDefault="00E459A8" w:rsidP="00B42ADE">
      <w:r>
        <w:t xml:space="preserve">Visual inspection of the model outputs indicates that </w:t>
      </w:r>
      <w:r w:rsidR="00C97242">
        <w:t xml:space="preserve">a </w:t>
      </w:r>
      <w:r>
        <w:t xml:space="preserve">distance </w:t>
      </w:r>
      <w:r w:rsidR="00C97242">
        <w:t xml:space="preserve">of </w:t>
      </w:r>
      <w:r w:rsidR="00D7391B">
        <w:t>&gt;2500 </w:t>
      </w:r>
      <w:r>
        <w:t xml:space="preserve">m from non-native vegetation </w:t>
      </w:r>
      <w:r w:rsidR="00C97242">
        <w:t>was</w:t>
      </w:r>
      <w:r w:rsidR="00F05262">
        <w:t xml:space="preserve"> an</w:t>
      </w:r>
      <w:r w:rsidR="00C97242">
        <w:t xml:space="preserve"> </w:t>
      </w:r>
      <w:r>
        <w:t xml:space="preserve">important </w:t>
      </w:r>
      <w:r w:rsidR="00F05262">
        <w:t xml:space="preserve">variable </w:t>
      </w:r>
      <w:r>
        <w:t xml:space="preserve">for </w:t>
      </w:r>
      <w:r w:rsidR="006D1169">
        <w:t>Southern Brown Bandicoot colonisation</w:t>
      </w:r>
      <w:r>
        <w:t xml:space="preserve">. </w:t>
      </w:r>
      <w:r w:rsidR="00C97242">
        <w:t xml:space="preserve">Approximately </w:t>
      </w:r>
      <w:r>
        <w:t>5% of camera sites are</w:t>
      </w:r>
      <w:r w:rsidR="0020196D">
        <w:t>,</w:t>
      </w:r>
      <w:r>
        <w:t xml:space="preserve"> on average</w:t>
      </w:r>
      <w:r w:rsidR="0020196D">
        <w:t>,</w:t>
      </w:r>
      <w:r w:rsidR="00C97242">
        <w:t xml:space="preserve"> </w:t>
      </w:r>
      <w:r>
        <w:t>&gt;2500</w:t>
      </w:r>
      <w:r w:rsidR="00C97242">
        <w:t> </w:t>
      </w:r>
      <w:r>
        <w:t>m from non-native vegetation (Figure 1</w:t>
      </w:r>
      <w:r w:rsidR="00797421">
        <w:t>4</w:t>
      </w:r>
      <w:r>
        <w:t xml:space="preserve">a), while the predicted surface indicates that </w:t>
      </w:r>
      <w:r w:rsidR="00C97242">
        <w:t xml:space="preserve">approximately </w:t>
      </w:r>
      <w:r>
        <w:t xml:space="preserve">13% of </w:t>
      </w:r>
      <w:r w:rsidR="00F05262">
        <w:t xml:space="preserve">occupied </w:t>
      </w:r>
      <w:r>
        <w:t xml:space="preserve">sites </w:t>
      </w:r>
      <w:r w:rsidR="00C97242">
        <w:t xml:space="preserve">are </w:t>
      </w:r>
      <w:r>
        <w:t>&gt;</w:t>
      </w:r>
      <w:r w:rsidR="00C97242">
        <w:t>2500 </w:t>
      </w:r>
      <w:r>
        <w:t>m from non-native vegetation (Figure 1</w:t>
      </w:r>
      <w:r w:rsidR="00797421">
        <w:t>4</w:t>
      </w:r>
      <w:r>
        <w:t xml:space="preserve">b). </w:t>
      </w:r>
      <w:r w:rsidR="00C97242">
        <w:t xml:space="preserve">From </w:t>
      </w:r>
      <w:r w:rsidR="0020196D">
        <w:t xml:space="preserve">the current camera monitoring, </w:t>
      </w:r>
      <w:r w:rsidR="00C97242">
        <w:t xml:space="preserve">approximately </w:t>
      </w:r>
      <w:r w:rsidR="0020196D">
        <w:t xml:space="preserve">18% of sites </w:t>
      </w:r>
      <w:r w:rsidR="00C97242">
        <w:t xml:space="preserve">were </w:t>
      </w:r>
      <w:r w:rsidR="00F05262">
        <w:t>&gt;2500m from non-native vegetation</w:t>
      </w:r>
      <w:r w:rsidR="0020196D">
        <w:t xml:space="preserve"> across both locations, </w:t>
      </w:r>
      <w:r w:rsidR="00C97242">
        <w:t xml:space="preserve">and approximately </w:t>
      </w:r>
      <w:r w:rsidR="0020196D">
        <w:t xml:space="preserve">22% </w:t>
      </w:r>
      <w:r w:rsidR="00C97242">
        <w:t xml:space="preserve">of </w:t>
      </w:r>
      <w:r w:rsidR="00F05262">
        <w:t xml:space="preserve">predicted </w:t>
      </w:r>
      <w:r w:rsidR="00C97242">
        <w:t xml:space="preserve">sites were </w:t>
      </w:r>
      <w:r w:rsidR="0020196D">
        <w:t>available in the landscape (Figure 1</w:t>
      </w:r>
      <w:r w:rsidR="00797421">
        <w:t>4d</w:t>
      </w:r>
      <w:r w:rsidR="0020196D">
        <w:t xml:space="preserve">). Similarly, a </w:t>
      </w:r>
      <w:r w:rsidR="00C97242">
        <w:t xml:space="preserve">topographic wetness index </w:t>
      </w:r>
      <w:r w:rsidR="0020196D">
        <w:t xml:space="preserve">above a value of 9 increased </w:t>
      </w:r>
      <w:r w:rsidR="002E704E">
        <w:t xml:space="preserve">the </w:t>
      </w:r>
      <w:r w:rsidR="0020196D">
        <w:t xml:space="preserve">persistence of Southern Brown Bandicoot at locations without fox control, </w:t>
      </w:r>
      <w:r w:rsidR="002E704E">
        <w:t xml:space="preserve">and </w:t>
      </w:r>
      <w:r w:rsidR="0020196D">
        <w:t xml:space="preserve">the current monitoring </w:t>
      </w:r>
      <w:r w:rsidR="002E704E">
        <w:t xml:space="preserve">sampled </w:t>
      </w:r>
      <w:r w:rsidR="0020196D">
        <w:t>around 33% of these sites</w:t>
      </w:r>
      <w:r w:rsidR="002E704E">
        <w:t>—</w:t>
      </w:r>
      <w:r w:rsidR="00F05262">
        <w:t xml:space="preserve">with </w:t>
      </w:r>
      <w:r w:rsidR="002E704E">
        <w:t xml:space="preserve">approximately </w:t>
      </w:r>
      <w:r w:rsidR="0020196D">
        <w:t xml:space="preserve">41% of predicted sites available </w:t>
      </w:r>
      <w:r w:rsidR="00F05262">
        <w:t xml:space="preserve">for monitoring </w:t>
      </w:r>
      <w:r w:rsidR="0020196D">
        <w:t>(Figure 1</w:t>
      </w:r>
      <w:r w:rsidR="00797421">
        <w:t>4</w:t>
      </w:r>
      <w:r w:rsidR="0020196D">
        <w:t>e</w:t>
      </w:r>
      <w:r w:rsidR="002E704E">
        <w:t>–</w:t>
      </w:r>
      <w:r w:rsidR="0020196D">
        <w:t xml:space="preserve">f). Time since fire of less than around </w:t>
      </w:r>
      <w:r w:rsidR="002E704E">
        <w:t>20 </w:t>
      </w:r>
      <w:r w:rsidR="0020196D">
        <w:t xml:space="preserve">years appeared to </w:t>
      </w:r>
      <w:r w:rsidR="00F05262">
        <w:t>an important criterion for</w:t>
      </w:r>
      <w:r w:rsidR="0020196D">
        <w:t xml:space="preserve"> Southern Brown Bandicoot persistence at locations without fox control</w:t>
      </w:r>
      <w:r>
        <w:t>.</w:t>
      </w:r>
    </w:p>
    <w:p w14:paraId="4D06EDC1" w14:textId="1BFF7FC0" w:rsidR="006F6304" w:rsidRDefault="00E459A8" w:rsidP="00B42ADE">
      <w:r>
        <w:t xml:space="preserve">The proposed new covariates (NDVI and </w:t>
      </w:r>
      <w:r w:rsidR="0029768C">
        <w:t xml:space="preserve">Distance </w:t>
      </w:r>
      <w:r>
        <w:t xml:space="preserve">to </w:t>
      </w:r>
      <w:r w:rsidR="0029768C">
        <w:t>Water</w:t>
      </w:r>
      <w:r>
        <w:t>) are also well represented by the current monitoring array</w:t>
      </w:r>
      <w:r w:rsidR="006D1169">
        <w:t xml:space="preserve"> (Figure 1</w:t>
      </w:r>
      <w:r w:rsidR="00797421">
        <w:t>4</w:t>
      </w:r>
      <w:r w:rsidR="006D1169">
        <w:t>g</w:t>
      </w:r>
      <w:r w:rsidR="002E704E">
        <w:t>–</w:t>
      </w:r>
      <w:r w:rsidR="006D1169">
        <w:t>j)</w:t>
      </w:r>
      <w:r>
        <w:t xml:space="preserve">. </w:t>
      </w:r>
      <w:r w:rsidR="006D1169">
        <w:t>M</w:t>
      </w:r>
      <w:r>
        <w:t>onitoring a representative range of EVC</w:t>
      </w:r>
      <w:r w:rsidR="002E704E">
        <w:t>s</w:t>
      </w:r>
      <w:r>
        <w:t xml:space="preserve"> presents some challenges. Most of the camera sites and the </w:t>
      </w:r>
      <w:r w:rsidR="006D1169">
        <w:t xml:space="preserve">predicted </w:t>
      </w:r>
      <w:r>
        <w:t xml:space="preserve">landscape </w:t>
      </w:r>
      <w:r w:rsidR="00F957CF">
        <w:t>are</w:t>
      </w:r>
      <w:r>
        <w:t xml:space="preserve"> represented by EVC 8</w:t>
      </w:r>
      <w:r w:rsidR="006D1169">
        <w:t xml:space="preserve"> (Figure</w:t>
      </w:r>
      <w:r w:rsidR="0020196D">
        <w:t>1</w:t>
      </w:r>
      <w:r w:rsidR="00797421">
        <w:t>4</w:t>
      </w:r>
      <w:r w:rsidR="000F1683">
        <w:t>k</w:t>
      </w:r>
      <w:r w:rsidR="002E704E">
        <w:t>–</w:t>
      </w:r>
      <w:r w:rsidR="000F1683">
        <w:t>l)</w:t>
      </w:r>
      <w:r>
        <w:t>. One solution may</w:t>
      </w:r>
      <w:r w:rsidR="00F957CF">
        <w:t xml:space="preserve"> </w:t>
      </w:r>
      <w:r w:rsidR="002E704E">
        <w:t xml:space="preserve">be to </w:t>
      </w:r>
      <w:r w:rsidR="0020196D">
        <w:t xml:space="preserve">include </w:t>
      </w:r>
      <w:r w:rsidR="002E704E">
        <w:t>‘</w:t>
      </w:r>
      <w:r w:rsidR="0020196D">
        <w:t>EVC 8</w:t>
      </w:r>
      <w:r w:rsidR="002E704E">
        <w:t>’</w:t>
      </w:r>
      <w:r w:rsidR="0020196D">
        <w:t xml:space="preserve"> and ‘other</w:t>
      </w:r>
      <w:r w:rsidR="002E704E">
        <w:t xml:space="preserve"> </w:t>
      </w:r>
      <w:r w:rsidR="0020196D">
        <w:t>EVC</w:t>
      </w:r>
      <w:r w:rsidR="002E704E">
        <w:t>’</w:t>
      </w:r>
      <w:r w:rsidR="0020196D">
        <w:t xml:space="preserve"> as </w:t>
      </w:r>
      <w:r w:rsidR="002E704E">
        <w:t>categories</w:t>
      </w:r>
      <w:r w:rsidR="0020196D">
        <w:t xml:space="preserve"> in the next modelling round</w:t>
      </w:r>
      <w:r>
        <w:t>.</w:t>
      </w:r>
    </w:p>
    <w:p w14:paraId="0C72C355" w14:textId="1EA2C126" w:rsidR="00B42ADE" w:rsidRPr="006F6304" w:rsidRDefault="000F1683" w:rsidP="00B42ADE">
      <w:r w:rsidRPr="006F6304">
        <w:t>Before potential new monitoring sites</w:t>
      </w:r>
      <w:r w:rsidR="00A90B4E">
        <w:t xml:space="preserve"> are allocated</w:t>
      </w:r>
      <w:r w:rsidRPr="006F6304">
        <w:t xml:space="preserve">, </w:t>
      </w:r>
      <w:r w:rsidR="00A90B4E">
        <w:t>it will be necessary to</w:t>
      </w:r>
      <w:r w:rsidRPr="006F6304">
        <w:t xml:space="preserve"> </w:t>
      </w:r>
      <w:r w:rsidR="00B42ADE" w:rsidRPr="006F6304">
        <w:t>separate locations with and without fox control.</w:t>
      </w:r>
      <w:r w:rsidRPr="006F6304">
        <w:t xml:space="preserve"> This may</w:t>
      </w:r>
      <w:r w:rsidR="00F957CF">
        <w:t xml:space="preserve"> </w:t>
      </w:r>
      <w:r w:rsidRPr="006F6304">
        <w:t>be particularly useful</w:t>
      </w:r>
      <w:r w:rsidR="00A90B4E">
        <w:t xml:space="preserve">, </w:t>
      </w:r>
      <w:r w:rsidRPr="006F6304">
        <w:t xml:space="preserve">as </w:t>
      </w:r>
      <w:r w:rsidR="002E704E">
        <w:t>time since fire</w:t>
      </w:r>
      <w:r w:rsidR="002E704E" w:rsidRPr="006F6304">
        <w:t xml:space="preserve"> </w:t>
      </w:r>
      <w:r w:rsidRPr="006F6304">
        <w:t xml:space="preserve">and </w:t>
      </w:r>
      <w:r w:rsidR="002E704E">
        <w:t>topographic wetness index</w:t>
      </w:r>
      <w:r w:rsidR="002E704E" w:rsidRPr="006F6304">
        <w:t xml:space="preserve"> </w:t>
      </w:r>
      <w:r w:rsidRPr="006F6304">
        <w:t>were important only at locations without fox control for Southern Brown Bandicoots.</w:t>
      </w:r>
    </w:p>
    <w:p w14:paraId="769D1DCC" w14:textId="60F1FF20" w:rsidR="00B42ADE" w:rsidRDefault="00050233" w:rsidP="00057DD5">
      <w:r>
        <w:rPr>
          <w:noProof/>
        </w:rPr>
        <w:lastRenderedPageBreak/>
        <w:drawing>
          <wp:inline distT="0" distB="0" distL="0" distR="0" wp14:anchorId="3ED55919" wp14:editId="104ECED9">
            <wp:extent cx="5077266" cy="7315835"/>
            <wp:effectExtent l="0" t="0" r="9525"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65"/>
                    <a:stretch>
                      <a:fillRect/>
                    </a:stretch>
                  </pic:blipFill>
                  <pic:spPr>
                    <a:xfrm>
                      <a:off x="0" y="0"/>
                      <a:ext cx="5092598" cy="7337927"/>
                    </a:xfrm>
                    <a:prstGeom prst="rect">
                      <a:avLst/>
                    </a:prstGeom>
                  </pic:spPr>
                </pic:pic>
              </a:graphicData>
            </a:graphic>
          </wp:inline>
        </w:drawing>
      </w:r>
      <w:r w:rsidR="00B42ADE" w:rsidRPr="00B42ADE">
        <w:t xml:space="preserve"> </w:t>
      </w:r>
    </w:p>
    <w:p w14:paraId="048D13D3" w14:textId="07B0C818" w:rsidR="00B42ADE" w:rsidRDefault="00B42ADE" w:rsidP="00584FA8">
      <w:pPr>
        <w:pStyle w:val="Caption-Figure"/>
      </w:pPr>
      <w:bookmarkStart w:id="82" w:name="_Toc110599630"/>
      <w:r>
        <w:t>Figure 1</w:t>
      </w:r>
      <w:r w:rsidR="00797421">
        <w:t>4</w:t>
      </w:r>
      <w:r>
        <w:t>. Count</w:t>
      </w:r>
      <w:r w:rsidR="004F53B2">
        <w:t>s</w:t>
      </w:r>
      <w:r>
        <w:t xml:space="preserve"> of camera sites and raster cell values for model covariates used in current occupancy modelling</w:t>
      </w:r>
      <w:r w:rsidR="004F53B2">
        <w:t>,</w:t>
      </w:r>
      <w:r>
        <w:t xml:space="preserve"> and </w:t>
      </w:r>
      <w:r w:rsidR="006D1169" w:rsidRPr="006D1169">
        <w:t>three</w:t>
      </w:r>
      <w:r w:rsidRPr="006D1169">
        <w:t xml:space="preserve"> additional covariates</w:t>
      </w:r>
      <w:r w:rsidR="004F53B2">
        <w:rPr>
          <w:b w:val="0"/>
        </w:rPr>
        <w:t xml:space="preserve">. </w:t>
      </w:r>
      <w:r w:rsidR="007967C9">
        <w:rPr>
          <w:b w:val="0"/>
        </w:rPr>
        <w:t xml:space="preserve">DTNV = </w:t>
      </w:r>
      <w:r w:rsidR="0096369B">
        <w:rPr>
          <w:b w:val="0"/>
        </w:rPr>
        <w:t>distance to non-native vegetation</w:t>
      </w:r>
      <w:r w:rsidR="007967C9">
        <w:rPr>
          <w:b w:val="0"/>
        </w:rPr>
        <w:t xml:space="preserve">; </w:t>
      </w:r>
      <w:r w:rsidR="004F53B2">
        <w:rPr>
          <w:b w:val="0"/>
        </w:rPr>
        <w:t>DTW = Distance to Water; EVC = Ecological Vegetation Class; NDVI =</w:t>
      </w:r>
      <w:r w:rsidR="00003A07">
        <w:rPr>
          <w:b w:val="0"/>
        </w:rPr>
        <w:t xml:space="preserve"> Normalised Difference Vegetation Index</w:t>
      </w:r>
      <w:r w:rsidR="004F53B2">
        <w:rPr>
          <w:b w:val="0"/>
        </w:rPr>
        <w:t xml:space="preserve">; TSF = </w:t>
      </w:r>
      <w:r w:rsidR="0096369B">
        <w:rPr>
          <w:b w:val="0"/>
        </w:rPr>
        <w:t>time since fire</w:t>
      </w:r>
      <w:r w:rsidR="004F53B2">
        <w:rPr>
          <w:b w:val="0"/>
        </w:rPr>
        <w:t xml:space="preserve">; TWI = </w:t>
      </w:r>
      <w:r w:rsidR="0096369B">
        <w:rPr>
          <w:b w:val="0"/>
        </w:rPr>
        <w:t>topographic wetness index</w:t>
      </w:r>
      <w:r w:rsidR="004F53B2">
        <w:rPr>
          <w:b w:val="0"/>
        </w:rPr>
        <w:t>.</w:t>
      </w:r>
      <w:bookmarkEnd w:id="82"/>
    </w:p>
    <w:p w14:paraId="2E90F0EF" w14:textId="0977BAE6" w:rsidR="00641AF6" w:rsidRDefault="00641AF6" w:rsidP="000F1683"/>
    <w:p w14:paraId="5149B443" w14:textId="390FE4EC" w:rsidR="00641AF6" w:rsidRDefault="00641AF6" w:rsidP="00C52342">
      <w:pPr>
        <w:pStyle w:val="Heading3-Numbered"/>
      </w:pPr>
      <w:bookmarkStart w:id="83" w:name="_Toc110599607"/>
      <w:r>
        <w:t>Spatial predictions of occupancy</w:t>
      </w:r>
      <w:bookmarkEnd w:id="83"/>
    </w:p>
    <w:p w14:paraId="3355A6B3" w14:textId="5DE7DB68" w:rsidR="000F1683" w:rsidRDefault="00063D97" w:rsidP="000F1683">
      <w:r>
        <w:t xml:space="preserve">Based on </w:t>
      </w:r>
      <w:r w:rsidR="00473419">
        <w:t>the ‘</w:t>
      </w:r>
      <w:r>
        <w:t xml:space="preserve">best </w:t>
      </w:r>
      <w:r w:rsidR="00473419">
        <w:t>mode</w:t>
      </w:r>
      <w:r w:rsidR="0073323B">
        <w:t>l</w:t>
      </w:r>
      <w:r w:rsidR="00473419">
        <w:t>’</w:t>
      </w:r>
      <w:r>
        <w:t>, we also generated predictive occupancy maps across the study region for Long-nosed Potoroo (Figure 1</w:t>
      </w:r>
      <w:r w:rsidR="00797421">
        <w:t>5</w:t>
      </w:r>
      <w:r>
        <w:t>) and Southern Brown Bandicoot (Figure 1</w:t>
      </w:r>
      <w:r w:rsidR="00797421">
        <w:t>6</w:t>
      </w:r>
      <w:r>
        <w:t>)</w:t>
      </w:r>
      <w:r w:rsidR="000F1683">
        <w:t xml:space="preserve">. Rather than predict occupancy </w:t>
      </w:r>
      <w:r w:rsidR="0073323B">
        <w:t>by each species throughout</w:t>
      </w:r>
      <w:r w:rsidR="000F1683">
        <w:t xml:space="preserve"> the entire south</w:t>
      </w:r>
      <w:r w:rsidR="00A90B4E">
        <w:t>-</w:t>
      </w:r>
      <w:r w:rsidR="000F1683">
        <w:t xml:space="preserve">west, we limited our predictions to the core public land areas of </w:t>
      </w:r>
      <w:r w:rsidR="000F1683">
        <w:lastRenderedPageBreak/>
        <w:t>Glenelg Ark</w:t>
      </w:r>
      <w:r w:rsidR="00A90B4E">
        <w:t>,</w:t>
      </w:r>
      <w:r w:rsidR="000F1683">
        <w:t xml:space="preserve"> because predicting occupancy well outside the sampled environmental domain introduces a large amount of uncertainty in</w:t>
      </w:r>
      <w:r w:rsidR="00A90B4E">
        <w:t>to</w:t>
      </w:r>
      <w:r w:rsidR="000F1683">
        <w:t xml:space="preserve"> the </w:t>
      </w:r>
      <w:r w:rsidR="00A90B4E">
        <w:t xml:space="preserve">predictions </w:t>
      </w:r>
      <w:r w:rsidR="000F1683">
        <w:t>and would be unreliable.</w:t>
      </w:r>
    </w:p>
    <w:p w14:paraId="77E8DE64" w14:textId="0B0CC6A9" w:rsidR="000F1683" w:rsidRDefault="00D367DA" w:rsidP="000F1683">
      <w:pPr>
        <w:rPr>
          <w:lang w:eastAsia="en-AU"/>
        </w:rPr>
      </w:pPr>
      <w:r>
        <w:rPr>
          <w:lang w:eastAsia="en-AU"/>
        </w:rPr>
        <w:t>The</w:t>
      </w:r>
      <w:r w:rsidR="00B451CE">
        <w:rPr>
          <w:lang w:eastAsia="en-AU"/>
        </w:rPr>
        <w:t xml:space="preserve"> predicative occupancy maps</w:t>
      </w:r>
      <w:r>
        <w:rPr>
          <w:lang w:eastAsia="en-AU"/>
        </w:rPr>
        <w:t xml:space="preserve"> (particularly for Southern </w:t>
      </w:r>
      <w:r w:rsidR="00F22D54">
        <w:rPr>
          <w:lang w:eastAsia="en-AU"/>
        </w:rPr>
        <w:t xml:space="preserve">Brown </w:t>
      </w:r>
      <w:r>
        <w:rPr>
          <w:lang w:eastAsia="en-AU"/>
        </w:rPr>
        <w:t xml:space="preserve">Bandicoot) indicate that the extreme values for the </w:t>
      </w:r>
      <w:r w:rsidR="00063D97">
        <w:rPr>
          <w:lang w:eastAsia="en-AU"/>
        </w:rPr>
        <w:t>important</w:t>
      </w:r>
      <w:r>
        <w:rPr>
          <w:lang w:eastAsia="en-AU"/>
        </w:rPr>
        <w:t xml:space="preserve"> covariates strongly influence </w:t>
      </w:r>
      <w:r w:rsidR="00A90B4E">
        <w:rPr>
          <w:lang w:eastAsia="en-AU"/>
        </w:rPr>
        <w:t xml:space="preserve">the </w:t>
      </w:r>
      <w:r>
        <w:rPr>
          <w:lang w:eastAsia="en-AU"/>
        </w:rPr>
        <w:t xml:space="preserve">predicted occupancy outside the current monitoring area. It is in these locations </w:t>
      </w:r>
      <w:r w:rsidR="00A90B4E">
        <w:rPr>
          <w:lang w:eastAsia="en-AU"/>
        </w:rPr>
        <w:t xml:space="preserve">that </w:t>
      </w:r>
      <w:r>
        <w:rPr>
          <w:lang w:eastAsia="en-AU"/>
        </w:rPr>
        <w:t xml:space="preserve">additional monitoring should be focused. Adding </w:t>
      </w:r>
      <w:r w:rsidR="00641AF6">
        <w:rPr>
          <w:lang w:eastAsia="en-AU"/>
        </w:rPr>
        <w:t>monitoring</w:t>
      </w:r>
      <w:r>
        <w:rPr>
          <w:lang w:eastAsia="en-AU"/>
        </w:rPr>
        <w:t xml:space="preserve"> data from these locations a</w:t>
      </w:r>
      <w:r w:rsidR="00063D97">
        <w:rPr>
          <w:lang w:eastAsia="en-AU"/>
        </w:rPr>
        <w:t>nd</w:t>
      </w:r>
      <w:r>
        <w:rPr>
          <w:lang w:eastAsia="en-AU"/>
        </w:rPr>
        <w:t xml:space="preserve"> the proposed additional covariates from across the monitoring landscape should significantly improve model predictions </w:t>
      </w:r>
      <w:r w:rsidRPr="002B71D3">
        <w:rPr>
          <w:lang w:eastAsia="en-AU"/>
        </w:rPr>
        <w:t xml:space="preserve">and strengthen our ability to make inferences </w:t>
      </w:r>
      <w:r w:rsidR="00A90B4E" w:rsidRPr="00F05262">
        <w:rPr>
          <w:lang w:eastAsia="en-AU"/>
        </w:rPr>
        <w:t>about</w:t>
      </w:r>
      <w:r w:rsidR="00A90B4E" w:rsidRPr="002B71D3">
        <w:rPr>
          <w:lang w:eastAsia="en-AU"/>
        </w:rPr>
        <w:t xml:space="preserve"> </w:t>
      </w:r>
      <w:r w:rsidRPr="002B71D3">
        <w:rPr>
          <w:lang w:eastAsia="en-AU"/>
        </w:rPr>
        <w:t xml:space="preserve">the role of fox control in the occupancy of </w:t>
      </w:r>
      <w:r w:rsidR="00A90B4E" w:rsidRPr="002B71D3">
        <w:rPr>
          <w:lang w:eastAsia="en-AU"/>
        </w:rPr>
        <w:t>the</w:t>
      </w:r>
      <w:r w:rsidR="00A90B4E" w:rsidRPr="00F05262">
        <w:rPr>
          <w:lang w:eastAsia="en-AU"/>
        </w:rPr>
        <w:t xml:space="preserve"> three target native mammal</w:t>
      </w:r>
      <w:r w:rsidR="00A90B4E" w:rsidRPr="002B71D3">
        <w:rPr>
          <w:lang w:eastAsia="en-AU"/>
        </w:rPr>
        <w:t xml:space="preserve"> </w:t>
      </w:r>
      <w:r w:rsidRPr="002B71D3">
        <w:rPr>
          <w:lang w:eastAsia="en-AU"/>
        </w:rPr>
        <w:t>species.</w:t>
      </w:r>
    </w:p>
    <w:p w14:paraId="2D9D5832" w14:textId="3BD131CE" w:rsidR="00540DCA" w:rsidRDefault="00274342" w:rsidP="0038654A">
      <w:pPr>
        <w:rPr>
          <w:lang w:eastAsia="en-AU"/>
        </w:rPr>
      </w:pPr>
      <w:r>
        <w:rPr>
          <w:noProof/>
          <w:lang w:val="en-GB" w:eastAsia="en-GB"/>
        </w:rPr>
        <w:drawing>
          <wp:inline distT="0" distB="0" distL="0" distR="0" wp14:anchorId="425E97BC" wp14:editId="3AB4F738">
            <wp:extent cx="5815584" cy="4049168"/>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5818860" cy="4051449"/>
                    </a:xfrm>
                    <a:prstGeom prst="rect">
                      <a:avLst/>
                    </a:prstGeom>
                    <a:noFill/>
                    <a:ln>
                      <a:noFill/>
                    </a:ln>
                  </pic:spPr>
                </pic:pic>
              </a:graphicData>
            </a:graphic>
          </wp:inline>
        </w:drawing>
      </w:r>
    </w:p>
    <w:p w14:paraId="732D7B79" w14:textId="1B690977" w:rsidR="00B55748" w:rsidRPr="00F05262" w:rsidRDefault="00B55748" w:rsidP="00584FA8">
      <w:pPr>
        <w:pStyle w:val="Caption-Figure"/>
        <w:rPr>
          <w:b w:val="0"/>
          <w:lang w:eastAsia="en-AU"/>
        </w:rPr>
      </w:pPr>
      <w:bookmarkStart w:id="84" w:name="_Toc110599631"/>
      <w:r>
        <w:rPr>
          <w:lang w:eastAsia="en-AU"/>
        </w:rPr>
        <w:t xml:space="preserve">Figure </w:t>
      </w:r>
      <w:r w:rsidR="00D67F8F">
        <w:rPr>
          <w:lang w:eastAsia="en-AU"/>
        </w:rPr>
        <w:t>1</w:t>
      </w:r>
      <w:r w:rsidR="00797421">
        <w:rPr>
          <w:lang w:eastAsia="en-AU"/>
        </w:rPr>
        <w:t>5</w:t>
      </w:r>
      <w:r>
        <w:rPr>
          <w:lang w:eastAsia="en-AU"/>
        </w:rPr>
        <w:t>. Predicted occupancy of Long-nosed Potoroo across the Glenelg Ark landscape.</w:t>
      </w:r>
      <w:r w:rsidRPr="00F05262">
        <w:rPr>
          <w:b w:val="0"/>
          <w:lang w:eastAsia="en-AU"/>
        </w:rPr>
        <w:t xml:space="preserve"> Black dots are the location of </w:t>
      </w:r>
      <w:r w:rsidR="006B3C50">
        <w:rPr>
          <w:b w:val="0"/>
          <w:lang w:eastAsia="en-AU"/>
        </w:rPr>
        <w:t xml:space="preserve">existing </w:t>
      </w:r>
      <w:r w:rsidRPr="00F05262">
        <w:rPr>
          <w:b w:val="0"/>
          <w:lang w:eastAsia="en-AU"/>
        </w:rPr>
        <w:t>camera-trap monitoring stations.</w:t>
      </w:r>
      <w:bookmarkEnd w:id="84"/>
    </w:p>
    <w:p w14:paraId="7D87BB5A" w14:textId="6EAF7E02" w:rsidR="00274342" w:rsidRDefault="00274342" w:rsidP="00A33262"/>
    <w:p w14:paraId="5D820C7C" w14:textId="3B1FF1A3" w:rsidR="00274342" w:rsidRDefault="00274342" w:rsidP="00A33262">
      <w:r>
        <w:rPr>
          <w:noProof/>
          <w:lang w:val="en-GB" w:eastAsia="en-GB"/>
        </w:rPr>
        <w:lastRenderedPageBreak/>
        <w:drawing>
          <wp:inline distT="0" distB="0" distL="0" distR="0" wp14:anchorId="6D6E6F68" wp14:editId="4FDB163A">
            <wp:extent cx="5815330" cy="403993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5817027" cy="4041112"/>
                    </a:xfrm>
                    <a:prstGeom prst="rect">
                      <a:avLst/>
                    </a:prstGeom>
                    <a:noFill/>
                    <a:ln>
                      <a:noFill/>
                    </a:ln>
                  </pic:spPr>
                </pic:pic>
              </a:graphicData>
            </a:graphic>
          </wp:inline>
        </w:drawing>
      </w:r>
    </w:p>
    <w:p w14:paraId="4E6482EF" w14:textId="224BE640" w:rsidR="00B55748" w:rsidRDefault="00B55748" w:rsidP="00584FA8">
      <w:pPr>
        <w:pStyle w:val="Caption-Figure"/>
        <w:rPr>
          <w:lang w:eastAsia="en-AU"/>
        </w:rPr>
      </w:pPr>
      <w:bookmarkStart w:id="85" w:name="_Toc110599632"/>
      <w:r>
        <w:rPr>
          <w:lang w:eastAsia="en-AU"/>
        </w:rPr>
        <w:t xml:space="preserve">Figure </w:t>
      </w:r>
      <w:r w:rsidR="00D67F8F">
        <w:rPr>
          <w:lang w:eastAsia="en-AU"/>
        </w:rPr>
        <w:t>1</w:t>
      </w:r>
      <w:r w:rsidR="00797421">
        <w:rPr>
          <w:lang w:eastAsia="en-AU"/>
        </w:rPr>
        <w:t>6</w:t>
      </w:r>
      <w:r>
        <w:rPr>
          <w:lang w:eastAsia="en-AU"/>
        </w:rPr>
        <w:t>. Predicted occupancy of Southern Brown Bandicoots across the Glenelg Ark landscape.</w:t>
      </w:r>
      <w:r w:rsidRPr="00F05262">
        <w:rPr>
          <w:b w:val="0"/>
          <w:lang w:eastAsia="en-AU"/>
        </w:rPr>
        <w:t xml:space="preserve"> Black dots are the location of camera-trap monitoring stations.</w:t>
      </w:r>
      <w:bookmarkEnd w:id="85"/>
    </w:p>
    <w:p w14:paraId="3BB55A17" w14:textId="5A6810A4" w:rsidR="00980E26" w:rsidRDefault="00C94944" w:rsidP="00B228F3">
      <w:pPr>
        <w:pStyle w:val="Heading1-Numbered"/>
      </w:pPr>
      <w:r>
        <w:br w:type="column"/>
      </w:r>
      <w:bookmarkStart w:id="86" w:name="_Toc110599608"/>
      <w:r w:rsidR="0036264B">
        <w:lastRenderedPageBreak/>
        <w:t>Conclusions and implications</w:t>
      </w:r>
      <w:bookmarkEnd w:id="86"/>
    </w:p>
    <w:p w14:paraId="1F0B7AB0" w14:textId="11C9CCFB" w:rsidR="00A509C9" w:rsidRDefault="00A509C9" w:rsidP="00060284">
      <w:r>
        <w:t xml:space="preserve">We found that fox control </w:t>
      </w:r>
      <w:r w:rsidR="00063D97">
        <w:t>has</w:t>
      </w:r>
      <w:r>
        <w:t xml:space="preserve"> a </w:t>
      </w:r>
      <w:r w:rsidR="004610CF">
        <w:t xml:space="preserve">strong </w:t>
      </w:r>
      <w:r>
        <w:t>positive effect on both Long-nosed Potoroos and Southern Brown Bandicoots</w:t>
      </w:r>
      <w:r w:rsidR="006B18AB">
        <w:t>,</w:t>
      </w:r>
      <w:r>
        <w:t xml:space="preserve"> </w:t>
      </w:r>
      <w:r w:rsidR="004610CF">
        <w:t xml:space="preserve">and a lesser but still positive effect on </w:t>
      </w:r>
      <w:r w:rsidRPr="004610CF">
        <w:t>Common Brushtail Possums</w:t>
      </w:r>
      <w:r w:rsidR="00F00DE4">
        <w:t xml:space="preserve"> </w:t>
      </w:r>
      <w:r w:rsidR="00091D5C">
        <w:t>over</w:t>
      </w:r>
      <w:r w:rsidR="00F00DE4">
        <w:t xml:space="preserve"> Glenelg Ark</w:t>
      </w:r>
      <w:r w:rsidRPr="004610CF">
        <w:t>.</w:t>
      </w:r>
      <w:r w:rsidR="004610CF">
        <w:t xml:space="preserve"> </w:t>
      </w:r>
      <w:r w:rsidR="005C12D1">
        <w:t xml:space="preserve">Long-nosed </w:t>
      </w:r>
      <w:r w:rsidR="0099614E">
        <w:t>Potoroos occupied new sites and remained at current site</w:t>
      </w:r>
      <w:r w:rsidR="001E4561">
        <w:t>s</w:t>
      </w:r>
      <w:r w:rsidR="0099614E">
        <w:t xml:space="preserve"> more often at locations with fox control. </w:t>
      </w:r>
      <w:r w:rsidR="00862F7F">
        <w:t xml:space="preserve">As </w:t>
      </w:r>
      <w:r w:rsidR="00BB5A64">
        <w:t>topographic</w:t>
      </w:r>
      <w:r w:rsidR="00862F7F">
        <w:t xml:space="preserve"> wetness (a surrogate for soil moisture and vegetation composition) increase</w:t>
      </w:r>
      <w:r w:rsidR="00063D97">
        <w:t>s,</w:t>
      </w:r>
      <w:r w:rsidR="00862F7F">
        <w:t xml:space="preserve"> so d</w:t>
      </w:r>
      <w:r w:rsidR="001E4561">
        <w:t>oes</w:t>
      </w:r>
      <w:r w:rsidR="00862F7F">
        <w:t xml:space="preserve"> the probability that a site remain</w:t>
      </w:r>
      <w:r w:rsidR="001E4561">
        <w:t>s</w:t>
      </w:r>
      <w:r w:rsidR="00862F7F">
        <w:t xml:space="preserve"> occupied</w:t>
      </w:r>
      <w:r w:rsidR="00091D5C">
        <w:t xml:space="preserve"> by Long-nosed Potoroos</w:t>
      </w:r>
      <w:r w:rsidR="00862F7F">
        <w:t>, regardless of fox control status</w:t>
      </w:r>
      <w:r w:rsidR="006872D5">
        <w:t>.</w:t>
      </w:r>
      <w:r w:rsidR="0099614E">
        <w:t xml:space="preserve"> </w:t>
      </w:r>
      <w:r w:rsidR="005C12D1">
        <w:t xml:space="preserve">Southern Brown </w:t>
      </w:r>
      <w:r w:rsidR="0099614E">
        <w:t xml:space="preserve">Bandicoots </w:t>
      </w:r>
      <w:r w:rsidR="00087DC5">
        <w:t xml:space="preserve">had a higher probability of persisting </w:t>
      </w:r>
      <w:r w:rsidR="0099614E">
        <w:t xml:space="preserve">at </w:t>
      </w:r>
      <w:r w:rsidR="00063D97">
        <w:t xml:space="preserve">wetter </w:t>
      </w:r>
      <w:r w:rsidR="00087DC5">
        <w:t xml:space="preserve">sites </w:t>
      </w:r>
      <w:r w:rsidR="00063D97">
        <w:t xml:space="preserve">and </w:t>
      </w:r>
      <w:r w:rsidR="00087DC5">
        <w:t>sites that had been unburnt for longer</w:t>
      </w:r>
      <w:r w:rsidR="007E0FB6">
        <w:t xml:space="preserve"> </w:t>
      </w:r>
      <w:r w:rsidR="0099614E">
        <w:t xml:space="preserve">at locations without fox control, </w:t>
      </w:r>
      <w:r w:rsidR="006872D5">
        <w:t xml:space="preserve">while </w:t>
      </w:r>
      <w:r w:rsidR="0099614E">
        <w:t>the</w:t>
      </w:r>
      <w:r w:rsidR="007E0FB6">
        <w:t>y</w:t>
      </w:r>
      <w:r w:rsidR="0099614E">
        <w:t xml:space="preserve"> </w:t>
      </w:r>
      <w:r w:rsidR="00087DC5">
        <w:t xml:space="preserve">had a higher probability of occupying </w:t>
      </w:r>
      <w:r w:rsidR="007E0FB6">
        <w:t>new sites as distance to non-native vegetation increased</w:t>
      </w:r>
      <w:r w:rsidR="00087DC5">
        <w:t>,</w:t>
      </w:r>
      <w:r w:rsidR="006872D5">
        <w:t xml:space="preserve"> regardless of fox control </w:t>
      </w:r>
      <w:r w:rsidR="00862F7F">
        <w:t>status</w:t>
      </w:r>
      <w:r w:rsidR="00087DC5">
        <w:t>;</w:t>
      </w:r>
      <w:r w:rsidR="00734738">
        <w:t xml:space="preserve"> this difference</w:t>
      </w:r>
      <w:r w:rsidR="00087DC5">
        <w:t>, however,</w:t>
      </w:r>
      <w:r w:rsidR="00734738">
        <w:t xml:space="preserve"> became less important </w:t>
      </w:r>
      <w:r w:rsidR="00087DC5">
        <w:t xml:space="preserve">above </w:t>
      </w:r>
      <w:r w:rsidR="00003A07">
        <w:t>2250m</w:t>
      </w:r>
      <w:r w:rsidR="006B3C50">
        <w:t xml:space="preserve"> elevation</w:t>
      </w:r>
      <w:r w:rsidR="006872D5">
        <w:t>.</w:t>
      </w:r>
      <w:r w:rsidR="00F00DE4">
        <w:t xml:space="preserve"> The </w:t>
      </w:r>
      <w:r w:rsidR="00873892">
        <w:t>weaker (but still positive)</w:t>
      </w:r>
      <w:r w:rsidR="00F00DE4">
        <w:t xml:space="preserve"> response by possums may </w:t>
      </w:r>
      <w:r w:rsidR="00873892">
        <w:t xml:space="preserve">have been </w:t>
      </w:r>
      <w:r w:rsidR="00F00DE4">
        <w:t>because</w:t>
      </w:r>
      <w:r w:rsidR="00063D97">
        <w:t>,</w:t>
      </w:r>
      <w:r w:rsidR="00F00DE4">
        <w:t xml:space="preserve"> </w:t>
      </w:r>
      <w:r w:rsidR="00F00DE4">
        <w:rPr>
          <w:lang w:eastAsia="en-AU"/>
        </w:rPr>
        <w:t>s</w:t>
      </w:r>
      <w:r w:rsidR="00F00DE4" w:rsidRPr="007F794C">
        <w:rPr>
          <w:lang w:eastAsia="en-AU"/>
        </w:rPr>
        <w:t>ince 2009</w:t>
      </w:r>
      <w:r w:rsidR="00063D97">
        <w:rPr>
          <w:lang w:eastAsia="en-AU"/>
        </w:rPr>
        <w:t>,</w:t>
      </w:r>
      <w:r w:rsidR="00F00DE4" w:rsidRPr="007F794C">
        <w:rPr>
          <w:lang w:eastAsia="en-AU"/>
        </w:rPr>
        <w:t xml:space="preserve"> </w:t>
      </w:r>
      <w:r w:rsidR="00003A07" w:rsidRPr="00003A07">
        <w:rPr>
          <w:lang w:eastAsia="en-AU"/>
        </w:rPr>
        <w:t xml:space="preserve">most available suitable habitat has </w:t>
      </w:r>
      <w:r w:rsidR="006B3C50">
        <w:rPr>
          <w:lang w:eastAsia="en-AU"/>
        </w:rPr>
        <w:t>become and remains</w:t>
      </w:r>
      <w:r w:rsidR="00003A07" w:rsidRPr="00003A07">
        <w:rPr>
          <w:lang w:eastAsia="en-AU"/>
        </w:rPr>
        <w:t xml:space="preserve"> occupied</w:t>
      </w:r>
      <w:r w:rsidR="00873892">
        <w:rPr>
          <w:lang w:eastAsia="en-AU"/>
        </w:rPr>
        <w:t>,</w:t>
      </w:r>
      <w:r w:rsidR="00F00DE4">
        <w:rPr>
          <w:lang w:eastAsia="en-AU"/>
        </w:rPr>
        <w:t xml:space="preserve"> resulting </w:t>
      </w:r>
      <w:r w:rsidR="00294A17">
        <w:rPr>
          <w:lang w:eastAsia="en-AU"/>
        </w:rPr>
        <w:t xml:space="preserve">in a </w:t>
      </w:r>
      <w:r w:rsidR="00F00DE4">
        <w:rPr>
          <w:lang w:eastAsia="en-AU"/>
        </w:rPr>
        <w:t xml:space="preserve">growth </w:t>
      </w:r>
      <w:r w:rsidR="00294A17">
        <w:rPr>
          <w:lang w:eastAsia="en-AU"/>
        </w:rPr>
        <w:t xml:space="preserve">rate </w:t>
      </w:r>
      <w:r w:rsidR="00F00DE4">
        <w:rPr>
          <w:lang w:eastAsia="en-AU"/>
        </w:rPr>
        <w:t>near zero</w:t>
      </w:r>
      <w:r w:rsidR="00F00DE4" w:rsidRPr="007F794C">
        <w:rPr>
          <w:lang w:eastAsia="en-AU"/>
        </w:rPr>
        <w:t>.</w:t>
      </w:r>
    </w:p>
    <w:p w14:paraId="0F8416B3" w14:textId="647F7CD8" w:rsidR="00B522DE" w:rsidRDefault="00720813" w:rsidP="00B522DE">
      <w:pPr>
        <w:rPr>
          <w:color w:val="4472C4"/>
        </w:rPr>
      </w:pPr>
      <w:r>
        <w:t>T</w:t>
      </w:r>
      <w:r w:rsidR="006872D5">
        <w:t>he higher growth rates indicate that growth in occupied sites was consistently greater</w:t>
      </w:r>
      <w:r w:rsidR="003D372C">
        <w:t xml:space="preserve"> at</w:t>
      </w:r>
      <w:r w:rsidR="006872D5">
        <w:t xml:space="preserve"> locations </w:t>
      </w:r>
      <w:r w:rsidR="00902C74">
        <w:t xml:space="preserve">with fox control </w:t>
      </w:r>
      <w:r w:rsidR="00FB198D">
        <w:t>compared with</w:t>
      </w:r>
      <w:r w:rsidR="006872D5">
        <w:t xml:space="preserve"> locations</w:t>
      </w:r>
      <w:r w:rsidR="00902C74">
        <w:t xml:space="preserve"> without fox control</w:t>
      </w:r>
      <w:r w:rsidR="006872D5">
        <w:t>.</w:t>
      </w:r>
      <w:r w:rsidR="00F00DE4">
        <w:t xml:space="preserve"> </w:t>
      </w:r>
      <w:r w:rsidR="000641DF">
        <w:t xml:space="preserve">While our results indicate that </w:t>
      </w:r>
      <w:r w:rsidR="003D372C">
        <w:t>Long-nosed Potoroos and Southern Brown Bandicoots</w:t>
      </w:r>
      <w:r w:rsidR="000641DF">
        <w:t xml:space="preserve"> are doing better at locations with fox control, the magnitude of their response</w:t>
      </w:r>
      <w:r w:rsidR="003D372C">
        <w:t>s</w:t>
      </w:r>
      <w:r w:rsidR="000641DF">
        <w:t xml:space="preserve"> is </w:t>
      </w:r>
      <w:r w:rsidR="00294A17">
        <w:t>relatively small</w:t>
      </w:r>
      <w:r w:rsidR="006B3C50">
        <w:t>.</w:t>
      </w:r>
      <w:r w:rsidR="00B522DE">
        <w:t xml:space="preserve"> </w:t>
      </w:r>
      <w:r w:rsidR="00B522DE" w:rsidRPr="00846449">
        <w:t>Long-nosed Potoroo and Southern Brown Bandicoot occupancy rate</w:t>
      </w:r>
      <w:r w:rsidR="002A2CA5">
        <w:t>s</w:t>
      </w:r>
      <w:r w:rsidR="007670E1">
        <w:t xml:space="preserve"> </w:t>
      </w:r>
      <w:r w:rsidR="006B3C50">
        <w:t>are only</w:t>
      </w:r>
      <w:r w:rsidR="00B522DE" w:rsidRPr="00846449">
        <w:t xml:space="preserve"> 10% (6</w:t>
      </w:r>
      <w:r w:rsidR="003D372C">
        <w:t>–</w:t>
      </w:r>
      <w:r w:rsidR="00B522DE" w:rsidRPr="00846449">
        <w:t>14%) and 9% (6</w:t>
      </w:r>
      <w:r w:rsidR="003D372C">
        <w:t>–</w:t>
      </w:r>
      <w:r w:rsidR="00B522DE" w:rsidRPr="00846449">
        <w:t>13%)</w:t>
      </w:r>
      <w:r w:rsidR="003D372C">
        <w:t>, respectively,</w:t>
      </w:r>
      <w:r w:rsidR="00B522DE" w:rsidRPr="00846449">
        <w:t xml:space="preserve"> greater at locations with fox control </w:t>
      </w:r>
      <w:r w:rsidR="00FB198D">
        <w:t>compared with</w:t>
      </w:r>
      <w:r w:rsidR="00B522DE" w:rsidRPr="00846449">
        <w:t xml:space="preserve"> those without</w:t>
      </w:r>
      <w:r w:rsidR="00063D97">
        <w:t xml:space="preserve"> fox control</w:t>
      </w:r>
      <w:r w:rsidR="00B522DE" w:rsidRPr="00846449">
        <w:t>.</w:t>
      </w:r>
    </w:p>
    <w:p w14:paraId="709D29BA" w14:textId="2EAA131C" w:rsidR="00E12589" w:rsidRDefault="000641DF" w:rsidP="00E12589">
      <w:proofErr w:type="spellStart"/>
      <w:r>
        <w:t>FoxNet</w:t>
      </w:r>
      <w:proofErr w:type="spellEnd"/>
      <w:r>
        <w:t xml:space="preserve"> modelling </w:t>
      </w:r>
      <w:r w:rsidR="005A717B">
        <w:t xml:space="preserve">indicates </w:t>
      </w:r>
      <w:r>
        <w:t xml:space="preserve">that fox density </w:t>
      </w:r>
      <w:r w:rsidR="006B3C50">
        <w:t>is likely to have been</w:t>
      </w:r>
      <w:r>
        <w:t xml:space="preserve"> significantly </w:t>
      </w:r>
      <w:r w:rsidR="00B522DE">
        <w:t>reduced</w:t>
      </w:r>
      <w:r>
        <w:t xml:space="preserve"> after </w:t>
      </w:r>
      <w:r w:rsidR="005A717B">
        <w:t>1 </w:t>
      </w:r>
      <w:r>
        <w:t xml:space="preserve">year of baiting and held at </w:t>
      </w:r>
      <w:r w:rsidR="005A717B">
        <w:t>&lt;</w:t>
      </w:r>
      <w:r>
        <w:t>0.25 foxes/km</w:t>
      </w:r>
      <w:r w:rsidRPr="000641DF">
        <w:rPr>
          <w:vertAlign w:val="superscript"/>
        </w:rPr>
        <w:t>2</w:t>
      </w:r>
      <w:r>
        <w:t xml:space="preserve"> </w:t>
      </w:r>
      <w:r w:rsidR="00B522DE">
        <w:t xml:space="preserve">after </w:t>
      </w:r>
      <w:r w:rsidR="005A717B">
        <w:t>5 </w:t>
      </w:r>
      <w:r>
        <w:t>years</w:t>
      </w:r>
      <w:r w:rsidR="00294A17">
        <w:t xml:space="preserve"> of baiting</w:t>
      </w:r>
      <w:r w:rsidR="00B522DE">
        <w:t>.</w:t>
      </w:r>
      <w:r>
        <w:t xml:space="preserve"> Interestingly, for </w:t>
      </w:r>
      <w:r w:rsidR="00A84A1A">
        <w:t xml:space="preserve">Southern Brown Bandicoots </w:t>
      </w:r>
      <w:r>
        <w:t>at locations with</w:t>
      </w:r>
      <w:r w:rsidR="009E64B4">
        <w:t>out</w:t>
      </w:r>
      <w:r>
        <w:t xml:space="preserve"> fox control</w:t>
      </w:r>
      <w:r w:rsidR="00063D97">
        <w:t>,</w:t>
      </w:r>
      <w:r>
        <w:t xml:space="preserve"> </w:t>
      </w:r>
      <w:r w:rsidR="005A717B">
        <w:t xml:space="preserve">the </w:t>
      </w:r>
      <w:r w:rsidR="00193567">
        <w:t>topographic wetness</w:t>
      </w:r>
      <w:r>
        <w:t xml:space="preserve"> </w:t>
      </w:r>
      <w:r w:rsidR="005A717B">
        <w:t xml:space="preserve">index </w:t>
      </w:r>
      <w:r>
        <w:t>and</w:t>
      </w:r>
      <w:r w:rsidR="005371AF">
        <w:t xml:space="preserve"> </w:t>
      </w:r>
      <w:r w:rsidR="005A717B">
        <w:t xml:space="preserve">the </w:t>
      </w:r>
      <w:r w:rsidR="00193567">
        <w:t>time since fire</w:t>
      </w:r>
      <w:r w:rsidR="005371AF">
        <w:t xml:space="preserve"> were influential</w:t>
      </w:r>
      <w:r w:rsidR="007670E1">
        <w:t xml:space="preserve"> in driving </w:t>
      </w:r>
      <w:r w:rsidR="009D0E10">
        <w:t>persistence</w:t>
      </w:r>
      <w:r w:rsidR="00A84A1A">
        <w:t>;</w:t>
      </w:r>
      <w:r w:rsidR="005371AF">
        <w:t xml:space="preserve"> </w:t>
      </w:r>
      <w:r w:rsidR="005A717B">
        <w:t>this was not the case</w:t>
      </w:r>
      <w:r w:rsidR="00A84A1A">
        <w:t>, however,</w:t>
      </w:r>
      <w:r w:rsidR="009E64B4">
        <w:t xml:space="preserve"> </w:t>
      </w:r>
      <w:r w:rsidR="005371AF">
        <w:t>at locations with</w:t>
      </w:r>
      <w:r w:rsidR="009E64B4">
        <w:t xml:space="preserve"> </w:t>
      </w:r>
      <w:r w:rsidR="005A717B">
        <w:t xml:space="preserve">fox </w:t>
      </w:r>
      <w:r w:rsidR="009E64B4">
        <w:t>control</w:t>
      </w:r>
      <w:r w:rsidR="005371AF">
        <w:t xml:space="preserve">. One possible interpretation is that </w:t>
      </w:r>
      <w:r w:rsidR="00A84A1A">
        <w:t xml:space="preserve">Southern Brown Bandicoots </w:t>
      </w:r>
      <w:r w:rsidR="005371AF">
        <w:t xml:space="preserve">can occupy sites that encompass a </w:t>
      </w:r>
      <w:r w:rsidR="00063D97">
        <w:t>more comprehensive</w:t>
      </w:r>
      <w:r w:rsidR="005371AF">
        <w:t xml:space="preserve"> set of characteristics </w:t>
      </w:r>
      <w:r w:rsidR="00305E1D">
        <w:t xml:space="preserve">(i.e. broaden their realised niche) </w:t>
      </w:r>
      <w:r w:rsidR="00A84A1A">
        <w:t xml:space="preserve">at locations </w:t>
      </w:r>
      <w:r w:rsidR="005371AF">
        <w:t>w</w:t>
      </w:r>
      <w:r w:rsidR="002A2CA5">
        <w:t>h</w:t>
      </w:r>
      <w:r w:rsidR="005371AF">
        <w:t xml:space="preserve">ere </w:t>
      </w:r>
      <w:r w:rsidR="00A727BB">
        <w:t xml:space="preserve">the </w:t>
      </w:r>
      <w:r w:rsidR="005371AF">
        <w:t xml:space="preserve">predation risk </w:t>
      </w:r>
      <w:r w:rsidR="00305E1D">
        <w:t>h</w:t>
      </w:r>
      <w:r w:rsidR="005371AF">
        <w:t>as been substantially reduced. This is in</w:t>
      </w:r>
      <w:r w:rsidR="002A2CA5">
        <w:t xml:space="preserve"> </w:t>
      </w:r>
      <w:r w:rsidR="005371AF">
        <w:t xml:space="preserve">line with the predictions of the expanding niche hypothesis of Hutchinson (1978) and </w:t>
      </w:r>
      <w:r w:rsidR="006B3C50">
        <w:t>observations</w:t>
      </w:r>
      <w:r w:rsidR="005371AF">
        <w:t xml:space="preserve"> </w:t>
      </w:r>
      <w:r w:rsidR="00193567">
        <w:t>for</w:t>
      </w:r>
      <w:r w:rsidR="005371AF">
        <w:t xml:space="preserve"> Brush-tailed Rock-wallabies</w:t>
      </w:r>
      <w:r w:rsidR="00193567">
        <w:t xml:space="preserve"> </w:t>
      </w:r>
      <w:r w:rsidR="005371AF">
        <w:t>in Western Australia (Kinnear et al. 1988)</w:t>
      </w:r>
      <w:r w:rsidR="009D0E10">
        <w:t>, w</w:t>
      </w:r>
      <w:r w:rsidR="00193567">
        <w:t>h</w:t>
      </w:r>
      <w:r w:rsidR="009D0E10">
        <w:t>ere</w:t>
      </w:r>
      <w:r w:rsidR="007E0FB6">
        <w:t xml:space="preserve"> </w:t>
      </w:r>
      <w:r w:rsidR="00E12589">
        <w:t xml:space="preserve">not only </w:t>
      </w:r>
      <w:r w:rsidR="009D0E10">
        <w:t xml:space="preserve">did the </w:t>
      </w:r>
      <w:r w:rsidR="00E12589">
        <w:t xml:space="preserve">population </w:t>
      </w:r>
      <w:r w:rsidR="002A5AE5">
        <w:t xml:space="preserve">of Brush-tailed Rock-wallabies </w:t>
      </w:r>
      <w:r w:rsidR="00E12589">
        <w:t xml:space="preserve">increase, </w:t>
      </w:r>
      <w:r w:rsidR="006B3C50">
        <w:t>but they</w:t>
      </w:r>
      <w:r w:rsidR="002A5AE5">
        <w:t xml:space="preserve"> </w:t>
      </w:r>
      <w:r w:rsidR="00E12589">
        <w:t>also increas</w:t>
      </w:r>
      <w:r w:rsidR="009D0E10">
        <w:t>ed</w:t>
      </w:r>
      <w:r w:rsidR="00E12589">
        <w:t xml:space="preserve"> the</w:t>
      </w:r>
      <w:r w:rsidR="009D0E10">
        <w:t>ir</w:t>
      </w:r>
      <w:r w:rsidR="00E12589">
        <w:t xml:space="preserve"> use of the habitat.</w:t>
      </w:r>
    </w:p>
    <w:p w14:paraId="03E7FCF1" w14:textId="61D5440E" w:rsidR="00E12589" w:rsidRDefault="00063D97" w:rsidP="00E12589">
      <w:r>
        <w:t>We believe</w:t>
      </w:r>
      <w:r w:rsidR="00E12589">
        <w:t xml:space="preserve"> that the ecology of the surviving populations of small-to-medium</w:t>
      </w:r>
      <w:r w:rsidR="002A2CA5">
        <w:t>-</w:t>
      </w:r>
      <w:r w:rsidR="00E12589">
        <w:t xml:space="preserve">sized mammals </w:t>
      </w:r>
      <w:r w:rsidR="00193567">
        <w:t xml:space="preserve">at Glenelg Ark </w:t>
      </w:r>
      <w:r w:rsidR="00E12589">
        <w:t xml:space="preserve">is atypical because of fox predation. </w:t>
      </w:r>
      <w:r w:rsidR="002A2CA5">
        <w:t>Probably,</w:t>
      </w:r>
      <w:r w:rsidR="00E12589">
        <w:t xml:space="preserve"> populations can only </w:t>
      </w:r>
      <w:r w:rsidR="00956C21">
        <w:t xml:space="preserve">currently </w:t>
      </w:r>
      <w:r w:rsidR="00E12589">
        <w:t>persist in refugia</w:t>
      </w:r>
      <w:r>
        <w:t xml:space="preserve">, </w:t>
      </w:r>
      <w:r w:rsidR="006B3C50">
        <w:t>which</w:t>
      </w:r>
      <w:r w:rsidR="00956C21">
        <w:t xml:space="preserve"> </w:t>
      </w:r>
      <w:r>
        <w:t>may be quite atypical of a species'</w:t>
      </w:r>
      <w:r w:rsidR="00E12589">
        <w:t xml:space="preserve"> niche requirements</w:t>
      </w:r>
      <w:r w:rsidR="00956C21">
        <w:t xml:space="preserve"> in the absence of introduced predators</w:t>
      </w:r>
      <w:r w:rsidR="00E12589">
        <w:t xml:space="preserve">. </w:t>
      </w:r>
      <w:r w:rsidR="000C5F2D">
        <w:t>Bennet</w:t>
      </w:r>
      <w:r w:rsidR="00956C21">
        <w:t>t</w:t>
      </w:r>
      <w:r w:rsidR="000C5F2D">
        <w:t xml:space="preserve"> (1993) investigated m</w:t>
      </w:r>
      <w:r w:rsidR="000C5F2D" w:rsidRPr="000C5F2D">
        <w:t xml:space="preserve">icrohabitat use by the </w:t>
      </w:r>
      <w:r w:rsidR="000C5F2D">
        <w:t>L</w:t>
      </w:r>
      <w:r w:rsidR="000C5F2D" w:rsidRPr="000C5F2D">
        <w:t xml:space="preserve">ong-nosed </w:t>
      </w:r>
      <w:r w:rsidR="000C5F2D">
        <w:t>P</w:t>
      </w:r>
      <w:r w:rsidR="000C5F2D" w:rsidRPr="000C5F2D">
        <w:t xml:space="preserve">otoroo in remnant forest vegetation in south-western Victoria. </w:t>
      </w:r>
      <w:r w:rsidR="000C5F2D">
        <w:t>He found that t</w:t>
      </w:r>
      <w:r w:rsidR="000C5F2D" w:rsidRPr="000C5F2D">
        <w:t>h</w:t>
      </w:r>
      <w:r>
        <w:t>e Long-nosed Potoroo</w:t>
      </w:r>
      <w:r w:rsidR="00956C21">
        <w:t>, throughout its geographic range,</w:t>
      </w:r>
      <w:r>
        <w:t xml:space="preserve"> is consistently associated with dense vegetation in the ground and shrub strata</w:t>
      </w:r>
      <w:r w:rsidR="000C5F2D" w:rsidRPr="000C5F2D">
        <w:t xml:space="preserve">. </w:t>
      </w:r>
      <w:r w:rsidR="000C5F2D">
        <w:t>Bennet</w:t>
      </w:r>
      <w:r w:rsidR="00956C21">
        <w:t>t</w:t>
      </w:r>
      <w:r w:rsidR="000C5F2D">
        <w:t xml:space="preserve"> </w:t>
      </w:r>
      <w:r w:rsidR="00193567">
        <w:t xml:space="preserve">(1993) </w:t>
      </w:r>
      <w:r w:rsidR="00956C21">
        <w:t xml:space="preserve">concluded </w:t>
      </w:r>
      <w:r w:rsidR="000C5F2D">
        <w:t xml:space="preserve">that </w:t>
      </w:r>
      <w:r w:rsidR="00956C21">
        <w:t xml:space="preserve">the </w:t>
      </w:r>
      <w:r w:rsidR="000C5F2D">
        <w:t>d</w:t>
      </w:r>
      <w:r w:rsidR="000C5F2D" w:rsidRPr="000C5F2D">
        <w:t xml:space="preserve">ense </w:t>
      </w:r>
      <w:r w:rsidR="00956C21">
        <w:t xml:space="preserve">vegetation </w:t>
      </w:r>
      <w:r w:rsidR="000C5F2D" w:rsidRPr="000C5F2D">
        <w:t xml:space="preserve">cover provided diurnal shelter and protection from predators, </w:t>
      </w:r>
      <w:r w:rsidR="00956C21">
        <w:t>but that</w:t>
      </w:r>
      <w:r w:rsidR="00956C21" w:rsidRPr="000C5F2D">
        <w:t xml:space="preserve"> </w:t>
      </w:r>
      <w:r w:rsidR="000C5F2D" w:rsidRPr="000C5F2D">
        <w:t xml:space="preserve">food resources were most abundant in </w:t>
      </w:r>
      <w:r w:rsidR="00956C21">
        <w:t xml:space="preserve">the </w:t>
      </w:r>
      <w:r w:rsidR="000C5F2D" w:rsidRPr="000C5F2D">
        <w:t>adjacent</w:t>
      </w:r>
      <w:r>
        <w:t>,</w:t>
      </w:r>
      <w:r w:rsidR="000C5F2D" w:rsidRPr="000C5F2D">
        <w:t xml:space="preserve"> more open areas.</w:t>
      </w:r>
      <w:r w:rsidR="000C5F2D">
        <w:t xml:space="preserve"> </w:t>
      </w:r>
      <w:r w:rsidR="00F332D8">
        <w:t>Bennet</w:t>
      </w:r>
      <w:r w:rsidR="00956C21">
        <w:t>t</w:t>
      </w:r>
      <w:r w:rsidR="00F332D8">
        <w:t xml:space="preserve"> (1993) </w:t>
      </w:r>
      <w:r w:rsidR="00B2175C">
        <w:t xml:space="preserve">also </w:t>
      </w:r>
      <w:r w:rsidR="00F332D8">
        <w:t>suggest</w:t>
      </w:r>
      <w:r w:rsidR="00B2175C">
        <w:t>ed</w:t>
      </w:r>
      <w:r w:rsidR="00F332D8">
        <w:t xml:space="preserve"> </w:t>
      </w:r>
      <w:r w:rsidR="006B0319">
        <w:t xml:space="preserve">that </w:t>
      </w:r>
      <w:r w:rsidR="007B15EF">
        <w:t xml:space="preserve">a key characteristic of </w:t>
      </w:r>
      <w:r w:rsidR="00B2175C">
        <w:t xml:space="preserve">potoroo </w:t>
      </w:r>
      <w:r w:rsidR="007B15EF">
        <w:t xml:space="preserve">habitat selection is the presence of </w:t>
      </w:r>
      <w:r w:rsidR="00F332D8" w:rsidRPr="007B15EF">
        <w:t xml:space="preserve">vegetation mosaics </w:t>
      </w:r>
      <w:r w:rsidR="00F940C5" w:rsidRPr="007B15EF">
        <w:t xml:space="preserve">or </w:t>
      </w:r>
      <w:r w:rsidR="00F332D8" w:rsidRPr="007B15EF">
        <w:t xml:space="preserve">ecotones that </w:t>
      </w:r>
      <w:r w:rsidR="006B0319" w:rsidRPr="007B15EF">
        <w:t>contain</w:t>
      </w:r>
      <w:r w:rsidR="00F332D8" w:rsidRPr="007B15EF">
        <w:t xml:space="preserve"> </w:t>
      </w:r>
      <w:r w:rsidR="006B0319" w:rsidRPr="007B15EF">
        <w:t xml:space="preserve">different </w:t>
      </w:r>
      <w:r w:rsidR="00F332D8" w:rsidRPr="007B15EF">
        <w:t>microhabitats in temperate environments</w:t>
      </w:r>
      <w:r w:rsidR="00F332D8">
        <w:t>.</w:t>
      </w:r>
      <w:r w:rsidR="00F332D8" w:rsidRPr="00F332D8">
        <w:t xml:space="preserve"> </w:t>
      </w:r>
      <w:r w:rsidR="004B5F07">
        <w:t>Arthur</w:t>
      </w:r>
      <w:r w:rsidR="00F332D8">
        <w:t xml:space="preserve"> et al.</w:t>
      </w:r>
      <w:r w:rsidR="004B5F07">
        <w:t xml:space="preserve"> </w:t>
      </w:r>
      <w:r w:rsidR="00F332D8">
        <w:t>(</w:t>
      </w:r>
      <w:r w:rsidR="004B5F07">
        <w:t>2012</w:t>
      </w:r>
      <w:r w:rsidR="00F332D8">
        <w:t>) observed</w:t>
      </w:r>
      <w:r w:rsidR="004B5F07">
        <w:t xml:space="preserve"> </w:t>
      </w:r>
      <w:r w:rsidR="00F332D8">
        <w:t>that</w:t>
      </w:r>
      <w:r w:rsidR="007B15EF">
        <w:t xml:space="preserve"> </w:t>
      </w:r>
      <w:r w:rsidR="007B15EF" w:rsidRPr="007B15EF">
        <w:t xml:space="preserve">bandicoot populations </w:t>
      </w:r>
      <w:r w:rsidR="006B3C50">
        <w:t>(</w:t>
      </w:r>
      <w:proofErr w:type="spellStart"/>
      <w:r w:rsidR="007B15EF" w:rsidRPr="007B15EF">
        <w:rPr>
          <w:i/>
        </w:rPr>
        <w:t>Isoodon</w:t>
      </w:r>
      <w:proofErr w:type="spellEnd"/>
      <w:r w:rsidR="007B15EF" w:rsidRPr="007B15EF">
        <w:rPr>
          <w:i/>
        </w:rPr>
        <w:t xml:space="preserve"> </w:t>
      </w:r>
      <w:proofErr w:type="spellStart"/>
      <w:r w:rsidR="007B15EF" w:rsidRPr="007B15EF">
        <w:rPr>
          <w:i/>
        </w:rPr>
        <w:t>obesulus</w:t>
      </w:r>
      <w:proofErr w:type="spellEnd"/>
      <w:r w:rsidR="007B15EF" w:rsidRPr="007B15EF">
        <w:t xml:space="preserve"> and </w:t>
      </w:r>
      <w:proofErr w:type="spellStart"/>
      <w:r w:rsidR="007B15EF" w:rsidRPr="007B15EF">
        <w:rPr>
          <w:i/>
          <w:iCs/>
        </w:rPr>
        <w:t>Perameles</w:t>
      </w:r>
      <w:proofErr w:type="spellEnd"/>
      <w:r w:rsidR="007B15EF" w:rsidRPr="007B15EF">
        <w:rPr>
          <w:i/>
          <w:iCs/>
        </w:rPr>
        <w:t xml:space="preserve"> </w:t>
      </w:r>
      <w:proofErr w:type="spellStart"/>
      <w:r w:rsidR="007B15EF" w:rsidRPr="007B15EF">
        <w:rPr>
          <w:i/>
          <w:iCs/>
        </w:rPr>
        <w:t>nasuta</w:t>
      </w:r>
      <w:proofErr w:type="spellEnd"/>
      <w:r w:rsidR="007B15EF" w:rsidRPr="007B15EF">
        <w:t xml:space="preserve"> combined</w:t>
      </w:r>
      <w:r w:rsidR="006B3C50">
        <w:t>)</w:t>
      </w:r>
      <w:r w:rsidR="007B15EF" w:rsidRPr="007B15EF">
        <w:t xml:space="preserve"> declined at a rate</w:t>
      </w:r>
      <w:r w:rsidR="007B15EF">
        <w:t xml:space="preserve"> faster than the rate of </w:t>
      </w:r>
      <w:r w:rsidR="00F276C7">
        <w:t>decreasing</w:t>
      </w:r>
      <w:r w:rsidR="007B15EF">
        <w:t xml:space="preserve"> shrub cover, and that in contrast Long-nosed Potoroos increased with closing tree canopy (10 years post-fire) and had a negative association with the presence of foxes.</w:t>
      </w:r>
      <w:r w:rsidR="00E12589">
        <w:t xml:space="preserve"> </w:t>
      </w:r>
      <w:r w:rsidR="000902D6">
        <w:t>Both</w:t>
      </w:r>
      <w:r w:rsidR="00F332D8">
        <w:t xml:space="preserve"> studies were undertaken in the presence of foxes (and most likely feral cats), thus represent</w:t>
      </w:r>
      <w:r w:rsidR="002A2CA5">
        <w:t>ing</w:t>
      </w:r>
      <w:r w:rsidR="00F332D8">
        <w:t xml:space="preserve"> conditions of possible niche restriction.</w:t>
      </w:r>
    </w:p>
    <w:p w14:paraId="56261B07" w14:textId="528EF66B" w:rsidR="009D0E10" w:rsidRDefault="00F811F5" w:rsidP="00E12589">
      <w:r>
        <w:t>T</w:t>
      </w:r>
      <w:r w:rsidR="00E12589">
        <w:t>he Hutchinson (1978) concept of the niche</w:t>
      </w:r>
      <w:r>
        <w:t xml:space="preserve"> posits that</w:t>
      </w:r>
      <w:r w:rsidR="00E12589">
        <w:t xml:space="preserve"> fox predation affects the dimensions of a species' realised niche by exaggerating the requirements for protective shelter and </w:t>
      </w:r>
      <w:r w:rsidR="002A2CA5">
        <w:t xml:space="preserve">the </w:t>
      </w:r>
      <w:r w:rsidR="00E12589">
        <w:t xml:space="preserve">need for food to be nearby. Niche theory predicts that a release from predation would relax the requirements for shelter and the proximity of food and thus permit the expansion of the realised niche, which is </w:t>
      </w:r>
      <w:r w:rsidR="00193567">
        <w:t xml:space="preserve">possibly </w:t>
      </w:r>
      <w:r w:rsidR="00E12589">
        <w:t xml:space="preserve">what was observed in </w:t>
      </w:r>
      <w:r w:rsidR="00BF64EF">
        <w:t xml:space="preserve">Southern Brown Bandicoots </w:t>
      </w:r>
      <w:r w:rsidR="00F00DE4">
        <w:t>at Glenelg Ark</w:t>
      </w:r>
      <w:r w:rsidR="00E12589">
        <w:t xml:space="preserve"> (</w:t>
      </w:r>
      <w:r w:rsidR="009D0E10">
        <w:t>i.e.</w:t>
      </w:r>
      <w:r w:rsidR="00E12589">
        <w:t xml:space="preserve"> </w:t>
      </w:r>
      <w:r w:rsidR="00E6735C">
        <w:t>less stringent</w:t>
      </w:r>
      <w:r w:rsidR="00E12589">
        <w:t xml:space="preserve"> habitat requirements in areas with fox control)</w:t>
      </w:r>
      <w:r w:rsidR="009D0E10">
        <w:t xml:space="preserve">, and to a lesser degree </w:t>
      </w:r>
      <w:r w:rsidR="00E6735C">
        <w:t>in Long-nosed P</w:t>
      </w:r>
      <w:r w:rsidR="009D0E10">
        <w:t>otoroos</w:t>
      </w:r>
      <w:r w:rsidR="00E12589">
        <w:t>.</w:t>
      </w:r>
    </w:p>
    <w:p w14:paraId="27A3177B" w14:textId="66D7C1D8" w:rsidR="00C10212" w:rsidRDefault="00294A17" w:rsidP="00516DFC">
      <w:r>
        <w:t xml:space="preserve">There is uncertainty regarding niche expansion in the current study, which </w:t>
      </w:r>
      <w:r w:rsidR="00BB5A64">
        <w:t xml:space="preserve">may be related to the covariates in our models not </w:t>
      </w:r>
      <w:r w:rsidR="00C10212">
        <w:t>fully describing</w:t>
      </w:r>
      <w:r w:rsidR="00BB5A64">
        <w:t xml:space="preserve"> the finer</w:t>
      </w:r>
      <w:r w:rsidR="006D510C">
        <w:t>-</w:t>
      </w:r>
      <w:r w:rsidR="00BB5A64">
        <w:t>scale differences</w:t>
      </w:r>
      <w:r w:rsidR="006D510C">
        <w:t xml:space="preserve"> when comparing the habitat use </w:t>
      </w:r>
      <w:r w:rsidR="00231177">
        <w:t xml:space="preserve">by Southern Brown Bandicoots and Long-nosed Potoroos </w:t>
      </w:r>
      <w:r w:rsidR="006D510C">
        <w:t xml:space="preserve">at </w:t>
      </w:r>
      <w:r w:rsidR="00F00DE4">
        <w:t>locations with and without fox control</w:t>
      </w:r>
      <w:r w:rsidR="00BB5A64">
        <w:t xml:space="preserve">. </w:t>
      </w:r>
      <w:r w:rsidR="009D0E10">
        <w:t xml:space="preserve">Selecting the most </w:t>
      </w:r>
      <w:r w:rsidR="009D0E10">
        <w:lastRenderedPageBreak/>
        <w:t xml:space="preserve">informative predictors </w:t>
      </w:r>
      <w:r w:rsidR="00193567">
        <w:t xml:space="preserve">for species distribution and habitat modelling </w:t>
      </w:r>
      <w:r w:rsidR="009D0E10">
        <w:t xml:space="preserve">is </w:t>
      </w:r>
      <w:r w:rsidR="00063D97">
        <w:t>challenging</w:t>
      </w:r>
      <w:r w:rsidR="009D0E10">
        <w:t xml:space="preserve">. Ideally, </w:t>
      </w:r>
      <w:r w:rsidR="00BB5A64">
        <w:t>we would</w:t>
      </w:r>
      <w:r w:rsidR="009D0E10">
        <w:t xml:space="preserve"> </w:t>
      </w:r>
      <w:r w:rsidR="00BB5A64">
        <w:t>select</w:t>
      </w:r>
      <w:r w:rsidR="009D0E10">
        <w:t xml:space="preserve"> factors that directly influence population growth </w:t>
      </w:r>
      <w:r w:rsidR="00BB5A64">
        <w:t>(colonisation), survival (persistence)</w:t>
      </w:r>
      <w:r w:rsidR="00231177">
        <w:t>,</w:t>
      </w:r>
      <w:r w:rsidR="009D0E10">
        <w:t xml:space="preserve"> distribution</w:t>
      </w:r>
      <w:r w:rsidR="00BB5A64">
        <w:t xml:space="preserve"> (occupancy)</w:t>
      </w:r>
      <w:r w:rsidR="00231177">
        <w:t>,</w:t>
      </w:r>
      <w:r w:rsidR="009D0E10">
        <w:t xml:space="preserve"> or, if these are not identified or available, proxies that reflect biotic or abiotic processes relevant to the target species (Phillips et al. 2006). </w:t>
      </w:r>
      <w:r w:rsidR="00C10212">
        <w:t>While t</w:t>
      </w:r>
      <w:r w:rsidR="004610CF">
        <w:t>he variables in this analysis were selected with this in mind</w:t>
      </w:r>
      <w:r w:rsidR="00C10212">
        <w:t xml:space="preserve">, </w:t>
      </w:r>
      <w:r>
        <w:t xml:space="preserve">in future </w:t>
      </w:r>
      <w:r w:rsidR="00231177">
        <w:t>they will be reviewed</w:t>
      </w:r>
      <w:r w:rsidR="004610CF">
        <w:t xml:space="preserve"> and additional variables </w:t>
      </w:r>
      <w:r w:rsidR="00231177">
        <w:t xml:space="preserve">added </w:t>
      </w:r>
      <w:r w:rsidR="004610CF">
        <w:t xml:space="preserve">that may </w:t>
      </w:r>
      <w:r w:rsidR="005A0FD9">
        <w:t>clarify the differences in habitat use between locations with and without fox control</w:t>
      </w:r>
      <w:r w:rsidR="00C10212">
        <w:t xml:space="preserve">, e.g. </w:t>
      </w:r>
      <w:r w:rsidR="00516DFC">
        <w:t>a</w:t>
      </w:r>
      <w:r w:rsidR="00516DFC" w:rsidRPr="00516DFC">
        <w:t>nnual mean NDVI for the period Jan</w:t>
      </w:r>
      <w:r w:rsidR="00231177">
        <w:t>uary</w:t>
      </w:r>
      <w:r w:rsidR="00516DFC" w:rsidRPr="00516DFC">
        <w:t xml:space="preserve"> 2001 </w:t>
      </w:r>
      <w:r w:rsidR="00231177">
        <w:t>–</w:t>
      </w:r>
      <w:r w:rsidR="00231177" w:rsidRPr="00516DFC">
        <w:t xml:space="preserve"> </w:t>
      </w:r>
      <w:r w:rsidR="00516DFC" w:rsidRPr="00516DFC">
        <w:t>Dec</w:t>
      </w:r>
      <w:r w:rsidR="00231177">
        <w:t>ember</w:t>
      </w:r>
      <w:r w:rsidR="00516DFC" w:rsidRPr="00516DFC">
        <w:t xml:space="preserve"> 2020</w:t>
      </w:r>
      <w:r w:rsidR="00C10212">
        <w:t xml:space="preserve">. </w:t>
      </w:r>
      <w:r w:rsidR="00C10212" w:rsidRPr="005A0FD9">
        <w:t>NDVI is a measure of surface reflectance and gives a quantitative estimation of vegetation growth and biomass</w:t>
      </w:r>
      <w:r w:rsidR="00C10212">
        <w:t xml:space="preserve"> </w:t>
      </w:r>
      <w:r w:rsidR="006D7841">
        <w:t xml:space="preserve">change </w:t>
      </w:r>
      <w:r w:rsidR="00C10212">
        <w:t>over</w:t>
      </w:r>
      <w:r w:rsidR="002A2CA5">
        <w:t xml:space="preserve"> </w:t>
      </w:r>
      <w:r w:rsidR="00C10212">
        <w:t xml:space="preserve">time. A suitable NDVI layer for each year was not available at the time of this analysis. Other possible variables not available at the time of the </w:t>
      </w:r>
      <w:r w:rsidR="00063D97">
        <w:t>study</w:t>
      </w:r>
      <w:r w:rsidR="00C10212">
        <w:t xml:space="preserve"> that might be considered include </w:t>
      </w:r>
      <w:r w:rsidR="00516DFC">
        <w:t xml:space="preserve">annual mean temperature </w:t>
      </w:r>
      <w:r w:rsidR="0029768C">
        <w:t xml:space="preserve">for </w:t>
      </w:r>
      <w:r w:rsidR="00516DFC">
        <w:t>2005</w:t>
      </w:r>
      <w:r w:rsidR="0029768C">
        <w:t>–</w:t>
      </w:r>
      <w:r w:rsidR="00516DFC">
        <w:t xml:space="preserve">2022, mean annual precipitation </w:t>
      </w:r>
      <w:r w:rsidR="0029768C">
        <w:t xml:space="preserve">for </w:t>
      </w:r>
      <w:r w:rsidR="00516DFC">
        <w:t>2005</w:t>
      </w:r>
      <w:r w:rsidR="0029768C">
        <w:t>–</w:t>
      </w:r>
      <w:r w:rsidR="00516DFC">
        <w:t>2022, mean moisture index of highest quarter</w:t>
      </w:r>
      <w:r w:rsidR="00F00DE4">
        <w:t xml:space="preserve"> </w:t>
      </w:r>
      <w:r w:rsidR="0029768C">
        <w:t xml:space="preserve">for </w:t>
      </w:r>
      <w:r w:rsidR="00516DFC">
        <w:t>2005</w:t>
      </w:r>
      <w:r w:rsidR="0029768C">
        <w:t>–</w:t>
      </w:r>
      <w:r w:rsidR="00516DFC">
        <w:t xml:space="preserve">2022, </w:t>
      </w:r>
      <w:r w:rsidR="0029768C">
        <w:t xml:space="preserve">Distance </w:t>
      </w:r>
      <w:r w:rsidR="00C10212">
        <w:t xml:space="preserve">to </w:t>
      </w:r>
      <w:r w:rsidR="0029768C">
        <w:t>W</w:t>
      </w:r>
      <w:r w:rsidR="00C10212">
        <w:t xml:space="preserve">ater, </w:t>
      </w:r>
      <w:r w:rsidR="0029768C">
        <w:t xml:space="preserve">and </w:t>
      </w:r>
      <w:r w:rsidR="00C10212">
        <w:t>l</w:t>
      </w:r>
      <w:r w:rsidR="00C10212" w:rsidRPr="00C2776F">
        <w:t xml:space="preserve">ight </w:t>
      </w:r>
      <w:r w:rsidR="00C10212">
        <w:t>d</w:t>
      </w:r>
      <w:r w:rsidR="00C10212" w:rsidRPr="00C2776F">
        <w:t xml:space="preserve">etection and </w:t>
      </w:r>
      <w:r w:rsidR="00C10212">
        <w:t>r</w:t>
      </w:r>
      <w:r w:rsidR="00C10212" w:rsidRPr="00C2776F">
        <w:t>anging</w:t>
      </w:r>
      <w:r w:rsidR="00C10212">
        <w:t xml:space="preserve"> imagery (LiDAR) to assess vegetation structure at multiple levels (a commonly used metric in animal distribution studies, Simonson et al. 2014).</w:t>
      </w:r>
    </w:p>
    <w:p w14:paraId="5323F4F9" w14:textId="390AF049" w:rsidR="009D0E10" w:rsidRDefault="00B0228E" w:rsidP="009D0E10">
      <w:r>
        <w:t>T</w:t>
      </w:r>
      <w:r w:rsidR="005A0FD9">
        <w:t xml:space="preserve">he model predictions </w:t>
      </w:r>
      <w:r>
        <w:t xml:space="preserve">for </w:t>
      </w:r>
      <w:r w:rsidR="005A0FD9">
        <w:t xml:space="preserve">occupancy </w:t>
      </w:r>
      <w:r>
        <w:t xml:space="preserve">were used </w:t>
      </w:r>
      <w:r w:rsidR="005A0FD9">
        <w:t>to map the likely occurrence of Long-</w:t>
      </w:r>
      <w:r w:rsidR="00C2776F">
        <w:t>n</w:t>
      </w:r>
      <w:r w:rsidR="005A0FD9">
        <w:t>osed Potoroos and Southern Brown Bandicoots</w:t>
      </w:r>
      <w:r>
        <w:t>, so that</w:t>
      </w:r>
      <w:r w:rsidR="005A0FD9">
        <w:t xml:space="preserve"> land </w:t>
      </w:r>
      <w:r w:rsidR="00C2776F">
        <w:t>managers</w:t>
      </w:r>
      <w:r w:rsidR="005A0FD9">
        <w:t xml:space="preserve"> </w:t>
      </w:r>
      <w:r>
        <w:t xml:space="preserve">can </w:t>
      </w:r>
      <w:r w:rsidR="005A0FD9">
        <w:t xml:space="preserve">use these outputs in planning future monitoring activities, adding to the current monitoring </w:t>
      </w:r>
      <w:proofErr w:type="gramStart"/>
      <w:r w:rsidR="005A0FD9">
        <w:t>sites</w:t>
      </w:r>
      <w:proofErr w:type="gramEnd"/>
      <w:r w:rsidR="005A0FD9">
        <w:t xml:space="preserve"> </w:t>
      </w:r>
      <w:r>
        <w:t xml:space="preserve">and </w:t>
      </w:r>
      <w:r w:rsidR="005A0FD9">
        <w:t xml:space="preserve">relocating </w:t>
      </w:r>
      <w:r>
        <w:t xml:space="preserve">current sites </w:t>
      </w:r>
      <w:r w:rsidR="006D7841">
        <w:t>if</w:t>
      </w:r>
      <w:r>
        <w:t xml:space="preserve"> necessary</w:t>
      </w:r>
      <w:r w:rsidR="005A0FD9">
        <w:t>, depending on available capacity and resources. We recommend adding to the current monitoring locations</w:t>
      </w:r>
      <w:r>
        <w:t>,</w:t>
      </w:r>
      <w:r w:rsidR="005A0FD9">
        <w:t xml:space="preserve"> us</w:t>
      </w:r>
      <w:r w:rsidR="00C2776F">
        <w:t>ing</w:t>
      </w:r>
      <w:r w:rsidR="005A0FD9">
        <w:t xml:space="preserve"> the predicted surfaces to identify areas </w:t>
      </w:r>
      <w:r>
        <w:t xml:space="preserve">in which </w:t>
      </w:r>
      <w:r w:rsidR="005A0FD9">
        <w:t xml:space="preserve">the </w:t>
      </w:r>
      <w:r w:rsidR="00063D97">
        <w:t>pres</w:t>
      </w:r>
      <w:r w:rsidR="005A0FD9">
        <w:t>ent covariates are under</w:t>
      </w:r>
      <w:r w:rsidR="00091D5C">
        <w:t xml:space="preserve"> </w:t>
      </w:r>
      <w:r w:rsidR="005A0FD9">
        <w:t>sampl</w:t>
      </w:r>
      <w:r w:rsidR="00C2776F">
        <w:t>ed</w:t>
      </w:r>
      <w:r w:rsidR="005A0FD9">
        <w:t xml:space="preserve"> and w</w:t>
      </w:r>
      <w:r w:rsidR="002A2CA5">
        <w:t>h</w:t>
      </w:r>
      <w:r w:rsidR="005A0FD9">
        <w:t>ere new sites</w:t>
      </w:r>
      <w:r w:rsidR="00DD1C30">
        <w:t xml:space="preserve"> are needed</w:t>
      </w:r>
      <w:r w:rsidR="002A2CA5">
        <w:t>.</w:t>
      </w:r>
    </w:p>
    <w:p w14:paraId="45165DC0" w14:textId="4275B804" w:rsidR="00917C83" w:rsidRDefault="00C10212" w:rsidP="00060284">
      <w:pPr>
        <w:rPr>
          <w:lang w:val="en-US" w:eastAsia="en-AU"/>
        </w:rPr>
      </w:pPr>
      <w:proofErr w:type="spellStart"/>
      <w:r w:rsidRPr="00D92343">
        <w:rPr>
          <w:lang w:val="en-US" w:eastAsia="en-AU"/>
        </w:rPr>
        <w:t>FoxNet</w:t>
      </w:r>
      <w:proofErr w:type="spellEnd"/>
      <w:r w:rsidRPr="00D92343">
        <w:rPr>
          <w:lang w:val="en-US" w:eastAsia="en-AU"/>
        </w:rPr>
        <w:t xml:space="preserve"> has been run on fox projects with known outcomes (changes in density) </w:t>
      </w:r>
      <w:r w:rsidR="00063D97">
        <w:rPr>
          <w:lang w:val="en-US" w:eastAsia="en-AU"/>
        </w:rPr>
        <w:t>to validate</w:t>
      </w:r>
      <w:r w:rsidRPr="00D92343">
        <w:rPr>
          <w:lang w:val="en-US" w:eastAsia="en-AU"/>
        </w:rPr>
        <w:t xml:space="preserve"> the modelling (</w:t>
      </w:r>
      <w:proofErr w:type="spellStart"/>
      <w:r w:rsidRPr="00D92343">
        <w:rPr>
          <w:lang w:val="en-US" w:eastAsia="en-AU"/>
        </w:rPr>
        <w:t>Hradsky</w:t>
      </w:r>
      <w:proofErr w:type="spellEnd"/>
      <w:r w:rsidRPr="00D92343">
        <w:rPr>
          <w:lang w:val="en-US" w:eastAsia="en-AU"/>
        </w:rPr>
        <w:t xml:space="preserve"> et al</w:t>
      </w:r>
      <w:r w:rsidR="00D92343">
        <w:rPr>
          <w:lang w:val="en-US" w:eastAsia="en-AU"/>
        </w:rPr>
        <w:t>. 2019)</w:t>
      </w:r>
      <w:r w:rsidR="00106DA7">
        <w:rPr>
          <w:lang w:val="en-US" w:eastAsia="en-AU"/>
        </w:rPr>
        <w:t>,</w:t>
      </w:r>
      <w:r w:rsidRPr="00D92343">
        <w:rPr>
          <w:lang w:val="en-US" w:eastAsia="en-AU"/>
        </w:rPr>
        <w:t xml:space="preserve"> and </w:t>
      </w:r>
      <w:r w:rsidR="00106DA7">
        <w:rPr>
          <w:lang w:val="en-US" w:eastAsia="en-AU"/>
        </w:rPr>
        <w:t xml:space="preserve">it </w:t>
      </w:r>
      <w:r w:rsidR="002A2CA5" w:rsidRPr="00D92343">
        <w:rPr>
          <w:lang w:val="en-US" w:eastAsia="en-AU"/>
        </w:rPr>
        <w:t xml:space="preserve">has </w:t>
      </w:r>
      <w:r w:rsidRPr="00D92343">
        <w:rPr>
          <w:lang w:val="en-US" w:eastAsia="en-AU"/>
        </w:rPr>
        <w:t xml:space="preserve">proven to be a reliable representation of changes in fox populations following control actions. </w:t>
      </w:r>
      <w:proofErr w:type="spellStart"/>
      <w:r w:rsidR="00917C83">
        <w:rPr>
          <w:lang w:val="en-US" w:eastAsia="en-AU"/>
        </w:rPr>
        <w:t>FoxNet</w:t>
      </w:r>
      <w:proofErr w:type="spellEnd"/>
      <w:r w:rsidR="00917C83">
        <w:rPr>
          <w:lang w:val="en-US" w:eastAsia="en-AU"/>
        </w:rPr>
        <w:t xml:space="preserve"> model predictions</w:t>
      </w:r>
      <w:r>
        <w:rPr>
          <w:lang w:val="en-US" w:eastAsia="en-AU"/>
        </w:rPr>
        <w:t xml:space="preserve"> for Glenelg Ark</w:t>
      </w:r>
      <w:r w:rsidR="00917C83">
        <w:rPr>
          <w:lang w:val="en-US" w:eastAsia="en-AU"/>
        </w:rPr>
        <w:t xml:space="preserve"> indicate that fox densit</w:t>
      </w:r>
      <w:r w:rsidR="0097485E">
        <w:rPr>
          <w:lang w:val="en-US" w:eastAsia="en-AU"/>
        </w:rPr>
        <w:t>ies</w:t>
      </w:r>
      <w:r w:rsidR="00917C83">
        <w:rPr>
          <w:lang w:val="en-US" w:eastAsia="en-AU"/>
        </w:rPr>
        <w:t xml:space="preserve"> at locations with fox control are significantly lower </w:t>
      </w:r>
      <w:r w:rsidR="00063D97">
        <w:rPr>
          <w:lang w:val="en-US" w:eastAsia="en-AU"/>
        </w:rPr>
        <w:t xml:space="preserve">than </w:t>
      </w:r>
      <w:r w:rsidR="00AF7BB0">
        <w:rPr>
          <w:lang w:val="en-US" w:eastAsia="en-AU"/>
        </w:rPr>
        <w:t xml:space="preserve">at locations </w:t>
      </w:r>
      <w:r w:rsidR="00917C83">
        <w:rPr>
          <w:lang w:val="en-US" w:eastAsia="en-AU"/>
        </w:rPr>
        <w:t xml:space="preserve">without fox control. </w:t>
      </w:r>
      <w:r w:rsidR="00063D97">
        <w:rPr>
          <w:lang w:val="en-US" w:eastAsia="en-AU"/>
        </w:rPr>
        <w:t xml:space="preserve">Data on the actual density of foxes </w:t>
      </w:r>
      <w:r w:rsidR="00AF7BB0">
        <w:rPr>
          <w:lang w:val="en-US" w:eastAsia="en-AU"/>
        </w:rPr>
        <w:t xml:space="preserve">are </w:t>
      </w:r>
      <w:r w:rsidR="00063D97">
        <w:rPr>
          <w:lang w:val="en-US" w:eastAsia="en-AU"/>
        </w:rPr>
        <w:t xml:space="preserve">required </w:t>
      </w:r>
      <w:r w:rsidR="000902D6">
        <w:rPr>
          <w:lang w:val="en-US" w:eastAsia="en-AU"/>
        </w:rPr>
        <w:t>to</w:t>
      </w:r>
      <w:r w:rsidR="00917C83">
        <w:rPr>
          <w:lang w:val="en-US" w:eastAsia="en-AU"/>
        </w:rPr>
        <w:t xml:space="preserve"> validate th</w:t>
      </w:r>
      <w:r w:rsidR="002B647F">
        <w:rPr>
          <w:lang w:val="en-US" w:eastAsia="en-AU"/>
        </w:rPr>
        <w:t>e</w:t>
      </w:r>
      <w:r w:rsidR="00917C83">
        <w:rPr>
          <w:lang w:val="en-US" w:eastAsia="en-AU"/>
        </w:rPr>
        <w:t xml:space="preserve"> </w:t>
      </w:r>
      <w:r w:rsidR="002B647F">
        <w:rPr>
          <w:lang w:val="en-US" w:eastAsia="en-AU"/>
        </w:rPr>
        <w:t>predicted fox densities</w:t>
      </w:r>
      <w:r w:rsidR="00917C83">
        <w:rPr>
          <w:lang w:val="en-US" w:eastAsia="en-AU"/>
        </w:rPr>
        <w:t xml:space="preserve">. </w:t>
      </w:r>
      <w:r w:rsidR="00AF7BB0">
        <w:rPr>
          <w:lang w:val="en-US" w:eastAsia="en-AU"/>
        </w:rPr>
        <w:t>These data are already being sought</w:t>
      </w:r>
      <w:r w:rsidR="00917C83">
        <w:rPr>
          <w:lang w:val="en-US" w:eastAsia="en-AU"/>
        </w:rPr>
        <w:t xml:space="preserve"> as part of a University of Melbourne project</w:t>
      </w:r>
      <w:r w:rsidR="001D650A">
        <w:rPr>
          <w:lang w:val="en-US" w:eastAsia="en-AU"/>
        </w:rPr>
        <w:t xml:space="preserve"> </w:t>
      </w:r>
      <w:r w:rsidR="00AF7BB0">
        <w:rPr>
          <w:lang w:val="en-US" w:eastAsia="en-AU"/>
        </w:rPr>
        <w:t xml:space="preserve">at </w:t>
      </w:r>
      <w:proofErr w:type="spellStart"/>
      <w:r w:rsidR="001D650A">
        <w:rPr>
          <w:lang w:val="en-US" w:eastAsia="en-AU"/>
        </w:rPr>
        <w:t>Annya</w:t>
      </w:r>
      <w:proofErr w:type="spellEnd"/>
      <w:r w:rsidR="001D650A">
        <w:rPr>
          <w:lang w:val="en-US" w:eastAsia="en-AU"/>
        </w:rPr>
        <w:t>, Hotspur, M</w:t>
      </w:r>
      <w:r w:rsidR="00AF7BB0">
        <w:rPr>
          <w:lang w:val="en-US" w:eastAsia="en-AU"/>
        </w:rPr>
        <w:t>oun</w:t>
      </w:r>
      <w:r w:rsidR="001D650A">
        <w:rPr>
          <w:lang w:val="en-US" w:eastAsia="en-AU"/>
        </w:rPr>
        <w:t xml:space="preserve">t Clay and </w:t>
      </w:r>
      <w:proofErr w:type="spellStart"/>
      <w:r w:rsidR="001D650A">
        <w:rPr>
          <w:lang w:val="en-US" w:eastAsia="en-AU"/>
        </w:rPr>
        <w:t>Cobboboonee</w:t>
      </w:r>
      <w:proofErr w:type="spellEnd"/>
      <w:r w:rsidR="001D650A">
        <w:rPr>
          <w:lang w:val="en-US" w:eastAsia="en-AU"/>
        </w:rPr>
        <w:t xml:space="preserve"> and will soon be available</w:t>
      </w:r>
      <w:r w:rsidR="00917C83">
        <w:rPr>
          <w:lang w:val="en-US" w:eastAsia="en-AU"/>
        </w:rPr>
        <w:t>.</w:t>
      </w:r>
      <w:r w:rsidR="001D650A">
        <w:rPr>
          <w:lang w:val="en-US" w:eastAsia="en-AU"/>
        </w:rPr>
        <w:t xml:space="preserve"> It would be </w:t>
      </w:r>
      <w:r w:rsidR="00AF7BB0">
        <w:rPr>
          <w:lang w:val="en-US" w:eastAsia="en-AU"/>
        </w:rPr>
        <w:t xml:space="preserve">beneficial </w:t>
      </w:r>
      <w:r w:rsidR="002A2CA5">
        <w:rPr>
          <w:lang w:val="en-US" w:eastAsia="en-AU"/>
        </w:rPr>
        <w:t xml:space="preserve">for </w:t>
      </w:r>
      <w:r w:rsidR="001D650A">
        <w:rPr>
          <w:lang w:val="en-US" w:eastAsia="en-AU"/>
        </w:rPr>
        <w:t xml:space="preserve">Glenelg Ark </w:t>
      </w:r>
      <w:r w:rsidR="00AF7BB0">
        <w:rPr>
          <w:lang w:val="en-US" w:eastAsia="en-AU"/>
        </w:rPr>
        <w:t xml:space="preserve">monitoring </w:t>
      </w:r>
      <w:r w:rsidR="002A2CA5">
        <w:rPr>
          <w:lang w:val="en-US" w:eastAsia="en-AU"/>
        </w:rPr>
        <w:t xml:space="preserve">to </w:t>
      </w:r>
      <w:r w:rsidR="00DF1008">
        <w:rPr>
          <w:lang w:val="en-US" w:eastAsia="en-AU"/>
        </w:rPr>
        <w:t>include collection and analysis of</w:t>
      </w:r>
      <w:r w:rsidR="001D650A">
        <w:rPr>
          <w:lang w:val="en-US" w:eastAsia="en-AU"/>
        </w:rPr>
        <w:t xml:space="preserve"> density data from Lower Glenelg</w:t>
      </w:r>
      <w:r w:rsidR="00DF1008">
        <w:rPr>
          <w:lang w:val="en-US" w:eastAsia="en-AU"/>
        </w:rPr>
        <w:t xml:space="preserve"> National Park – S</w:t>
      </w:r>
      <w:r w:rsidR="001D650A">
        <w:rPr>
          <w:lang w:val="en-US" w:eastAsia="en-AU"/>
        </w:rPr>
        <w:t xml:space="preserve">outh and </w:t>
      </w:r>
      <w:r w:rsidR="00DF1008">
        <w:rPr>
          <w:lang w:val="en-US" w:eastAsia="en-AU"/>
        </w:rPr>
        <w:t xml:space="preserve">Lower Glenelg National Park – North </w:t>
      </w:r>
      <w:r w:rsidR="001D650A">
        <w:rPr>
          <w:lang w:val="en-US" w:eastAsia="en-AU"/>
        </w:rPr>
        <w:t>to complete the assessment.</w:t>
      </w:r>
    </w:p>
    <w:p w14:paraId="2C4A5E3A" w14:textId="7410BDD8" w:rsidR="00CA4255" w:rsidRDefault="001D650A" w:rsidP="00517A1E">
      <w:r w:rsidRPr="00D92343">
        <w:rPr>
          <w:lang w:val="en-US" w:eastAsia="en-AU"/>
        </w:rPr>
        <w:t xml:space="preserve">What is unclear </w:t>
      </w:r>
      <w:r w:rsidR="002A2CA5" w:rsidRPr="00D92343">
        <w:rPr>
          <w:lang w:val="en-US" w:eastAsia="en-AU"/>
        </w:rPr>
        <w:t xml:space="preserve">is </w:t>
      </w:r>
      <w:r w:rsidR="002C2124">
        <w:rPr>
          <w:lang w:val="en-US" w:eastAsia="en-AU"/>
        </w:rPr>
        <w:t>the precise</w:t>
      </w:r>
      <w:r w:rsidR="00310335" w:rsidRPr="00D92343">
        <w:rPr>
          <w:lang w:val="en-US" w:eastAsia="en-AU"/>
        </w:rPr>
        <w:t xml:space="preserve"> fox density </w:t>
      </w:r>
      <w:r w:rsidR="002C2124">
        <w:rPr>
          <w:lang w:val="en-US" w:eastAsia="en-AU"/>
        </w:rPr>
        <w:t>at which</w:t>
      </w:r>
      <w:r w:rsidR="002C2124" w:rsidRPr="00D92343">
        <w:rPr>
          <w:lang w:val="en-US" w:eastAsia="en-AU"/>
        </w:rPr>
        <w:t xml:space="preserve"> </w:t>
      </w:r>
      <w:r w:rsidR="00310335" w:rsidRPr="00D92343">
        <w:rPr>
          <w:lang w:val="en-US" w:eastAsia="en-AU"/>
        </w:rPr>
        <w:t xml:space="preserve">prey species </w:t>
      </w:r>
      <w:r w:rsidR="002C2124">
        <w:rPr>
          <w:lang w:val="en-US" w:eastAsia="en-AU"/>
        </w:rPr>
        <w:t xml:space="preserve">are </w:t>
      </w:r>
      <w:r w:rsidR="00310335" w:rsidRPr="00D92343">
        <w:rPr>
          <w:lang w:val="en-US" w:eastAsia="en-AU"/>
        </w:rPr>
        <w:t>released</w:t>
      </w:r>
      <w:r w:rsidRPr="00D92343">
        <w:rPr>
          <w:lang w:val="en-US" w:eastAsia="en-AU"/>
        </w:rPr>
        <w:t xml:space="preserve"> from limitation</w:t>
      </w:r>
      <w:r w:rsidR="006B3C50">
        <w:rPr>
          <w:lang w:val="en-US" w:eastAsia="en-AU"/>
        </w:rPr>
        <w:t xml:space="preserve"> in growth by predation</w:t>
      </w:r>
      <w:r w:rsidRPr="00D92343">
        <w:rPr>
          <w:lang w:val="en-US" w:eastAsia="en-AU"/>
        </w:rPr>
        <w:t>. This</w:t>
      </w:r>
      <w:r w:rsidR="00917C83" w:rsidRPr="00D92343">
        <w:rPr>
          <w:lang w:val="en-US" w:eastAsia="en-AU"/>
        </w:rPr>
        <w:t xml:space="preserve"> notion of a threshold density, a point at which predator density is so low that native species are no longer limited by predation, has long been </w:t>
      </w:r>
      <w:r w:rsidR="002C2124" w:rsidRPr="00D92343">
        <w:rPr>
          <w:lang w:val="en-US" w:eastAsia="en-AU"/>
        </w:rPr>
        <w:t>so</w:t>
      </w:r>
      <w:r w:rsidR="002C2124">
        <w:rPr>
          <w:lang w:val="en-US" w:eastAsia="en-AU"/>
        </w:rPr>
        <w:t>ught</w:t>
      </w:r>
      <w:r w:rsidR="002C2124" w:rsidRPr="00D92343">
        <w:rPr>
          <w:lang w:val="en-US" w:eastAsia="en-AU"/>
        </w:rPr>
        <w:t xml:space="preserve"> </w:t>
      </w:r>
      <w:r w:rsidR="00917C83" w:rsidRPr="00D92343">
        <w:rPr>
          <w:lang w:val="en-US" w:eastAsia="en-AU"/>
        </w:rPr>
        <w:t>after.</w:t>
      </w:r>
      <w:r w:rsidR="0097485E">
        <w:rPr>
          <w:lang w:val="en-US" w:eastAsia="en-AU"/>
        </w:rPr>
        <w:t xml:space="preserve"> </w:t>
      </w:r>
      <w:proofErr w:type="spellStart"/>
      <w:r w:rsidR="0097485E">
        <w:rPr>
          <w:lang w:val="en-US" w:eastAsia="en-AU"/>
        </w:rPr>
        <w:t>FoxNet</w:t>
      </w:r>
      <w:proofErr w:type="spellEnd"/>
      <w:r w:rsidR="0097485E">
        <w:rPr>
          <w:lang w:val="en-US" w:eastAsia="en-AU"/>
        </w:rPr>
        <w:t xml:space="preserve"> modelling was incorporated into occupancy models investigating the impact of the</w:t>
      </w:r>
      <w:r w:rsidR="00D938EF">
        <w:rPr>
          <w:lang w:val="en-US" w:eastAsia="en-AU"/>
        </w:rPr>
        <w:t xml:space="preserve"> </w:t>
      </w:r>
      <w:r w:rsidR="0097485E">
        <w:rPr>
          <w:lang w:val="en-US" w:eastAsia="en-AU"/>
        </w:rPr>
        <w:t>2019</w:t>
      </w:r>
      <w:r w:rsidR="002C2124">
        <w:rPr>
          <w:lang w:val="en-US" w:eastAsia="en-AU"/>
        </w:rPr>
        <w:t>–20</w:t>
      </w:r>
      <w:r w:rsidR="0097485E">
        <w:rPr>
          <w:lang w:val="en-US" w:eastAsia="en-AU"/>
        </w:rPr>
        <w:t>20 bushfires in Gippsland</w:t>
      </w:r>
      <w:r w:rsidR="00D938EF">
        <w:rPr>
          <w:lang w:val="en-US" w:eastAsia="en-AU"/>
        </w:rPr>
        <w:t xml:space="preserve"> (Robley et al</w:t>
      </w:r>
      <w:r w:rsidR="00063D97">
        <w:rPr>
          <w:lang w:val="en-US" w:eastAsia="en-AU"/>
        </w:rPr>
        <w:t>.</w:t>
      </w:r>
      <w:r w:rsidR="00D938EF">
        <w:rPr>
          <w:lang w:val="en-US" w:eastAsia="en-AU"/>
        </w:rPr>
        <w:t xml:space="preserve"> 202</w:t>
      </w:r>
      <w:r w:rsidR="00F276C7">
        <w:rPr>
          <w:lang w:val="en-US" w:eastAsia="en-AU"/>
        </w:rPr>
        <w:t>2</w:t>
      </w:r>
      <w:r w:rsidR="00D938EF">
        <w:rPr>
          <w:lang w:val="en-US" w:eastAsia="en-AU"/>
        </w:rPr>
        <w:t>)</w:t>
      </w:r>
      <w:r w:rsidR="0097485E">
        <w:rPr>
          <w:lang w:val="en-US" w:eastAsia="en-AU"/>
        </w:rPr>
        <w:t xml:space="preserve">. </w:t>
      </w:r>
      <w:r w:rsidR="00310335" w:rsidRPr="00310335">
        <w:rPr>
          <w:lang w:val="en-US" w:eastAsia="en-AU"/>
        </w:rPr>
        <w:t xml:space="preserve">Fox density was </w:t>
      </w:r>
      <w:r w:rsidR="002C2124">
        <w:rPr>
          <w:lang w:val="en-US" w:eastAsia="en-AU"/>
        </w:rPr>
        <w:t xml:space="preserve">found to be </w:t>
      </w:r>
      <w:r w:rsidR="00310335" w:rsidRPr="00310335">
        <w:rPr>
          <w:lang w:val="en-US" w:eastAsia="en-AU"/>
        </w:rPr>
        <w:t xml:space="preserve">a significant variable </w:t>
      </w:r>
      <w:r w:rsidR="002C2124">
        <w:rPr>
          <w:lang w:val="en-US" w:eastAsia="en-AU"/>
        </w:rPr>
        <w:t>affecting</w:t>
      </w:r>
      <w:r w:rsidR="00310335" w:rsidRPr="00310335">
        <w:rPr>
          <w:lang w:val="en-US" w:eastAsia="en-AU"/>
        </w:rPr>
        <w:t xml:space="preserve"> the occurrence of Long-footed Potoroo, with the probability of Long-footed Potoroos occurring at a site being zero when fox density was higher than 0.5/</w:t>
      </w:r>
      <w:r w:rsidR="00310335" w:rsidRPr="00E24DE5">
        <w:rPr>
          <w:lang w:val="en-US" w:eastAsia="en-AU"/>
        </w:rPr>
        <w:t>km</w:t>
      </w:r>
      <w:r w:rsidR="00310335" w:rsidRPr="00E24DE5">
        <w:rPr>
          <w:vertAlign w:val="superscript"/>
          <w:lang w:val="en-US" w:eastAsia="en-AU"/>
        </w:rPr>
        <w:t>2</w:t>
      </w:r>
      <w:r w:rsidR="0097485E" w:rsidRPr="00E24DE5">
        <w:t xml:space="preserve">. In a series of introduction experiments into </w:t>
      </w:r>
      <w:r w:rsidR="002C2124" w:rsidRPr="00E24DE5">
        <w:t>14</w:t>
      </w:r>
      <w:r w:rsidR="002C2124">
        <w:t>-</w:t>
      </w:r>
      <w:r w:rsidR="00E24DE5" w:rsidRPr="00E24DE5">
        <w:t>km</w:t>
      </w:r>
      <w:r w:rsidR="00E24DE5" w:rsidRPr="00E24DE5">
        <w:rPr>
          <w:vertAlign w:val="superscript"/>
        </w:rPr>
        <w:t>2</w:t>
      </w:r>
      <w:r w:rsidR="00E24DE5" w:rsidRPr="00E24DE5">
        <w:t xml:space="preserve"> </w:t>
      </w:r>
      <w:r w:rsidR="0097485E" w:rsidRPr="00E24DE5">
        <w:t>fenced areas</w:t>
      </w:r>
      <w:r w:rsidR="00063D97">
        <w:t>,</w:t>
      </w:r>
      <w:r w:rsidR="0097485E" w:rsidRPr="00E24DE5">
        <w:t xml:space="preserve"> </w:t>
      </w:r>
      <w:proofErr w:type="spellStart"/>
      <w:r w:rsidR="0097485E" w:rsidRPr="00E24DE5">
        <w:t>Moseby</w:t>
      </w:r>
      <w:proofErr w:type="spellEnd"/>
      <w:r w:rsidR="0097485E" w:rsidRPr="00E24DE5">
        <w:t xml:space="preserve"> et al. (2019) found that</w:t>
      </w:r>
      <w:r w:rsidR="00517A1E" w:rsidRPr="00E24DE5">
        <w:t xml:space="preserve"> </w:t>
      </w:r>
      <w:r w:rsidR="0097485E" w:rsidRPr="00E24DE5">
        <w:t xml:space="preserve">during a trial of 66 </w:t>
      </w:r>
      <w:r w:rsidR="006D7841">
        <w:t>Burrowing B</w:t>
      </w:r>
      <w:r w:rsidR="0097485E" w:rsidRPr="00E24DE5">
        <w:t>ettong</w:t>
      </w:r>
      <w:r w:rsidR="006D7841">
        <w:t xml:space="preserve"> (</w:t>
      </w:r>
      <w:proofErr w:type="spellStart"/>
      <w:r w:rsidR="006D7841" w:rsidRPr="006D7841">
        <w:rPr>
          <w:i/>
          <w:iCs/>
        </w:rPr>
        <w:t>Bettongia</w:t>
      </w:r>
      <w:proofErr w:type="spellEnd"/>
      <w:r w:rsidR="006D7841" w:rsidRPr="006D7841">
        <w:rPr>
          <w:i/>
          <w:iCs/>
        </w:rPr>
        <w:t xml:space="preserve"> </w:t>
      </w:r>
      <w:proofErr w:type="spellStart"/>
      <w:r w:rsidR="006D7841" w:rsidRPr="006D7841">
        <w:rPr>
          <w:i/>
          <w:iCs/>
        </w:rPr>
        <w:t>lesuerii</w:t>
      </w:r>
      <w:proofErr w:type="spellEnd"/>
      <w:r w:rsidR="006D7841">
        <w:t>)</w:t>
      </w:r>
      <w:r w:rsidR="0097485E" w:rsidRPr="00E24DE5">
        <w:t xml:space="preserve"> releases into a large, fenced paddock</w:t>
      </w:r>
      <w:r w:rsidR="00063D97">
        <w:t>,</w:t>
      </w:r>
      <w:r w:rsidR="0097485E" w:rsidRPr="00E24DE5">
        <w:t xml:space="preserve"> one fox, at a density of 0.027/km</w:t>
      </w:r>
      <w:r w:rsidR="0097485E" w:rsidRPr="00E24DE5">
        <w:rPr>
          <w:vertAlign w:val="superscript"/>
        </w:rPr>
        <w:t>2</w:t>
      </w:r>
      <w:r w:rsidR="0097485E" w:rsidRPr="00E24DE5">
        <w:t>, drove the bettong population extinct within 12</w:t>
      </w:r>
      <w:r w:rsidR="002C2124">
        <w:t> </w:t>
      </w:r>
      <w:r w:rsidR="0097485E" w:rsidRPr="00E24DE5">
        <w:t>months.</w:t>
      </w:r>
      <w:r w:rsidR="00D938EF" w:rsidRPr="00E24DE5">
        <w:t xml:space="preserve"> These</w:t>
      </w:r>
      <w:r w:rsidR="00D938EF">
        <w:t xml:space="preserve"> results indicate that fox density needs to be reduced </w:t>
      </w:r>
      <w:r w:rsidR="006B3C50">
        <w:t xml:space="preserve">and maintained at </w:t>
      </w:r>
      <w:r w:rsidR="00D938EF">
        <w:t>very low levels</w:t>
      </w:r>
      <w:r w:rsidR="006C2AA8">
        <w:t xml:space="preserve"> for Burrowing Bettongs to persist</w:t>
      </w:r>
      <w:r w:rsidR="00063D97">
        <w:t>. H</w:t>
      </w:r>
      <w:r w:rsidR="00D938EF">
        <w:t>owever, it is likely that</w:t>
      </w:r>
      <w:r w:rsidR="00DA0373">
        <w:t>,</w:t>
      </w:r>
      <w:r w:rsidR="00D938EF">
        <w:t xml:space="preserve"> even at low densities</w:t>
      </w:r>
      <w:r w:rsidR="00063D97">
        <w:t>,</w:t>
      </w:r>
      <w:r w:rsidR="00D938EF">
        <w:t xml:space="preserve"> habitat structure and diversity will remain important factors </w:t>
      </w:r>
      <w:r w:rsidR="00DA0373">
        <w:t xml:space="preserve">affecting </w:t>
      </w:r>
      <w:r w:rsidR="00D938EF">
        <w:t xml:space="preserve">the survival of </w:t>
      </w:r>
      <w:r w:rsidR="006C2AA8">
        <w:t xml:space="preserve">species such as </w:t>
      </w:r>
      <w:r w:rsidR="00D938EF">
        <w:t xml:space="preserve">bandicoots and </w:t>
      </w:r>
      <w:r w:rsidR="00D938EF" w:rsidRPr="00CA4255">
        <w:t>potoroos.</w:t>
      </w:r>
      <w:r w:rsidR="00BF3AA9" w:rsidRPr="00CA4255">
        <w:t xml:space="preserve"> </w:t>
      </w:r>
    </w:p>
    <w:p w14:paraId="063C4831" w14:textId="4416194A" w:rsidR="00517A1E" w:rsidRDefault="006B3C50" w:rsidP="00517A1E">
      <w:r w:rsidRPr="00CA4255">
        <w:t>It needs to be noted, however, that predator</w:t>
      </w:r>
      <w:r>
        <w:t>–</w:t>
      </w:r>
      <w:r w:rsidRPr="00CA4255">
        <w:t>prey dynamics are complex.</w:t>
      </w:r>
      <w:r>
        <w:t xml:space="preserve"> </w:t>
      </w:r>
      <w:r w:rsidR="00680C20" w:rsidRPr="00CA4255">
        <w:t xml:space="preserve">Predators can interact with </w:t>
      </w:r>
      <w:r w:rsidR="00DA0373">
        <w:t>one</w:t>
      </w:r>
      <w:r w:rsidR="00DA0373" w:rsidRPr="00CA4255">
        <w:t xml:space="preserve"> </w:t>
      </w:r>
      <w:r w:rsidR="00DA0373">
        <w:t>an</w:t>
      </w:r>
      <w:r w:rsidR="00680C20" w:rsidRPr="00CA4255">
        <w:t>other a</w:t>
      </w:r>
      <w:r w:rsidR="00063D97">
        <w:t xml:space="preserve">nd with prey to influence mortality among prey via interference, competition, or cooperative predation (Delong and </w:t>
      </w:r>
      <w:proofErr w:type="spellStart"/>
      <w:r w:rsidR="00063D97">
        <w:t>Vasseur</w:t>
      </w:r>
      <w:proofErr w:type="spellEnd"/>
      <w:r w:rsidR="00063D97">
        <w:t xml:space="preserve"> 2013;</w:t>
      </w:r>
      <w:r w:rsidR="00680C20" w:rsidRPr="00CA4255">
        <w:t xml:space="preserve"> </w:t>
      </w:r>
      <w:r w:rsidR="00680C20" w:rsidRPr="00243FD6">
        <w:t xml:space="preserve">Stallings </w:t>
      </w:r>
      <w:r w:rsidR="00CA4255" w:rsidRPr="00243FD6">
        <w:t>and</w:t>
      </w:r>
      <w:r w:rsidR="00680C20" w:rsidRPr="00243FD6">
        <w:t xml:space="preserve"> </w:t>
      </w:r>
      <w:proofErr w:type="spellStart"/>
      <w:r w:rsidR="00680C20" w:rsidRPr="00243FD6">
        <w:t>Dingeldein</w:t>
      </w:r>
      <w:proofErr w:type="spellEnd"/>
      <w:r w:rsidR="00680C20" w:rsidRPr="00243FD6">
        <w:t xml:space="preserve"> 2012</w:t>
      </w:r>
      <w:r w:rsidR="00680C20" w:rsidRPr="00CA4255">
        <w:t xml:space="preserve">). In addition to </w:t>
      </w:r>
      <w:r w:rsidR="002A2CA5" w:rsidRPr="00CA4255">
        <w:t xml:space="preserve">the </w:t>
      </w:r>
      <w:r w:rsidR="00680C20" w:rsidRPr="00CA4255">
        <w:t xml:space="preserve">number of predators, </w:t>
      </w:r>
      <w:r w:rsidR="002A2CA5" w:rsidRPr="00CA4255">
        <w:t xml:space="preserve">the </w:t>
      </w:r>
      <w:r w:rsidR="00680C20" w:rsidRPr="00CA4255">
        <w:t>availability of refug</w:t>
      </w:r>
      <w:r w:rsidR="006D7841">
        <w:t xml:space="preserve">ia </w:t>
      </w:r>
      <w:r w:rsidR="00680C20" w:rsidRPr="00CA4255">
        <w:t xml:space="preserve">can influence prey mortality rates. </w:t>
      </w:r>
      <w:proofErr w:type="gramStart"/>
      <w:r w:rsidR="006D7841" w:rsidRPr="00CA4255">
        <w:t>Refug</w:t>
      </w:r>
      <w:r w:rsidR="006D7841">
        <w:t>ia</w:t>
      </w:r>
      <w:r w:rsidR="006D7841" w:rsidRPr="00CA4255">
        <w:t>,</w:t>
      </w:r>
      <w:proofErr w:type="gramEnd"/>
      <w:r w:rsidR="006D7841" w:rsidRPr="00CA4255">
        <w:t xml:space="preserve"> should</w:t>
      </w:r>
      <w:r w:rsidR="00680C20" w:rsidRPr="00CA4255">
        <w:t xml:space="preserve"> lead to reduced </w:t>
      </w:r>
      <w:r w:rsidR="00DA0373">
        <w:t xml:space="preserve">predator–prey </w:t>
      </w:r>
      <w:r w:rsidR="00680C20" w:rsidRPr="00CA4255">
        <w:t>interaction rates (</w:t>
      </w:r>
      <w:proofErr w:type="spellStart"/>
      <w:r w:rsidR="00DA0373" w:rsidRPr="00243FD6">
        <w:t>Sih</w:t>
      </w:r>
      <w:proofErr w:type="spellEnd"/>
      <w:r w:rsidR="00DA0373" w:rsidRPr="00243FD6">
        <w:t xml:space="preserve"> 1987</w:t>
      </w:r>
      <w:r w:rsidR="00680C20" w:rsidRPr="00243FD6">
        <w:t>).</w:t>
      </w:r>
      <w:r w:rsidR="00680C20" w:rsidRPr="00CA4255">
        <w:t xml:space="preserve"> Prey may alter their foraging behaviour to avoid predators if </w:t>
      </w:r>
      <w:r w:rsidR="006D7841">
        <w:t>refugia are</w:t>
      </w:r>
      <w:r w:rsidR="00680C20" w:rsidRPr="00CA4255">
        <w:t xml:space="preserve"> available, leading to a lower mortality ra</w:t>
      </w:r>
      <w:r w:rsidR="00680C20" w:rsidRPr="00243FD6">
        <w:t>te (</w:t>
      </w:r>
      <w:proofErr w:type="spellStart"/>
      <w:r w:rsidR="00680C20" w:rsidRPr="00243FD6">
        <w:t>Luttbeg</w:t>
      </w:r>
      <w:proofErr w:type="spellEnd"/>
      <w:r w:rsidR="00680C20" w:rsidRPr="00243FD6">
        <w:t xml:space="preserve"> </w:t>
      </w:r>
      <w:r w:rsidR="00CA4255" w:rsidRPr="00243FD6">
        <w:t>and</w:t>
      </w:r>
      <w:r w:rsidR="00680C20" w:rsidRPr="00243FD6">
        <w:t xml:space="preserve"> Kerby 2005</w:t>
      </w:r>
      <w:r w:rsidR="00DA0373">
        <w:t>;</w:t>
      </w:r>
      <w:r w:rsidR="00DA0373" w:rsidRPr="00243FD6">
        <w:t xml:space="preserve"> </w:t>
      </w:r>
      <w:r w:rsidR="00680C20" w:rsidRPr="00243FD6">
        <w:t>Searle</w:t>
      </w:r>
      <w:r w:rsidR="00CA4255" w:rsidRPr="00243FD6">
        <w:t xml:space="preserve"> et a</w:t>
      </w:r>
      <w:r w:rsidR="00D92343" w:rsidRPr="00243FD6">
        <w:t>l</w:t>
      </w:r>
      <w:r w:rsidR="00CA4255" w:rsidRPr="00243FD6">
        <w:t>.</w:t>
      </w:r>
      <w:r w:rsidR="00680C20" w:rsidRPr="00243FD6">
        <w:t xml:space="preserve"> 2008).</w:t>
      </w:r>
      <w:r w:rsidR="00680C20" w:rsidRPr="00CA4255">
        <w:t xml:space="preserve"> The amount of habitat </w:t>
      </w:r>
      <w:r w:rsidR="006D7841">
        <w:t xml:space="preserve">refugia </w:t>
      </w:r>
      <w:r w:rsidR="00680C20" w:rsidRPr="00CA4255">
        <w:t>also shifts as land managers alter habitat through actions like planned burning. Recent studies have indicated that foxes and feral cats can increase the</w:t>
      </w:r>
      <w:r w:rsidR="002A14BE">
        <w:t>ir</w:t>
      </w:r>
      <w:r w:rsidR="00680C20" w:rsidRPr="00CA4255">
        <w:t xml:space="preserve"> activity around recently burnt landscapes (</w:t>
      </w:r>
      <w:r w:rsidR="00CA4255" w:rsidRPr="00CA4255">
        <w:t>McGregor et al. 2017</w:t>
      </w:r>
      <w:r w:rsidR="00680C20" w:rsidRPr="00CA4255">
        <w:t>).</w:t>
      </w:r>
    </w:p>
    <w:p w14:paraId="3E0E80F3" w14:textId="0238368D" w:rsidR="00E7371E" w:rsidRDefault="00657384" w:rsidP="00CA4255">
      <w:r>
        <w:t xml:space="preserve">Feral cats are </w:t>
      </w:r>
      <w:r w:rsidR="006B3C50">
        <w:t xml:space="preserve">regularly </w:t>
      </w:r>
      <w:r>
        <w:t xml:space="preserve">detected on cameras across all the Glenelg Ark monitoring areas. </w:t>
      </w:r>
      <w:r w:rsidR="00C525EA">
        <w:t>Data supplied by University of Melbourne PhD candidate Matthew Rees and the Biodiversity Response Planning project shows that, on average, feral cat density at locations with fox control was higher (0.47/km</w:t>
      </w:r>
      <w:r w:rsidR="00C525EA" w:rsidRPr="00E7371E">
        <w:rPr>
          <w:vertAlign w:val="superscript"/>
        </w:rPr>
        <w:t>2</w:t>
      </w:r>
      <w:r w:rsidR="00C525EA">
        <w:t xml:space="preserve"> 95% CI 0.31–0.70) than at locations without fox control (0.20/km</w:t>
      </w:r>
      <w:r w:rsidR="00C525EA" w:rsidRPr="00E7371E">
        <w:rPr>
          <w:vertAlign w:val="superscript"/>
        </w:rPr>
        <w:t>2</w:t>
      </w:r>
      <w:r w:rsidR="00C525EA">
        <w:t xml:space="preserve"> 95% CI 0.13–0.34). Note that these estimates are for cat </w:t>
      </w:r>
      <w:r w:rsidR="00C525EA">
        <w:lastRenderedPageBreak/>
        <w:t xml:space="preserve">density from a single year and the underlying feral cat density may higher at these locations, regardless of fox control. </w:t>
      </w:r>
      <w:r w:rsidR="00437435" w:rsidRPr="00B322BB">
        <w:t>Over the past few decades</w:t>
      </w:r>
      <w:r w:rsidR="00437435">
        <w:t>,</w:t>
      </w:r>
      <w:r w:rsidR="00437435" w:rsidRPr="00B322BB">
        <w:t xml:space="preserve"> robust evidence </w:t>
      </w:r>
      <w:r w:rsidR="00437435">
        <w:t xml:space="preserve">has emerged </w:t>
      </w:r>
      <w:r w:rsidR="00063D97">
        <w:t>demonstrating the significant impact of feral cats</w:t>
      </w:r>
      <w:r w:rsidR="00437435" w:rsidRPr="00B322BB">
        <w:t xml:space="preserve"> on native wildlife through direct predation (Nogales et al. 2004; Marlow et al. 2015; Jones et al. 2016). It has been shown that </w:t>
      </w:r>
      <w:r w:rsidR="00437435">
        <w:t>feral cat</w:t>
      </w:r>
      <w:r w:rsidR="00437435" w:rsidRPr="00B322BB">
        <w:t>s preferentially select small mammals as prey (</w:t>
      </w:r>
      <w:proofErr w:type="spellStart"/>
      <w:r w:rsidR="00437435" w:rsidRPr="00B322BB">
        <w:t>Kutt</w:t>
      </w:r>
      <w:proofErr w:type="spellEnd"/>
      <w:r w:rsidR="00437435" w:rsidRPr="00B322BB">
        <w:t xml:space="preserve"> 2012) and that some individual </w:t>
      </w:r>
      <w:r w:rsidR="00437435">
        <w:t>feral cat</w:t>
      </w:r>
      <w:r w:rsidR="00437435" w:rsidRPr="00B322BB">
        <w:t>s can be disproportionately responsible for predation on populations of native species (</w:t>
      </w:r>
      <w:proofErr w:type="spellStart"/>
      <w:r w:rsidR="00437435" w:rsidRPr="00B322BB">
        <w:t>Moseby</w:t>
      </w:r>
      <w:proofErr w:type="spellEnd"/>
      <w:r w:rsidR="00437435" w:rsidRPr="00B322BB">
        <w:t xml:space="preserve"> et al. 2015). Predation by </w:t>
      </w:r>
      <w:r w:rsidR="00437435">
        <w:t>feral cat</w:t>
      </w:r>
      <w:r w:rsidR="00437435" w:rsidRPr="00B322BB">
        <w:t xml:space="preserve">s has been identified as the main </w:t>
      </w:r>
      <w:r w:rsidR="00437435">
        <w:t>contributing factor</w:t>
      </w:r>
      <w:r w:rsidR="00437435" w:rsidRPr="00B322BB">
        <w:t xml:space="preserve"> in the failure of several reintroduction programs (</w:t>
      </w:r>
      <w:proofErr w:type="spellStart"/>
      <w:r w:rsidR="00437435" w:rsidRPr="00B322BB">
        <w:t>Moseby</w:t>
      </w:r>
      <w:proofErr w:type="spellEnd"/>
      <w:r w:rsidR="00437435" w:rsidRPr="00B322BB">
        <w:t xml:space="preserve"> et al. 2011</w:t>
      </w:r>
      <w:r w:rsidR="00C118C6">
        <w:t>,</w:t>
      </w:r>
      <w:r w:rsidR="00437435" w:rsidRPr="00B322BB">
        <w:t xml:space="preserve"> 2015</w:t>
      </w:r>
      <w:r w:rsidR="00437435">
        <w:t xml:space="preserve">; </w:t>
      </w:r>
      <w:r w:rsidR="00437435" w:rsidRPr="00B322BB">
        <w:t xml:space="preserve">Hardman et al. 2016). </w:t>
      </w:r>
      <w:r w:rsidR="00437435">
        <w:t>Feral cat</w:t>
      </w:r>
      <w:r w:rsidR="00437435" w:rsidRPr="00B322BB">
        <w:t xml:space="preserve">s have also been demonstrated to </w:t>
      </w:r>
      <w:r w:rsidR="00437435">
        <w:t xml:space="preserve">be </w:t>
      </w:r>
      <w:r w:rsidR="00437435" w:rsidRPr="00B322BB">
        <w:t xml:space="preserve">the main predator of medium-sized mammals </w:t>
      </w:r>
      <w:r w:rsidR="00437435">
        <w:t xml:space="preserve">at locations </w:t>
      </w:r>
      <w:r w:rsidR="00063D97">
        <w:t>where</w:t>
      </w:r>
      <w:r w:rsidR="00437435">
        <w:t xml:space="preserve"> there has been</w:t>
      </w:r>
      <w:r w:rsidR="00437435" w:rsidRPr="00B322BB">
        <w:t xml:space="preserve"> sustained control of foxes (Marlow et al. 2015).</w:t>
      </w:r>
      <w:r w:rsidR="00C525EA">
        <w:t xml:space="preserve"> There is little doubt that feral cats will be impacting native wildlife values in the Glenelg Ark operations area</w:t>
      </w:r>
      <w:r w:rsidR="00E7371E">
        <w:t>.</w:t>
      </w:r>
    </w:p>
    <w:p w14:paraId="78B3FACA" w14:textId="04AEE698" w:rsidR="00606ACF" w:rsidRDefault="00C525EA" w:rsidP="00C525EA">
      <w:r>
        <w:t xml:space="preserve">Until recently, the tools available to land managers for the control of feral cats have been limited to confinement traps and shooting. With the declaration of feral cats as an established pest animal on specified Crown land in Victoria under the Catchment and Land Protection Act 1994, and the </w:t>
      </w:r>
      <w:r w:rsidR="00063D97">
        <w:t>registration</w:t>
      </w:r>
      <w:r w:rsidR="00606ACF">
        <w:t xml:space="preserve"> </w:t>
      </w:r>
      <w:r>
        <w:t xml:space="preserve">of Curiosity feral cat bait </w:t>
      </w:r>
      <w:r w:rsidR="00606ACF">
        <w:t>in 2020</w:t>
      </w:r>
      <w:r>
        <w:t>, landscape scale control of feral cats is now a possibility</w:t>
      </w:r>
      <w:r w:rsidR="00606ACF">
        <w:t>. We would recommend that planning for feral cat control be undertaken</w:t>
      </w:r>
      <w:r w:rsidR="00C77A20">
        <w:t>,</w:t>
      </w:r>
      <w:r w:rsidR="00606ACF">
        <w:t xml:space="preserve"> </w:t>
      </w:r>
      <w:r w:rsidR="00C77A20">
        <w:t>commencing</w:t>
      </w:r>
      <w:r w:rsidR="00606ACF">
        <w:t xml:space="preserve"> in 2023. A possible de</w:t>
      </w:r>
      <w:r w:rsidR="002A2CA5">
        <w:t>s</w:t>
      </w:r>
      <w:r w:rsidR="00606ACF">
        <w:t xml:space="preserve">ign of the rollout for feral cat control is provided in Robley et al. (2019). This approach would </w:t>
      </w:r>
      <w:r w:rsidR="006D7841">
        <w:t>continue the current</w:t>
      </w:r>
      <w:r w:rsidR="00606ACF">
        <w:t xml:space="preserve"> long-term monitoring </w:t>
      </w:r>
      <w:r w:rsidR="006D7841">
        <w:t>dataset but</w:t>
      </w:r>
      <w:r w:rsidR="00606ACF">
        <w:t xml:space="preserve"> allow for the integration of feral cat control.</w:t>
      </w:r>
    </w:p>
    <w:p w14:paraId="79A6DD62" w14:textId="42B2D696" w:rsidR="00CA4255" w:rsidRPr="003021E2" w:rsidRDefault="00CA4255" w:rsidP="00CA4255">
      <w:r w:rsidRPr="003021E2">
        <w:t>The Glenelg Ark monitoring program has provided information to DELWP and Parks Victoria land managers and policy groups</w:t>
      </w:r>
      <w:r>
        <w:t>,</w:t>
      </w:r>
      <w:r w:rsidRPr="003021E2">
        <w:t xml:space="preserve"> highlighting the </w:t>
      </w:r>
      <w:r>
        <w:t xml:space="preserve">positive response of </w:t>
      </w:r>
      <w:r w:rsidR="00C77A20">
        <w:t xml:space="preserve">Southern Brown Bandicoots </w:t>
      </w:r>
      <w:r>
        <w:t xml:space="preserve">and </w:t>
      </w:r>
      <w:r w:rsidR="00C77A20">
        <w:t xml:space="preserve">Long-nosed Potoroos </w:t>
      </w:r>
      <w:r>
        <w:t>to the reduction in foxes</w:t>
      </w:r>
      <w:r w:rsidR="00C77A20">
        <w:t>,</w:t>
      </w:r>
      <w:r>
        <w:t xml:space="preserve"> and the </w:t>
      </w:r>
      <w:r w:rsidRPr="003021E2">
        <w:t>complexity of predator</w:t>
      </w:r>
      <w:r w:rsidR="00C77A20">
        <w:t>–</w:t>
      </w:r>
      <w:r w:rsidRPr="003021E2">
        <w:t xml:space="preserve">prey responses to fox control. It has </w:t>
      </w:r>
      <w:r w:rsidR="00C77A20">
        <w:t>involved</w:t>
      </w:r>
      <w:r w:rsidR="00C77A20" w:rsidRPr="003021E2">
        <w:t xml:space="preserve"> </w:t>
      </w:r>
      <w:r w:rsidRPr="003021E2">
        <w:t xml:space="preserve">new approaches to monitoring and is providing insights into </w:t>
      </w:r>
      <w:r w:rsidR="00C77A20">
        <w:t>additional</w:t>
      </w:r>
      <w:r w:rsidR="00C77A20" w:rsidRPr="003021E2">
        <w:t xml:space="preserve"> </w:t>
      </w:r>
      <w:r w:rsidRPr="003021E2">
        <w:t xml:space="preserve">factors that may contribute to the long-term sustainability of the target species and other </w:t>
      </w:r>
      <w:r w:rsidR="00063D97">
        <w:t>ecosystem components</w:t>
      </w:r>
      <w:r w:rsidRPr="003021E2">
        <w:t>. Glenelg Ark is in a s</w:t>
      </w:r>
      <w:r w:rsidR="00063D97">
        <w:t>olid</w:t>
      </w:r>
      <w:r w:rsidRPr="003021E2">
        <w:t xml:space="preserve"> position to adapt its focus in the light of these insights. </w:t>
      </w:r>
      <w:r>
        <w:t>In addition</w:t>
      </w:r>
      <w:r w:rsidRPr="003021E2">
        <w:t xml:space="preserve">, the project provides a framework and </w:t>
      </w:r>
      <w:r w:rsidR="00C77A20">
        <w:t xml:space="preserve">the </w:t>
      </w:r>
      <w:r w:rsidRPr="003021E2">
        <w:t>infrastructure through which other management-focused research questions c</w:t>
      </w:r>
      <w:r>
        <w:t>ould</w:t>
      </w:r>
      <w:r w:rsidRPr="003021E2">
        <w:t xml:space="preserve"> be addressed (e.g. the response of other small mammals</w:t>
      </w:r>
      <w:r w:rsidR="00C77A20">
        <w:t>,</w:t>
      </w:r>
      <w:r w:rsidRPr="003021E2">
        <w:t xml:space="preserve"> and the impact of possible unintended consequences, such as changes in the feral cat population). </w:t>
      </w:r>
      <w:r>
        <w:t>Currently</w:t>
      </w:r>
      <w:r w:rsidRPr="003021E2">
        <w:t xml:space="preserve">, </w:t>
      </w:r>
      <w:r>
        <w:t>investigations into these issues</w:t>
      </w:r>
      <w:r w:rsidRPr="003021E2">
        <w:t xml:space="preserve"> </w:t>
      </w:r>
      <w:r>
        <w:t>are</w:t>
      </w:r>
      <w:r w:rsidRPr="003021E2">
        <w:t xml:space="preserve"> happening in a largely </w:t>
      </w:r>
      <w:r w:rsidRPr="00C046FA">
        <w:rPr>
          <w:i/>
          <w:iCs/>
        </w:rPr>
        <w:t>ad hoc</w:t>
      </w:r>
      <w:r w:rsidRPr="003021E2">
        <w:t xml:space="preserve"> fashion. A refocus </w:t>
      </w:r>
      <w:r w:rsidR="0004411D" w:rsidRPr="003021E2">
        <w:t>o</w:t>
      </w:r>
      <w:r w:rsidR="0004411D">
        <w:t>f</w:t>
      </w:r>
      <w:r w:rsidR="0004411D" w:rsidRPr="003021E2">
        <w:t xml:space="preserve"> </w:t>
      </w:r>
      <w:r w:rsidRPr="003021E2">
        <w:t xml:space="preserve">the direction and purpose of the project, including </w:t>
      </w:r>
      <w:r w:rsidR="0004411D">
        <w:t>development of</w:t>
      </w:r>
      <w:r w:rsidR="0004411D" w:rsidRPr="003021E2">
        <w:t xml:space="preserve"> </w:t>
      </w:r>
      <w:r w:rsidRPr="003021E2">
        <w:t xml:space="preserve">a project-specific strategic plan, within an adaptive management framework, would provide </w:t>
      </w:r>
      <w:r w:rsidR="0004411D">
        <w:t>guidance</w:t>
      </w:r>
      <w:r w:rsidRPr="003021E2">
        <w:t xml:space="preserve"> for prioritisation and future funding.</w:t>
      </w:r>
    </w:p>
    <w:p w14:paraId="05961057" w14:textId="77777777" w:rsidR="00CA4255" w:rsidRDefault="00CA4255" w:rsidP="00060284">
      <w:pPr>
        <w:rPr>
          <w:b/>
          <w:bCs/>
          <w:i/>
          <w:iCs/>
          <w:lang w:val="en-US" w:eastAsia="en-AU"/>
        </w:rPr>
      </w:pPr>
    </w:p>
    <w:p w14:paraId="50DB403D" w14:textId="1DCABBDF" w:rsidR="00517A1E" w:rsidRPr="00B42ADE" w:rsidRDefault="00B42ADE" w:rsidP="00060284">
      <w:pPr>
        <w:rPr>
          <w:b/>
          <w:bCs/>
          <w:i/>
          <w:iCs/>
          <w:lang w:val="en-US" w:eastAsia="en-AU"/>
        </w:rPr>
      </w:pPr>
      <w:r w:rsidRPr="00B42ADE">
        <w:rPr>
          <w:b/>
          <w:bCs/>
          <w:i/>
          <w:iCs/>
          <w:lang w:val="en-US" w:eastAsia="en-AU"/>
        </w:rPr>
        <w:t>Recommendations</w:t>
      </w:r>
    </w:p>
    <w:p w14:paraId="1C6FC9DF" w14:textId="77777777" w:rsidR="00B42ADE" w:rsidRDefault="00B42ADE" w:rsidP="00CA4255">
      <w:pPr>
        <w:rPr>
          <w:lang w:val="en-US" w:eastAsia="en-AU"/>
        </w:rPr>
      </w:pPr>
      <w:r w:rsidRPr="00B42ADE">
        <w:rPr>
          <w:lang w:val="en-US" w:eastAsia="en-AU"/>
        </w:rPr>
        <w:t xml:space="preserve">Here we provide some recommendations on </w:t>
      </w:r>
      <w:r>
        <w:rPr>
          <w:lang w:val="en-US" w:eastAsia="en-AU"/>
        </w:rPr>
        <w:t>possible next steps in the monitoring program.</w:t>
      </w:r>
    </w:p>
    <w:p w14:paraId="49C04D3C" w14:textId="584BBB6B" w:rsidR="00B42ADE" w:rsidRPr="00CA4255" w:rsidRDefault="00B42ADE" w:rsidP="00231717">
      <w:pPr>
        <w:pStyle w:val="ListParagraph"/>
        <w:numPr>
          <w:ilvl w:val="0"/>
          <w:numId w:val="42"/>
        </w:numPr>
        <w:spacing w:before="120"/>
        <w:contextualSpacing w:val="0"/>
        <w:rPr>
          <w:rFonts w:ascii="Arial" w:hAnsi="Arial"/>
        </w:rPr>
      </w:pPr>
      <w:r w:rsidRPr="00CA4255">
        <w:rPr>
          <w:rFonts w:ascii="Arial" w:hAnsi="Arial"/>
        </w:rPr>
        <w:t xml:space="preserve">Add additional monitoring </w:t>
      </w:r>
      <w:r w:rsidR="002A5AE5">
        <w:rPr>
          <w:rFonts w:ascii="Arial" w:hAnsi="Arial"/>
        </w:rPr>
        <w:t>at</w:t>
      </w:r>
      <w:r w:rsidR="002A5AE5" w:rsidRPr="00CA4255">
        <w:rPr>
          <w:rFonts w:ascii="Arial" w:hAnsi="Arial"/>
        </w:rPr>
        <w:t xml:space="preserve"> </w:t>
      </w:r>
      <w:r w:rsidRPr="00CA4255">
        <w:rPr>
          <w:rFonts w:ascii="Arial" w:hAnsi="Arial"/>
        </w:rPr>
        <w:t xml:space="preserve">locations </w:t>
      </w:r>
      <w:r w:rsidR="00BC76E8">
        <w:rPr>
          <w:rFonts w:ascii="Arial" w:hAnsi="Arial"/>
        </w:rPr>
        <w:t xml:space="preserve">of high predicted occupancy and/or at locations with covariate values </w:t>
      </w:r>
      <w:r w:rsidRPr="00CA4255">
        <w:rPr>
          <w:rFonts w:ascii="Arial" w:hAnsi="Arial"/>
        </w:rPr>
        <w:t>underrepresented in the occupancy model</w:t>
      </w:r>
      <w:r w:rsidR="00133587" w:rsidRPr="00CA4255">
        <w:rPr>
          <w:rFonts w:ascii="Arial" w:hAnsi="Arial"/>
        </w:rPr>
        <w:t xml:space="preserve"> to improve model predictions and inferences </w:t>
      </w:r>
      <w:r w:rsidR="002A5AE5">
        <w:rPr>
          <w:rFonts w:ascii="Arial" w:hAnsi="Arial"/>
        </w:rPr>
        <w:t>about</w:t>
      </w:r>
      <w:r w:rsidR="002A5AE5" w:rsidRPr="00CA4255">
        <w:rPr>
          <w:rFonts w:ascii="Arial" w:hAnsi="Arial"/>
        </w:rPr>
        <w:t xml:space="preserve"> </w:t>
      </w:r>
      <w:r w:rsidR="00133587" w:rsidRPr="00CA4255">
        <w:rPr>
          <w:rFonts w:ascii="Arial" w:hAnsi="Arial"/>
        </w:rPr>
        <w:t>the role of fox control in native species occupancy</w:t>
      </w:r>
      <w:r w:rsidRPr="00CA4255">
        <w:rPr>
          <w:rFonts w:ascii="Arial" w:hAnsi="Arial"/>
        </w:rPr>
        <w:t>.</w:t>
      </w:r>
    </w:p>
    <w:p w14:paraId="159FC63E" w14:textId="056331F6" w:rsidR="00133587" w:rsidRPr="00CA4255" w:rsidRDefault="00133587" w:rsidP="00231717">
      <w:pPr>
        <w:pStyle w:val="ListParagraph"/>
        <w:numPr>
          <w:ilvl w:val="0"/>
          <w:numId w:val="42"/>
        </w:numPr>
        <w:spacing w:before="120"/>
        <w:contextualSpacing w:val="0"/>
        <w:rPr>
          <w:rFonts w:ascii="Arial" w:hAnsi="Arial"/>
        </w:rPr>
      </w:pPr>
      <w:r w:rsidRPr="00CA4255">
        <w:rPr>
          <w:rFonts w:ascii="Arial" w:hAnsi="Arial"/>
        </w:rPr>
        <w:t xml:space="preserve">Include the additional variables </w:t>
      </w:r>
      <w:r w:rsidR="00C62ACA" w:rsidRPr="00C62ACA">
        <w:rPr>
          <w:rFonts w:ascii="Arial" w:hAnsi="Arial"/>
        </w:rPr>
        <w:t>Normali</w:t>
      </w:r>
      <w:r w:rsidR="00C62ACA">
        <w:rPr>
          <w:rFonts w:ascii="Arial" w:hAnsi="Arial"/>
        </w:rPr>
        <w:t>sed Difference Vegetation Index</w:t>
      </w:r>
      <w:r w:rsidRPr="00CA4255">
        <w:rPr>
          <w:rFonts w:ascii="Arial" w:hAnsi="Arial"/>
        </w:rPr>
        <w:t xml:space="preserve">, Distance to Water, </w:t>
      </w:r>
      <w:r w:rsidR="00C62ACA">
        <w:rPr>
          <w:rFonts w:ascii="Arial" w:hAnsi="Arial"/>
        </w:rPr>
        <w:t>Ecological Vegetation Class</w:t>
      </w:r>
      <w:r w:rsidRPr="00CA4255">
        <w:rPr>
          <w:rFonts w:ascii="Arial" w:hAnsi="Arial"/>
        </w:rPr>
        <w:t>, mean annual rainfall</w:t>
      </w:r>
      <w:r w:rsidR="00C62ACA">
        <w:rPr>
          <w:rFonts w:ascii="Arial" w:hAnsi="Arial"/>
        </w:rPr>
        <w:t>,</w:t>
      </w:r>
      <w:r w:rsidRPr="00CA4255">
        <w:rPr>
          <w:rFonts w:ascii="Arial" w:hAnsi="Arial"/>
        </w:rPr>
        <w:t xml:space="preserve"> and mean annual temperature in the next round of analysis to strengthen the model predictions.</w:t>
      </w:r>
    </w:p>
    <w:p w14:paraId="7D8164E0" w14:textId="2F9B226F" w:rsidR="00B42ADE" w:rsidRPr="00CA4255" w:rsidRDefault="00B42ADE" w:rsidP="00231717">
      <w:pPr>
        <w:pStyle w:val="ListParagraph"/>
        <w:numPr>
          <w:ilvl w:val="0"/>
          <w:numId w:val="42"/>
        </w:numPr>
        <w:spacing w:before="120"/>
        <w:contextualSpacing w:val="0"/>
        <w:rPr>
          <w:rFonts w:ascii="Arial" w:hAnsi="Arial"/>
          <w:lang w:val="en-US"/>
        </w:rPr>
      </w:pPr>
      <w:r w:rsidRPr="00CA4255">
        <w:rPr>
          <w:rFonts w:ascii="Arial" w:hAnsi="Arial"/>
          <w:lang w:val="en-US"/>
        </w:rPr>
        <w:t xml:space="preserve">Consider the collection and analysis of fox </w:t>
      </w:r>
      <w:r w:rsidR="00BC76E8">
        <w:rPr>
          <w:rFonts w:ascii="Arial" w:hAnsi="Arial"/>
          <w:lang w:val="en-US"/>
        </w:rPr>
        <w:t>monitoring</w:t>
      </w:r>
      <w:r w:rsidRPr="00CA4255">
        <w:rPr>
          <w:rFonts w:ascii="Arial" w:hAnsi="Arial"/>
          <w:lang w:val="en-US"/>
        </w:rPr>
        <w:t xml:space="preserve"> data from Lower Glenelg</w:t>
      </w:r>
      <w:r w:rsidR="00C62ACA">
        <w:rPr>
          <w:rFonts w:ascii="Arial" w:hAnsi="Arial"/>
          <w:lang w:val="en-US"/>
        </w:rPr>
        <w:t xml:space="preserve"> – S</w:t>
      </w:r>
      <w:r w:rsidRPr="00CA4255">
        <w:rPr>
          <w:rFonts w:ascii="Arial" w:hAnsi="Arial"/>
          <w:lang w:val="en-US"/>
        </w:rPr>
        <w:t xml:space="preserve">outh and </w:t>
      </w:r>
      <w:r w:rsidR="00C62ACA">
        <w:rPr>
          <w:rFonts w:ascii="Arial" w:hAnsi="Arial"/>
          <w:lang w:val="en-US"/>
        </w:rPr>
        <w:t>Lower Glenelg – N</w:t>
      </w:r>
      <w:r w:rsidR="00C62ACA" w:rsidRPr="00CA4255">
        <w:rPr>
          <w:rFonts w:ascii="Arial" w:hAnsi="Arial"/>
          <w:lang w:val="en-US"/>
        </w:rPr>
        <w:t xml:space="preserve">orth </w:t>
      </w:r>
      <w:r w:rsidRPr="00CA4255">
        <w:rPr>
          <w:rFonts w:ascii="Arial" w:hAnsi="Arial"/>
          <w:lang w:val="en-US"/>
        </w:rPr>
        <w:t>to complete the assessment</w:t>
      </w:r>
      <w:r w:rsidR="00D367DA" w:rsidRPr="00CA4255">
        <w:rPr>
          <w:rFonts w:ascii="Arial" w:hAnsi="Arial"/>
          <w:lang w:val="en-US"/>
        </w:rPr>
        <w:t xml:space="preserve"> of fox density across Glenelg and confirm </w:t>
      </w:r>
      <w:proofErr w:type="spellStart"/>
      <w:r w:rsidR="00D367DA" w:rsidRPr="00CA4255">
        <w:rPr>
          <w:rFonts w:ascii="Arial" w:hAnsi="Arial"/>
          <w:lang w:val="en-US"/>
        </w:rPr>
        <w:t>FoxNet</w:t>
      </w:r>
      <w:proofErr w:type="spellEnd"/>
      <w:r w:rsidR="00D367DA" w:rsidRPr="00CA4255">
        <w:rPr>
          <w:rFonts w:ascii="Arial" w:hAnsi="Arial"/>
          <w:lang w:val="en-US"/>
        </w:rPr>
        <w:t xml:space="preserve"> model predictions</w:t>
      </w:r>
      <w:r w:rsidRPr="00CA4255">
        <w:rPr>
          <w:rFonts w:ascii="Arial" w:hAnsi="Arial"/>
          <w:lang w:val="en-US"/>
        </w:rPr>
        <w:t>.</w:t>
      </w:r>
    </w:p>
    <w:p w14:paraId="404CE058" w14:textId="31A03CA1" w:rsidR="00133587" w:rsidRPr="00CA4255" w:rsidRDefault="00133587" w:rsidP="00231717">
      <w:pPr>
        <w:pStyle w:val="ListParagraph"/>
        <w:numPr>
          <w:ilvl w:val="0"/>
          <w:numId w:val="42"/>
        </w:numPr>
        <w:spacing w:before="120"/>
        <w:contextualSpacing w:val="0"/>
        <w:rPr>
          <w:rFonts w:ascii="Arial" w:hAnsi="Arial"/>
          <w:lang w:val="en-US"/>
        </w:rPr>
      </w:pPr>
      <w:r w:rsidRPr="00CA4255">
        <w:rPr>
          <w:rFonts w:ascii="Arial" w:hAnsi="Arial"/>
          <w:lang w:val="en-US"/>
        </w:rPr>
        <w:t xml:space="preserve">If recommendation </w:t>
      </w:r>
      <w:r w:rsidR="00063D97">
        <w:rPr>
          <w:rFonts w:ascii="Arial" w:hAnsi="Arial"/>
          <w:lang w:val="en-US"/>
        </w:rPr>
        <w:t>three</w:t>
      </w:r>
      <w:r w:rsidRPr="00CA4255">
        <w:rPr>
          <w:rFonts w:ascii="Arial" w:hAnsi="Arial"/>
          <w:lang w:val="en-US"/>
        </w:rPr>
        <w:t xml:space="preserve"> is implemented and </w:t>
      </w:r>
      <w:r w:rsidR="00C52342">
        <w:rPr>
          <w:rFonts w:ascii="Arial" w:hAnsi="Arial"/>
          <w:lang w:val="en-US"/>
        </w:rPr>
        <w:t xml:space="preserve">both LiDAR and fox </w:t>
      </w:r>
      <w:r w:rsidRPr="00CA4255">
        <w:rPr>
          <w:rFonts w:ascii="Arial" w:hAnsi="Arial"/>
          <w:lang w:val="en-US"/>
        </w:rPr>
        <w:t>density data is available f</w:t>
      </w:r>
      <w:r w:rsidR="00F957CF">
        <w:rPr>
          <w:rFonts w:ascii="Arial" w:hAnsi="Arial"/>
          <w:lang w:val="en-US"/>
        </w:rPr>
        <w:t>ro</w:t>
      </w:r>
      <w:r w:rsidRPr="00CA4255">
        <w:rPr>
          <w:rFonts w:ascii="Arial" w:hAnsi="Arial"/>
          <w:lang w:val="en-US"/>
        </w:rPr>
        <w:t xml:space="preserve">m </w:t>
      </w:r>
      <w:r w:rsidR="00F957CF">
        <w:rPr>
          <w:rFonts w:ascii="Arial" w:hAnsi="Arial"/>
          <w:lang w:val="en-US"/>
        </w:rPr>
        <w:t xml:space="preserve">the </w:t>
      </w:r>
      <w:r w:rsidRPr="00CA4255">
        <w:rPr>
          <w:rFonts w:ascii="Arial" w:hAnsi="Arial"/>
          <w:lang w:val="en-US"/>
        </w:rPr>
        <w:t>University of Melbourne project, incorporate this data directly into the occupancy model.</w:t>
      </w:r>
    </w:p>
    <w:p w14:paraId="644FA707" w14:textId="7B0EFC8D" w:rsidR="00B42ADE" w:rsidRPr="00CA4255" w:rsidRDefault="00B42ADE" w:rsidP="00231717">
      <w:pPr>
        <w:pStyle w:val="ListParagraph"/>
        <w:numPr>
          <w:ilvl w:val="0"/>
          <w:numId w:val="42"/>
        </w:numPr>
        <w:spacing w:before="120"/>
        <w:contextualSpacing w:val="0"/>
      </w:pPr>
      <w:r w:rsidRPr="00CA4255">
        <w:rPr>
          <w:rFonts w:ascii="Arial" w:hAnsi="Arial"/>
        </w:rPr>
        <w:t xml:space="preserve">Commence planning for the integration of feral cat control in </w:t>
      </w:r>
      <w:r w:rsidR="006D7841">
        <w:rPr>
          <w:rFonts w:ascii="Arial" w:hAnsi="Arial"/>
        </w:rPr>
        <w:t xml:space="preserve">the financial year </w:t>
      </w:r>
      <w:r w:rsidRPr="00CA4255">
        <w:rPr>
          <w:rFonts w:ascii="Arial" w:hAnsi="Arial"/>
        </w:rPr>
        <w:t xml:space="preserve">2023/24. A possible design of the rollout for feral cat control is provided in Robley et al. (2019). This approach would </w:t>
      </w:r>
      <w:r w:rsidR="006D7841">
        <w:rPr>
          <w:rFonts w:ascii="Arial" w:hAnsi="Arial"/>
        </w:rPr>
        <w:t>continue</w:t>
      </w:r>
      <w:r w:rsidR="00F276C7">
        <w:rPr>
          <w:rFonts w:ascii="Arial" w:hAnsi="Arial"/>
        </w:rPr>
        <w:t xml:space="preserve"> to add to</w:t>
      </w:r>
      <w:r w:rsidRPr="00CA4255">
        <w:rPr>
          <w:rFonts w:ascii="Arial" w:hAnsi="Arial"/>
        </w:rPr>
        <w:t xml:space="preserve"> the</w:t>
      </w:r>
      <w:r w:rsidR="006D7841">
        <w:rPr>
          <w:rFonts w:ascii="Arial" w:hAnsi="Arial"/>
        </w:rPr>
        <w:t xml:space="preserve"> current</w:t>
      </w:r>
      <w:r w:rsidRPr="00CA4255">
        <w:rPr>
          <w:rFonts w:ascii="Arial" w:hAnsi="Arial"/>
        </w:rPr>
        <w:t xml:space="preserve"> long-term monitoring </w:t>
      </w:r>
      <w:r w:rsidR="00003A07" w:rsidRPr="00CA4255">
        <w:rPr>
          <w:rFonts w:ascii="Arial" w:hAnsi="Arial"/>
        </w:rPr>
        <w:t>dataset</w:t>
      </w:r>
      <w:r w:rsidR="00003A07">
        <w:rPr>
          <w:rFonts w:ascii="Arial" w:hAnsi="Arial"/>
        </w:rPr>
        <w:t xml:space="preserve"> but</w:t>
      </w:r>
      <w:r w:rsidRPr="00CA4255">
        <w:rPr>
          <w:rFonts w:ascii="Arial" w:hAnsi="Arial"/>
        </w:rPr>
        <w:t xml:space="preserve"> allow for the integration of feral cat control.</w:t>
      </w:r>
    </w:p>
    <w:p w14:paraId="32142062" w14:textId="06FFF07C" w:rsidR="00980E26" w:rsidRPr="00DC3852" w:rsidRDefault="00B42ADE" w:rsidP="00DC3852">
      <w:pPr>
        <w:pStyle w:val="Heading1"/>
      </w:pPr>
      <w:bookmarkStart w:id="87" w:name="_Toc409798452"/>
      <w:bookmarkStart w:id="88" w:name="_Toc286018780"/>
      <w:r>
        <w:br w:type="column"/>
      </w:r>
      <w:bookmarkStart w:id="89" w:name="_Toc110599609"/>
      <w:r w:rsidR="00F64AAB">
        <w:lastRenderedPageBreak/>
        <w:t>Ref</w:t>
      </w:r>
      <w:r w:rsidR="00980E26" w:rsidRPr="00DC3852">
        <w:t>erences</w:t>
      </w:r>
      <w:bookmarkEnd w:id="87"/>
      <w:bookmarkEnd w:id="88"/>
      <w:bookmarkEnd w:id="89"/>
    </w:p>
    <w:p w14:paraId="7ED83449" w14:textId="4CBE97BC" w:rsidR="00C922FA" w:rsidRDefault="00E84AFF" w:rsidP="00097EF8">
      <w:pPr>
        <w:pStyle w:val="ARIERRefs"/>
      </w:pPr>
      <w:r w:rsidRPr="00E84AFF">
        <w:t xml:space="preserve">Arthur, A.D., Catling, P.C. and Reid, A. (2012). Relative influence of habitat structure, species interactions and rainfall on the post-fire population dynamics of ground-dwelling vertebrates. </w:t>
      </w:r>
      <w:r w:rsidRPr="00F276C7">
        <w:rPr>
          <w:i/>
          <w:iCs/>
        </w:rPr>
        <w:t>Austral Ecology</w:t>
      </w:r>
      <w:r w:rsidRPr="00E84AFF">
        <w:t xml:space="preserve"> </w:t>
      </w:r>
      <w:r w:rsidRPr="00F276C7">
        <w:rPr>
          <w:b/>
          <w:bCs/>
        </w:rPr>
        <w:t>37</w:t>
      </w:r>
      <w:r w:rsidRPr="00E84AFF">
        <w:t>, 958–970 doi:10.1111/j.1442-9993.2011.02355.x</w:t>
      </w:r>
      <w:r>
        <w:t>.</w:t>
      </w:r>
    </w:p>
    <w:p w14:paraId="2DBB2331" w14:textId="3858AA38" w:rsidR="003314B8" w:rsidRDefault="00E84AFF" w:rsidP="00E84AFF">
      <w:pPr>
        <w:pStyle w:val="ARIERRefs"/>
      </w:pPr>
      <w:r w:rsidRPr="00E84AFF">
        <w:t>Bennett, A.F. (1987). Conservation of mammals within a fragmented forest environment: the contributions of insular biogeography and autecology. In: Saunders, D.A., Arnold, G.W., Burbidge, A.A. and Hopkins, A.J.M. (Eds). Nature Conservation: The Role of Remnants of Native Vegetation, pp. 41–52. Surrey Beatty &amp; Sons, Chipping Norton, NSW.</w:t>
      </w:r>
      <w:r w:rsidR="003314B8">
        <w:t xml:space="preserve"> </w:t>
      </w:r>
    </w:p>
    <w:p w14:paraId="27CC15BA" w14:textId="3FA02480" w:rsidR="00C525EA" w:rsidRDefault="00C525EA" w:rsidP="00C525EA">
      <w:pPr>
        <w:pStyle w:val="ARIERRefs"/>
      </w:pPr>
      <w:r>
        <w:t xml:space="preserve">Bennett, A.F., (1993). Microhabitat use by the long-nosed potoroo, Potorous tridactylus, and other small mammals in remnant forest vegetation, south-western Victoria. </w:t>
      </w:r>
      <w:r w:rsidRPr="00C525EA">
        <w:rPr>
          <w:i/>
          <w:iCs/>
        </w:rPr>
        <w:t>Wildlife Research</w:t>
      </w:r>
      <w:r>
        <w:t xml:space="preserve"> </w:t>
      </w:r>
      <w:r w:rsidRPr="00C525EA">
        <w:rPr>
          <w:b/>
          <w:bCs/>
        </w:rPr>
        <w:t>20</w:t>
      </w:r>
      <w:r>
        <w:t xml:space="preserve">, 267-285. </w:t>
      </w:r>
      <w:hyperlink r:id="rId68" w:history="1">
        <w:r w:rsidRPr="0069180A">
          <w:rPr>
            <w:rStyle w:val="Hyperlink"/>
          </w:rPr>
          <w:t>https://doi.org/10.1071/WR9930267</w:t>
        </w:r>
      </w:hyperlink>
      <w:r>
        <w:t xml:space="preserve"> (acccessed MArch 2022).</w:t>
      </w:r>
    </w:p>
    <w:p w14:paraId="20BC0CB1" w14:textId="37F0B13C" w:rsidR="00D41395" w:rsidRDefault="00D41395" w:rsidP="00C525EA">
      <w:pPr>
        <w:pStyle w:val="ARIERRefs"/>
      </w:pPr>
      <w:r w:rsidRPr="00D41395">
        <w:t xml:space="preserve">Beven, K.J. </w:t>
      </w:r>
      <w:r>
        <w:t>and</w:t>
      </w:r>
      <w:r w:rsidRPr="00D41395">
        <w:t xml:space="preserve"> Kirkby, M.J. (1979)</w:t>
      </w:r>
      <w:r w:rsidR="00F4325F">
        <w:t>.</w:t>
      </w:r>
      <w:r w:rsidRPr="00D41395">
        <w:t xml:space="preserve"> A physically based, variable contributing area model of basin hydrology. </w:t>
      </w:r>
      <w:r w:rsidRPr="00D41395">
        <w:rPr>
          <w:i/>
          <w:iCs/>
        </w:rPr>
        <w:t>Hydrological Sciences Journal</w:t>
      </w:r>
      <w:r w:rsidRPr="00D41395">
        <w:t xml:space="preserve"> </w:t>
      </w:r>
      <w:r w:rsidRPr="00D41395">
        <w:rPr>
          <w:b/>
          <w:bCs/>
        </w:rPr>
        <w:t>24</w:t>
      </w:r>
      <w:r w:rsidRPr="00D41395">
        <w:t>, 43–69.</w:t>
      </w:r>
    </w:p>
    <w:p w14:paraId="544E4768" w14:textId="293719A9" w:rsidR="00545D17" w:rsidRDefault="00545D17" w:rsidP="00AB3A2C">
      <w:pPr>
        <w:pStyle w:val="ARIERRefs"/>
      </w:pPr>
      <w:r w:rsidRPr="00545D17">
        <w:t xml:space="preserve">Department of Environment, Land, Water </w:t>
      </w:r>
      <w:r w:rsidR="00F4325F">
        <w:t>and</w:t>
      </w:r>
      <w:r w:rsidR="00F4325F" w:rsidRPr="00545D17">
        <w:t xml:space="preserve"> </w:t>
      </w:r>
      <w:r w:rsidRPr="00545D17">
        <w:t>Planning. (2019)</w:t>
      </w:r>
      <w:r>
        <w:t>.</w:t>
      </w:r>
      <w:r w:rsidRPr="00545D17">
        <w:t xml:space="preserve"> Native vegetation </w:t>
      </w:r>
      <w:r w:rsidR="00F10436">
        <w:t>–</w:t>
      </w:r>
      <w:r w:rsidR="00F10436" w:rsidRPr="00545D17">
        <w:t xml:space="preserve"> </w:t>
      </w:r>
      <w:r w:rsidRPr="00545D17">
        <w:t xml:space="preserve">modelled 2005 ecological vegetation classes (with bioregional conservation status), </w:t>
      </w:r>
      <w:hyperlink r:id="rId69" w:history="1">
        <w:r w:rsidRPr="00F10436">
          <w:rPr>
            <w:rStyle w:val="Hyperlink"/>
          </w:rPr>
          <w:t>http://services.land.vic.gov.au/catalogue/metadata?anzlicId=ANZVI0803003495&amp;publicId=guest&amp;extractionProviderId=1</w:t>
        </w:r>
      </w:hyperlink>
      <w:r w:rsidR="00F10436">
        <w:t xml:space="preserve"> (accessed June 2022)</w:t>
      </w:r>
      <w:r w:rsidR="00D41395">
        <w:t>.</w:t>
      </w:r>
    </w:p>
    <w:p w14:paraId="1BF05455" w14:textId="77A39AA7" w:rsidR="00D41395" w:rsidRDefault="00D41395" w:rsidP="00D41395">
      <w:pPr>
        <w:pStyle w:val="ARIERRefs"/>
      </w:pPr>
      <w:r>
        <w:t xml:space="preserve">Department of Environment, Land, Water </w:t>
      </w:r>
      <w:r w:rsidR="00F4325F">
        <w:t xml:space="preserve">and </w:t>
      </w:r>
      <w:r>
        <w:t>Planning. (2020)</w:t>
      </w:r>
      <w:r w:rsidR="00F4325F">
        <w:t>.</w:t>
      </w:r>
      <w:r>
        <w:t xml:space="preserve"> Vicmap elevation DEM 10m, </w:t>
      </w:r>
      <w:hyperlink r:id="rId70" w:history="1">
        <w:r w:rsidRPr="00F10436">
          <w:rPr>
            <w:rStyle w:val="Hyperlink"/>
          </w:rPr>
          <w:t>https://www.land.vic.gov.au/maps-and-spatial/spatial-data/vicmap-catalogue/vicmap-elevation</w:t>
        </w:r>
      </w:hyperlink>
      <w:r w:rsidR="00F10436">
        <w:t xml:space="preserve"> (accessed June 2022).</w:t>
      </w:r>
    </w:p>
    <w:p w14:paraId="0C94ADAB" w14:textId="1ED505E0" w:rsidR="007B15EF" w:rsidRDefault="007B15EF" w:rsidP="00F00833">
      <w:pPr>
        <w:pStyle w:val="ARIERRefs"/>
      </w:pPr>
      <w:r w:rsidRPr="007B15EF">
        <w:t xml:space="preserve">ESRI </w:t>
      </w:r>
      <w:r>
        <w:t>(</w:t>
      </w:r>
      <w:r w:rsidR="00231717" w:rsidRPr="007B15EF">
        <w:t>201</w:t>
      </w:r>
      <w:r w:rsidR="00231717">
        <w:t>5</w:t>
      </w:r>
      <w:r>
        <w:t>)</w:t>
      </w:r>
      <w:r w:rsidRPr="007B15EF">
        <w:t>. ArcGIS Desktop: Release 10. Redlands, CA: Environmental Systems Research Institute.</w:t>
      </w:r>
    </w:p>
    <w:p w14:paraId="6580CB6C" w14:textId="5982DE3D" w:rsidR="00F00833" w:rsidRDefault="00F00833" w:rsidP="00F00833">
      <w:pPr>
        <w:pStyle w:val="ARIERRefs"/>
      </w:pPr>
      <w:r>
        <w:t xml:space="preserve">Francis, L., Robley, A. and Hradsky, B. (2020). </w:t>
      </w:r>
      <w:r w:rsidRPr="00F00833">
        <w:rPr>
          <w:i/>
          <w:iCs/>
        </w:rPr>
        <w:t xml:space="preserve">Evaluating fox management strategies using a spatially explicit population model. </w:t>
      </w:r>
      <w:r>
        <w:t>Arthur Rylah Institute for Environmental Research Technical Report Series No. 304. Department of Environment, Land, Water and Planning, Heidelberg, Victoria.</w:t>
      </w:r>
    </w:p>
    <w:p w14:paraId="3FD0CFBF" w14:textId="616A9B06" w:rsidR="00D41395" w:rsidRDefault="00D41395" w:rsidP="00097EF8">
      <w:pPr>
        <w:pStyle w:val="ARIERRefs"/>
      </w:pPr>
      <w:r w:rsidRPr="00D41395">
        <w:t xml:space="preserve">Gallant, J. </w:t>
      </w:r>
      <w:r>
        <w:t>and</w:t>
      </w:r>
      <w:r w:rsidRPr="00D41395">
        <w:t xml:space="preserve"> Austin, J. (2012)</w:t>
      </w:r>
      <w:r>
        <w:t>.</w:t>
      </w:r>
      <w:r w:rsidRPr="00D41395">
        <w:t xml:space="preserve"> Topographic Wetness Index derived from 1” SRTM DEM-H. V2. 11 CSIRO. Data Collection.</w:t>
      </w:r>
    </w:p>
    <w:p w14:paraId="34898236" w14:textId="70E4C897" w:rsidR="00545D17" w:rsidRDefault="00545D17" w:rsidP="00097EF8">
      <w:pPr>
        <w:pStyle w:val="ARIERRefs"/>
      </w:pPr>
      <w:r w:rsidRPr="00545D17">
        <w:t xml:space="preserve">Geary, W.L., Hradsky, B.A., Robley, A. </w:t>
      </w:r>
      <w:r>
        <w:t>and</w:t>
      </w:r>
      <w:r w:rsidRPr="00545D17">
        <w:t xml:space="preserve"> Wintle, B.A. (2020)</w:t>
      </w:r>
      <w:r>
        <w:t>.</w:t>
      </w:r>
      <w:r w:rsidRPr="00545D17">
        <w:t xml:space="preserve"> Predators, fire or resources: </w:t>
      </w:r>
      <w:r w:rsidR="00F10436">
        <w:t>w</w:t>
      </w:r>
      <w:r w:rsidR="00F10436" w:rsidRPr="00545D17">
        <w:t xml:space="preserve">hat </w:t>
      </w:r>
      <w:r w:rsidRPr="00545D17">
        <w:t xml:space="preserve">drives the distribution of herbivores in fragmented mesic forests? </w:t>
      </w:r>
      <w:r w:rsidRPr="00545D17">
        <w:rPr>
          <w:i/>
          <w:iCs/>
        </w:rPr>
        <w:t>Austral Ecology</w:t>
      </w:r>
      <w:r w:rsidRPr="00545D17">
        <w:t xml:space="preserve"> </w:t>
      </w:r>
      <w:r w:rsidRPr="00545D17">
        <w:rPr>
          <w:b/>
          <w:bCs/>
        </w:rPr>
        <w:t>45</w:t>
      </w:r>
      <w:r w:rsidRPr="00545D17">
        <w:t>, 329–339.</w:t>
      </w:r>
    </w:p>
    <w:p w14:paraId="492B1582" w14:textId="7D56EEA3" w:rsidR="00097EF8" w:rsidRDefault="00097EF8" w:rsidP="00097EF8">
      <w:pPr>
        <w:pStyle w:val="ARIERRefs"/>
      </w:pPr>
      <w:r>
        <w:t xml:space="preserve">Gelman, A.B., Carlin, J.S., Stern, H.S. </w:t>
      </w:r>
      <w:r w:rsidR="00F4325F">
        <w:t xml:space="preserve">and </w:t>
      </w:r>
      <w:r>
        <w:t xml:space="preserve">Rubin, D.B. (2004). </w:t>
      </w:r>
      <w:r w:rsidRPr="00091D5C">
        <w:rPr>
          <w:i/>
        </w:rPr>
        <w:t xml:space="preserve">Bayesian </w:t>
      </w:r>
      <w:r w:rsidR="00F10436" w:rsidRPr="00091D5C">
        <w:rPr>
          <w:i/>
        </w:rPr>
        <w:t>Data Analysis</w:t>
      </w:r>
      <w:r w:rsidR="00F10436">
        <w:t>,</w:t>
      </w:r>
      <w:r>
        <w:t xml:space="preserve"> </w:t>
      </w:r>
      <w:r w:rsidR="00F10436">
        <w:t xml:space="preserve">2nd </w:t>
      </w:r>
      <w:r>
        <w:t>edn. Chapman and Hall/CRC</w:t>
      </w:r>
      <w:r w:rsidR="00F10436">
        <w:t>, Boca Raton, Florida, USA</w:t>
      </w:r>
      <w:r>
        <w:t>.</w:t>
      </w:r>
    </w:p>
    <w:p w14:paraId="72D09DE0" w14:textId="444F0892" w:rsidR="00437435" w:rsidRDefault="00437435" w:rsidP="00437435">
      <w:pPr>
        <w:pStyle w:val="ARIERRefs"/>
        <w:rPr>
          <w:szCs w:val="22"/>
        </w:rPr>
      </w:pPr>
      <w:r w:rsidRPr="00A57A3B">
        <w:rPr>
          <w:szCs w:val="22"/>
        </w:rPr>
        <w:t>Hardman, B., Moro, D.</w:t>
      </w:r>
      <w:r>
        <w:rPr>
          <w:szCs w:val="22"/>
        </w:rPr>
        <w:t xml:space="preserve"> and</w:t>
      </w:r>
      <w:r w:rsidRPr="00AC7694">
        <w:rPr>
          <w:szCs w:val="22"/>
        </w:rPr>
        <w:t xml:space="preserve"> Calver, M. (2016). Direct evidence indicates feral cat predation as the primary cause of failure of a mammal reintroduction programme. </w:t>
      </w:r>
      <w:r w:rsidRPr="00056D5B">
        <w:rPr>
          <w:i/>
          <w:szCs w:val="22"/>
        </w:rPr>
        <w:t xml:space="preserve">Ecological Management </w:t>
      </w:r>
      <w:r>
        <w:rPr>
          <w:i/>
          <w:szCs w:val="22"/>
        </w:rPr>
        <w:t>and</w:t>
      </w:r>
      <w:r w:rsidRPr="00056D5B">
        <w:rPr>
          <w:i/>
          <w:szCs w:val="22"/>
        </w:rPr>
        <w:t xml:space="preserve"> Restoration</w:t>
      </w:r>
      <w:r w:rsidRPr="00056D5B">
        <w:rPr>
          <w:szCs w:val="22"/>
        </w:rPr>
        <w:t xml:space="preserve"> </w:t>
      </w:r>
      <w:r w:rsidRPr="00056D5B">
        <w:rPr>
          <w:b/>
          <w:szCs w:val="22"/>
        </w:rPr>
        <w:t>17</w:t>
      </w:r>
      <w:r w:rsidRPr="00056D5B">
        <w:rPr>
          <w:szCs w:val="22"/>
        </w:rPr>
        <w:t>, 152</w:t>
      </w:r>
      <w:r>
        <w:rPr>
          <w:szCs w:val="22"/>
        </w:rPr>
        <w:t>–</w:t>
      </w:r>
      <w:r w:rsidRPr="00056D5B">
        <w:rPr>
          <w:szCs w:val="22"/>
        </w:rPr>
        <w:t>158</w:t>
      </w:r>
      <w:r>
        <w:rPr>
          <w:szCs w:val="22"/>
        </w:rPr>
        <w:t>.</w:t>
      </w:r>
    </w:p>
    <w:p w14:paraId="44492187" w14:textId="17496FEB" w:rsidR="00EF650B" w:rsidRDefault="00EF650B" w:rsidP="00EF650B">
      <w:pPr>
        <w:pStyle w:val="ARIERRefs"/>
      </w:pPr>
      <w:r>
        <w:t>Hijmans, R.J. (2015). Raster: Geographic Data Analysis and Modeling. R Package Version 2.4-15.</w:t>
      </w:r>
    </w:p>
    <w:p w14:paraId="45ED5518" w14:textId="449806CB" w:rsidR="00545D17" w:rsidRDefault="00EF650B" w:rsidP="00EF650B">
      <w:pPr>
        <w:pStyle w:val="ARIERRefs"/>
      </w:pPr>
      <w:r>
        <w:t>http://CRAN.R-project.org/package=raster</w:t>
      </w:r>
      <w:r w:rsidR="00545D17" w:rsidRPr="00545D17">
        <w:t xml:space="preserve">Hohnen, R., Tuft, K., McGregor, H.W., Legge, S., Radford, I.J. </w:t>
      </w:r>
      <w:r w:rsidR="00545D17">
        <w:t>and</w:t>
      </w:r>
      <w:r w:rsidR="00545D17" w:rsidRPr="00545D17">
        <w:t xml:space="preserve"> Johnson, C.N. (2016)</w:t>
      </w:r>
      <w:r w:rsidR="00545D17">
        <w:t>.</w:t>
      </w:r>
      <w:r w:rsidR="00545D17" w:rsidRPr="00545D17">
        <w:t xml:space="preserve"> Occupancy of the invasive feral cat varies with habitat complexity. </w:t>
      </w:r>
      <w:r w:rsidR="00545D17" w:rsidRPr="00545D17">
        <w:rPr>
          <w:i/>
          <w:iCs/>
        </w:rPr>
        <w:t>PLoS One</w:t>
      </w:r>
      <w:r w:rsidR="00545D17" w:rsidRPr="00545D17">
        <w:t xml:space="preserve"> </w:t>
      </w:r>
      <w:r w:rsidR="00545D17" w:rsidRPr="00545D17">
        <w:rPr>
          <w:b/>
          <w:bCs/>
        </w:rPr>
        <w:t>11</w:t>
      </w:r>
      <w:r w:rsidR="00545D17" w:rsidRPr="00545D17">
        <w:t>, e0152520</w:t>
      </w:r>
      <w:r w:rsidR="00F10436">
        <w:t>.</w:t>
      </w:r>
    </w:p>
    <w:p w14:paraId="6D4A4EE3" w14:textId="725B4960" w:rsidR="00AB3A2C" w:rsidRDefault="00AB3A2C" w:rsidP="00F4325F">
      <w:pPr>
        <w:pStyle w:val="ARIERRefs"/>
      </w:pPr>
      <w:r>
        <w:t xml:space="preserve">Hradsky, B.A. (2022). </w:t>
      </w:r>
      <w:r w:rsidRPr="00AB3A2C">
        <w:rPr>
          <w:i/>
          <w:iCs/>
        </w:rPr>
        <w:t>FoxNet User Guide V2.020</w:t>
      </w:r>
      <w:r>
        <w:t>. Uantitative and Applied ecology, University of Melbourne, Melbourne.</w:t>
      </w:r>
    </w:p>
    <w:p w14:paraId="3D0F78A3" w14:textId="374F039C" w:rsidR="00F4325F" w:rsidRDefault="00F4325F" w:rsidP="00F4325F">
      <w:pPr>
        <w:pStyle w:val="ARIERRefs"/>
      </w:pPr>
      <w:r>
        <w:t xml:space="preserve">Hradsky, B.A., Kelly, L.T., Robley, A. and Wintle, B.A. (2019). FoxNet: </w:t>
      </w:r>
      <w:r w:rsidR="00F10436">
        <w:t>a</w:t>
      </w:r>
      <w:r>
        <w:t xml:space="preserve">n individual-based model framework to support the management of an invasive predator, the red fox. </w:t>
      </w:r>
      <w:r w:rsidRPr="00F00833">
        <w:rPr>
          <w:i/>
          <w:iCs/>
        </w:rPr>
        <w:t>Journal of Applied Ecology</w:t>
      </w:r>
      <w:r w:rsidR="00F10436">
        <w:rPr>
          <w:iCs/>
        </w:rPr>
        <w:t xml:space="preserve"> </w:t>
      </w:r>
      <w:r w:rsidR="00F10436">
        <w:rPr>
          <w:b/>
          <w:iCs/>
        </w:rPr>
        <w:t>56</w:t>
      </w:r>
      <w:r w:rsidR="00F10436">
        <w:rPr>
          <w:iCs/>
        </w:rPr>
        <w:t>, 1460–1470</w:t>
      </w:r>
      <w:r>
        <w:t xml:space="preserve">. </w:t>
      </w:r>
      <w:r w:rsidR="00F10436">
        <w:t>doi</w:t>
      </w:r>
      <w:r>
        <w:t>: 10.1111/1365-2664.13374.</w:t>
      </w:r>
    </w:p>
    <w:p w14:paraId="72F7A0CA" w14:textId="3F7B3D68" w:rsidR="003C50F1" w:rsidRDefault="003C50F1" w:rsidP="00097EF8">
      <w:pPr>
        <w:pStyle w:val="ARIERRefs"/>
      </w:pPr>
      <w:r w:rsidRPr="003C50F1">
        <w:lastRenderedPageBreak/>
        <w:t xml:space="preserve">Hradsky, B.A., Robley, A., Alexander, R., Ritchie, E.G., York, A. </w:t>
      </w:r>
      <w:r w:rsidR="00545D17">
        <w:t>and</w:t>
      </w:r>
      <w:r w:rsidRPr="003C50F1">
        <w:t xml:space="preserve"> Di Stefano, J. (2017)</w:t>
      </w:r>
      <w:r w:rsidR="002A2CA5">
        <w:t>.</w:t>
      </w:r>
      <w:r w:rsidRPr="003C50F1">
        <w:t xml:space="preserve"> </w:t>
      </w:r>
      <w:r w:rsidR="002A2CA5">
        <w:t>H</w:t>
      </w:r>
      <w:r w:rsidRPr="003C50F1">
        <w:t>uman-modified habitats facilitate forest-dwelling populations of an invasive predator (</w:t>
      </w:r>
      <w:r w:rsidRPr="00545D17">
        <w:rPr>
          <w:i/>
          <w:iCs/>
        </w:rPr>
        <w:t>Vulpes vulpes</w:t>
      </w:r>
      <w:r w:rsidRPr="003C50F1">
        <w:t xml:space="preserve">). </w:t>
      </w:r>
      <w:r w:rsidRPr="00545D17">
        <w:rPr>
          <w:i/>
          <w:iCs/>
        </w:rPr>
        <w:t>Scientific Reports</w:t>
      </w:r>
      <w:r w:rsidRPr="003C50F1">
        <w:t xml:space="preserve"> </w:t>
      </w:r>
      <w:r w:rsidRPr="00545D17">
        <w:rPr>
          <w:b/>
          <w:bCs/>
        </w:rPr>
        <w:t>7</w:t>
      </w:r>
      <w:r w:rsidRPr="003C50F1">
        <w:t>, 1–12.</w:t>
      </w:r>
    </w:p>
    <w:p w14:paraId="783770C6" w14:textId="348B9732" w:rsidR="002C1485" w:rsidRDefault="002C1485" w:rsidP="002C1485">
      <w:pPr>
        <w:pStyle w:val="ARIERRefs"/>
      </w:pPr>
      <w:r>
        <w:t>H</w:t>
      </w:r>
      <w:r w:rsidR="005371AF">
        <w:t xml:space="preserve">utchinson, G.E. (1978). </w:t>
      </w:r>
      <w:r w:rsidR="005371AF" w:rsidRPr="002C1485">
        <w:rPr>
          <w:i/>
          <w:iCs/>
        </w:rPr>
        <w:t>An Introduction to Population Ecology</w:t>
      </w:r>
      <w:r w:rsidR="005371AF">
        <w:t>. Yale University Press</w:t>
      </w:r>
      <w:r w:rsidR="00F10436">
        <w:t>,</w:t>
      </w:r>
      <w:r w:rsidR="005371AF">
        <w:t xml:space="preserve"> New Haven, USA.</w:t>
      </w:r>
    </w:p>
    <w:p w14:paraId="6DA6685C" w14:textId="77777777" w:rsidR="00437435" w:rsidRPr="00056D5B" w:rsidRDefault="00437435" w:rsidP="00437435">
      <w:pPr>
        <w:pStyle w:val="ARIERRefs"/>
        <w:rPr>
          <w:bCs/>
          <w:szCs w:val="22"/>
          <w:lang w:val="en"/>
        </w:rPr>
      </w:pPr>
      <w:r w:rsidRPr="00BD2847">
        <w:rPr>
          <w:bCs/>
          <w:szCs w:val="22"/>
          <w:lang w:val="en"/>
        </w:rPr>
        <w:t xml:space="preserve">Jones, H.P., Holmes, N.D., Butchart, S.H.M., Tershy, B.R., Kappes, P.J., Corkery, I., Aguirre-Munoz. A., Armstrong, D.P., Bonnaud, E., Burbridge, A.A., </w:t>
      </w:r>
      <w:r w:rsidRPr="00D027A1">
        <w:rPr>
          <w:bCs/>
          <w:szCs w:val="22"/>
          <w:lang w:val="en"/>
        </w:rPr>
        <w:t>Campbell, K., Courchamp, F., Cowan, P.E., Cuthbert,</w:t>
      </w:r>
      <w:r>
        <w:rPr>
          <w:bCs/>
          <w:szCs w:val="22"/>
          <w:lang w:val="en"/>
        </w:rPr>
        <w:t> </w:t>
      </w:r>
      <w:r w:rsidRPr="00D027A1">
        <w:rPr>
          <w:bCs/>
          <w:szCs w:val="22"/>
          <w:lang w:val="en"/>
        </w:rPr>
        <w:t>R.J., Ebbert, S., Genovesi, P., Howald, G.R., Keitt, B.S., Kress, S.W., Miskelly, C.M., Oppel,</w:t>
      </w:r>
      <w:r>
        <w:rPr>
          <w:bCs/>
          <w:szCs w:val="22"/>
          <w:lang w:val="en"/>
        </w:rPr>
        <w:t> </w:t>
      </w:r>
      <w:r w:rsidRPr="00D027A1">
        <w:rPr>
          <w:bCs/>
          <w:szCs w:val="22"/>
          <w:lang w:val="en"/>
        </w:rPr>
        <w:t>S., Poncet, S., Rauzon, M.J., Rocamora, G., Russell, J.C., Samaniego-Herrera, A., Seddon,</w:t>
      </w:r>
      <w:r>
        <w:rPr>
          <w:bCs/>
          <w:szCs w:val="22"/>
          <w:lang w:val="en"/>
        </w:rPr>
        <w:t> </w:t>
      </w:r>
      <w:r w:rsidRPr="00D027A1">
        <w:rPr>
          <w:bCs/>
          <w:szCs w:val="22"/>
          <w:lang w:val="en"/>
        </w:rPr>
        <w:t>P.J., Spatz, D.R.,</w:t>
      </w:r>
      <w:r w:rsidRPr="00A62E8D">
        <w:rPr>
          <w:bCs/>
          <w:szCs w:val="22"/>
          <w:lang w:val="en"/>
        </w:rPr>
        <w:t xml:space="preserve"> Towns, D.R. </w:t>
      </w:r>
      <w:r>
        <w:rPr>
          <w:bCs/>
          <w:szCs w:val="22"/>
          <w:lang w:val="en"/>
        </w:rPr>
        <w:t>and</w:t>
      </w:r>
      <w:r w:rsidRPr="00AC7694">
        <w:rPr>
          <w:bCs/>
          <w:szCs w:val="22"/>
          <w:lang w:val="en"/>
        </w:rPr>
        <w:t xml:space="preserve"> Croll, D.A. (2016). Invasive mammal eradication on islands results in substantial conservation gains. </w:t>
      </w:r>
      <w:r w:rsidRPr="00AC7694">
        <w:rPr>
          <w:bCs/>
          <w:i/>
          <w:szCs w:val="22"/>
          <w:lang w:val="en"/>
        </w:rPr>
        <w:t>Proceedings of the National Academy of Sciences</w:t>
      </w:r>
      <w:r w:rsidRPr="00056D5B">
        <w:rPr>
          <w:bCs/>
          <w:szCs w:val="22"/>
          <w:lang w:val="en"/>
        </w:rPr>
        <w:t xml:space="preserve"> </w:t>
      </w:r>
      <w:r w:rsidRPr="006A3C57">
        <w:rPr>
          <w:bCs/>
          <w:i/>
          <w:iCs/>
          <w:szCs w:val="22"/>
          <w:lang w:val="en"/>
        </w:rPr>
        <w:t>of the United States of America</w:t>
      </w:r>
      <w:r w:rsidRPr="00056D5B">
        <w:rPr>
          <w:bCs/>
          <w:szCs w:val="22"/>
          <w:lang w:val="en"/>
        </w:rPr>
        <w:t xml:space="preserve"> </w:t>
      </w:r>
      <w:r w:rsidRPr="00B515F2">
        <w:rPr>
          <w:b/>
          <w:bCs/>
          <w:szCs w:val="22"/>
          <w:lang w:val="en"/>
        </w:rPr>
        <w:t>113</w:t>
      </w:r>
      <w:r>
        <w:rPr>
          <w:bCs/>
          <w:szCs w:val="22"/>
          <w:lang w:val="en"/>
        </w:rPr>
        <w:t xml:space="preserve">, </w:t>
      </w:r>
      <w:r w:rsidRPr="00056D5B">
        <w:rPr>
          <w:bCs/>
          <w:szCs w:val="22"/>
          <w:lang w:val="en"/>
        </w:rPr>
        <w:t>4033</w:t>
      </w:r>
      <w:r>
        <w:rPr>
          <w:bCs/>
          <w:szCs w:val="22"/>
          <w:lang w:val="en"/>
        </w:rPr>
        <w:t>–</w:t>
      </w:r>
      <w:r w:rsidRPr="00056D5B">
        <w:rPr>
          <w:bCs/>
          <w:szCs w:val="22"/>
          <w:lang w:val="en"/>
        </w:rPr>
        <w:t>4038</w:t>
      </w:r>
      <w:r>
        <w:rPr>
          <w:bCs/>
          <w:szCs w:val="22"/>
          <w:lang w:val="en"/>
        </w:rPr>
        <w:t>.</w:t>
      </w:r>
    </w:p>
    <w:p w14:paraId="7B7F4B2B" w14:textId="76C339A8" w:rsidR="00417A4E" w:rsidRPr="00EF650B" w:rsidRDefault="005371AF" w:rsidP="00417A4E">
      <w:pPr>
        <w:pStyle w:val="ARIERRefs"/>
      </w:pPr>
      <w:r w:rsidRPr="00EF650B">
        <w:t>Kinnear, J.</w:t>
      </w:r>
      <w:r w:rsidR="00417A4E" w:rsidRPr="00EF650B">
        <w:t>E.</w:t>
      </w:r>
      <w:r w:rsidRPr="00EF650B">
        <w:t xml:space="preserve">, </w:t>
      </w:r>
      <w:r w:rsidR="00417A4E" w:rsidRPr="00EF650B">
        <w:t>Onus, M.L. and Bromilow, R.N. (</w:t>
      </w:r>
      <w:r w:rsidRPr="00EF650B">
        <w:t>1988)</w:t>
      </w:r>
      <w:r w:rsidR="00417A4E" w:rsidRPr="00EF650B">
        <w:t xml:space="preserve">. Fox control and rock-wallaby population dynamics. </w:t>
      </w:r>
      <w:r w:rsidR="00417A4E" w:rsidRPr="00EF650B">
        <w:rPr>
          <w:i/>
        </w:rPr>
        <w:t>Wildlife Research</w:t>
      </w:r>
      <w:r w:rsidR="00417A4E" w:rsidRPr="00EF650B">
        <w:t xml:space="preserve"> </w:t>
      </w:r>
      <w:r w:rsidR="00417A4E" w:rsidRPr="00EF650B">
        <w:rPr>
          <w:b/>
        </w:rPr>
        <w:t>15</w:t>
      </w:r>
      <w:r w:rsidR="00417A4E" w:rsidRPr="00EF650B">
        <w:t>, 435–450.</w:t>
      </w:r>
    </w:p>
    <w:p w14:paraId="03E5123E" w14:textId="5F20630B" w:rsidR="00C922FA" w:rsidRPr="00056D5B" w:rsidRDefault="00C922FA" w:rsidP="00417A4E">
      <w:pPr>
        <w:pStyle w:val="ARIERRefs"/>
        <w:rPr>
          <w:bCs/>
          <w:szCs w:val="22"/>
          <w:lang w:val="en"/>
        </w:rPr>
      </w:pPr>
      <w:r w:rsidRPr="00EF650B">
        <w:t>Kinnear</w:t>
      </w:r>
      <w:r w:rsidR="00EF650B" w:rsidRPr="00EF650B">
        <w:t>, J.E., Sumner, N.R., and Onus, M.L. (</w:t>
      </w:r>
      <w:r w:rsidRPr="00EF650B">
        <w:t>2002</w:t>
      </w:r>
      <w:r w:rsidR="00EF650B" w:rsidRPr="00EF650B">
        <w:t xml:space="preserve">). The red fox in Australia – An exotic predator turned biocontrol agent. </w:t>
      </w:r>
      <w:r w:rsidR="00EF650B" w:rsidRPr="00EF650B">
        <w:rPr>
          <w:i/>
          <w:iCs/>
        </w:rPr>
        <w:t>Biological Conservation</w:t>
      </w:r>
      <w:r w:rsidR="00EF650B" w:rsidRPr="00EF650B">
        <w:t xml:space="preserve"> </w:t>
      </w:r>
      <w:r w:rsidR="00EF650B" w:rsidRPr="00EF650B">
        <w:rPr>
          <w:b/>
          <w:bCs/>
        </w:rPr>
        <w:t>108</w:t>
      </w:r>
      <w:r w:rsidR="00EF650B" w:rsidRPr="00EF650B">
        <w:t>, 335-359.</w:t>
      </w:r>
      <w:r w:rsidRPr="00056D5B">
        <w:rPr>
          <w:bCs/>
          <w:szCs w:val="22"/>
          <w:lang w:val="en"/>
        </w:rPr>
        <w:t xml:space="preserve"> </w:t>
      </w:r>
    </w:p>
    <w:p w14:paraId="475F5CDF" w14:textId="307AB892" w:rsidR="00417A4E" w:rsidRPr="00056D5B" w:rsidRDefault="00437435" w:rsidP="00417A4E">
      <w:pPr>
        <w:pStyle w:val="ARIERRefs"/>
        <w:rPr>
          <w:bCs/>
          <w:szCs w:val="22"/>
          <w:lang w:val="en"/>
        </w:rPr>
      </w:pPr>
      <w:r w:rsidRPr="00056D5B">
        <w:rPr>
          <w:bCs/>
          <w:szCs w:val="22"/>
        </w:rPr>
        <w:t>Kutt, A.S. (2012)</w:t>
      </w:r>
      <w:r>
        <w:rPr>
          <w:bCs/>
          <w:szCs w:val="22"/>
        </w:rPr>
        <w:t>.</w:t>
      </w:r>
      <w:r w:rsidRPr="00056D5B">
        <w:rPr>
          <w:bCs/>
          <w:szCs w:val="22"/>
        </w:rPr>
        <w:t xml:space="preserve"> Feral cat (</w:t>
      </w:r>
      <w:r w:rsidRPr="00D027A1">
        <w:rPr>
          <w:bCs/>
          <w:i/>
          <w:szCs w:val="22"/>
        </w:rPr>
        <w:t>Felis catus</w:t>
      </w:r>
      <w:r w:rsidRPr="00056D5B">
        <w:rPr>
          <w:bCs/>
          <w:szCs w:val="22"/>
        </w:rPr>
        <w:t>) prey size and selectivity in north-eastern Australia: implications for mammal conservation</w:t>
      </w:r>
      <w:r>
        <w:rPr>
          <w:bCs/>
          <w:szCs w:val="22"/>
        </w:rPr>
        <w:t>.</w:t>
      </w:r>
      <w:r w:rsidRPr="00056D5B">
        <w:rPr>
          <w:bCs/>
          <w:szCs w:val="22"/>
        </w:rPr>
        <w:t xml:space="preserve"> </w:t>
      </w:r>
      <w:r w:rsidRPr="00056D5B">
        <w:rPr>
          <w:bCs/>
          <w:i/>
          <w:szCs w:val="22"/>
        </w:rPr>
        <w:t>Journal of Zoology</w:t>
      </w:r>
      <w:r w:rsidRPr="00056D5B">
        <w:rPr>
          <w:bCs/>
          <w:szCs w:val="22"/>
        </w:rPr>
        <w:t xml:space="preserve"> </w:t>
      </w:r>
      <w:r w:rsidRPr="00056D5B">
        <w:rPr>
          <w:b/>
          <w:bCs/>
          <w:szCs w:val="22"/>
        </w:rPr>
        <w:t>287</w:t>
      </w:r>
      <w:r w:rsidRPr="00056D5B">
        <w:rPr>
          <w:bCs/>
          <w:szCs w:val="22"/>
        </w:rPr>
        <w:t>, 292</w:t>
      </w:r>
      <w:r>
        <w:rPr>
          <w:bCs/>
          <w:szCs w:val="22"/>
        </w:rPr>
        <w:t>–</w:t>
      </w:r>
      <w:r w:rsidRPr="00056D5B">
        <w:rPr>
          <w:bCs/>
          <w:szCs w:val="22"/>
        </w:rPr>
        <w:t>300</w:t>
      </w:r>
      <w:r>
        <w:rPr>
          <w:bCs/>
          <w:szCs w:val="22"/>
        </w:rPr>
        <w:t>.</w:t>
      </w:r>
      <w:r w:rsidR="00417A4E" w:rsidRPr="00417A4E">
        <w:rPr>
          <w:bCs/>
          <w:szCs w:val="22"/>
          <w:lang w:val="en"/>
        </w:rPr>
        <w:t xml:space="preserve"> </w:t>
      </w:r>
    </w:p>
    <w:p w14:paraId="014DD098" w14:textId="71B71A55" w:rsidR="00417A4E" w:rsidRPr="00056D5B" w:rsidRDefault="00545D17" w:rsidP="00417A4E">
      <w:pPr>
        <w:pStyle w:val="ARIERRefs"/>
        <w:rPr>
          <w:bCs/>
          <w:szCs w:val="22"/>
          <w:lang w:val="en"/>
        </w:rPr>
      </w:pPr>
      <w:r w:rsidRPr="00545D17">
        <w:t>Lobert, B. (1990)</w:t>
      </w:r>
      <w:r w:rsidR="00D41395">
        <w:t>.</w:t>
      </w:r>
      <w:r w:rsidRPr="00545D17">
        <w:t xml:space="preserve"> Home range and activity period of the </w:t>
      </w:r>
      <w:r w:rsidR="00D41395">
        <w:t>S</w:t>
      </w:r>
      <w:r w:rsidRPr="00545D17">
        <w:t xml:space="preserve">outhern </w:t>
      </w:r>
      <w:r w:rsidR="00D41395">
        <w:t>B</w:t>
      </w:r>
      <w:r w:rsidRPr="00545D17">
        <w:t xml:space="preserve">rown </w:t>
      </w:r>
      <w:r w:rsidR="00D41395">
        <w:t>B</w:t>
      </w:r>
      <w:r w:rsidRPr="00545D17">
        <w:t>andicoot (</w:t>
      </w:r>
      <w:r w:rsidRPr="00D41395">
        <w:rPr>
          <w:i/>
          <w:iCs/>
        </w:rPr>
        <w:t>Isoodon obesulus</w:t>
      </w:r>
      <w:r w:rsidRPr="00545D17">
        <w:t xml:space="preserve">) in a Victorian heathland. </w:t>
      </w:r>
      <w:r w:rsidR="00700510">
        <w:t xml:space="preserve">In: Seebeck, J.H., Brown, P.R., Wallis, R.L. and Kemper, C.M. (Eds) </w:t>
      </w:r>
      <w:r w:rsidRPr="00D41395">
        <w:rPr>
          <w:i/>
          <w:iCs/>
        </w:rPr>
        <w:t>Bandicoots and Bilbies</w:t>
      </w:r>
      <w:r w:rsidR="00700510" w:rsidRPr="00091D5C">
        <w:rPr>
          <w:iCs/>
        </w:rPr>
        <w:t>,</w:t>
      </w:r>
      <w:r w:rsidRPr="00700510">
        <w:t xml:space="preserve"> </w:t>
      </w:r>
      <w:r w:rsidRPr="00545D17">
        <w:t>pp</w:t>
      </w:r>
      <w:r w:rsidR="00700510">
        <w:t>.</w:t>
      </w:r>
      <w:r w:rsidR="00700510" w:rsidRPr="00545D17">
        <w:t xml:space="preserve"> </w:t>
      </w:r>
      <w:r w:rsidRPr="00545D17">
        <w:t>319–325.</w:t>
      </w:r>
      <w:r w:rsidR="000F646F">
        <w:t xml:space="preserve"> Surrey Beatty &amp; Sons/The Australian Mammal Society, Chipping Norton, New South Wales.</w:t>
      </w:r>
    </w:p>
    <w:p w14:paraId="2DC4CE67" w14:textId="2C10355D" w:rsidR="00417A4E" w:rsidRPr="00056D5B" w:rsidRDefault="00243FD6" w:rsidP="00417A4E">
      <w:pPr>
        <w:pStyle w:val="ARIERRefs"/>
        <w:rPr>
          <w:bCs/>
          <w:szCs w:val="22"/>
          <w:lang w:val="en"/>
        </w:rPr>
      </w:pPr>
      <w:r>
        <w:rPr>
          <w:color w:val="222222"/>
          <w:szCs w:val="20"/>
          <w:shd w:val="clear" w:color="auto" w:fill="FFFFFF"/>
        </w:rPr>
        <w:t>Luttbeg, B. and Kerby, J.L. (2005). Are scared prey as good as dead?</w:t>
      </w:r>
      <w:r w:rsidR="000F646F">
        <w:rPr>
          <w:color w:val="222222"/>
          <w:szCs w:val="20"/>
          <w:shd w:val="clear" w:color="auto" w:fill="FFFFFF"/>
        </w:rPr>
        <w:t xml:space="preserve"> </w:t>
      </w:r>
      <w:r>
        <w:rPr>
          <w:i/>
          <w:iCs/>
          <w:color w:val="222222"/>
          <w:szCs w:val="20"/>
          <w:shd w:val="clear" w:color="auto" w:fill="FFFFFF"/>
        </w:rPr>
        <w:t>Trends in Ecology &amp; Evolution</w:t>
      </w:r>
      <w:r w:rsidR="000F646F">
        <w:rPr>
          <w:color w:val="222222"/>
          <w:szCs w:val="20"/>
          <w:shd w:val="clear" w:color="auto" w:fill="FFFFFF"/>
        </w:rPr>
        <w:t xml:space="preserve"> </w:t>
      </w:r>
      <w:r w:rsidRPr="00243FD6">
        <w:rPr>
          <w:b/>
          <w:bCs/>
          <w:color w:val="222222"/>
          <w:szCs w:val="20"/>
          <w:shd w:val="clear" w:color="auto" w:fill="FFFFFF"/>
        </w:rPr>
        <w:t>20</w:t>
      </w:r>
      <w:r>
        <w:rPr>
          <w:color w:val="222222"/>
          <w:szCs w:val="20"/>
          <w:shd w:val="clear" w:color="auto" w:fill="FFFFFF"/>
        </w:rPr>
        <w:t>, 416</w:t>
      </w:r>
      <w:r w:rsidR="000F646F">
        <w:rPr>
          <w:color w:val="222222"/>
          <w:szCs w:val="20"/>
          <w:shd w:val="clear" w:color="auto" w:fill="FFFFFF"/>
        </w:rPr>
        <w:t>–</w:t>
      </w:r>
      <w:r>
        <w:rPr>
          <w:color w:val="222222"/>
          <w:szCs w:val="20"/>
          <w:shd w:val="clear" w:color="auto" w:fill="FFFFFF"/>
        </w:rPr>
        <w:t>418.</w:t>
      </w:r>
    </w:p>
    <w:p w14:paraId="31757CAE" w14:textId="19C6C046" w:rsidR="00097EF8" w:rsidRDefault="00097EF8" w:rsidP="00097EF8">
      <w:pPr>
        <w:pStyle w:val="ARIERRefs"/>
      </w:pPr>
      <w:r>
        <w:t xml:space="preserve">MacKenzie, D.I., Nicols, J.D., Royle, J.A., Pollock, K.H., Bailey, L.L. </w:t>
      </w:r>
      <w:r w:rsidR="00F00833">
        <w:t>and</w:t>
      </w:r>
      <w:r>
        <w:t xml:space="preserve"> Hines, J.E. (2006). Occupancy Estimation and Modeling. Elsevier</w:t>
      </w:r>
      <w:r w:rsidR="00F70171">
        <w:t xml:space="preserve"> Academic Press</w:t>
      </w:r>
      <w:r w:rsidR="000F646F">
        <w:t xml:space="preserve">, </w:t>
      </w:r>
      <w:r w:rsidR="00F70171">
        <w:t>Amsterdam, The Netherlands</w:t>
      </w:r>
      <w:r w:rsidR="000F646F">
        <w:t>.</w:t>
      </w:r>
    </w:p>
    <w:p w14:paraId="259C2A53" w14:textId="5C3D11E4" w:rsidR="00F00833" w:rsidRDefault="00F00833" w:rsidP="00097EF8">
      <w:pPr>
        <w:pStyle w:val="ARIERRefs"/>
      </w:pPr>
      <w:r>
        <w:t xml:space="preserve">MacKenzie, D.I., Nicols, J.D., Royle, J.A., Pollock, K.H., Bailey, L.L. and Hines, J.E. (2017). </w:t>
      </w:r>
      <w:r w:rsidRPr="00091D5C">
        <w:rPr>
          <w:i/>
        </w:rPr>
        <w:t>Occupancy estimation and modeling. Inferring patterns and dynamics of species occurrence</w:t>
      </w:r>
      <w:r>
        <w:t xml:space="preserve">. </w:t>
      </w:r>
      <w:r w:rsidR="0020558B">
        <w:t>Elsevier, San Diego, California, USA.</w:t>
      </w:r>
    </w:p>
    <w:p w14:paraId="47E6B214" w14:textId="5D2BA50E" w:rsidR="000672B0" w:rsidRDefault="000672B0" w:rsidP="000672B0">
      <w:pPr>
        <w:pStyle w:val="ARIERRefs"/>
        <w:rPr>
          <w:szCs w:val="22"/>
        </w:rPr>
      </w:pPr>
      <w:r w:rsidRPr="00BD2847">
        <w:rPr>
          <w:szCs w:val="22"/>
        </w:rPr>
        <w:t xml:space="preserve">Marlow, N., Thomas, N.D., Williams, A.E., Macmahon, B., Lawson, J., Hitchen, Y., Angus, J. and Berry, O. (2015). </w:t>
      </w:r>
      <w:r>
        <w:rPr>
          <w:szCs w:val="22"/>
        </w:rPr>
        <w:t>Cat</w:t>
      </w:r>
      <w:r w:rsidRPr="00BD2847">
        <w:rPr>
          <w:szCs w:val="22"/>
        </w:rPr>
        <w:t>s (</w:t>
      </w:r>
      <w:r w:rsidRPr="00D027A1">
        <w:rPr>
          <w:i/>
          <w:szCs w:val="22"/>
        </w:rPr>
        <w:t>Felis catus</w:t>
      </w:r>
      <w:r w:rsidRPr="00D027A1">
        <w:rPr>
          <w:szCs w:val="22"/>
        </w:rPr>
        <w:t>) are more abundant and are the dominant predator of woylies (</w:t>
      </w:r>
      <w:r w:rsidRPr="00D027A1">
        <w:rPr>
          <w:i/>
          <w:szCs w:val="22"/>
        </w:rPr>
        <w:t>Bettongia penicillata</w:t>
      </w:r>
      <w:r w:rsidRPr="00A62E8D">
        <w:rPr>
          <w:szCs w:val="22"/>
        </w:rPr>
        <w:t>) after sustained fox (</w:t>
      </w:r>
      <w:r w:rsidRPr="00A62E8D">
        <w:rPr>
          <w:i/>
          <w:szCs w:val="22"/>
        </w:rPr>
        <w:t>Vulpes vulpes</w:t>
      </w:r>
      <w:r w:rsidRPr="00A62E8D">
        <w:rPr>
          <w:szCs w:val="22"/>
        </w:rPr>
        <w:t xml:space="preserve">) control. </w:t>
      </w:r>
      <w:r w:rsidRPr="00A62E8D">
        <w:rPr>
          <w:i/>
          <w:szCs w:val="22"/>
        </w:rPr>
        <w:t>Australian Journal of Zoology</w:t>
      </w:r>
      <w:r w:rsidRPr="00A57A3B">
        <w:rPr>
          <w:szCs w:val="22"/>
        </w:rPr>
        <w:t xml:space="preserve"> </w:t>
      </w:r>
      <w:r w:rsidRPr="00A57A3B">
        <w:rPr>
          <w:b/>
          <w:szCs w:val="22"/>
        </w:rPr>
        <w:t>63</w:t>
      </w:r>
      <w:r w:rsidRPr="00A57A3B">
        <w:rPr>
          <w:szCs w:val="22"/>
        </w:rPr>
        <w:t>, 18</w:t>
      </w:r>
      <w:r>
        <w:rPr>
          <w:szCs w:val="22"/>
        </w:rPr>
        <w:t>–</w:t>
      </w:r>
      <w:r w:rsidRPr="00A57A3B">
        <w:rPr>
          <w:szCs w:val="22"/>
        </w:rPr>
        <w:t>27</w:t>
      </w:r>
      <w:r>
        <w:rPr>
          <w:szCs w:val="22"/>
        </w:rPr>
        <w:t>.</w:t>
      </w:r>
    </w:p>
    <w:p w14:paraId="0AB79AB7" w14:textId="6E67E0DA" w:rsidR="00545D17" w:rsidRDefault="00545D17" w:rsidP="00097EF8">
      <w:pPr>
        <w:pStyle w:val="ARIERRefs"/>
      </w:pPr>
      <w:r w:rsidRPr="00545D17">
        <w:t xml:space="preserve">McDonald, P.J., Nano, C.E.M., Ward, S.J., Stewart, A., Pavey, C.R., Luck, G.W. </w:t>
      </w:r>
      <w:r>
        <w:t>and</w:t>
      </w:r>
      <w:r w:rsidRPr="00545D17">
        <w:t xml:space="preserve"> Dickman, C.R. (2017)</w:t>
      </w:r>
      <w:r>
        <w:t>.</w:t>
      </w:r>
      <w:r w:rsidRPr="00545D17">
        <w:t xml:space="preserve"> Habitat as a mediator of mesopredator-driven mammal extinction. </w:t>
      </w:r>
      <w:r w:rsidRPr="00545D17">
        <w:rPr>
          <w:i/>
          <w:iCs/>
        </w:rPr>
        <w:t>Conservation Biology</w:t>
      </w:r>
      <w:r w:rsidRPr="00545D17">
        <w:t xml:space="preserve"> </w:t>
      </w:r>
      <w:r w:rsidRPr="00545D17">
        <w:rPr>
          <w:b/>
          <w:bCs/>
        </w:rPr>
        <w:t>31</w:t>
      </w:r>
      <w:r w:rsidRPr="00545D17">
        <w:t>, 1183–1191.</w:t>
      </w:r>
    </w:p>
    <w:p w14:paraId="4F7BB56A" w14:textId="2DC2D0BC" w:rsidR="00E84AFF" w:rsidRDefault="00E84AFF" w:rsidP="00097EF8">
      <w:pPr>
        <w:pStyle w:val="ARIERRefs"/>
      </w:pPr>
      <w:r w:rsidRPr="00E84AFF">
        <w:t>McGregor, C.I., Wood, J.T., Dexter, N. and Lindenmayer, D. (2013). Home range size and use by long-nosed bandicoot (</w:t>
      </w:r>
      <w:r w:rsidRPr="00C525EA">
        <w:rPr>
          <w:i/>
          <w:iCs/>
        </w:rPr>
        <w:t>Perameles nasuta</w:t>
      </w:r>
      <w:r w:rsidRPr="00E84AFF">
        <w:t xml:space="preserve">) following fire. </w:t>
      </w:r>
      <w:r w:rsidRPr="00F276C7">
        <w:rPr>
          <w:i/>
          <w:iCs/>
        </w:rPr>
        <w:t>Australian Mammalogy</w:t>
      </w:r>
      <w:r w:rsidRPr="00E84AFF">
        <w:t xml:space="preserve"> </w:t>
      </w:r>
      <w:r w:rsidRPr="00F276C7">
        <w:rPr>
          <w:b/>
          <w:bCs/>
        </w:rPr>
        <w:t>56</w:t>
      </w:r>
      <w:r w:rsidRPr="00E84AFF">
        <w:t>, 206–216.</w:t>
      </w:r>
    </w:p>
    <w:p w14:paraId="5AD58D02" w14:textId="6E87169F" w:rsidR="00545D17" w:rsidRDefault="00545D17" w:rsidP="00097EF8">
      <w:pPr>
        <w:pStyle w:val="ARIERRefs"/>
      </w:pPr>
      <w:r w:rsidRPr="00545D17">
        <w:t xml:space="preserve">McGregor, H.W., Legge, S., Jones, M.E. </w:t>
      </w:r>
      <w:r>
        <w:t>and</w:t>
      </w:r>
      <w:r w:rsidRPr="00545D17">
        <w:t xml:space="preserve"> Johnson, C.N. (2014)</w:t>
      </w:r>
      <w:r w:rsidR="005C464A">
        <w:t>.</w:t>
      </w:r>
      <w:r w:rsidRPr="00545D17">
        <w:t xml:space="preserve"> Landscape management of fire and grazing regimes alters the fine-scale habitat utilisation by feral cats. </w:t>
      </w:r>
      <w:r w:rsidRPr="00545D17">
        <w:rPr>
          <w:i/>
          <w:iCs/>
        </w:rPr>
        <w:t xml:space="preserve">PloS </w:t>
      </w:r>
      <w:r>
        <w:rPr>
          <w:i/>
          <w:iCs/>
        </w:rPr>
        <w:t>O</w:t>
      </w:r>
      <w:r w:rsidRPr="00545D17">
        <w:rPr>
          <w:i/>
          <w:iCs/>
        </w:rPr>
        <w:t>ne</w:t>
      </w:r>
      <w:r w:rsidRPr="00545D17">
        <w:t xml:space="preserve"> </w:t>
      </w:r>
      <w:r w:rsidRPr="00545D17">
        <w:rPr>
          <w:b/>
          <w:bCs/>
        </w:rPr>
        <w:t>9</w:t>
      </w:r>
      <w:r w:rsidRPr="00545D17">
        <w:t>, e109097.</w:t>
      </w:r>
      <w:r>
        <w:t xml:space="preserve"> (accessed June 2022).</w:t>
      </w:r>
    </w:p>
    <w:p w14:paraId="41B8A74C" w14:textId="2731B53C" w:rsidR="003314B8" w:rsidRDefault="003314B8" w:rsidP="00097EF8">
      <w:pPr>
        <w:pStyle w:val="ARIERRefs"/>
      </w:pPr>
      <w:r w:rsidRPr="00854BBB">
        <w:t>McGregor</w:t>
      </w:r>
      <w:r w:rsidR="00EF650B" w:rsidRPr="00854BBB">
        <w:t>, H.W., Hannah, B.C., and Kanowski, J. (</w:t>
      </w:r>
      <w:r w:rsidRPr="00854BBB">
        <w:t>2017</w:t>
      </w:r>
      <w:r w:rsidR="00EF650B" w:rsidRPr="00854BBB">
        <w:t xml:space="preserve">). Habityat prefernce </w:t>
      </w:r>
      <w:r w:rsidR="00854BBB" w:rsidRPr="00854BBB">
        <w:t xml:space="preserve">for fire sars by fral cats in Capr York Peninsula, Australia. </w:t>
      </w:r>
      <w:r w:rsidR="00854BBB" w:rsidRPr="00854BBB">
        <w:rPr>
          <w:i/>
          <w:iCs/>
        </w:rPr>
        <w:t>Wildlife Research</w:t>
      </w:r>
      <w:r w:rsidR="00854BBB" w:rsidRPr="00854BBB">
        <w:t xml:space="preserve"> </w:t>
      </w:r>
      <w:r w:rsidR="00854BBB" w:rsidRPr="00854BBB">
        <w:rPr>
          <w:b/>
          <w:bCs/>
        </w:rPr>
        <w:t>43</w:t>
      </w:r>
      <w:r w:rsidR="00854BBB" w:rsidRPr="00854BBB">
        <w:t>, 623-633</w:t>
      </w:r>
      <w:r w:rsidR="00854BBB">
        <w:t>.</w:t>
      </w:r>
    </w:p>
    <w:p w14:paraId="04F3E8F5" w14:textId="77777777" w:rsidR="00E84AFF" w:rsidRDefault="00E84AFF" w:rsidP="00437435">
      <w:pPr>
        <w:pStyle w:val="ARIERRefs"/>
      </w:pPr>
      <w:r w:rsidRPr="00E84AFF">
        <w:t>Menkhorst, P. (Ed.) (1995). Mammals of Victoria. Distribution, Ecology and Conservation. Oxford University Press, South Melbourne, Victoria.</w:t>
      </w:r>
    </w:p>
    <w:p w14:paraId="509E9746" w14:textId="54F844D4" w:rsidR="000672B0" w:rsidRDefault="000672B0" w:rsidP="000672B0">
      <w:pPr>
        <w:pStyle w:val="ARIERRefs"/>
      </w:pPr>
      <w:r w:rsidRPr="0097485E">
        <w:t>Moseby, K.E., Letnic, M., Blumstein, D.T. and West, R. (2019)</w:t>
      </w:r>
      <w:r>
        <w:t>.</w:t>
      </w:r>
      <w:r w:rsidRPr="0097485E">
        <w:t xml:space="preserve"> Understanding predator densities for successful co-existence of alien predators and threatened prey. </w:t>
      </w:r>
      <w:r w:rsidRPr="007339A6">
        <w:rPr>
          <w:i/>
          <w:iCs/>
        </w:rPr>
        <w:t>Austral Ecology</w:t>
      </w:r>
      <w:r w:rsidRPr="0097485E">
        <w:t xml:space="preserve"> </w:t>
      </w:r>
      <w:r w:rsidRPr="007339A6">
        <w:rPr>
          <w:b/>
          <w:bCs/>
        </w:rPr>
        <w:t>44</w:t>
      </w:r>
      <w:r>
        <w:rPr>
          <w:b/>
          <w:bCs/>
        </w:rPr>
        <w:t>,</w:t>
      </w:r>
      <w:r w:rsidRPr="0097485E">
        <w:t xml:space="preserve"> 409</w:t>
      </w:r>
      <w:r w:rsidR="0020558B">
        <w:t>–</w:t>
      </w:r>
      <w:r w:rsidRPr="0097485E">
        <w:t xml:space="preserve">419. </w:t>
      </w:r>
      <w:hyperlink r:id="rId71" w:history="1">
        <w:r w:rsidRPr="00636323">
          <w:rPr>
            <w:rStyle w:val="Hyperlink"/>
          </w:rPr>
          <w:t>https://doi.org/10.1111/aec.12697</w:t>
        </w:r>
      </w:hyperlink>
      <w:r>
        <w:t xml:space="preserve"> (accessed May 2022).</w:t>
      </w:r>
    </w:p>
    <w:p w14:paraId="11A75761" w14:textId="53756297" w:rsidR="00437435" w:rsidRPr="00A65CC6" w:rsidRDefault="00437435" w:rsidP="00437435">
      <w:pPr>
        <w:pStyle w:val="ARIERRefs"/>
        <w:rPr>
          <w:szCs w:val="22"/>
        </w:rPr>
      </w:pPr>
      <w:r w:rsidRPr="00AC7694">
        <w:rPr>
          <w:szCs w:val="22"/>
        </w:rPr>
        <w:lastRenderedPageBreak/>
        <w:t>Moseby, K.E.,</w:t>
      </w:r>
      <w:r>
        <w:rPr>
          <w:szCs w:val="22"/>
        </w:rPr>
        <w:t xml:space="preserve"> </w:t>
      </w:r>
      <w:r w:rsidRPr="00AC7694">
        <w:rPr>
          <w:szCs w:val="22"/>
        </w:rPr>
        <w:t>Peacock, D.E.</w:t>
      </w:r>
      <w:r>
        <w:rPr>
          <w:szCs w:val="22"/>
        </w:rPr>
        <w:t xml:space="preserve"> and </w:t>
      </w:r>
      <w:r w:rsidRPr="00AC7694">
        <w:rPr>
          <w:szCs w:val="22"/>
        </w:rPr>
        <w:t>Read, J.L.</w:t>
      </w:r>
      <w:r>
        <w:rPr>
          <w:szCs w:val="22"/>
        </w:rPr>
        <w:t xml:space="preserve"> </w:t>
      </w:r>
      <w:r w:rsidRPr="00AC7694">
        <w:rPr>
          <w:szCs w:val="22"/>
        </w:rPr>
        <w:t>(2015).</w:t>
      </w:r>
      <w:r>
        <w:rPr>
          <w:szCs w:val="22"/>
        </w:rPr>
        <w:t xml:space="preserve"> </w:t>
      </w:r>
      <w:r w:rsidR="0020558B">
        <w:rPr>
          <w:szCs w:val="22"/>
        </w:rPr>
        <w:t>C</w:t>
      </w:r>
      <w:r>
        <w:rPr>
          <w:szCs w:val="22"/>
        </w:rPr>
        <w:t>at</w:t>
      </w:r>
      <w:r w:rsidRPr="00AC7694">
        <w:rPr>
          <w:szCs w:val="22"/>
        </w:rPr>
        <w:t>astrophic cat predation: a call for predator profiling in wildlife protection programs.</w:t>
      </w:r>
      <w:r>
        <w:rPr>
          <w:szCs w:val="22"/>
        </w:rPr>
        <w:t xml:space="preserve"> </w:t>
      </w:r>
      <w:r w:rsidRPr="00AC7694">
        <w:rPr>
          <w:i/>
          <w:iCs/>
          <w:szCs w:val="22"/>
        </w:rPr>
        <w:t xml:space="preserve">Biological Conservation </w:t>
      </w:r>
      <w:r w:rsidRPr="00AC7694">
        <w:rPr>
          <w:b/>
          <w:bCs/>
          <w:szCs w:val="22"/>
        </w:rPr>
        <w:t>191</w:t>
      </w:r>
      <w:r w:rsidRPr="00A65CC6">
        <w:rPr>
          <w:szCs w:val="22"/>
        </w:rPr>
        <w:t>, 331</w:t>
      </w:r>
      <w:r>
        <w:rPr>
          <w:szCs w:val="22"/>
        </w:rPr>
        <w:t>–</w:t>
      </w:r>
      <w:r w:rsidRPr="00A65CC6">
        <w:rPr>
          <w:szCs w:val="22"/>
        </w:rPr>
        <w:t>340</w:t>
      </w:r>
      <w:r>
        <w:rPr>
          <w:szCs w:val="22"/>
        </w:rPr>
        <w:t>.</w:t>
      </w:r>
    </w:p>
    <w:p w14:paraId="0043DF83" w14:textId="6ACF8EAC" w:rsidR="000672B0" w:rsidRDefault="000672B0" w:rsidP="000672B0">
      <w:pPr>
        <w:pStyle w:val="ARIERRefs"/>
        <w:rPr>
          <w:szCs w:val="22"/>
        </w:rPr>
      </w:pPr>
      <w:r w:rsidRPr="00AC7694">
        <w:rPr>
          <w:szCs w:val="22"/>
        </w:rPr>
        <w:t>Moseby, K.E., Read, J.L., Paton, D.C., Copley</w:t>
      </w:r>
      <w:r>
        <w:rPr>
          <w:szCs w:val="22"/>
        </w:rPr>
        <w:t>,</w:t>
      </w:r>
      <w:r w:rsidRPr="00AC7694">
        <w:rPr>
          <w:szCs w:val="22"/>
        </w:rPr>
        <w:t xml:space="preserve"> P., Hill, B.M. and Crisp, H.M. (2011). Predation determines the outcome of 10 reintroduction attempts in arid Australia. </w:t>
      </w:r>
      <w:r w:rsidRPr="00AC7694">
        <w:rPr>
          <w:i/>
          <w:szCs w:val="22"/>
        </w:rPr>
        <w:t xml:space="preserve">Journal of Biological Conservation </w:t>
      </w:r>
      <w:r w:rsidRPr="00AC7694">
        <w:rPr>
          <w:b/>
          <w:szCs w:val="22"/>
        </w:rPr>
        <w:t>144</w:t>
      </w:r>
      <w:r w:rsidRPr="00AC7694">
        <w:rPr>
          <w:szCs w:val="22"/>
        </w:rPr>
        <w:t>, 2863</w:t>
      </w:r>
      <w:r>
        <w:rPr>
          <w:szCs w:val="22"/>
        </w:rPr>
        <w:t>–</w:t>
      </w:r>
      <w:r w:rsidRPr="00AC7694">
        <w:rPr>
          <w:szCs w:val="22"/>
        </w:rPr>
        <w:t>2872</w:t>
      </w:r>
      <w:r>
        <w:rPr>
          <w:szCs w:val="22"/>
        </w:rPr>
        <w:t>.</w:t>
      </w:r>
    </w:p>
    <w:p w14:paraId="633AE784" w14:textId="77777777" w:rsidR="00E84AFF" w:rsidRDefault="00E84AFF" w:rsidP="00097EF8">
      <w:pPr>
        <w:pStyle w:val="ARIERRefs"/>
      </w:pPr>
      <w:r w:rsidRPr="00E84AFF">
        <w:t xml:space="preserve">Murray, A. (2005). A new low-cost hair-tube design for the detection of the spotted-tailed quoll Dasyurus maculatus in south-eastern Australia. </w:t>
      </w:r>
      <w:r w:rsidRPr="00F276C7">
        <w:rPr>
          <w:i/>
          <w:iCs/>
        </w:rPr>
        <w:t>Australian Mammalogy</w:t>
      </w:r>
      <w:r w:rsidRPr="00E84AFF">
        <w:t xml:space="preserve"> </w:t>
      </w:r>
      <w:r w:rsidRPr="00F276C7">
        <w:rPr>
          <w:b/>
          <w:bCs/>
        </w:rPr>
        <w:t>27</w:t>
      </w:r>
      <w:r w:rsidRPr="00E84AFF">
        <w:t>, 81–84.</w:t>
      </w:r>
    </w:p>
    <w:p w14:paraId="541AC223" w14:textId="7FD9D7DB" w:rsidR="00545D17" w:rsidRDefault="00545D17" w:rsidP="00097EF8">
      <w:pPr>
        <w:pStyle w:val="ARIERRefs"/>
      </w:pPr>
      <w:r w:rsidRPr="00545D17">
        <w:t xml:space="preserve">Nichols, M., Ross, J., Glen, A.S. </w:t>
      </w:r>
      <w:r>
        <w:t>and</w:t>
      </w:r>
      <w:r w:rsidRPr="00545D17">
        <w:t xml:space="preserve"> Paterson, A.M. (2019)</w:t>
      </w:r>
      <w:r w:rsidR="000672B0">
        <w:t>.</w:t>
      </w:r>
      <w:r w:rsidRPr="00545D17">
        <w:t xml:space="preserve"> An evaluation of systematic versus strategically-placed camera traps for monitoring feral cats in </w:t>
      </w:r>
      <w:r>
        <w:t>N</w:t>
      </w:r>
      <w:r w:rsidRPr="00545D17">
        <w:t xml:space="preserve">ew </w:t>
      </w:r>
      <w:r>
        <w:t>Z</w:t>
      </w:r>
      <w:r w:rsidRPr="00545D17">
        <w:t xml:space="preserve">ealand. </w:t>
      </w:r>
      <w:r w:rsidRPr="00545D17">
        <w:rPr>
          <w:i/>
          <w:iCs/>
        </w:rPr>
        <w:t>Animals</w:t>
      </w:r>
      <w:r w:rsidR="0020558B">
        <w:t xml:space="preserve"> (Basel)</w:t>
      </w:r>
      <w:r w:rsidRPr="00545D17">
        <w:t xml:space="preserve"> </w:t>
      </w:r>
      <w:r w:rsidRPr="00545D17">
        <w:rPr>
          <w:b/>
          <w:bCs/>
        </w:rPr>
        <w:t>9</w:t>
      </w:r>
      <w:r w:rsidRPr="00545D17">
        <w:t>, 687.</w:t>
      </w:r>
    </w:p>
    <w:p w14:paraId="360E07D4" w14:textId="534F2762" w:rsidR="00437435" w:rsidRDefault="00437435" w:rsidP="00097EF8">
      <w:pPr>
        <w:pStyle w:val="ARIERRefs"/>
      </w:pPr>
      <w:r w:rsidRPr="00BD2847">
        <w:rPr>
          <w:szCs w:val="22"/>
        </w:rPr>
        <w:t>Nogales, M., Martin, A., Tershy, B.R., Donlan, C.J., Veitch, D., Puerta, N., Wood, B.</w:t>
      </w:r>
      <w:r>
        <w:rPr>
          <w:szCs w:val="22"/>
        </w:rPr>
        <w:t xml:space="preserve"> and</w:t>
      </w:r>
      <w:r w:rsidRPr="00A65CC6">
        <w:rPr>
          <w:szCs w:val="22"/>
        </w:rPr>
        <w:t xml:space="preserve"> Alonso, J. (2004). A review of </w:t>
      </w:r>
      <w:r>
        <w:rPr>
          <w:szCs w:val="22"/>
        </w:rPr>
        <w:t>feral cat</w:t>
      </w:r>
      <w:r w:rsidRPr="00A65CC6">
        <w:rPr>
          <w:szCs w:val="22"/>
        </w:rPr>
        <w:t xml:space="preserve"> eradication on islands. </w:t>
      </w:r>
      <w:r w:rsidRPr="00A65CC6">
        <w:rPr>
          <w:i/>
          <w:szCs w:val="22"/>
        </w:rPr>
        <w:t xml:space="preserve">Conservation Biology </w:t>
      </w:r>
      <w:r w:rsidRPr="00A65CC6">
        <w:rPr>
          <w:b/>
          <w:szCs w:val="22"/>
        </w:rPr>
        <w:t>18</w:t>
      </w:r>
      <w:r w:rsidRPr="00A65CC6">
        <w:rPr>
          <w:szCs w:val="22"/>
        </w:rPr>
        <w:t>, 310</w:t>
      </w:r>
      <w:r>
        <w:rPr>
          <w:szCs w:val="22"/>
        </w:rPr>
        <w:t>–</w:t>
      </w:r>
      <w:r w:rsidRPr="00A65CC6">
        <w:rPr>
          <w:szCs w:val="22"/>
        </w:rPr>
        <w:t>319</w:t>
      </w:r>
      <w:r>
        <w:rPr>
          <w:szCs w:val="22"/>
        </w:rPr>
        <w:t>.</w:t>
      </w:r>
    </w:p>
    <w:p w14:paraId="4BB01EA4" w14:textId="018C389F" w:rsidR="00D41395" w:rsidRDefault="00D41395" w:rsidP="00097EF8">
      <w:pPr>
        <w:pStyle w:val="ARIERRefs"/>
      </w:pPr>
      <w:r w:rsidRPr="00D41395">
        <w:t xml:space="preserve">Nuske, S., Vernes, K., May, T., Claridge, A., Congdon, B., Krockenberger, A. </w:t>
      </w:r>
      <w:r>
        <w:t>and</w:t>
      </w:r>
      <w:r w:rsidRPr="00D41395">
        <w:t xml:space="preserve"> Abell, S. (2017)</w:t>
      </w:r>
      <w:r>
        <w:t>.</w:t>
      </w:r>
      <w:r w:rsidRPr="00D41395">
        <w:t xml:space="preserve"> Redundancy among mammalian fungal dispersers and the importance of declining specialists. </w:t>
      </w:r>
      <w:r w:rsidRPr="00D41395">
        <w:rPr>
          <w:i/>
          <w:iCs/>
        </w:rPr>
        <w:t>Fungal Ecology</w:t>
      </w:r>
      <w:r w:rsidRPr="00D41395">
        <w:t xml:space="preserve"> </w:t>
      </w:r>
      <w:r w:rsidRPr="00D41395">
        <w:rPr>
          <w:b/>
          <w:bCs/>
        </w:rPr>
        <w:t>27</w:t>
      </w:r>
      <w:r w:rsidRPr="00D41395">
        <w:t>, 1–13</w:t>
      </w:r>
      <w:r>
        <w:t>.</w:t>
      </w:r>
    </w:p>
    <w:p w14:paraId="6D7727AE" w14:textId="00B51D41" w:rsidR="00854BBB" w:rsidRDefault="00854BBB" w:rsidP="00854BBB">
      <w:pPr>
        <w:pStyle w:val="ARIERRefs"/>
        <w:spacing w:before="240"/>
      </w:pPr>
      <w:r w:rsidRPr="00854BBB">
        <w:t>Phillips,  S.J.,  Anderson,  R.P.  and  Schapire,  R.E.</w:t>
      </w:r>
      <w:r>
        <w:t xml:space="preserve"> (</w:t>
      </w:r>
      <w:r w:rsidRPr="00854BBB">
        <w:t>2006</w:t>
      </w:r>
      <w:r>
        <w:t>)</w:t>
      </w:r>
      <w:r w:rsidRPr="00854BBB">
        <w:t>.</w:t>
      </w:r>
      <w:r>
        <w:t xml:space="preserve"> </w:t>
      </w:r>
      <w:r w:rsidRPr="00854BBB">
        <w:t>Maximum entropy modeling of species geographic distributions.</w:t>
      </w:r>
      <w:r>
        <w:t xml:space="preserve"> </w:t>
      </w:r>
      <w:r w:rsidRPr="00854BBB">
        <w:rPr>
          <w:i/>
          <w:iCs/>
        </w:rPr>
        <w:t>Ecological Modelling</w:t>
      </w:r>
      <w:r w:rsidRPr="00854BBB">
        <w:t xml:space="preserve"> </w:t>
      </w:r>
      <w:r w:rsidRPr="00854BBB">
        <w:rPr>
          <w:b/>
          <w:bCs/>
        </w:rPr>
        <w:t>190</w:t>
      </w:r>
      <w:r>
        <w:rPr>
          <w:b/>
          <w:bCs/>
        </w:rPr>
        <w:t>,</w:t>
      </w:r>
      <w:r w:rsidRPr="00854BBB">
        <w:t xml:space="preserve"> 231</w:t>
      </w:r>
      <w:r>
        <w:t>-</w:t>
      </w:r>
      <w:r w:rsidRPr="00854BBB">
        <w:t>259.</w:t>
      </w:r>
    </w:p>
    <w:p w14:paraId="033CFCE0" w14:textId="66E15498" w:rsidR="00097EF8" w:rsidRDefault="00097EF8" w:rsidP="00097EF8">
      <w:pPr>
        <w:pStyle w:val="ARIERRefs"/>
      </w:pPr>
      <w:r>
        <w:t xml:space="preserve">Plummer, M. (2003). </w:t>
      </w:r>
      <w:r w:rsidRPr="00091D5C">
        <w:rPr>
          <w:i/>
        </w:rPr>
        <w:t xml:space="preserve">JAGS: </w:t>
      </w:r>
      <w:r w:rsidR="00824766" w:rsidRPr="004B5C61">
        <w:rPr>
          <w:i/>
        </w:rPr>
        <w:t xml:space="preserve">a program for analysis </w:t>
      </w:r>
      <w:r w:rsidRPr="00091D5C">
        <w:rPr>
          <w:i/>
        </w:rPr>
        <w:t xml:space="preserve">of Bayesian </w:t>
      </w:r>
      <w:r w:rsidR="00824766" w:rsidRPr="004B5C61">
        <w:rPr>
          <w:i/>
        </w:rPr>
        <w:t xml:space="preserve">graphical models using </w:t>
      </w:r>
      <w:r w:rsidRPr="00091D5C">
        <w:rPr>
          <w:i/>
        </w:rPr>
        <w:t xml:space="preserve">Gibbs </w:t>
      </w:r>
      <w:r w:rsidR="00824766">
        <w:rPr>
          <w:i/>
        </w:rPr>
        <w:t>s</w:t>
      </w:r>
      <w:r w:rsidR="00824766" w:rsidRPr="00091D5C">
        <w:rPr>
          <w:i/>
        </w:rPr>
        <w:t>ampling</w:t>
      </w:r>
      <w:r>
        <w:t xml:space="preserve">. </w:t>
      </w:r>
      <w:r w:rsidR="00113DD3">
        <w:t>In: Hornik, K., Leisch, F. and Zeileis, A. (</w:t>
      </w:r>
      <w:r w:rsidR="00824766">
        <w:t>E</w:t>
      </w:r>
      <w:r w:rsidR="00113DD3">
        <w:t xml:space="preserve">ds). </w:t>
      </w:r>
      <w:r w:rsidR="00113DD3" w:rsidRPr="00091D5C">
        <w:rPr>
          <w:i/>
        </w:rPr>
        <w:t>Proceedings of the</w:t>
      </w:r>
      <w:r w:rsidRPr="00091D5C">
        <w:rPr>
          <w:i/>
        </w:rPr>
        <w:t xml:space="preserve"> 3rd International Workshop on Distributed Statistical Computing</w:t>
      </w:r>
      <w:r w:rsidR="00113DD3" w:rsidRPr="00091D5C">
        <w:rPr>
          <w:i/>
        </w:rPr>
        <w:t xml:space="preserve"> (DSC 2003)</w:t>
      </w:r>
      <w:r w:rsidR="00113DD3">
        <w:t>, Vienna, Austria</w:t>
      </w:r>
      <w:r w:rsidR="00824766">
        <w:t>, 20–22 March 2003</w:t>
      </w:r>
      <w:r w:rsidR="00113DD3">
        <w:t xml:space="preserve">. </w:t>
      </w:r>
      <w:hyperlink r:id="rId72" w:history="1">
        <w:r w:rsidR="00113DD3" w:rsidRPr="003E6630">
          <w:rPr>
            <w:rStyle w:val="Hyperlink"/>
          </w:rPr>
          <w:t>http://www.R-project.org/conferences/DSC-2003/</w:t>
        </w:r>
      </w:hyperlink>
      <w:r w:rsidR="00113DD3">
        <w:t xml:space="preserve"> (accessed June 2022).</w:t>
      </w:r>
    </w:p>
    <w:p w14:paraId="55BDD2CC" w14:textId="11F51D32" w:rsidR="00097EF8" w:rsidRDefault="00097EF8" w:rsidP="006D7841">
      <w:pPr>
        <w:pStyle w:val="ARIERRefs"/>
      </w:pPr>
      <w:r>
        <w:t xml:space="preserve">R Core Team. (2021). </w:t>
      </w:r>
      <w:r w:rsidRPr="00091D5C">
        <w:rPr>
          <w:i/>
        </w:rPr>
        <w:t>R: A Language and Environment for Statistical Computing (Version 4.</w:t>
      </w:r>
      <w:r w:rsidR="006D7841">
        <w:rPr>
          <w:i/>
        </w:rPr>
        <w:t>2</w:t>
      </w:r>
      <w:r w:rsidRPr="00091D5C">
        <w:rPr>
          <w:i/>
        </w:rPr>
        <w:t>.</w:t>
      </w:r>
      <w:r w:rsidR="006D7841">
        <w:rPr>
          <w:i/>
        </w:rPr>
        <w:t>1</w:t>
      </w:r>
      <w:r w:rsidRPr="00091D5C">
        <w:rPr>
          <w:i/>
        </w:rPr>
        <w:t>)</w:t>
      </w:r>
      <w:r>
        <w:t>. R Foundation for Statistical Computing</w:t>
      </w:r>
      <w:r w:rsidR="00144794">
        <w:t>, Vienna, Austria.</w:t>
      </w:r>
      <w:r>
        <w:t xml:space="preserve"> </w:t>
      </w:r>
      <w:hyperlink r:id="rId73" w:history="1">
        <w:r w:rsidR="006D7841" w:rsidRPr="008F3288">
          <w:rPr>
            <w:rStyle w:val="Hyperlink"/>
          </w:rPr>
          <w:t>http://www.R-project.org</w:t>
        </w:r>
      </w:hyperlink>
      <w:r w:rsidR="006D7841">
        <w:t xml:space="preserve">. </w:t>
      </w:r>
      <w:r w:rsidR="006D7841" w:rsidRPr="006D7841">
        <w:t>(accessed</w:t>
      </w:r>
      <w:r w:rsidR="006D7841">
        <w:t xml:space="preserve"> June 2022)</w:t>
      </w:r>
    </w:p>
    <w:p w14:paraId="1BF8F156" w14:textId="77777777" w:rsidR="00E84AFF" w:rsidRDefault="00E84AFF" w:rsidP="00097EF8">
      <w:pPr>
        <w:pStyle w:val="ARIERRefs"/>
      </w:pPr>
      <w:r w:rsidRPr="00E84AFF">
        <w:t>Ricciardello, J. (2006). Home range, habitat selection and microhabitat selection of the Long-nosed Potoroo (Potorous tridactylus tridactylus) in an area of intensive long-term fox control. BEnvSc Honours thesis, Deakin University.</w:t>
      </w:r>
    </w:p>
    <w:p w14:paraId="7891E6D6" w14:textId="6324F5DC" w:rsidR="00A05C38" w:rsidRDefault="00A05C38" w:rsidP="00097EF8">
      <w:pPr>
        <w:pStyle w:val="ARIERRefs"/>
      </w:pPr>
      <w:r w:rsidRPr="00A05C38">
        <w:t xml:space="preserve">Riley, S.J., DeGloria, S.D. </w:t>
      </w:r>
      <w:r>
        <w:t>an</w:t>
      </w:r>
      <w:r w:rsidR="000672B0">
        <w:t>d</w:t>
      </w:r>
      <w:r w:rsidRPr="00A05C38">
        <w:t xml:space="preserve"> Elliot, R. (1999)</w:t>
      </w:r>
      <w:r>
        <w:t>.</w:t>
      </w:r>
      <w:r w:rsidRPr="00A05C38">
        <w:t xml:space="preserve"> </w:t>
      </w:r>
      <w:r w:rsidR="00404E5B">
        <w:t>A terrain ruggedness</w:t>
      </w:r>
      <w:r w:rsidRPr="00A05C38">
        <w:t xml:space="preserve"> that quantifies topographic heterogeneity. </w:t>
      </w:r>
      <w:r w:rsidRPr="00091D5C">
        <w:rPr>
          <w:i/>
        </w:rPr>
        <w:t>Intermountain Journal of Sciences</w:t>
      </w:r>
      <w:r w:rsidRPr="00A05C38">
        <w:t xml:space="preserve"> </w:t>
      </w:r>
      <w:r w:rsidRPr="00A05C38">
        <w:rPr>
          <w:b/>
          <w:bCs/>
        </w:rPr>
        <w:t>5</w:t>
      </w:r>
      <w:r w:rsidRPr="00A05C38">
        <w:t>, 23–27.</w:t>
      </w:r>
    </w:p>
    <w:p w14:paraId="444EB928" w14:textId="77777777" w:rsidR="00854BBB" w:rsidRDefault="00854BBB" w:rsidP="00854BBB">
      <w:pPr>
        <w:pStyle w:val="ARIERRefs"/>
      </w:pPr>
      <w:r>
        <w:t>Robley, A., Gormley A., Albert, R., Bowd, M., Hatfield, C., McDonald, A., Thorpe, C., Scroggie, M., Smith, A. and Warton, F. (2011). Glenelg Ark 2005–2010: evidence of sustained control of foxes and benefits for native mammals. Arthur Rylah Institute for Environmental Research Technical Report Series No. 226. Department of Sustainability and Environment, Heidelberg, Victoria.</w:t>
      </w:r>
    </w:p>
    <w:p w14:paraId="3F5DE93B" w14:textId="54D32C13" w:rsidR="00606ACF" w:rsidRDefault="00606ACF" w:rsidP="00854BBB">
      <w:pPr>
        <w:pStyle w:val="ARIERRefs"/>
      </w:pPr>
      <w:r w:rsidRPr="00606ACF">
        <w:t xml:space="preserve">Robley, A., Stringer, L. and Hale, R. (2019). </w:t>
      </w:r>
      <w:r w:rsidRPr="00606ACF">
        <w:rPr>
          <w:i/>
          <w:iCs/>
        </w:rPr>
        <w:t>Glenelg Ark 2005–2018: long-term predator and native mammal response to predator control</w:t>
      </w:r>
      <w:r w:rsidRPr="00606ACF">
        <w:t>. Arthur Rylah Institute for Environmental Research Technical Report Series No. 297. Department of Environment, Land, Water and Planning, Heidelberg, Victoria.</w:t>
      </w:r>
    </w:p>
    <w:p w14:paraId="461279BA" w14:textId="77777777" w:rsidR="00F276C7" w:rsidRDefault="00F276C7" w:rsidP="00097EF8">
      <w:pPr>
        <w:pStyle w:val="ARIERRefs"/>
      </w:pPr>
      <w:r w:rsidRPr="00F276C7">
        <w:t xml:space="preserve">Robley, A., Cally, J.G., Murray, A., Bluff, L., Collyer, A., Borg, N. and Phillips, L. (2022). </w:t>
      </w:r>
      <w:r w:rsidRPr="00F276C7">
        <w:rPr>
          <w:i/>
          <w:iCs/>
        </w:rPr>
        <w:t>The response of native species to the 2019–20 bushfires and introduced predators in far East Gippsland</w:t>
      </w:r>
      <w:r w:rsidRPr="00F276C7">
        <w:t>. Arthur Rylah Institute for Environmental Research Technical Report Series No. 329. Department of Environment, Land, Water and Planning, Heidelberg, Victoria.</w:t>
      </w:r>
    </w:p>
    <w:p w14:paraId="3E956BDD" w14:textId="08191A4C" w:rsidR="00C31068" w:rsidRDefault="00097EF8" w:rsidP="00097EF8">
      <w:pPr>
        <w:pStyle w:val="ARIERRefs"/>
      </w:pPr>
      <w:r>
        <w:t xml:space="preserve">Royle, J.A. </w:t>
      </w:r>
      <w:r w:rsidR="000672B0">
        <w:t xml:space="preserve">and </w:t>
      </w:r>
      <w:r>
        <w:t>Kéry, M. (2007). A Bayesian state</w:t>
      </w:r>
      <w:r w:rsidR="004B3C55">
        <w:t>–</w:t>
      </w:r>
      <w:r>
        <w:t xml:space="preserve">space formulation of dynamic occupancy models. </w:t>
      </w:r>
      <w:r w:rsidRPr="00091D5C">
        <w:rPr>
          <w:i/>
        </w:rPr>
        <w:t>Ecology</w:t>
      </w:r>
      <w:r>
        <w:t xml:space="preserve"> </w:t>
      </w:r>
      <w:r w:rsidRPr="00091D5C">
        <w:rPr>
          <w:b/>
        </w:rPr>
        <w:t>88</w:t>
      </w:r>
      <w:r>
        <w:t>(7), 1813–1823.</w:t>
      </w:r>
    </w:p>
    <w:p w14:paraId="5E10B0CF" w14:textId="68A5AF9D" w:rsidR="00AB3A2C" w:rsidRDefault="00AB3A2C" w:rsidP="00AB3A2C">
      <w:pPr>
        <w:pStyle w:val="ARIERRefs"/>
      </w:pPr>
      <w:r>
        <w:t xml:space="preserve">Saunders, G., McLeod, S. and Kay, B. (2000). Degradation of sodium monofluoroacetate (1080) in buried fox baits. </w:t>
      </w:r>
      <w:r w:rsidRPr="00AB3A2C">
        <w:rPr>
          <w:i/>
          <w:iCs/>
        </w:rPr>
        <w:t>Wildlife Research</w:t>
      </w:r>
      <w:r>
        <w:t xml:space="preserve"> </w:t>
      </w:r>
      <w:r w:rsidRPr="00AB3A2C">
        <w:rPr>
          <w:b/>
          <w:bCs/>
        </w:rPr>
        <w:t>27</w:t>
      </w:r>
      <w:r>
        <w:t>, 129-135.</w:t>
      </w:r>
    </w:p>
    <w:p w14:paraId="655D6893" w14:textId="3B4EEE17" w:rsidR="00243FD6" w:rsidRDefault="00243FD6" w:rsidP="00AB3A2C">
      <w:pPr>
        <w:pStyle w:val="ARIERRefs"/>
      </w:pPr>
      <w:r w:rsidRPr="00243FD6">
        <w:t xml:space="preserve">Searle, K.R., Stokes, C.J. </w:t>
      </w:r>
      <w:r>
        <w:t>and</w:t>
      </w:r>
      <w:r w:rsidRPr="00243FD6">
        <w:t xml:space="preserve"> Gordon, I.J. (2008). When foraging and fear meet: using foraging hierarchies to inform assessments of landscapes of fear. </w:t>
      </w:r>
      <w:r w:rsidRPr="00243FD6">
        <w:rPr>
          <w:i/>
          <w:iCs/>
        </w:rPr>
        <w:t>Behavioral Ecology</w:t>
      </w:r>
      <w:r w:rsidRPr="00243FD6">
        <w:t xml:space="preserve"> </w:t>
      </w:r>
      <w:r w:rsidRPr="00243FD6">
        <w:rPr>
          <w:b/>
          <w:bCs/>
        </w:rPr>
        <w:t>19</w:t>
      </w:r>
      <w:r w:rsidRPr="00243FD6">
        <w:t>, 475</w:t>
      </w:r>
      <w:r w:rsidR="004B3C55">
        <w:t>–</w:t>
      </w:r>
      <w:r w:rsidRPr="00243FD6">
        <w:t>482.</w:t>
      </w:r>
    </w:p>
    <w:p w14:paraId="4E1001B9" w14:textId="77777777" w:rsidR="004F587B" w:rsidRDefault="00E84AFF" w:rsidP="004F587B">
      <w:pPr>
        <w:pStyle w:val="ARIERRefs"/>
      </w:pPr>
      <w:r w:rsidRPr="00E84AFF">
        <w:t xml:space="preserve">Scott, L.K., Hume, I.D. and Dickman, C.R. (1999). Ecology and population biology of long-nosed bandicoots (Perameles nasuta) at North Head, Sydney Harbour National Park. </w:t>
      </w:r>
      <w:r w:rsidRPr="00C525EA">
        <w:rPr>
          <w:i/>
          <w:iCs/>
        </w:rPr>
        <w:t>Wildlife Research</w:t>
      </w:r>
      <w:r w:rsidRPr="00E84AFF">
        <w:t xml:space="preserve"> </w:t>
      </w:r>
      <w:r w:rsidRPr="00C525EA">
        <w:rPr>
          <w:b/>
          <w:bCs/>
        </w:rPr>
        <w:t>26</w:t>
      </w:r>
      <w:r w:rsidRPr="00E84AFF">
        <w:t>, 805–821</w:t>
      </w:r>
      <w:r w:rsidR="00C525EA">
        <w:t>)</w:t>
      </w:r>
      <w:r w:rsidRPr="00E84AFF">
        <w:t>.</w:t>
      </w:r>
    </w:p>
    <w:p w14:paraId="7C198CF2" w14:textId="0D45E933" w:rsidR="00C525EA" w:rsidRPr="004F587B" w:rsidRDefault="00C525EA" w:rsidP="004F587B">
      <w:pPr>
        <w:pStyle w:val="ARIERRefs"/>
      </w:pPr>
      <w:r>
        <w:lastRenderedPageBreak/>
        <w:t>Seebeck</w:t>
      </w:r>
      <w:r w:rsidR="004F587B">
        <w:t xml:space="preserve">, J.H. (1978). Diet of the fox </w:t>
      </w:r>
      <w:r w:rsidR="004F587B" w:rsidRPr="00F276C7">
        <w:rPr>
          <w:i/>
          <w:iCs/>
        </w:rPr>
        <w:t>Vulpes vulpes</w:t>
      </w:r>
      <w:r w:rsidR="004F587B">
        <w:t xml:space="preserve"> in a western Victorian forest. </w:t>
      </w:r>
      <w:r w:rsidR="004F587B" w:rsidRPr="004F587B">
        <w:rPr>
          <w:i/>
          <w:iCs/>
        </w:rPr>
        <w:t>Australian Journal of Ecology</w:t>
      </w:r>
      <w:r w:rsidR="004F587B">
        <w:t xml:space="preserve"> </w:t>
      </w:r>
      <w:r w:rsidR="004F587B" w:rsidRPr="004F587B">
        <w:rPr>
          <w:b/>
          <w:bCs/>
        </w:rPr>
        <w:t>3</w:t>
      </w:r>
      <w:r w:rsidR="004F587B">
        <w:t>, 105-108.</w:t>
      </w:r>
      <w:r w:rsidR="004F587B">
        <w:rPr>
          <w:rFonts w:ascii="Open Sans" w:hAnsi="Open Sans" w:cs="Open Sans"/>
          <w:color w:val="767676"/>
          <w:sz w:val="21"/>
          <w:szCs w:val="21"/>
          <w:shd w:val="clear" w:color="auto" w:fill="FFFFFF"/>
        </w:rPr>
        <w:t> </w:t>
      </w:r>
      <w:hyperlink r:id="rId74" w:history="1">
        <w:r w:rsidR="004F587B" w:rsidRPr="004F587B">
          <w:rPr>
            <w:rStyle w:val="Hyperlink"/>
            <w:rFonts w:ascii="Open Sans" w:hAnsi="Open Sans" w:cs="Open Sans"/>
            <w:szCs w:val="20"/>
            <w:shd w:val="clear" w:color="auto" w:fill="FFFFFF"/>
          </w:rPr>
          <w:t>https://doi.org/10.1111/j.1442-9993.1978.tb00856.x</w:t>
        </w:r>
      </w:hyperlink>
      <w:r w:rsidR="004F587B">
        <w:rPr>
          <w:rFonts w:ascii="Open Sans" w:hAnsi="Open Sans" w:cs="Open Sans"/>
          <w:color w:val="767676"/>
          <w:szCs w:val="20"/>
          <w:shd w:val="clear" w:color="auto" w:fill="FFFFFF"/>
        </w:rPr>
        <w:t xml:space="preserve"> </w:t>
      </w:r>
      <w:r w:rsidR="004F587B" w:rsidRPr="004F587B">
        <w:rPr>
          <w:szCs w:val="20"/>
          <w:shd w:val="clear" w:color="auto" w:fill="FFFFFF"/>
        </w:rPr>
        <w:t>(accessed M</w:t>
      </w:r>
      <w:r w:rsidR="004F587B">
        <w:rPr>
          <w:szCs w:val="20"/>
          <w:shd w:val="clear" w:color="auto" w:fill="FFFFFF"/>
        </w:rPr>
        <w:t>a</w:t>
      </w:r>
      <w:r w:rsidR="004F587B" w:rsidRPr="004F587B">
        <w:rPr>
          <w:szCs w:val="20"/>
          <w:shd w:val="clear" w:color="auto" w:fill="FFFFFF"/>
        </w:rPr>
        <w:t>rch 2022).</w:t>
      </w:r>
    </w:p>
    <w:p w14:paraId="54292983" w14:textId="520DBEAF" w:rsidR="00243FD6" w:rsidRDefault="00243FD6" w:rsidP="00097EF8">
      <w:pPr>
        <w:pStyle w:val="ARIERRefs"/>
      </w:pPr>
      <w:r w:rsidRPr="00243FD6">
        <w:t>Sih, A. (1987). Prey refuges and predator</w:t>
      </w:r>
      <w:r w:rsidR="004B3C55">
        <w:t>–</w:t>
      </w:r>
      <w:r w:rsidRPr="00243FD6">
        <w:t xml:space="preserve">prey stability. </w:t>
      </w:r>
      <w:r w:rsidRPr="00243FD6">
        <w:rPr>
          <w:i/>
          <w:iCs/>
        </w:rPr>
        <w:t>Theoretical Population Biology</w:t>
      </w:r>
      <w:r w:rsidRPr="00243FD6">
        <w:t xml:space="preserve"> </w:t>
      </w:r>
      <w:r w:rsidRPr="00243FD6">
        <w:rPr>
          <w:b/>
          <w:bCs/>
        </w:rPr>
        <w:t>31</w:t>
      </w:r>
      <w:r w:rsidRPr="00243FD6">
        <w:t>, 1</w:t>
      </w:r>
      <w:r w:rsidR="004B3C55">
        <w:t>–</w:t>
      </w:r>
      <w:r w:rsidRPr="00243FD6">
        <w:t>12.</w:t>
      </w:r>
    </w:p>
    <w:p w14:paraId="45CEBB69" w14:textId="36599AD6" w:rsidR="00C31068" w:rsidRDefault="00C31068" w:rsidP="00097EF8">
      <w:pPr>
        <w:pStyle w:val="ARIERRefs"/>
      </w:pPr>
      <w:r w:rsidRPr="00C31068">
        <w:t>Simonson, W.D., Allen, H.D. and Coomes, D.A. (2014)</w:t>
      </w:r>
      <w:r>
        <w:t>.</w:t>
      </w:r>
      <w:r w:rsidRPr="00C31068">
        <w:t xml:space="preserve"> Applications of airborne lidar for the assessment of animal species diversity. </w:t>
      </w:r>
      <w:r w:rsidRPr="00C31068">
        <w:rPr>
          <w:i/>
          <w:iCs/>
        </w:rPr>
        <w:t>Methods in Ecology and Evolution</w:t>
      </w:r>
      <w:r w:rsidRPr="00C31068">
        <w:t>,</w:t>
      </w:r>
      <w:r w:rsidRPr="00C31068">
        <w:rPr>
          <w:b/>
          <w:bCs/>
        </w:rPr>
        <w:t xml:space="preserve"> 5</w:t>
      </w:r>
      <w:r>
        <w:rPr>
          <w:b/>
          <w:bCs/>
        </w:rPr>
        <w:t>,</w:t>
      </w:r>
      <w:r w:rsidRPr="00C31068">
        <w:t xml:space="preserve"> 719</w:t>
      </w:r>
      <w:r w:rsidR="004B3C55">
        <w:t>–</w:t>
      </w:r>
      <w:r w:rsidRPr="00C31068">
        <w:t xml:space="preserve">729. </w:t>
      </w:r>
      <w:hyperlink r:id="rId75" w:history="1">
        <w:r w:rsidR="004F587B" w:rsidRPr="0069180A">
          <w:rPr>
            <w:rStyle w:val="Hyperlink"/>
          </w:rPr>
          <w:t>https://doi.org/10.1111/2041-210X.12219</w:t>
        </w:r>
      </w:hyperlink>
      <w:r>
        <w:t xml:space="preserve"> (accessed May 2020)</w:t>
      </w:r>
      <w:r w:rsidR="00243FD6">
        <w:t>.</w:t>
      </w:r>
    </w:p>
    <w:p w14:paraId="5B24F2BD" w14:textId="4590B164" w:rsidR="00243FD6" w:rsidRDefault="00243FD6" w:rsidP="00097EF8">
      <w:pPr>
        <w:pStyle w:val="ARIERRefs"/>
      </w:pPr>
      <w:r w:rsidRPr="00243FD6">
        <w:t xml:space="preserve">Stallings, C.D. </w:t>
      </w:r>
      <w:r>
        <w:t>and</w:t>
      </w:r>
      <w:r w:rsidRPr="00243FD6">
        <w:t xml:space="preserve"> Dingeldein, A.L. (2012). Intraspecific cooperation facilitates synergistic predation. </w:t>
      </w:r>
      <w:r w:rsidRPr="00243FD6">
        <w:rPr>
          <w:i/>
          <w:iCs/>
        </w:rPr>
        <w:t>Bulletin of Marine Science</w:t>
      </w:r>
      <w:r w:rsidRPr="00243FD6">
        <w:t xml:space="preserve"> </w:t>
      </w:r>
      <w:r w:rsidRPr="00243FD6">
        <w:rPr>
          <w:b/>
          <w:bCs/>
        </w:rPr>
        <w:t>88</w:t>
      </w:r>
      <w:r w:rsidRPr="00243FD6">
        <w:t>, 317</w:t>
      </w:r>
      <w:r w:rsidR="004B3C55">
        <w:t>–</w:t>
      </w:r>
      <w:r w:rsidRPr="00243FD6">
        <w:t>318.</w:t>
      </w:r>
    </w:p>
    <w:p w14:paraId="23F93C9C" w14:textId="5AF21C33" w:rsidR="00545D17" w:rsidRDefault="00545D17" w:rsidP="00097EF8">
      <w:pPr>
        <w:pStyle w:val="ARIERRefs"/>
      </w:pPr>
      <w:r w:rsidRPr="00545D17">
        <w:t xml:space="preserve">Stobo-Wilson, A.M., Stokeld, D., Einoder, L.D., Davies, H.F., Fisher, A., Hill, B.M., Mahney, T., Murphy, B.P., Stevens, A., Woinarski, J.C.Z., Rangers, B., Rangers, W. </w:t>
      </w:r>
      <w:r>
        <w:t>and</w:t>
      </w:r>
      <w:r w:rsidRPr="00545D17">
        <w:t xml:space="preserve"> Gillespie, G.R. (2020)</w:t>
      </w:r>
      <w:r>
        <w:t>.</w:t>
      </w:r>
      <w:r w:rsidRPr="00545D17">
        <w:t xml:space="preserve"> Habitat structural complexity explains patterns of feral cat and dingo occurrence in monsoonal Australia. </w:t>
      </w:r>
      <w:r w:rsidRPr="00545D17">
        <w:rPr>
          <w:i/>
          <w:iCs/>
        </w:rPr>
        <w:t>Diversity and Distributions</w:t>
      </w:r>
      <w:r w:rsidRPr="00545D17">
        <w:t xml:space="preserve"> </w:t>
      </w:r>
      <w:r w:rsidRPr="00545D17">
        <w:rPr>
          <w:b/>
          <w:bCs/>
        </w:rPr>
        <w:t>26</w:t>
      </w:r>
      <w:r w:rsidRPr="00545D17">
        <w:t>, 832–842.</w:t>
      </w:r>
    </w:p>
    <w:p w14:paraId="1E05CFA5" w14:textId="43309104" w:rsidR="00243FD6" w:rsidRDefault="00243FD6" w:rsidP="00097EF8">
      <w:pPr>
        <w:pStyle w:val="ARIERRefs"/>
      </w:pPr>
      <w:r>
        <w:t xml:space="preserve">Su, Y.S. and Yajima, M. (2015). R2jags: </w:t>
      </w:r>
      <w:r w:rsidR="00252A73">
        <w:t>u</w:t>
      </w:r>
      <w:r>
        <w:t>sing R to Run ‘JAGS’. R package version 0.7</w:t>
      </w:r>
      <w:r w:rsidR="00EC5D43">
        <w:t>-1</w:t>
      </w:r>
      <w:r>
        <w:t xml:space="preserve">. </w:t>
      </w:r>
      <w:hyperlink r:id="rId76" w:history="1">
        <w:r w:rsidRPr="0096597F">
          <w:rPr>
            <w:rStyle w:val="Hyperlink"/>
          </w:rPr>
          <w:t>https://CRAN.R-project.org/package=R2jags</w:t>
        </w:r>
      </w:hyperlink>
      <w:r w:rsidR="00252A73">
        <w:t xml:space="preserve"> (accessed June 2022).</w:t>
      </w:r>
    </w:p>
    <w:p w14:paraId="2E862BC2" w14:textId="77777777" w:rsidR="00D868AD" w:rsidRPr="00D868AD" w:rsidRDefault="00D868AD" w:rsidP="00D868AD">
      <w:pPr>
        <w:pStyle w:val="ARIERRefs"/>
      </w:pPr>
    </w:p>
    <w:p w14:paraId="6C498744" w14:textId="77777777" w:rsidR="00D868AD" w:rsidRPr="00D868AD" w:rsidRDefault="00D868AD" w:rsidP="00D868AD">
      <w:pPr>
        <w:pStyle w:val="ARIERRefs"/>
        <w:rPr>
          <w:color w:val="FF0000"/>
        </w:rPr>
        <w:sectPr w:rsidR="00D868AD" w:rsidRPr="00D868AD" w:rsidSect="00A33935">
          <w:pgSz w:w="11907" w:h="16840" w:code="9"/>
          <w:pgMar w:top="1134" w:right="1134" w:bottom="1134" w:left="1134" w:header="709" w:footer="567" w:gutter="0"/>
          <w:pgNumType w:start="1"/>
          <w:cols w:space="708"/>
          <w:formProt w:val="0"/>
          <w:titlePg/>
          <w:docGrid w:linePitch="360"/>
        </w:sectPr>
      </w:pPr>
    </w:p>
    <w:p w14:paraId="5BD73B14" w14:textId="77777777" w:rsidR="00D868AD" w:rsidRDefault="00D868AD" w:rsidP="00D868AD">
      <w:pPr>
        <w:pStyle w:val="Heading1-Numbered"/>
        <w:numPr>
          <w:ilvl w:val="0"/>
          <w:numId w:val="0"/>
        </w:numPr>
        <w:ind w:left="432" w:hanging="432"/>
      </w:pPr>
      <w:bookmarkStart w:id="90" w:name="_Toc110599610"/>
      <w:r>
        <w:lastRenderedPageBreak/>
        <w:t>Appendix</w:t>
      </w:r>
      <w:bookmarkEnd w:id="90"/>
    </w:p>
    <w:p w14:paraId="2520F5CF" w14:textId="7786EDDE" w:rsidR="00FD6B39" w:rsidRPr="004332C9" w:rsidRDefault="00C61BB1" w:rsidP="00473385">
      <w:pPr>
        <w:rPr>
          <w:b/>
          <w:bCs/>
        </w:rPr>
      </w:pPr>
      <w:r w:rsidRPr="004332C9">
        <w:rPr>
          <w:b/>
          <w:bCs/>
        </w:rPr>
        <w:t>Table</w:t>
      </w:r>
      <w:r w:rsidR="00D112DF" w:rsidRPr="004332C9">
        <w:rPr>
          <w:b/>
          <w:bCs/>
        </w:rPr>
        <w:t xml:space="preserve"> A</w:t>
      </w:r>
      <w:r w:rsidR="004332C9" w:rsidRPr="004332C9">
        <w:rPr>
          <w:b/>
          <w:bCs/>
        </w:rPr>
        <w:t>1</w:t>
      </w:r>
      <w:r w:rsidR="00D112DF" w:rsidRPr="004332C9">
        <w:rPr>
          <w:b/>
          <w:bCs/>
        </w:rPr>
        <w:t xml:space="preserve">. </w:t>
      </w:r>
      <w:r w:rsidR="00FD6B39" w:rsidRPr="004332C9">
        <w:rPr>
          <w:b/>
          <w:bCs/>
        </w:rPr>
        <w:t>Occupancy model output for all species</w:t>
      </w:r>
      <w:r w:rsidR="004332C9">
        <w:rPr>
          <w:b/>
          <w:bCs/>
        </w:rPr>
        <w:t xml:space="preserve">. </w:t>
      </w:r>
      <w:r w:rsidR="004332C9" w:rsidRPr="004332C9">
        <w:t>Parameters of interest in bold were significant in that model</w:t>
      </w:r>
    </w:p>
    <w:tbl>
      <w:tblPr>
        <w:tblW w:w="5000" w:type="pct"/>
        <w:tblBorders>
          <w:bottom w:val="single" w:sz="4" w:space="0" w:color="00B2A9"/>
          <w:insideH w:val="single" w:sz="4" w:space="0" w:color="00B2A9"/>
        </w:tblBorders>
        <w:tblLayout w:type="fixed"/>
        <w:tblLook w:val="01E0" w:firstRow="1" w:lastRow="1" w:firstColumn="1" w:lastColumn="1" w:noHBand="0" w:noVBand="0"/>
      </w:tblPr>
      <w:tblGrid>
        <w:gridCol w:w="710"/>
        <w:gridCol w:w="3119"/>
        <w:gridCol w:w="1700"/>
        <w:gridCol w:w="1417"/>
        <w:gridCol w:w="995"/>
        <w:gridCol w:w="850"/>
        <w:gridCol w:w="848"/>
      </w:tblGrid>
      <w:tr w:rsidR="00103A6B" w:rsidRPr="00103A6B" w14:paraId="1EE6E802" w14:textId="77777777" w:rsidTr="00103A6B">
        <w:trPr>
          <w:trHeight w:val="20"/>
          <w:tblHeader/>
        </w:trPr>
        <w:tc>
          <w:tcPr>
            <w:tcW w:w="368" w:type="pct"/>
            <w:tcBorders>
              <w:top w:val="nil"/>
              <w:left w:val="nil"/>
              <w:bottom w:val="nil"/>
              <w:right w:val="nil"/>
              <w:tl2br w:val="nil"/>
              <w:tr2bl w:val="nil"/>
            </w:tcBorders>
            <w:shd w:val="clear" w:color="auto" w:fill="00B2A9"/>
          </w:tcPr>
          <w:p w14:paraId="05141156" w14:textId="35037164" w:rsidR="00FD6B39" w:rsidRPr="00103A6B" w:rsidRDefault="00FD6B39" w:rsidP="00103A6B">
            <w:pPr>
              <w:pStyle w:val="Tableheadingtext"/>
              <w:jc w:val="center"/>
              <w:rPr>
                <w:b w:val="0"/>
              </w:rPr>
            </w:pPr>
            <w:r w:rsidRPr="00103A6B">
              <w:rPr>
                <w:b w:val="0"/>
              </w:rPr>
              <w:t>Sp</w:t>
            </w:r>
            <w:r w:rsidR="00103A6B">
              <w:rPr>
                <w:b w:val="0"/>
              </w:rPr>
              <w:t>.</w:t>
            </w:r>
          </w:p>
        </w:tc>
        <w:tc>
          <w:tcPr>
            <w:tcW w:w="1618" w:type="pct"/>
            <w:tcBorders>
              <w:top w:val="nil"/>
              <w:left w:val="nil"/>
              <w:bottom w:val="nil"/>
              <w:right w:val="nil"/>
              <w:tl2br w:val="nil"/>
              <w:tr2bl w:val="nil"/>
            </w:tcBorders>
            <w:shd w:val="clear" w:color="auto" w:fill="00B2A9"/>
          </w:tcPr>
          <w:p w14:paraId="6DE9BB79" w14:textId="77777777" w:rsidR="00FD6B39" w:rsidRPr="00103A6B" w:rsidRDefault="00FD6B39" w:rsidP="00103A6B">
            <w:pPr>
              <w:pStyle w:val="Tableheadingtext"/>
              <w:jc w:val="center"/>
              <w:rPr>
                <w:b w:val="0"/>
              </w:rPr>
            </w:pPr>
            <w:r w:rsidRPr="00103A6B">
              <w:rPr>
                <w:b w:val="0"/>
              </w:rPr>
              <w:t>Parameter of interest</w:t>
            </w:r>
          </w:p>
        </w:tc>
        <w:tc>
          <w:tcPr>
            <w:tcW w:w="882" w:type="pct"/>
            <w:tcBorders>
              <w:top w:val="nil"/>
              <w:left w:val="nil"/>
              <w:bottom w:val="nil"/>
              <w:right w:val="nil"/>
              <w:tl2br w:val="nil"/>
              <w:tr2bl w:val="nil"/>
            </w:tcBorders>
            <w:shd w:val="clear" w:color="auto" w:fill="00B2A9"/>
          </w:tcPr>
          <w:p w14:paraId="3ACA09BE" w14:textId="77777777" w:rsidR="00FD6B39" w:rsidRPr="00103A6B" w:rsidRDefault="00FD6B39" w:rsidP="00103A6B">
            <w:pPr>
              <w:pStyle w:val="Tableheadingtext"/>
              <w:jc w:val="center"/>
              <w:rPr>
                <w:b w:val="0"/>
              </w:rPr>
            </w:pPr>
            <w:r w:rsidRPr="00103A6B">
              <w:rPr>
                <w:b w:val="0"/>
              </w:rPr>
              <w:t>Model</w:t>
            </w:r>
          </w:p>
        </w:tc>
        <w:tc>
          <w:tcPr>
            <w:tcW w:w="735" w:type="pct"/>
            <w:tcBorders>
              <w:top w:val="nil"/>
              <w:left w:val="nil"/>
              <w:bottom w:val="nil"/>
              <w:right w:val="nil"/>
              <w:tl2br w:val="nil"/>
              <w:tr2bl w:val="nil"/>
            </w:tcBorders>
            <w:shd w:val="clear" w:color="auto" w:fill="00B2A9"/>
          </w:tcPr>
          <w:p w14:paraId="73E4905E" w14:textId="77777777" w:rsidR="00FD6B39" w:rsidRPr="00103A6B" w:rsidRDefault="00FD6B39" w:rsidP="00103A6B">
            <w:pPr>
              <w:pStyle w:val="Tableheadingtext"/>
              <w:jc w:val="center"/>
              <w:rPr>
                <w:b w:val="0"/>
              </w:rPr>
            </w:pPr>
            <w:r w:rsidRPr="00103A6B">
              <w:rPr>
                <w:b w:val="0"/>
              </w:rPr>
              <w:t>Parameter</w:t>
            </w:r>
          </w:p>
        </w:tc>
        <w:tc>
          <w:tcPr>
            <w:tcW w:w="516" w:type="pct"/>
            <w:tcBorders>
              <w:top w:val="nil"/>
              <w:left w:val="nil"/>
              <w:bottom w:val="nil"/>
              <w:right w:val="nil"/>
              <w:tl2br w:val="nil"/>
              <w:tr2bl w:val="nil"/>
            </w:tcBorders>
            <w:shd w:val="clear" w:color="auto" w:fill="00B2A9"/>
          </w:tcPr>
          <w:p w14:paraId="228357E4" w14:textId="77777777" w:rsidR="00FD6B39" w:rsidRPr="00103A6B" w:rsidRDefault="00FD6B39" w:rsidP="00103A6B">
            <w:pPr>
              <w:pStyle w:val="Tableheadingtext"/>
              <w:jc w:val="center"/>
              <w:rPr>
                <w:b w:val="0"/>
              </w:rPr>
            </w:pPr>
            <w:r w:rsidRPr="00103A6B">
              <w:rPr>
                <w:b w:val="0"/>
              </w:rPr>
              <w:t>Estimate</w:t>
            </w:r>
          </w:p>
        </w:tc>
        <w:tc>
          <w:tcPr>
            <w:tcW w:w="441" w:type="pct"/>
            <w:tcBorders>
              <w:top w:val="nil"/>
              <w:left w:val="nil"/>
              <w:bottom w:val="nil"/>
              <w:right w:val="nil"/>
              <w:tl2br w:val="nil"/>
              <w:tr2bl w:val="nil"/>
            </w:tcBorders>
            <w:shd w:val="clear" w:color="auto" w:fill="00B2A9"/>
          </w:tcPr>
          <w:p w14:paraId="23CF957B" w14:textId="77777777" w:rsidR="00FD6B39" w:rsidRPr="00103A6B" w:rsidRDefault="00FD6B39" w:rsidP="00103A6B">
            <w:pPr>
              <w:pStyle w:val="Tableheadingtext"/>
              <w:jc w:val="center"/>
              <w:rPr>
                <w:b w:val="0"/>
              </w:rPr>
            </w:pPr>
            <w:r w:rsidRPr="00103A6B">
              <w:rPr>
                <w:b w:val="0"/>
              </w:rPr>
              <w:t>Lower bound</w:t>
            </w:r>
          </w:p>
        </w:tc>
        <w:tc>
          <w:tcPr>
            <w:tcW w:w="440" w:type="pct"/>
            <w:tcBorders>
              <w:top w:val="nil"/>
              <w:left w:val="nil"/>
              <w:bottom w:val="nil"/>
              <w:right w:val="nil"/>
              <w:tl2br w:val="nil"/>
              <w:tr2bl w:val="nil"/>
            </w:tcBorders>
            <w:shd w:val="clear" w:color="auto" w:fill="00B2A9"/>
          </w:tcPr>
          <w:p w14:paraId="6DA64661" w14:textId="77777777" w:rsidR="00FD6B39" w:rsidRPr="00103A6B" w:rsidRDefault="00FD6B39" w:rsidP="00103A6B">
            <w:pPr>
              <w:pStyle w:val="Tableheadingtext"/>
              <w:jc w:val="center"/>
              <w:rPr>
                <w:b w:val="0"/>
              </w:rPr>
            </w:pPr>
            <w:r w:rsidRPr="00103A6B">
              <w:rPr>
                <w:b w:val="0"/>
              </w:rPr>
              <w:t>Upper bound</w:t>
            </w:r>
          </w:p>
        </w:tc>
      </w:tr>
      <w:tr w:rsidR="00103A6B" w14:paraId="405F45FA" w14:textId="320BBD7B" w:rsidTr="00091D5C">
        <w:trPr>
          <w:trHeight w:val="20"/>
        </w:trPr>
        <w:tc>
          <w:tcPr>
            <w:tcW w:w="368" w:type="pct"/>
            <w:shd w:val="clear" w:color="auto" w:fill="auto"/>
          </w:tcPr>
          <w:p w14:paraId="0FB58EBA" w14:textId="69C3E7F6" w:rsidR="00103A6B" w:rsidRPr="00243764" w:rsidRDefault="00AC0209" w:rsidP="00091D5C">
            <w:pPr>
              <w:pStyle w:val="Tablebodytext"/>
              <w:jc w:val="center"/>
            </w:pPr>
            <w:r>
              <w:rPr>
                <w:rFonts w:ascii="Calibri" w:hAnsi="Calibri" w:cs="Calibri"/>
                <w:b/>
                <w:bCs/>
                <w:color w:val="000000"/>
                <w:lang w:eastAsia="en-AU"/>
              </w:rPr>
              <w:t>CBP</w:t>
            </w:r>
          </w:p>
        </w:tc>
        <w:tc>
          <w:tcPr>
            <w:tcW w:w="1618" w:type="pct"/>
            <w:shd w:val="clear" w:color="auto" w:fill="auto"/>
          </w:tcPr>
          <w:p w14:paraId="43312214" w14:textId="45562B3F" w:rsidR="00103A6B" w:rsidRPr="00243764" w:rsidRDefault="00103A6B">
            <w:pPr>
              <w:pStyle w:val="Tablebodytext"/>
              <w:jc w:val="center"/>
            </w:pPr>
            <w:r w:rsidRPr="002F6832">
              <w:rPr>
                <w:rFonts w:ascii="Calibri" w:hAnsi="Calibri" w:cs="Calibri"/>
                <w:b/>
                <w:bCs/>
                <w:color w:val="000000"/>
                <w:lang w:eastAsia="en-AU"/>
              </w:rPr>
              <w:t>Distance to non-native vegetation</w:t>
            </w:r>
          </w:p>
        </w:tc>
        <w:tc>
          <w:tcPr>
            <w:tcW w:w="882" w:type="pct"/>
            <w:shd w:val="clear" w:color="auto" w:fill="auto"/>
          </w:tcPr>
          <w:p w14:paraId="4EF52F0F" w14:textId="5C9995B2" w:rsidR="00103A6B" w:rsidRPr="00243764" w:rsidRDefault="006346AA">
            <w:pPr>
              <w:pStyle w:val="Tablebodytext"/>
              <w:jc w:val="center"/>
            </w:pPr>
            <w:r>
              <w:rPr>
                <w:rFonts w:ascii="Calibri" w:hAnsi="Calibri" w:cs="Calibri"/>
                <w:b/>
                <w:bCs/>
                <w:color w:val="000000"/>
                <w:lang w:eastAsia="en-AU"/>
              </w:rPr>
              <w:t>Persistence rate</w:t>
            </w:r>
          </w:p>
        </w:tc>
        <w:tc>
          <w:tcPr>
            <w:tcW w:w="735" w:type="pct"/>
            <w:shd w:val="clear" w:color="auto" w:fill="auto"/>
          </w:tcPr>
          <w:p w14:paraId="2F1B2B77" w14:textId="637C4390" w:rsidR="00103A6B" w:rsidRDefault="00103A6B">
            <w:pPr>
              <w:pStyle w:val="Tablebodytext"/>
              <w:jc w:val="center"/>
            </w:pPr>
            <w:r w:rsidRPr="002F6832">
              <w:rPr>
                <w:rFonts w:ascii="Calibri" w:hAnsi="Calibri" w:cs="Calibri"/>
                <w:b/>
                <w:bCs/>
                <w:color w:val="000000"/>
                <w:lang w:eastAsia="en-AU"/>
              </w:rPr>
              <w:t>DNNV</w:t>
            </w:r>
          </w:p>
        </w:tc>
        <w:tc>
          <w:tcPr>
            <w:tcW w:w="516" w:type="pct"/>
          </w:tcPr>
          <w:p w14:paraId="5A9EA27B" w14:textId="55747514"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0.441</w:t>
            </w:r>
          </w:p>
        </w:tc>
        <w:tc>
          <w:tcPr>
            <w:tcW w:w="441" w:type="pct"/>
          </w:tcPr>
          <w:p w14:paraId="6469E40E" w14:textId="5E81030B"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0.818</w:t>
            </w:r>
          </w:p>
        </w:tc>
        <w:tc>
          <w:tcPr>
            <w:tcW w:w="440" w:type="pct"/>
          </w:tcPr>
          <w:p w14:paraId="0770E949" w14:textId="22887960"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0.085</w:t>
            </w:r>
          </w:p>
        </w:tc>
      </w:tr>
      <w:tr w:rsidR="00103A6B" w14:paraId="0A0439C7" w14:textId="11B24195" w:rsidTr="00091D5C">
        <w:trPr>
          <w:trHeight w:val="20"/>
        </w:trPr>
        <w:tc>
          <w:tcPr>
            <w:tcW w:w="368" w:type="pct"/>
            <w:shd w:val="clear" w:color="auto" w:fill="auto"/>
          </w:tcPr>
          <w:p w14:paraId="220C682E" w14:textId="6707CA9E" w:rsidR="00103A6B" w:rsidRPr="00243764"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510576D0" w14:textId="3A56AB80" w:rsidR="00103A6B" w:rsidRPr="00243764"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59ABFC0D" w14:textId="1ACB5C75" w:rsidR="00103A6B" w:rsidRPr="00243764"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35F16D8B" w14:textId="17013D3A" w:rsidR="00103A6B" w:rsidRDefault="00103A6B">
            <w:pPr>
              <w:pStyle w:val="Tablebodytext"/>
              <w:jc w:val="center"/>
            </w:pPr>
            <w:proofErr w:type="spellStart"/>
            <w:proofErr w:type="gramStart"/>
            <w:r w:rsidRPr="002F6832">
              <w:rPr>
                <w:rFonts w:ascii="Calibri" w:hAnsi="Calibri" w:cs="Calibri"/>
                <w:color w:val="000000"/>
                <w:lang w:eastAsia="en-AU"/>
              </w:rPr>
              <w:t>DNNV:Bait</w:t>
            </w:r>
            <w:proofErr w:type="spellEnd"/>
            <w:proofErr w:type="gramEnd"/>
          </w:p>
        </w:tc>
        <w:tc>
          <w:tcPr>
            <w:tcW w:w="516" w:type="pct"/>
          </w:tcPr>
          <w:p w14:paraId="3BEAE523" w14:textId="25969F88" w:rsidR="00103A6B" w:rsidRDefault="00103A6B">
            <w:pPr>
              <w:pStyle w:val="Tablebodytext"/>
              <w:jc w:val="center"/>
            </w:pPr>
            <w:r w:rsidRPr="002F6832">
              <w:rPr>
                <w:rFonts w:ascii="Calibri" w:hAnsi="Calibri" w:cs="Calibri"/>
                <w:color w:val="000000"/>
                <w:lang w:eastAsia="en-AU"/>
              </w:rPr>
              <w:t>0.394</w:t>
            </w:r>
          </w:p>
        </w:tc>
        <w:tc>
          <w:tcPr>
            <w:tcW w:w="441" w:type="pct"/>
          </w:tcPr>
          <w:p w14:paraId="4BB6D917" w14:textId="62EAF018"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0.08</w:t>
            </w:r>
            <w:r w:rsidR="00103A6B">
              <w:rPr>
                <w:rFonts w:ascii="Calibri" w:hAnsi="Calibri" w:cs="Calibri"/>
                <w:color w:val="000000"/>
                <w:lang w:eastAsia="en-AU"/>
              </w:rPr>
              <w:t>0</w:t>
            </w:r>
          </w:p>
        </w:tc>
        <w:tc>
          <w:tcPr>
            <w:tcW w:w="440" w:type="pct"/>
          </w:tcPr>
          <w:p w14:paraId="7E8A9D1C" w14:textId="3901518E" w:rsidR="00103A6B" w:rsidRDefault="00103A6B">
            <w:pPr>
              <w:pStyle w:val="Tablebodytext"/>
              <w:jc w:val="center"/>
            </w:pPr>
            <w:r w:rsidRPr="002F6832">
              <w:rPr>
                <w:rFonts w:ascii="Calibri" w:hAnsi="Calibri" w:cs="Calibri"/>
                <w:color w:val="000000"/>
                <w:lang w:eastAsia="en-AU"/>
              </w:rPr>
              <w:t>0.897</w:t>
            </w:r>
          </w:p>
        </w:tc>
      </w:tr>
      <w:tr w:rsidR="00103A6B" w14:paraId="69DBD98E" w14:textId="26BA2CEA" w:rsidTr="00091D5C">
        <w:trPr>
          <w:trHeight w:val="20"/>
        </w:trPr>
        <w:tc>
          <w:tcPr>
            <w:tcW w:w="368" w:type="pct"/>
            <w:shd w:val="clear" w:color="auto" w:fill="auto"/>
          </w:tcPr>
          <w:p w14:paraId="5F293752" w14:textId="3FCCAD83" w:rsidR="00103A6B" w:rsidRPr="00243764" w:rsidRDefault="00AC0209" w:rsidP="00091D5C">
            <w:pPr>
              <w:pStyle w:val="Tablebodytext"/>
              <w:jc w:val="center"/>
            </w:pPr>
            <w:r>
              <w:rPr>
                <w:rFonts w:ascii="Calibri" w:hAnsi="Calibri" w:cs="Calibri"/>
                <w:b/>
                <w:bCs/>
                <w:color w:val="000000"/>
                <w:lang w:eastAsia="en-AU"/>
              </w:rPr>
              <w:t>CBP</w:t>
            </w:r>
          </w:p>
        </w:tc>
        <w:tc>
          <w:tcPr>
            <w:tcW w:w="1618" w:type="pct"/>
            <w:shd w:val="clear" w:color="auto" w:fill="auto"/>
          </w:tcPr>
          <w:p w14:paraId="4B3C2F30" w14:textId="317B1A8E" w:rsidR="00103A6B" w:rsidRPr="00243764" w:rsidRDefault="00103A6B">
            <w:pPr>
              <w:pStyle w:val="Tablebodytext"/>
              <w:jc w:val="center"/>
            </w:pPr>
            <w:r w:rsidRPr="002F6832">
              <w:rPr>
                <w:rFonts w:ascii="Calibri" w:hAnsi="Calibri" w:cs="Calibri"/>
                <w:b/>
                <w:bCs/>
                <w:color w:val="000000"/>
                <w:lang w:eastAsia="en-AU"/>
              </w:rPr>
              <w:t>Distance to non-native vegetation</w:t>
            </w:r>
          </w:p>
        </w:tc>
        <w:tc>
          <w:tcPr>
            <w:tcW w:w="882" w:type="pct"/>
            <w:shd w:val="clear" w:color="auto" w:fill="auto"/>
          </w:tcPr>
          <w:p w14:paraId="5EEB1B94" w14:textId="45475A2C" w:rsidR="00103A6B" w:rsidRPr="00243764" w:rsidRDefault="006346AA">
            <w:pPr>
              <w:pStyle w:val="Tablebodytext"/>
              <w:jc w:val="center"/>
            </w:pPr>
            <w:r>
              <w:rPr>
                <w:rFonts w:ascii="Calibri" w:hAnsi="Calibri" w:cs="Calibri"/>
                <w:b/>
                <w:bCs/>
                <w:color w:val="000000"/>
                <w:lang w:eastAsia="en-AU"/>
              </w:rPr>
              <w:t>Persistence rate</w:t>
            </w:r>
          </w:p>
        </w:tc>
        <w:tc>
          <w:tcPr>
            <w:tcW w:w="735" w:type="pct"/>
            <w:shd w:val="clear" w:color="auto" w:fill="auto"/>
          </w:tcPr>
          <w:p w14:paraId="7C8DE01E" w14:textId="27B8D6FE" w:rsidR="00103A6B" w:rsidRDefault="00103A6B">
            <w:pPr>
              <w:pStyle w:val="Tablebodytext"/>
              <w:jc w:val="center"/>
            </w:pPr>
            <w:r w:rsidRPr="002F6832">
              <w:rPr>
                <w:rFonts w:ascii="Calibri" w:hAnsi="Calibri" w:cs="Calibri"/>
                <w:b/>
                <w:bCs/>
                <w:color w:val="000000"/>
                <w:lang w:eastAsia="en-AU"/>
              </w:rPr>
              <w:t>Bait</w:t>
            </w:r>
          </w:p>
        </w:tc>
        <w:tc>
          <w:tcPr>
            <w:tcW w:w="516" w:type="pct"/>
          </w:tcPr>
          <w:p w14:paraId="718D00B6" w14:textId="791C93BB" w:rsidR="00103A6B" w:rsidRDefault="00103A6B">
            <w:pPr>
              <w:pStyle w:val="Tablebodytext"/>
              <w:jc w:val="center"/>
            </w:pPr>
            <w:r w:rsidRPr="002F6832">
              <w:rPr>
                <w:rFonts w:ascii="Calibri" w:hAnsi="Calibri" w:cs="Calibri"/>
                <w:b/>
                <w:bCs/>
                <w:color w:val="000000"/>
                <w:lang w:eastAsia="en-AU"/>
              </w:rPr>
              <w:t>8.491</w:t>
            </w:r>
          </w:p>
        </w:tc>
        <w:tc>
          <w:tcPr>
            <w:tcW w:w="441" w:type="pct"/>
          </w:tcPr>
          <w:p w14:paraId="3626A925" w14:textId="585C5562" w:rsidR="00103A6B" w:rsidRDefault="00103A6B">
            <w:pPr>
              <w:pStyle w:val="Tablebodytext"/>
              <w:jc w:val="center"/>
            </w:pPr>
            <w:r w:rsidRPr="002F6832">
              <w:rPr>
                <w:rFonts w:ascii="Calibri" w:hAnsi="Calibri" w:cs="Calibri"/>
                <w:b/>
                <w:bCs/>
                <w:color w:val="000000"/>
                <w:lang w:eastAsia="en-AU"/>
              </w:rPr>
              <w:t>5.379</w:t>
            </w:r>
          </w:p>
        </w:tc>
        <w:tc>
          <w:tcPr>
            <w:tcW w:w="440" w:type="pct"/>
          </w:tcPr>
          <w:p w14:paraId="4F59DCA8" w14:textId="69447288" w:rsidR="00103A6B" w:rsidRDefault="00103A6B">
            <w:pPr>
              <w:pStyle w:val="Tablebodytext"/>
              <w:jc w:val="center"/>
            </w:pPr>
            <w:r w:rsidRPr="002F6832">
              <w:rPr>
                <w:rFonts w:ascii="Calibri" w:hAnsi="Calibri" w:cs="Calibri"/>
                <w:b/>
                <w:bCs/>
                <w:color w:val="000000"/>
                <w:lang w:eastAsia="en-AU"/>
              </w:rPr>
              <w:t>9.841</w:t>
            </w:r>
          </w:p>
        </w:tc>
      </w:tr>
      <w:tr w:rsidR="00103A6B" w:rsidRPr="006903AF" w14:paraId="2C7E185E" w14:textId="4572F618" w:rsidTr="00091D5C">
        <w:trPr>
          <w:trHeight w:val="20"/>
        </w:trPr>
        <w:tc>
          <w:tcPr>
            <w:tcW w:w="368" w:type="pct"/>
            <w:shd w:val="clear" w:color="auto" w:fill="auto"/>
          </w:tcPr>
          <w:p w14:paraId="323603C3" w14:textId="0E28B6AE" w:rsidR="00103A6B" w:rsidRPr="006903AF" w:rsidRDefault="00AC0209" w:rsidP="00091D5C">
            <w:pPr>
              <w:pStyle w:val="Tablebodytext"/>
              <w:jc w:val="center"/>
              <w:rPr>
                <w:i/>
              </w:rPr>
            </w:pPr>
            <w:r>
              <w:rPr>
                <w:rFonts w:ascii="Calibri" w:hAnsi="Calibri" w:cs="Calibri"/>
                <w:color w:val="000000"/>
                <w:lang w:eastAsia="en-AU"/>
              </w:rPr>
              <w:t>CBP</w:t>
            </w:r>
          </w:p>
        </w:tc>
        <w:tc>
          <w:tcPr>
            <w:tcW w:w="1618" w:type="pct"/>
            <w:shd w:val="clear" w:color="auto" w:fill="auto"/>
          </w:tcPr>
          <w:p w14:paraId="5D3B2E3F" w14:textId="242538CA" w:rsidR="00103A6B" w:rsidRPr="006903AF"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426A21FE" w14:textId="43006DB5" w:rsidR="00103A6B" w:rsidRPr="006903AF"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7CA6F7D1" w14:textId="027D9ECF" w:rsidR="00103A6B" w:rsidRPr="006903AF" w:rsidRDefault="00103A6B">
            <w:pPr>
              <w:pStyle w:val="Tablebodytext"/>
              <w:jc w:val="center"/>
            </w:pPr>
            <w:r w:rsidRPr="002F6832">
              <w:rPr>
                <w:rFonts w:ascii="Calibri" w:hAnsi="Calibri" w:cs="Calibri"/>
                <w:color w:val="000000"/>
                <w:lang w:eastAsia="en-AU"/>
              </w:rPr>
              <w:t>DNNV</w:t>
            </w:r>
          </w:p>
        </w:tc>
        <w:tc>
          <w:tcPr>
            <w:tcW w:w="516" w:type="pct"/>
          </w:tcPr>
          <w:p w14:paraId="33FEA7AC" w14:textId="68EA4BF9" w:rsidR="00103A6B" w:rsidRPr="006903AF"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0.119</w:t>
            </w:r>
          </w:p>
        </w:tc>
        <w:tc>
          <w:tcPr>
            <w:tcW w:w="441" w:type="pct"/>
          </w:tcPr>
          <w:p w14:paraId="4E18698A" w14:textId="0B126AF1" w:rsidR="00103A6B" w:rsidRPr="006903AF"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0.348</w:t>
            </w:r>
          </w:p>
        </w:tc>
        <w:tc>
          <w:tcPr>
            <w:tcW w:w="440" w:type="pct"/>
          </w:tcPr>
          <w:p w14:paraId="6657C11F" w14:textId="0A0700A0" w:rsidR="00103A6B" w:rsidRPr="006903AF" w:rsidRDefault="00103A6B">
            <w:pPr>
              <w:pStyle w:val="Tablebodytext"/>
              <w:jc w:val="center"/>
            </w:pPr>
            <w:r w:rsidRPr="002F6832">
              <w:rPr>
                <w:rFonts w:ascii="Calibri" w:hAnsi="Calibri" w:cs="Calibri"/>
                <w:color w:val="000000"/>
                <w:lang w:eastAsia="en-AU"/>
              </w:rPr>
              <w:t>0.105</w:t>
            </w:r>
          </w:p>
        </w:tc>
      </w:tr>
      <w:tr w:rsidR="00103A6B" w:rsidRPr="00243764" w14:paraId="5FAC63E4" w14:textId="4F98AA43" w:rsidTr="00091D5C">
        <w:trPr>
          <w:trHeight w:val="20"/>
        </w:trPr>
        <w:tc>
          <w:tcPr>
            <w:tcW w:w="368" w:type="pct"/>
            <w:shd w:val="clear" w:color="auto" w:fill="auto"/>
          </w:tcPr>
          <w:p w14:paraId="7C79A955" w14:textId="30FB99D8" w:rsidR="00103A6B" w:rsidRPr="00243764"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62622441" w14:textId="7621E1E7" w:rsidR="00103A6B" w:rsidRPr="00243764"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6A15AD8C" w14:textId="0CE46085" w:rsidR="00103A6B" w:rsidRPr="00243764"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5CAFCF31" w14:textId="30577CB3" w:rsidR="00103A6B" w:rsidRPr="00CB0FC8" w:rsidRDefault="00103A6B">
            <w:pPr>
              <w:pStyle w:val="Tablebodytext"/>
              <w:jc w:val="center"/>
              <w:rPr>
                <w:vertAlign w:val="superscript"/>
              </w:rPr>
            </w:pPr>
            <w:proofErr w:type="spellStart"/>
            <w:proofErr w:type="gramStart"/>
            <w:r w:rsidRPr="002F6832">
              <w:rPr>
                <w:rFonts w:ascii="Calibri" w:hAnsi="Calibri" w:cs="Calibri"/>
                <w:color w:val="000000"/>
                <w:lang w:eastAsia="en-AU"/>
              </w:rPr>
              <w:t>DNNV:Bait</w:t>
            </w:r>
            <w:proofErr w:type="spellEnd"/>
            <w:proofErr w:type="gramEnd"/>
          </w:p>
        </w:tc>
        <w:tc>
          <w:tcPr>
            <w:tcW w:w="516" w:type="pct"/>
          </w:tcPr>
          <w:p w14:paraId="1F9F3207" w14:textId="4F9AFF05" w:rsidR="00103A6B" w:rsidRPr="00CB0FC8" w:rsidRDefault="00D76048">
            <w:pPr>
              <w:pStyle w:val="Tablebodytext"/>
              <w:jc w:val="center"/>
              <w:rPr>
                <w:vertAlign w:val="superscript"/>
              </w:rPr>
            </w:pPr>
            <w:r>
              <w:rPr>
                <w:rFonts w:ascii="Calibri" w:hAnsi="Calibri" w:cs="Calibri"/>
                <w:color w:val="000000"/>
                <w:lang w:eastAsia="en-AU"/>
              </w:rPr>
              <w:t>–</w:t>
            </w:r>
            <w:r w:rsidR="00103A6B" w:rsidRPr="002F6832">
              <w:rPr>
                <w:rFonts w:ascii="Calibri" w:hAnsi="Calibri" w:cs="Calibri"/>
                <w:color w:val="000000"/>
                <w:lang w:eastAsia="en-AU"/>
              </w:rPr>
              <w:t>0.271</w:t>
            </w:r>
          </w:p>
        </w:tc>
        <w:tc>
          <w:tcPr>
            <w:tcW w:w="441" w:type="pct"/>
          </w:tcPr>
          <w:p w14:paraId="1FCE8A79" w14:textId="4C6037E7" w:rsidR="00103A6B" w:rsidRPr="00CB0FC8" w:rsidRDefault="00D76048">
            <w:pPr>
              <w:pStyle w:val="Tablebodytext"/>
              <w:jc w:val="center"/>
              <w:rPr>
                <w:vertAlign w:val="superscript"/>
              </w:rPr>
            </w:pPr>
            <w:r>
              <w:rPr>
                <w:rFonts w:ascii="Calibri" w:hAnsi="Calibri" w:cs="Calibri"/>
                <w:color w:val="000000"/>
                <w:lang w:eastAsia="en-AU"/>
              </w:rPr>
              <w:t>–</w:t>
            </w:r>
            <w:r w:rsidR="00103A6B" w:rsidRPr="002F6832">
              <w:rPr>
                <w:rFonts w:ascii="Calibri" w:hAnsi="Calibri" w:cs="Calibri"/>
                <w:color w:val="000000"/>
                <w:lang w:eastAsia="en-AU"/>
              </w:rPr>
              <w:t>0.62</w:t>
            </w:r>
            <w:r w:rsidR="00103A6B">
              <w:rPr>
                <w:rFonts w:ascii="Calibri" w:hAnsi="Calibri" w:cs="Calibri"/>
                <w:color w:val="000000"/>
                <w:lang w:eastAsia="en-AU"/>
              </w:rPr>
              <w:t>0</w:t>
            </w:r>
          </w:p>
        </w:tc>
        <w:tc>
          <w:tcPr>
            <w:tcW w:w="440" w:type="pct"/>
          </w:tcPr>
          <w:p w14:paraId="2EC8AAAD" w14:textId="43550EC7" w:rsidR="00103A6B" w:rsidRPr="00CB0FC8" w:rsidRDefault="00103A6B">
            <w:pPr>
              <w:pStyle w:val="Tablebodytext"/>
              <w:jc w:val="center"/>
              <w:rPr>
                <w:vertAlign w:val="superscript"/>
              </w:rPr>
            </w:pPr>
            <w:r w:rsidRPr="002F6832">
              <w:rPr>
                <w:rFonts w:ascii="Calibri" w:hAnsi="Calibri" w:cs="Calibri"/>
                <w:color w:val="000000"/>
                <w:lang w:eastAsia="en-AU"/>
              </w:rPr>
              <w:t>0.064</w:t>
            </w:r>
          </w:p>
        </w:tc>
      </w:tr>
      <w:tr w:rsidR="00103A6B" w:rsidRPr="00243764" w14:paraId="2F9D5DA9" w14:textId="63487C9F" w:rsidTr="00091D5C">
        <w:trPr>
          <w:trHeight w:val="20"/>
        </w:trPr>
        <w:tc>
          <w:tcPr>
            <w:tcW w:w="368" w:type="pct"/>
            <w:shd w:val="clear" w:color="auto" w:fill="auto"/>
          </w:tcPr>
          <w:p w14:paraId="7380FA8A" w14:textId="08CFB57E" w:rsidR="00103A6B" w:rsidRPr="00243764"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361882BC" w14:textId="69806C4C" w:rsidR="00103A6B" w:rsidRPr="00243764"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655C30D9" w14:textId="7EC79A90" w:rsidR="00103A6B" w:rsidRPr="00243764"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1CCAEAC6" w14:textId="4A818949" w:rsidR="00103A6B" w:rsidRPr="00243764" w:rsidRDefault="00103A6B">
            <w:pPr>
              <w:pStyle w:val="Tablebodytext"/>
              <w:jc w:val="center"/>
            </w:pPr>
            <w:r w:rsidRPr="002F6832">
              <w:rPr>
                <w:rFonts w:ascii="Calibri" w:hAnsi="Calibri" w:cs="Calibri"/>
                <w:color w:val="000000"/>
                <w:lang w:eastAsia="en-AU"/>
              </w:rPr>
              <w:t>Bait</w:t>
            </w:r>
          </w:p>
        </w:tc>
        <w:tc>
          <w:tcPr>
            <w:tcW w:w="516" w:type="pct"/>
          </w:tcPr>
          <w:p w14:paraId="2509E141" w14:textId="566B24DC"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4.16</w:t>
            </w:r>
            <w:r w:rsidR="00103A6B">
              <w:rPr>
                <w:rFonts w:ascii="Calibri" w:hAnsi="Calibri" w:cs="Calibri"/>
                <w:color w:val="000000"/>
                <w:lang w:eastAsia="en-AU"/>
              </w:rPr>
              <w:t>0</w:t>
            </w:r>
          </w:p>
        </w:tc>
        <w:tc>
          <w:tcPr>
            <w:tcW w:w="441" w:type="pct"/>
          </w:tcPr>
          <w:p w14:paraId="77C6C348" w14:textId="3765DD99"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7.082</w:t>
            </w:r>
          </w:p>
        </w:tc>
        <w:tc>
          <w:tcPr>
            <w:tcW w:w="440" w:type="pct"/>
          </w:tcPr>
          <w:p w14:paraId="6EE1CE6E" w14:textId="049F93AF" w:rsidR="00103A6B" w:rsidRDefault="00103A6B">
            <w:pPr>
              <w:pStyle w:val="Tablebodytext"/>
              <w:jc w:val="center"/>
            </w:pPr>
            <w:r w:rsidRPr="002F6832">
              <w:rPr>
                <w:rFonts w:ascii="Calibri" w:hAnsi="Calibri" w:cs="Calibri"/>
                <w:color w:val="000000"/>
                <w:lang w:eastAsia="en-AU"/>
              </w:rPr>
              <w:t>0.309</w:t>
            </w:r>
          </w:p>
        </w:tc>
      </w:tr>
      <w:tr w:rsidR="00103A6B" w:rsidRPr="006A33FF" w14:paraId="00F97703" w14:textId="7520D844" w:rsidTr="00091D5C">
        <w:trPr>
          <w:trHeight w:val="20"/>
        </w:trPr>
        <w:tc>
          <w:tcPr>
            <w:tcW w:w="368" w:type="pct"/>
            <w:shd w:val="clear" w:color="auto" w:fill="auto"/>
          </w:tcPr>
          <w:p w14:paraId="0E7693B2" w14:textId="5C3B1444" w:rsidR="00103A6B" w:rsidRPr="00243764"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760CDBD1" w14:textId="4570CF7E" w:rsidR="00103A6B" w:rsidRPr="006A33FF" w:rsidRDefault="00103A6B">
            <w:pPr>
              <w:pStyle w:val="Tablebodytext"/>
              <w:jc w:val="center"/>
            </w:pPr>
            <w:r w:rsidRPr="002F6832">
              <w:rPr>
                <w:rFonts w:ascii="Calibri" w:hAnsi="Calibri" w:cs="Calibri"/>
                <w:color w:val="000000"/>
                <w:lang w:eastAsia="en-AU"/>
              </w:rPr>
              <w:t>Time-since-fire</w:t>
            </w:r>
          </w:p>
        </w:tc>
        <w:tc>
          <w:tcPr>
            <w:tcW w:w="882" w:type="pct"/>
            <w:shd w:val="clear" w:color="auto" w:fill="auto"/>
          </w:tcPr>
          <w:p w14:paraId="6659DE0E" w14:textId="0A945D2F" w:rsidR="00103A6B" w:rsidRPr="006A33FF"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20A8A61D" w14:textId="6BA4A544" w:rsidR="00103A6B" w:rsidRPr="006A33FF" w:rsidRDefault="00103A6B">
            <w:pPr>
              <w:pStyle w:val="Tablebodytext"/>
              <w:jc w:val="center"/>
            </w:pPr>
            <w:r w:rsidRPr="002F6832">
              <w:rPr>
                <w:rFonts w:ascii="Calibri" w:hAnsi="Calibri" w:cs="Calibri"/>
                <w:color w:val="000000"/>
                <w:lang w:eastAsia="en-AU"/>
              </w:rPr>
              <w:t>TSF non-baited</w:t>
            </w:r>
          </w:p>
        </w:tc>
        <w:tc>
          <w:tcPr>
            <w:tcW w:w="516" w:type="pct"/>
          </w:tcPr>
          <w:p w14:paraId="360578AD" w14:textId="5F221085" w:rsidR="00103A6B" w:rsidRPr="00DD68C6" w:rsidRDefault="00D76048">
            <w:pPr>
              <w:pStyle w:val="Tablebodytext"/>
              <w:jc w:val="center"/>
              <w:rPr>
                <w:noProof/>
              </w:rPr>
            </w:pPr>
            <w:r>
              <w:rPr>
                <w:rFonts w:ascii="Calibri" w:hAnsi="Calibri" w:cs="Calibri"/>
                <w:color w:val="000000"/>
                <w:lang w:eastAsia="en-AU"/>
              </w:rPr>
              <w:t>–</w:t>
            </w:r>
            <w:r w:rsidR="00103A6B" w:rsidRPr="002F6832">
              <w:rPr>
                <w:rFonts w:ascii="Calibri" w:hAnsi="Calibri" w:cs="Calibri"/>
                <w:color w:val="000000"/>
                <w:lang w:eastAsia="en-AU"/>
              </w:rPr>
              <w:t>0.016</w:t>
            </w:r>
          </w:p>
        </w:tc>
        <w:tc>
          <w:tcPr>
            <w:tcW w:w="441" w:type="pct"/>
          </w:tcPr>
          <w:p w14:paraId="52EE4FCF" w14:textId="78D6B5AA" w:rsidR="00103A6B" w:rsidRPr="00DD68C6" w:rsidRDefault="00D76048">
            <w:pPr>
              <w:pStyle w:val="Tablebodytext"/>
              <w:jc w:val="center"/>
              <w:rPr>
                <w:noProof/>
              </w:rPr>
            </w:pPr>
            <w:r>
              <w:rPr>
                <w:rFonts w:ascii="Calibri" w:hAnsi="Calibri" w:cs="Calibri"/>
                <w:color w:val="000000"/>
                <w:lang w:eastAsia="en-AU"/>
              </w:rPr>
              <w:t>–</w:t>
            </w:r>
            <w:r w:rsidR="00103A6B" w:rsidRPr="002F6832">
              <w:rPr>
                <w:rFonts w:ascii="Calibri" w:hAnsi="Calibri" w:cs="Calibri"/>
                <w:color w:val="000000"/>
                <w:lang w:eastAsia="en-AU"/>
              </w:rPr>
              <w:t>0.222</w:t>
            </w:r>
          </w:p>
        </w:tc>
        <w:tc>
          <w:tcPr>
            <w:tcW w:w="440" w:type="pct"/>
          </w:tcPr>
          <w:p w14:paraId="0815A7A3" w14:textId="3B2F718D" w:rsidR="00103A6B" w:rsidRPr="00DD68C6" w:rsidRDefault="00103A6B">
            <w:pPr>
              <w:pStyle w:val="Tablebodytext"/>
              <w:jc w:val="center"/>
              <w:rPr>
                <w:noProof/>
              </w:rPr>
            </w:pPr>
            <w:r w:rsidRPr="002F6832">
              <w:rPr>
                <w:rFonts w:ascii="Calibri" w:hAnsi="Calibri" w:cs="Calibri"/>
                <w:color w:val="000000"/>
                <w:lang w:eastAsia="en-AU"/>
              </w:rPr>
              <w:t>0.19</w:t>
            </w:r>
            <w:r>
              <w:rPr>
                <w:rFonts w:ascii="Calibri" w:hAnsi="Calibri" w:cs="Calibri"/>
                <w:color w:val="000000"/>
                <w:lang w:eastAsia="en-AU"/>
              </w:rPr>
              <w:t>0</w:t>
            </w:r>
          </w:p>
        </w:tc>
      </w:tr>
      <w:tr w:rsidR="00103A6B" w:rsidRPr="006A33FF" w14:paraId="1C4B55BD" w14:textId="41CCC04D" w:rsidTr="00091D5C">
        <w:trPr>
          <w:trHeight w:val="20"/>
        </w:trPr>
        <w:tc>
          <w:tcPr>
            <w:tcW w:w="368" w:type="pct"/>
            <w:shd w:val="clear" w:color="auto" w:fill="auto"/>
          </w:tcPr>
          <w:p w14:paraId="7D5764B6" w14:textId="553698BB" w:rsidR="00103A6B" w:rsidRPr="00243764"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1CBF83EB" w14:textId="50925142" w:rsidR="00103A6B" w:rsidRPr="006A33FF" w:rsidRDefault="00103A6B">
            <w:pPr>
              <w:pStyle w:val="Tablebodytext"/>
              <w:jc w:val="center"/>
            </w:pPr>
            <w:r w:rsidRPr="002F6832">
              <w:rPr>
                <w:rFonts w:ascii="Calibri" w:hAnsi="Calibri" w:cs="Calibri"/>
                <w:color w:val="000000"/>
                <w:lang w:eastAsia="en-AU"/>
              </w:rPr>
              <w:t>Time-since-fire</w:t>
            </w:r>
          </w:p>
        </w:tc>
        <w:tc>
          <w:tcPr>
            <w:tcW w:w="882" w:type="pct"/>
            <w:shd w:val="clear" w:color="auto" w:fill="auto"/>
          </w:tcPr>
          <w:p w14:paraId="7A349FAA" w14:textId="1A79D475" w:rsidR="00103A6B" w:rsidRPr="00042D49"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4FDE4008" w14:textId="0B285A38" w:rsidR="00103A6B" w:rsidRPr="006A33FF" w:rsidRDefault="00103A6B">
            <w:pPr>
              <w:pStyle w:val="Tablebodytext"/>
              <w:jc w:val="center"/>
            </w:pPr>
            <w:r w:rsidRPr="002F6832">
              <w:rPr>
                <w:rFonts w:ascii="Calibri" w:hAnsi="Calibri" w:cs="Calibri"/>
                <w:color w:val="000000"/>
                <w:lang w:eastAsia="en-AU"/>
              </w:rPr>
              <w:t>TSF baited</w:t>
            </w:r>
          </w:p>
        </w:tc>
        <w:tc>
          <w:tcPr>
            <w:tcW w:w="516" w:type="pct"/>
          </w:tcPr>
          <w:p w14:paraId="3353D0D4" w14:textId="2619DE5A" w:rsidR="00103A6B" w:rsidRPr="00DD68C6" w:rsidRDefault="00103A6B">
            <w:pPr>
              <w:pStyle w:val="Tablebodytext"/>
              <w:jc w:val="center"/>
              <w:rPr>
                <w:noProof/>
              </w:rPr>
            </w:pPr>
            <w:r w:rsidRPr="002F6832">
              <w:rPr>
                <w:rFonts w:ascii="Calibri" w:hAnsi="Calibri" w:cs="Calibri"/>
                <w:color w:val="000000"/>
                <w:lang w:eastAsia="en-AU"/>
              </w:rPr>
              <w:t>0.206</w:t>
            </w:r>
          </w:p>
        </w:tc>
        <w:tc>
          <w:tcPr>
            <w:tcW w:w="441" w:type="pct"/>
          </w:tcPr>
          <w:p w14:paraId="7E83F8E7" w14:textId="2B9F1FD7" w:rsidR="00103A6B" w:rsidRPr="00DD68C6" w:rsidRDefault="00D76048">
            <w:pPr>
              <w:pStyle w:val="Tablebodytext"/>
              <w:jc w:val="center"/>
              <w:rPr>
                <w:noProof/>
              </w:rPr>
            </w:pPr>
            <w:r>
              <w:rPr>
                <w:rFonts w:ascii="Calibri" w:hAnsi="Calibri" w:cs="Calibri"/>
                <w:color w:val="000000"/>
                <w:lang w:eastAsia="en-AU"/>
              </w:rPr>
              <w:t>–</w:t>
            </w:r>
            <w:r w:rsidR="00103A6B" w:rsidRPr="002F6832">
              <w:rPr>
                <w:rFonts w:ascii="Calibri" w:hAnsi="Calibri" w:cs="Calibri"/>
                <w:color w:val="000000"/>
                <w:lang w:eastAsia="en-AU"/>
              </w:rPr>
              <w:t>0.096</w:t>
            </w:r>
          </w:p>
        </w:tc>
        <w:tc>
          <w:tcPr>
            <w:tcW w:w="440" w:type="pct"/>
          </w:tcPr>
          <w:p w14:paraId="66FA2AA1" w14:textId="7F1F62CB" w:rsidR="00103A6B" w:rsidRPr="00DD68C6" w:rsidRDefault="00103A6B">
            <w:pPr>
              <w:pStyle w:val="Tablebodytext"/>
              <w:jc w:val="center"/>
              <w:rPr>
                <w:noProof/>
              </w:rPr>
            </w:pPr>
            <w:r w:rsidRPr="002F6832">
              <w:rPr>
                <w:rFonts w:ascii="Calibri" w:hAnsi="Calibri" w:cs="Calibri"/>
                <w:color w:val="000000"/>
                <w:lang w:eastAsia="en-AU"/>
              </w:rPr>
              <w:t>0.521</w:t>
            </w:r>
          </w:p>
        </w:tc>
      </w:tr>
      <w:tr w:rsidR="00103A6B" w:rsidRPr="006A33FF" w14:paraId="742FA2AC" w14:textId="26424878" w:rsidTr="00091D5C">
        <w:trPr>
          <w:trHeight w:val="20"/>
        </w:trPr>
        <w:tc>
          <w:tcPr>
            <w:tcW w:w="368" w:type="pct"/>
            <w:shd w:val="clear" w:color="auto" w:fill="auto"/>
          </w:tcPr>
          <w:p w14:paraId="1124FD8B" w14:textId="2B6333E0" w:rsidR="00103A6B" w:rsidRPr="006A33FF"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531F74B8" w14:textId="06FC1467" w:rsidR="00103A6B" w:rsidRPr="006A33FF" w:rsidRDefault="00103A6B">
            <w:pPr>
              <w:pStyle w:val="Tablebodytext"/>
              <w:jc w:val="center"/>
            </w:pPr>
            <w:r w:rsidRPr="002F6832">
              <w:rPr>
                <w:rFonts w:ascii="Calibri" w:hAnsi="Calibri" w:cs="Calibri"/>
                <w:color w:val="000000"/>
                <w:lang w:eastAsia="en-AU"/>
              </w:rPr>
              <w:t>Time-since-fire</w:t>
            </w:r>
          </w:p>
        </w:tc>
        <w:tc>
          <w:tcPr>
            <w:tcW w:w="882" w:type="pct"/>
            <w:shd w:val="clear" w:color="auto" w:fill="auto"/>
          </w:tcPr>
          <w:p w14:paraId="78CD8BA9" w14:textId="0FA7609A" w:rsidR="00103A6B" w:rsidRPr="006A33FF"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0073C3EA" w14:textId="2331BBBB" w:rsidR="00103A6B" w:rsidRPr="006A33FF" w:rsidRDefault="00103A6B">
            <w:pPr>
              <w:pStyle w:val="Tablebodytext"/>
              <w:jc w:val="center"/>
            </w:pPr>
            <w:r w:rsidRPr="002F6832">
              <w:rPr>
                <w:rFonts w:ascii="Calibri" w:hAnsi="Calibri" w:cs="Calibri"/>
                <w:color w:val="000000"/>
                <w:lang w:eastAsia="en-AU"/>
              </w:rPr>
              <w:t>TSF non-baited</w:t>
            </w:r>
          </w:p>
        </w:tc>
        <w:tc>
          <w:tcPr>
            <w:tcW w:w="516" w:type="pct"/>
          </w:tcPr>
          <w:p w14:paraId="76D67D7F" w14:textId="18525CA5" w:rsidR="00103A6B" w:rsidRPr="00700F91" w:rsidRDefault="00D76048">
            <w:pPr>
              <w:pStyle w:val="Tablebodytext"/>
              <w:jc w:val="center"/>
              <w:rPr>
                <w:noProof/>
              </w:rPr>
            </w:pPr>
            <w:r>
              <w:rPr>
                <w:rFonts w:ascii="Calibri" w:hAnsi="Calibri" w:cs="Calibri"/>
                <w:color w:val="000000"/>
                <w:lang w:eastAsia="en-AU"/>
              </w:rPr>
              <w:t>–</w:t>
            </w:r>
            <w:r w:rsidR="00103A6B" w:rsidRPr="002F6832">
              <w:rPr>
                <w:rFonts w:ascii="Calibri" w:hAnsi="Calibri" w:cs="Calibri"/>
                <w:color w:val="000000"/>
                <w:lang w:eastAsia="en-AU"/>
              </w:rPr>
              <w:t>0.031</w:t>
            </w:r>
          </w:p>
        </w:tc>
        <w:tc>
          <w:tcPr>
            <w:tcW w:w="441" w:type="pct"/>
          </w:tcPr>
          <w:p w14:paraId="55293BCE" w14:textId="15401CCE" w:rsidR="00103A6B" w:rsidRPr="00700F91" w:rsidRDefault="00D76048">
            <w:pPr>
              <w:pStyle w:val="Tablebodytext"/>
              <w:jc w:val="center"/>
              <w:rPr>
                <w:noProof/>
              </w:rPr>
            </w:pPr>
            <w:r>
              <w:rPr>
                <w:rFonts w:ascii="Calibri" w:hAnsi="Calibri" w:cs="Calibri"/>
                <w:color w:val="000000"/>
                <w:lang w:eastAsia="en-AU"/>
              </w:rPr>
              <w:t>–</w:t>
            </w:r>
            <w:r w:rsidR="00103A6B" w:rsidRPr="002F6832">
              <w:rPr>
                <w:rFonts w:ascii="Calibri" w:hAnsi="Calibri" w:cs="Calibri"/>
                <w:color w:val="000000"/>
                <w:lang w:eastAsia="en-AU"/>
              </w:rPr>
              <w:t>0.19</w:t>
            </w:r>
            <w:r w:rsidR="00103A6B">
              <w:rPr>
                <w:rFonts w:ascii="Calibri" w:hAnsi="Calibri" w:cs="Calibri"/>
                <w:color w:val="000000"/>
                <w:lang w:eastAsia="en-AU"/>
              </w:rPr>
              <w:t>0</w:t>
            </w:r>
          </w:p>
        </w:tc>
        <w:tc>
          <w:tcPr>
            <w:tcW w:w="440" w:type="pct"/>
          </w:tcPr>
          <w:p w14:paraId="57E2DF3C" w14:textId="5CBEC7A8" w:rsidR="00103A6B" w:rsidRPr="00700F91" w:rsidRDefault="00103A6B">
            <w:pPr>
              <w:pStyle w:val="Tablebodytext"/>
              <w:jc w:val="center"/>
              <w:rPr>
                <w:noProof/>
              </w:rPr>
            </w:pPr>
            <w:r w:rsidRPr="002F6832">
              <w:rPr>
                <w:rFonts w:ascii="Calibri" w:hAnsi="Calibri" w:cs="Calibri"/>
                <w:color w:val="000000"/>
                <w:lang w:eastAsia="en-AU"/>
              </w:rPr>
              <w:t>0.134</w:t>
            </w:r>
          </w:p>
        </w:tc>
      </w:tr>
      <w:tr w:rsidR="00103A6B" w:rsidRPr="006A33FF" w14:paraId="302D0CCA" w14:textId="359AF11E" w:rsidTr="00091D5C">
        <w:trPr>
          <w:trHeight w:val="20"/>
        </w:trPr>
        <w:tc>
          <w:tcPr>
            <w:tcW w:w="368" w:type="pct"/>
            <w:shd w:val="clear" w:color="auto" w:fill="auto"/>
          </w:tcPr>
          <w:p w14:paraId="6280A94E" w14:textId="36615C0E" w:rsidR="00103A6B" w:rsidRPr="00243764"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7CEBEE46" w14:textId="44F017A2" w:rsidR="00103A6B" w:rsidRPr="006A33FF" w:rsidRDefault="00103A6B">
            <w:pPr>
              <w:pStyle w:val="Tablebodytext"/>
              <w:jc w:val="center"/>
            </w:pPr>
            <w:r w:rsidRPr="002F6832">
              <w:rPr>
                <w:rFonts w:ascii="Calibri" w:hAnsi="Calibri" w:cs="Calibri"/>
                <w:color w:val="000000"/>
                <w:lang w:eastAsia="en-AU"/>
              </w:rPr>
              <w:t>Time-since-fire</w:t>
            </w:r>
          </w:p>
        </w:tc>
        <w:tc>
          <w:tcPr>
            <w:tcW w:w="882" w:type="pct"/>
            <w:shd w:val="clear" w:color="auto" w:fill="auto"/>
          </w:tcPr>
          <w:p w14:paraId="0220E493" w14:textId="49C78BA6" w:rsidR="00103A6B" w:rsidRPr="006A33FF"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42ED99AB" w14:textId="07454B6E" w:rsidR="00103A6B" w:rsidRPr="006A33FF" w:rsidRDefault="00103A6B">
            <w:pPr>
              <w:pStyle w:val="Tablebodytext"/>
              <w:jc w:val="center"/>
            </w:pPr>
            <w:r w:rsidRPr="002F6832">
              <w:rPr>
                <w:rFonts w:ascii="Calibri" w:hAnsi="Calibri" w:cs="Calibri"/>
                <w:color w:val="000000"/>
                <w:lang w:eastAsia="en-AU"/>
              </w:rPr>
              <w:t>TSF baited</w:t>
            </w:r>
          </w:p>
        </w:tc>
        <w:tc>
          <w:tcPr>
            <w:tcW w:w="516" w:type="pct"/>
          </w:tcPr>
          <w:p w14:paraId="1FEEE730" w14:textId="086B7290" w:rsidR="00103A6B" w:rsidRPr="00700F91" w:rsidRDefault="00103A6B">
            <w:pPr>
              <w:pStyle w:val="Tablebodytext"/>
              <w:jc w:val="center"/>
              <w:rPr>
                <w:noProof/>
              </w:rPr>
            </w:pPr>
            <w:r w:rsidRPr="002F6832">
              <w:rPr>
                <w:rFonts w:ascii="Calibri" w:hAnsi="Calibri" w:cs="Calibri"/>
                <w:color w:val="000000"/>
                <w:lang w:eastAsia="en-AU"/>
              </w:rPr>
              <w:t>0.175</w:t>
            </w:r>
          </w:p>
        </w:tc>
        <w:tc>
          <w:tcPr>
            <w:tcW w:w="441" w:type="pct"/>
          </w:tcPr>
          <w:p w14:paraId="4C8E6F44" w14:textId="65180365" w:rsidR="00103A6B" w:rsidRPr="00700F91" w:rsidRDefault="00D76048">
            <w:pPr>
              <w:pStyle w:val="Tablebodytext"/>
              <w:jc w:val="center"/>
              <w:rPr>
                <w:noProof/>
              </w:rPr>
            </w:pPr>
            <w:r>
              <w:rPr>
                <w:rFonts w:ascii="Calibri" w:hAnsi="Calibri" w:cs="Calibri"/>
                <w:color w:val="000000"/>
                <w:lang w:eastAsia="en-AU"/>
              </w:rPr>
              <w:t>–</w:t>
            </w:r>
            <w:r w:rsidR="00103A6B" w:rsidRPr="002F6832">
              <w:rPr>
                <w:rFonts w:ascii="Calibri" w:hAnsi="Calibri" w:cs="Calibri"/>
                <w:color w:val="000000"/>
                <w:lang w:eastAsia="en-AU"/>
              </w:rPr>
              <w:t>0.077</w:t>
            </w:r>
          </w:p>
        </w:tc>
        <w:tc>
          <w:tcPr>
            <w:tcW w:w="440" w:type="pct"/>
          </w:tcPr>
          <w:p w14:paraId="1420CA18" w14:textId="0967B2CD" w:rsidR="00103A6B" w:rsidRPr="00700F91" w:rsidRDefault="00103A6B">
            <w:pPr>
              <w:pStyle w:val="Tablebodytext"/>
              <w:jc w:val="center"/>
              <w:rPr>
                <w:noProof/>
              </w:rPr>
            </w:pPr>
            <w:r w:rsidRPr="002F6832">
              <w:rPr>
                <w:rFonts w:ascii="Calibri" w:hAnsi="Calibri" w:cs="Calibri"/>
                <w:color w:val="000000"/>
                <w:lang w:eastAsia="en-AU"/>
              </w:rPr>
              <w:t>0.422</w:t>
            </w:r>
          </w:p>
        </w:tc>
      </w:tr>
      <w:tr w:rsidR="00103A6B" w:rsidRPr="006A33FF" w14:paraId="4D9321FB" w14:textId="7FEC6728" w:rsidTr="00091D5C">
        <w:trPr>
          <w:trHeight w:val="20"/>
        </w:trPr>
        <w:tc>
          <w:tcPr>
            <w:tcW w:w="368" w:type="pct"/>
            <w:shd w:val="clear" w:color="auto" w:fill="auto"/>
          </w:tcPr>
          <w:p w14:paraId="674D2066" w14:textId="03054D23"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14E0E656" w14:textId="0BDAAFA5" w:rsidR="00103A6B" w:rsidRPr="006A33FF"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shd w:val="clear" w:color="auto" w:fill="auto"/>
          </w:tcPr>
          <w:p w14:paraId="12F13FB2" w14:textId="59F5C807" w:rsidR="00103A6B" w:rsidRPr="006A33FF"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4C2549F5" w14:textId="76C461C4" w:rsidR="00103A6B" w:rsidRPr="006A33FF" w:rsidRDefault="00103A6B">
            <w:pPr>
              <w:pStyle w:val="Tablebodytext"/>
              <w:jc w:val="center"/>
            </w:pPr>
            <w:r w:rsidRPr="002F6832">
              <w:rPr>
                <w:rFonts w:ascii="Calibri" w:hAnsi="Calibri" w:cs="Calibri"/>
                <w:color w:val="000000"/>
                <w:lang w:eastAsia="en-AU"/>
              </w:rPr>
              <w:t>TWI</w:t>
            </w:r>
          </w:p>
        </w:tc>
        <w:tc>
          <w:tcPr>
            <w:tcW w:w="516" w:type="pct"/>
          </w:tcPr>
          <w:p w14:paraId="314D2474" w14:textId="66E78819" w:rsidR="00103A6B" w:rsidRDefault="00103A6B">
            <w:pPr>
              <w:pStyle w:val="Tablebodytext"/>
              <w:jc w:val="center"/>
            </w:pPr>
            <w:r w:rsidRPr="002F6832">
              <w:rPr>
                <w:rFonts w:ascii="Calibri" w:hAnsi="Calibri" w:cs="Calibri"/>
                <w:color w:val="000000"/>
                <w:lang w:eastAsia="en-AU"/>
              </w:rPr>
              <w:t>0.122</w:t>
            </w:r>
          </w:p>
        </w:tc>
        <w:tc>
          <w:tcPr>
            <w:tcW w:w="441" w:type="pct"/>
          </w:tcPr>
          <w:p w14:paraId="5866B805" w14:textId="722DACF4"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0.287</w:t>
            </w:r>
          </w:p>
        </w:tc>
        <w:tc>
          <w:tcPr>
            <w:tcW w:w="440" w:type="pct"/>
          </w:tcPr>
          <w:p w14:paraId="2B3E5C66" w14:textId="1D350A2A" w:rsidR="00103A6B" w:rsidRDefault="00103A6B">
            <w:pPr>
              <w:pStyle w:val="Tablebodytext"/>
              <w:jc w:val="center"/>
            </w:pPr>
            <w:r w:rsidRPr="002F6832">
              <w:rPr>
                <w:rFonts w:ascii="Calibri" w:hAnsi="Calibri" w:cs="Calibri"/>
                <w:color w:val="000000"/>
                <w:lang w:eastAsia="en-AU"/>
              </w:rPr>
              <w:t>0.552</w:t>
            </w:r>
          </w:p>
        </w:tc>
      </w:tr>
      <w:tr w:rsidR="00103A6B" w:rsidRPr="006A33FF" w14:paraId="341824E5" w14:textId="126B7A11" w:rsidTr="00091D5C">
        <w:trPr>
          <w:trHeight w:val="20"/>
        </w:trPr>
        <w:tc>
          <w:tcPr>
            <w:tcW w:w="368" w:type="pct"/>
            <w:shd w:val="clear" w:color="auto" w:fill="auto"/>
          </w:tcPr>
          <w:p w14:paraId="208B7C31" w14:textId="53C1886B"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22282DC2" w14:textId="57964861" w:rsidR="00103A6B" w:rsidRPr="006A33FF"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shd w:val="clear" w:color="auto" w:fill="auto"/>
          </w:tcPr>
          <w:p w14:paraId="7A7029AA" w14:textId="4CEB62EA" w:rsidR="00103A6B" w:rsidRPr="006A33FF"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3BFB55D2" w14:textId="3E96648B" w:rsidR="00103A6B" w:rsidRPr="006A33FF" w:rsidRDefault="00103A6B">
            <w:pPr>
              <w:pStyle w:val="Tablebodytext"/>
              <w:jc w:val="center"/>
            </w:pPr>
            <w:proofErr w:type="spellStart"/>
            <w:proofErr w:type="gramStart"/>
            <w:r w:rsidRPr="002F6832">
              <w:rPr>
                <w:rFonts w:ascii="Calibri" w:hAnsi="Calibri" w:cs="Calibri"/>
                <w:color w:val="000000"/>
                <w:lang w:eastAsia="en-AU"/>
              </w:rPr>
              <w:t>TWI:Bait</w:t>
            </w:r>
            <w:proofErr w:type="spellEnd"/>
            <w:proofErr w:type="gramEnd"/>
          </w:p>
        </w:tc>
        <w:tc>
          <w:tcPr>
            <w:tcW w:w="516" w:type="pct"/>
          </w:tcPr>
          <w:p w14:paraId="73C807E0" w14:textId="2A9C0BC7" w:rsidR="00103A6B" w:rsidRDefault="00103A6B">
            <w:pPr>
              <w:pStyle w:val="Tablebodytext"/>
              <w:jc w:val="center"/>
            </w:pPr>
            <w:r w:rsidRPr="002F6832">
              <w:rPr>
                <w:rFonts w:ascii="Calibri" w:hAnsi="Calibri" w:cs="Calibri"/>
                <w:color w:val="000000"/>
                <w:lang w:eastAsia="en-AU"/>
              </w:rPr>
              <w:t>0.027</w:t>
            </w:r>
          </w:p>
        </w:tc>
        <w:tc>
          <w:tcPr>
            <w:tcW w:w="441" w:type="pct"/>
          </w:tcPr>
          <w:p w14:paraId="7DDD2293" w14:textId="4D9D93B7"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0.577</w:t>
            </w:r>
          </w:p>
        </w:tc>
        <w:tc>
          <w:tcPr>
            <w:tcW w:w="440" w:type="pct"/>
          </w:tcPr>
          <w:p w14:paraId="40369CD1" w14:textId="2ADDFE9F" w:rsidR="00103A6B" w:rsidRDefault="00103A6B">
            <w:pPr>
              <w:pStyle w:val="Tablebodytext"/>
              <w:jc w:val="center"/>
            </w:pPr>
            <w:r w:rsidRPr="002F6832">
              <w:rPr>
                <w:rFonts w:ascii="Calibri" w:hAnsi="Calibri" w:cs="Calibri"/>
                <w:color w:val="000000"/>
                <w:lang w:eastAsia="en-AU"/>
              </w:rPr>
              <w:t>0.607</w:t>
            </w:r>
          </w:p>
        </w:tc>
      </w:tr>
      <w:tr w:rsidR="00103A6B" w:rsidRPr="006A33FF" w14:paraId="42D7DE55" w14:textId="0A2AD213" w:rsidTr="00091D5C">
        <w:trPr>
          <w:trHeight w:val="20"/>
        </w:trPr>
        <w:tc>
          <w:tcPr>
            <w:tcW w:w="368" w:type="pct"/>
            <w:shd w:val="clear" w:color="auto" w:fill="auto"/>
          </w:tcPr>
          <w:p w14:paraId="1D4C233C" w14:textId="5B4031C5" w:rsidR="00103A6B" w:rsidRDefault="00AC0209" w:rsidP="00091D5C">
            <w:pPr>
              <w:pStyle w:val="Tablebodytext"/>
              <w:jc w:val="center"/>
            </w:pPr>
            <w:r>
              <w:rPr>
                <w:rFonts w:ascii="Calibri" w:hAnsi="Calibri" w:cs="Calibri"/>
                <w:b/>
                <w:bCs/>
                <w:color w:val="000000"/>
                <w:lang w:eastAsia="en-AU"/>
              </w:rPr>
              <w:t>CBP</w:t>
            </w:r>
          </w:p>
        </w:tc>
        <w:tc>
          <w:tcPr>
            <w:tcW w:w="1618" w:type="pct"/>
            <w:shd w:val="clear" w:color="auto" w:fill="auto"/>
          </w:tcPr>
          <w:p w14:paraId="0CF07790" w14:textId="77A14FFE" w:rsidR="00103A6B" w:rsidRDefault="00103A6B">
            <w:pPr>
              <w:pStyle w:val="Tablebodytext"/>
              <w:jc w:val="center"/>
            </w:pPr>
            <w:r w:rsidRPr="002F6832">
              <w:rPr>
                <w:rFonts w:ascii="Calibri" w:hAnsi="Calibri" w:cs="Calibri"/>
                <w:b/>
                <w:bCs/>
                <w:color w:val="000000"/>
                <w:lang w:eastAsia="en-AU"/>
              </w:rPr>
              <w:t xml:space="preserve">Terrain </w:t>
            </w:r>
            <w:r w:rsidR="001C0781">
              <w:rPr>
                <w:rFonts w:ascii="Calibri" w:hAnsi="Calibri" w:cs="Calibri"/>
                <w:b/>
                <w:bCs/>
                <w:color w:val="000000"/>
                <w:lang w:eastAsia="en-AU"/>
              </w:rPr>
              <w:t>wetn</w:t>
            </w:r>
            <w:r w:rsidRPr="002F6832">
              <w:rPr>
                <w:rFonts w:ascii="Calibri" w:hAnsi="Calibri" w:cs="Calibri"/>
                <w:b/>
                <w:bCs/>
                <w:color w:val="000000"/>
                <w:lang w:eastAsia="en-AU"/>
              </w:rPr>
              <w:t>ess index</w:t>
            </w:r>
          </w:p>
        </w:tc>
        <w:tc>
          <w:tcPr>
            <w:tcW w:w="882" w:type="pct"/>
            <w:shd w:val="clear" w:color="auto" w:fill="auto"/>
          </w:tcPr>
          <w:p w14:paraId="00277CB9" w14:textId="60816143" w:rsidR="00103A6B" w:rsidRPr="006A33FF" w:rsidRDefault="006346AA">
            <w:pPr>
              <w:pStyle w:val="Tablebodytext"/>
              <w:jc w:val="center"/>
            </w:pPr>
            <w:r>
              <w:rPr>
                <w:rFonts w:ascii="Calibri" w:hAnsi="Calibri" w:cs="Calibri"/>
                <w:b/>
                <w:bCs/>
                <w:color w:val="000000"/>
                <w:lang w:eastAsia="en-AU"/>
              </w:rPr>
              <w:t>Persistence rate</w:t>
            </w:r>
          </w:p>
        </w:tc>
        <w:tc>
          <w:tcPr>
            <w:tcW w:w="735" w:type="pct"/>
            <w:shd w:val="clear" w:color="auto" w:fill="auto"/>
          </w:tcPr>
          <w:p w14:paraId="05E87B89" w14:textId="69D9B61A" w:rsidR="00103A6B" w:rsidRPr="006A33FF" w:rsidRDefault="00103A6B">
            <w:pPr>
              <w:pStyle w:val="Tablebodytext"/>
              <w:jc w:val="center"/>
            </w:pPr>
            <w:r w:rsidRPr="002F6832">
              <w:rPr>
                <w:rFonts w:ascii="Calibri" w:hAnsi="Calibri" w:cs="Calibri"/>
                <w:b/>
                <w:bCs/>
                <w:color w:val="000000"/>
                <w:lang w:eastAsia="en-AU"/>
              </w:rPr>
              <w:t>Bait</w:t>
            </w:r>
          </w:p>
        </w:tc>
        <w:tc>
          <w:tcPr>
            <w:tcW w:w="516" w:type="pct"/>
          </w:tcPr>
          <w:p w14:paraId="3053C7F7" w14:textId="602C04D8" w:rsidR="00103A6B" w:rsidRDefault="00103A6B">
            <w:pPr>
              <w:pStyle w:val="Tablebodytext"/>
              <w:jc w:val="center"/>
            </w:pPr>
            <w:r w:rsidRPr="002F6832">
              <w:rPr>
                <w:rFonts w:ascii="Calibri" w:hAnsi="Calibri" w:cs="Calibri"/>
                <w:b/>
                <w:bCs/>
                <w:color w:val="000000"/>
                <w:lang w:eastAsia="en-AU"/>
              </w:rPr>
              <w:t>8.034</w:t>
            </w:r>
          </w:p>
        </w:tc>
        <w:tc>
          <w:tcPr>
            <w:tcW w:w="441" w:type="pct"/>
          </w:tcPr>
          <w:p w14:paraId="1BA45470" w14:textId="13C2C6E9" w:rsidR="00103A6B" w:rsidRDefault="00103A6B">
            <w:pPr>
              <w:pStyle w:val="Tablebodytext"/>
              <w:jc w:val="center"/>
            </w:pPr>
            <w:r w:rsidRPr="002F6832">
              <w:rPr>
                <w:rFonts w:ascii="Calibri" w:hAnsi="Calibri" w:cs="Calibri"/>
                <w:b/>
                <w:bCs/>
                <w:color w:val="000000"/>
                <w:lang w:eastAsia="en-AU"/>
              </w:rPr>
              <w:t>3.232</w:t>
            </w:r>
          </w:p>
        </w:tc>
        <w:tc>
          <w:tcPr>
            <w:tcW w:w="440" w:type="pct"/>
          </w:tcPr>
          <w:p w14:paraId="27C9D5B5" w14:textId="32559676" w:rsidR="00103A6B" w:rsidRDefault="00103A6B">
            <w:pPr>
              <w:pStyle w:val="Tablebodytext"/>
              <w:jc w:val="center"/>
            </w:pPr>
            <w:r w:rsidRPr="002F6832">
              <w:rPr>
                <w:rFonts w:ascii="Calibri" w:hAnsi="Calibri" w:cs="Calibri"/>
                <w:b/>
                <w:bCs/>
                <w:color w:val="000000"/>
                <w:lang w:eastAsia="en-AU"/>
              </w:rPr>
              <w:t>9.317</w:t>
            </w:r>
          </w:p>
        </w:tc>
      </w:tr>
      <w:tr w:rsidR="00103A6B" w:rsidRPr="006A33FF" w14:paraId="3CAFB2A6" w14:textId="05183A14" w:rsidTr="00091D5C">
        <w:trPr>
          <w:trHeight w:val="20"/>
        </w:trPr>
        <w:tc>
          <w:tcPr>
            <w:tcW w:w="368" w:type="pct"/>
            <w:shd w:val="clear" w:color="auto" w:fill="auto"/>
          </w:tcPr>
          <w:p w14:paraId="6E79477E" w14:textId="5E114DBA"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3DB893F3" w14:textId="03E3F514" w:rsidR="00103A6B"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shd w:val="clear" w:color="auto" w:fill="auto"/>
          </w:tcPr>
          <w:p w14:paraId="6D10AFC2" w14:textId="60016C30" w:rsidR="00103A6B" w:rsidRPr="006A33FF"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3433A78E" w14:textId="31A045EE" w:rsidR="00103A6B" w:rsidRPr="006A33FF" w:rsidRDefault="00103A6B">
            <w:pPr>
              <w:pStyle w:val="Tablebodytext"/>
              <w:jc w:val="center"/>
            </w:pPr>
            <w:r w:rsidRPr="002F6832">
              <w:rPr>
                <w:rFonts w:ascii="Calibri" w:hAnsi="Calibri" w:cs="Calibri"/>
                <w:color w:val="000000"/>
                <w:lang w:eastAsia="en-AU"/>
              </w:rPr>
              <w:t>TWI</w:t>
            </w:r>
          </w:p>
        </w:tc>
        <w:tc>
          <w:tcPr>
            <w:tcW w:w="516" w:type="pct"/>
          </w:tcPr>
          <w:p w14:paraId="269DE7C6" w14:textId="0893ABAC"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0.153</w:t>
            </w:r>
          </w:p>
        </w:tc>
        <w:tc>
          <w:tcPr>
            <w:tcW w:w="441" w:type="pct"/>
          </w:tcPr>
          <w:p w14:paraId="0AD013AE" w14:textId="028B6FA8"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0.466</w:t>
            </w:r>
          </w:p>
        </w:tc>
        <w:tc>
          <w:tcPr>
            <w:tcW w:w="440" w:type="pct"/>
          </w:tcPr>
          <w:p w14:paraId="0D78C305" w14:textId="5E257469" w:rsidR="00103A6B" w:rsidRDefault="00103A6B">
            <w:pPr>
              <w:pStyle w:val="Tablebodytext"/>
              <w:jc w:val="center"/>
            </w:pPr>
            <w:r w:rsidRPr="002F6832">
              <w:rPr>
                <w:rFonts w:ascii="Calibri" w:hAnsi="Calibri" w:cs="Calibri"/>
                <w:color w:val="000000"/>
                <w:lang w:eastAsia="en-AU"/>
              </w:rPr>
              <w:t>0.151</w:t>
            </w:r>
          </w:p>
        </w:tc>
      </w:tr>
      <w:tr w:rsidR="00103A6B" w:rsidRPr="006903AF" w14:paraId="7BE85A19" w14:textId="6CDE61AB" w:rsidTr="00091D5C">
        <w:trPr>
          <w:trHeight w:val="20"/>
        </w:trPr>
        <w:tc>
          <w:tcPr>
            <w:tcW w:w="368" w:type="pct"/>
            <w:shd w:val="clear" w:color="auto" w:fill="auto"/>
          </w:tcPr>
          <w:p w14:paraId="3B656FC2" w14:textId="1875FBB3" w:rsidR="00103A6B" w:rsidRPr="006903AF" w:rsidRDefault="00AC0209" w:rsidP="00091D5C">
            <w:pPr>
              <w:pStyle w:val="Tablebodytext"/>
              <w:jc w:val="center"/>
              <w:rPr>
                <w:i/>
              </w:rPr>
            </w:pPr>
            <w:r>
              <w:rPr>
                <w:rFonts w:ascii="Calibri" w:hAnsi="Calibri" w:cs="Calibri"/>
                <w:color w:val="000000"/>
                <w:lang w:eastAsia="en-AU"/>
              </w:rPr>
              <w:t>CBP</w:t>
            </w:r>
          </w:p>
        </w:tc>
        <w:tc>
          <w:tcPr>
            <w:tcW w:w="1618" w:type="pct"/>
            <w:shd w:val="clear" w:color="auto" w:fill="auto"/>
          </w:tcPr>
          <w:p w14:paraId="3D7D3D11" w14:textId="68E90B67" w:rsidR="00103A6B" w:rsidRPr="006903AF"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shd w:val="clear" w:color="auto" w:fill="auto"/>
          </w:tcPr>
          <w:p w14:paraId="089C9BFB" w14:textId="2463E57F" w:rsidR="00103A6B" w:rsidRPr="006903AF"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7B18A7C0" w14:textId="2767EE30" w:rsidR="00103A6B" w:rsidRPr="006903AF" w:rsidRDefault="00103A6B">
            <w:pPr>
              <w:pStyle w:val="Tablebodytext"/>
              <w:jc w:val="center"/>
            </w:pPr>
            <w:proofErr w:type="spellStart"/>
            <w:proofErr w:type="gramStart"/>
            <w:r w:rsidRPr="002F6832">
              <w:rPr>
                <w:rFonts w:ascii="Calibri" w:hAnsi="Calibri" w:cs="Calibri"/>
                <w:color w:val="000000"/>
                <w:lang w:eastAsia="en-AU"/>
              </w:rPr>
              <w:t>TWI:Bait</w:t>
            </w:r>
            <w:proofErr w:type="spellEnd"/>
            <w:proofErr w:type="gramEnd"/>
          </w:p>
        </w:tc>
        <w:tc>
          <w:tcPr>
            <w:tcW w:w="516" w:type="pct"/>
          </w:tcPr>
          <w:p w14:paraId="06F171FA" w14:textId="714F676C" w:rsidR="00103A6B" w:rsidRPr="006903AF"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0.053</w:t>
            </w:r>
          </w:p>
        </w:tc>
        <w:tc>
          <w:tcPr>
            <w:tcW w:w="441" w:type="pct"/>
          </w:tcPr>
          <w:p w14:paraId="006BFD1B" w14:textId="4EE6026D" w:rsidR="00103A6B" w:rsidRPr="006903AF"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0.558</w:t>
            </w:r>
          </w:p>
        </w:tc>
        <w:tc>
          <w:tcPr>
            <w:tcW w:w="440" w:type="pct"/>
          </w:tcPr>
          <w:p w14:paraId="2A55C892" w14:textId="72B916EC" w:rsidR="00103A6B" w:rsidRPr="006903AF" w:rsidRDefault="00103A6B">
            <w:pPr>
              <w:pStyle w:val="Tablebodytext"/>
              <w:jc w:val="center"/>
            </w:pPr>
            <w:r w:rsidRPr="002F6832">
              <w:rPr>
                <w:rFonts w:ascii="Calibri" w:hAnsi="Calibri" w:cs="Calibri"/>
                <w:color w:val="000000"/>
                <w:lang w:eastAsia="en-AU"/>
              </w:rPr>
              <w:t>0.446</w:t>
            </w:r>
          </w:p>
        </w:tc>
      </w:tr>
      <w:tr w:rsidR="00103A6B" w:rsidRPr="006A33FF" w14:paraId="4F0FFF5F" w14:textId="37FC4ECC" w:rsidTr="00091D5C">
        <w:trPr>
          <w:trHeight w:val="20"/>
        </w:trPr>
        <w:tc>
          <w:tcPr>
            <w:tcW w:w="368" w:type="pct"/>
            <w:shd w:val="clear" w:color="auto" w:fill="auto"/>
          </w:tcPr>
          <w:p w14:paraId="1BD559E9" w14:textId="6B875991"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62E6F79D" w14:textId="4BCCB54C" w:rsidR="00103A6B" w:rsidRPr="006A33FF"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shd w:val="clear" w:color="auto" w:fill="auto"/>
          </w:tcPr>
          <w:p w14:paraId="51B6362C" w14:textId="177D76D3" w:rsidR="00103A6B" w:rsidRPr="006A33FF"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564924A7" w14:textId="434438AC" w:rsidR="00103A6B" w:rsidRPr="006A33FF" w:rsidRDefault="00103A6B">
            <w:pPr>
              <w:pStyle w:val="Tablebodytext"/>
              <w:jc w:val="center"/>
            </w:pPr>
            <w:r w:rsidRPr="002F6832">
              <w:rPr>
                <w:rFonts w:ascii="Calibri" w:hAnsi="Calibri" w:cs="Calibri"/>
                <w:color w:val="000000"/>
                <w:lang w:eastAsia="en-AU"/>
              </w:rPr>
              <w:t>Bait</w:t>
            </w:r>
          </w:p>
        </w:tc>
        <w:tc>
          <w:tcPr>
            <w:tcW w:w="516" w:type="pct"/>
          </w:tcPr>
          <w:p w14:paraId="70FF569E" w14:textId="52CCF4BC"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4.047</w:t>
            </w:r>
          </w:p>
        </w:tc>
        <w:tc>
          <w:tcPr>
            <w:tcW w:w="441" w:type="pct"/>
          </w:tcPr>
          <w:p w14:paraId="401F32EA" w14:textId="7FF5B6CF"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7.064</w:t>
            </w:r>
          </w:p>
        </w:tc>
        <w:tc>
          <w:tcPr>
            <w:tcW w:w="440" w:type="pct"/>
          </w:tcPr>
          <w:p w14:paraId="6567C611" w14:textId="1B4AAB5D" w:rsidR="00103A6B" w:rsidRDefault="00103A6B">
            <w:pPr>
              <w:pStyle w:val="Tablebodytext"/>
              <w:jc w:val="center"/>
            </w:pPr>
            <w:r w:rsidRPr="002F6832">
              <w:rPr>
                <w:rFonts w:ascii="Calibri" w:hAnsi="Calibri" w:cs="Calibri"/>
                <w:color w:val="000000"/>
                <w:lang w:eastAsia="en-AU"/>
              </w:rPr>
              <w:t>0.928</w:t>
            </w:r>
          </w:p>
        </w:tc>
      </w:tr>
      <w:tr w:rsidR="00103A6B" w:rsidRPr="006A33FF" w14:paraId="0E38EF3B" w14:textId="77777777" w:rsidTr="00091D5C">
        <w:trPr>
          <w:trHeight w:val="20"/>
        </w:trPr>
        <w:tc>
          <w:tcPr>
            <w:tcW w:w="368" w:type="pct"/>
            <w:shd w:val="clear" w:color="auto" w:fill="auto"/>
          </w:tcPr>
          <w:p w14:paraId="7EA92158" w14:textId="5EB9EFBD"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39712C0C" w14:textId="60B3D882" w:rsidR="00103A6B" w:rsidRDefault="00103A6B">
            <w:pPr>
              <w:pStyle w:val="Tablebodytext"/>
              <w:jc w:val="center"/>
            </w:pPr>
            <w:r w:rsidRPr="002F6832">
              <w:rPr>
                <w:rFonts w:ascii="Calibri" w:hAnsi="Calibri" w:cs="Calibri"/>
                <w:color w:val="000000"/>
                <w:lang w:eastAsia="en-AU"/>
              </w:rPr>
              <w:t>Terrain ruggedness index</w:t>
            </w:r>
          </w:p>
        </w:tc>
        <w:tc>
          <w:tcPr>
            <w:tcW w:w="882" w:type="pct"/>
            <w:shd w:val="clear" w:color="auto" w:fill="auto"/>
          </w:tcPr>
          <w:p w14:paraId="45B3A499" w14:textId="0698F7E6" w:rsidR="00103A6B"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17BE4C10" w14:textId="22FB3E98" w:rsidR="00103A6B" w:rsidRDefault="00103A6B">
            <w:pPr>
              <w:pStyle w:val="Tablebodytext"/>
              <w:jc w:val="center"/>
            </w:pPr>
            <w:r w:rsidRPr="002F6832">
              <w:rPr>
                <w:rFonts w:ascii="Calibri" w:hAnsi="Calibri" w:cs="Calibri"/>
                <w:color w:val="000000"/>
                <w:lang w:eastAsia="en-AU"/>
              </w:rPr>
              <w:t>TRI</w:t>
            </w:r>
          </w:p>
        </w:tc>
        <w:tc>
          <w:tcPr>
            <w:tcW w:w="516" w:type="pct"/>
          </w:tcPr>
          <w:p w14:paraId="7A78CA6A" w14:textId="1B9D0ABD" w:rsidR="00103A6B" w:rsidRDefault="00103A6B">
            <w:pPr>
              <w:pStyle w:val="Tablebodytext"/>
              <w:jc w:val="center"/>
            </w:pPr>
            <w:r w:rsidRPr="002F6832">
              <w:rPr>
                <w:rFonts w:ascii="Calibri" w:hAnsi="Calibri" w:cs="Calibri"/>
                <w:color w:val="000000"/>
                <w:lang w:eastAsia="en-AU"/>
              </w:rPr>
              <w:t>0.105</w:t>
            </w:r>
          </w:p>
        </w:tc>
        <w:tc>
          <w:tcPr>
            <w:tcW w:w="441" w:type="pct"/>
          </w:tcPr>
          <w:p w14:paraId="06FA4517" w14:textId="4996675B"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0.237</w:t>
            </w:r>
          </w:p>
        </w:tc>
        <w:tc>
          <w:tcPr>
            <w:tcW w:w="440" w:type="pct"/>
          </w:tcPr>
          <w:p w14:paraId="4A392B24" w14:textId="2546EFFC" w:rsidR="00103A6B" w:rsidRDefault="00103A6B">
            <w:pPr>
              <w:pStyle w:val="Tablebodytext"/>
              <w:jc w:val="center"/>
            </w:pPr>
            <w:r w:rsidRPr="002F6832">
              <w:rPr>
                <w:rFonts w:ascii="Calibri" w:hAnsi="Calibri" w:cs="Calibri"/>
                <w:color w:val="000000"/>
                <w:lang w:eastAsia="en-AU"/>
              </w:rPr>
              <w:t>0.463</w:t>
            </w:r>
          </w:p>
        </w:tc>
      </w:tr>
      <w:tr w:rsidR="00103A6B" w:rsidRPr="006A33FF" w14:paraId="301978C1" w14:textId="77777777" w:rsidTr="00091D5C">
        <w:trPr>
          <w:trHeight w:val="20"/>
        </w:trPr>
        <w:tc>
          <w:tcPr>
            <w:tcW w:w="368" w:type="pct"/>
            <w:shd w:val="clear" w:color="auto" w:fill="auto"/>
          </w:tcPr>
          <w:p w14:paraId="2530A898" w14:textId="0C23A224"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56C088FD" w14:textId="6E3D1955" w:rsidR="00103A6B" w:rsidRDefault="00103A6B">
            <w:pPr>
              <w:pStyle w:val="Tablebodytext"/>
              <w:jc w:val="center"/>
            </w:pPr>
            <w:r w:rsidRPr="002F6832">
              <w:rPr>
                <w:rFonts w:ascii="Calibri" w:hAnsi="Calibri" w:cs="Calibri"/>
                <w:color w:val="000000"/>
                <w:lang w:eastAsia="en-AU"/>
              </w:rPr>
              <w:t>Terrain ruggedness index</w:t>
            </w:r>
          </w:p>
        </w:tc>
        <w:tc>
          <w:tcPr>
            <w:tcW w:w="882" w:type="pct"/>
            <w:shd w:val="clear" w:color="auto" w:fill="auto"/>
          </w:tcPr>
          <w:p w14:paraId="33542D79" w14:textId="5E94EEC5" w:rsidR="00103A6B"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3F615373" w14:textId="135B9E9B" w:rsidR="00103A6B" w:rsidRDefault="00103A6B">
            <w:pPr>
              <w:pStyle w:val="Tablebodytext"/>
              <w:jc w:val="center"/>
            </w:pPr>
            <w:proofErr w:type="spellStart"/>
            <w:proofErr w:type="gramStart"/>
            <w:r w:rsidRPr="002F6832">
              <w:rPr>
                <w:rFonts w:ascii="Calibri" w:hAnsi="Calibri" w:cs="Calibri"/>
                <w:color w:val="000000"/>
                <w:lang w:eastAsia="en-AU"/>
              </w:rPr>
              <w:t>TRI:Bait</w:t>
            </w:r>
            <w:proofErr w:type="spellEnd"/>
            <w:proofErr w:type="gramEnd"/>
          </w:p>
        </w:tc>
        <w:tc>
          <w:tcPr>
            <w:tcW w:w="516" w:type="pct"/>
          </w:tcPr>
          <w:p w14:paraId="13CB2A1D" w14:textId="3CE064F2" w:rsidR="00103A6B" w:rsidRDefault="00103A6B">
            <w:pPr>
              <w:pStyle w:val="Tablebodytext"/>
              <w:jc w:val="center"/>
            </w:pPr>
            <w:r w:rsidRPr="002F6832">
              <w:rPr>
                <w:rFonts w:ascii="Calibri" w:hAnsi="Calibri" w:cs="Calibri"/>
                <w:color w:val="000000"/>
                <w:lang w:eastAsia="en-AU"/>
              </w:rPr>
              <w:t>0.677</w:t>
            </w:r>
          </w:p>
        </w:tc>
        <w:tc>
          <w:tcPr>
            <w:tcW w:w="441" w:type="pct"/>
          </w:tcPr>
          <w:p w14:paraId="741B4B03" w14:textId="5345A132"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0.075</w:t>
            </w:r>
          </w:p>
        </w:tc>
        <w:tc>
          <w:tcPr>
            <w:tcW w:w="440" w:type="pct"/>
          </w:tcPr>
          <w:p w14:paraId="56199FEF" w14:textId="54C573A7" w:rsidR="00103A6B" w:rsidRDefault="00103A6B">
            <w:pPr>
              <w:pStyle w:val="Tablebodytext"/>
              <w:jc w:val="center"/>
            </w:pPr>
            <w:r w:rsidRPr="002F6832">
              <w:rPr>
                <w:rFonts w:ascii="Calibri" w:hAnsi="Calibri" w:cs="Calibri"/>
                <w:color w:val="000000"/>
                <w:lang w:eastAsia="en-AU"/>
              </w:rPr>
              <w:t>1.485</w:t>
            </w:r>
          </w:p>
        </w:tc>
      </w:tr>
      <w:tr w:rsidR="00103A6B" w:rsidRPr="006A33FF" w14:paraId="2B0E9E4D" w14:textId="77777777" w:rsidTr="00091D5C">
        <w:trPr>
          <w:trHeight w:val="20"/>
        </w:trPr>
        <w:tc>
          <w:tcPr>
            <w:tcW w:w="368" w:type="pct"/>
            <w:shd w:val="clear" w:color="auto" w:fill="auto"/>
          </w:tcPr>
          <w:p w14:paraId="6F9591AE" w14:textId="5596BAB9" w:rsidR="00103A6B" w:rsidRDefault="00AC0209" w:rsidP="00091D5C">
            <w:pPr>
              <w:pStyle w:val="Tablebodytext"/>
              <w:jc w:val="center"/>
            </w:pPr>
            <w:r>
              <w:rPr>
                <w:rFonts w:ascii="Calibri" w:hAnsi="Calibri" w:cs="Calibri"/>
                <w:b/>
                <w:bCs/>
                <w:color w:val="000000"/>
                <w:lang w:eastAsia="en-AU"/>
              </w:rPr>
              <w:t>CBP</w:t>
            </w:r>
          </w:p>
        </w:tc>
        <w:tc>
          <w:tcPr>
            <w:tcW w:w="1618" w:type="pct"/>
            <w:shd w:val="clear" w:color="auto" w:fill="auto"/>
          </w:tcPr>
          <w:p w14:paraId="5802C49C" w14:textId="38AF3C4C" w:rsidR="00103A6B" w:rsidRDefault="00103A6B">
            <w:pPr>
              <w:pStyle w:val="Tablebodytext"/>
              <w:jc w:val="center"/>
            </w:pPr>
            <w:r w:rsidRPr="002F6832">
              <w:rPr>
                <w:rFonts w:ascii="Calibri" w:hAnsi="Calibri" w:cs="Calibri"/>
                <w:b/>
                <w:bCs/>
                <w:color w:val="000000"/>
                <w:lang w:eastAsia="en-AU"/>
              </w:rPr>
              <w:t>Terrain ruggedness index</w:t>
            </w:r>
          </w:p>
        </w:tc>
        <w:tc>
          <w:tcPr>
            <w:tcW w:w="882" w:type="pct"/>
            <w:shd w:val="clear" w:color="auto" w:fill="auto"/>
          </w:tcPr>
          <w:p w14:paraId="7D3D6D02" w14:textId="0E95AD8F" w:rsidR="00103A6B" w:rsidRDefault="006346AA">
            <w:pPr>
              <w:pStyle w:val="Tablebodytext"/>
              <w:jc w:val="center"/>
            </w:pPr>
            <w:r>
              <w:rPr>
                <w:rFonts w:ascii="Calibri" w:hAnsi="Calibri" w:cs="Calibri"/>
                <w:b/>
                <w:bCs/>
                <w:color w:val="000000"/>
                <w:lang w:eastAsia="en-AU"/>
              </w:rPr>
              <w:t>Persistence rate</w:t>
            </w:r>
          </w:p>
        </w:tc>
        <w:tc>
          <w:tcPr>
            <w:tcW w:w="735" w:type="pct"/>
            <w:shd w:val="clear" w:color="auto" w:fill="auto"/>
          </w:tcPr>
          <w:p w14:paraId="388BEBD9" w14:textId="2ECB6A3F" w:rsidR="00103A6B" w:rsidRDefault="00103A6B">
            <w:pPr>
              <w:pStyle w:val="Tablebodytext"/>
              <w:jc w:val="center"/>
            </w:pPr>
            <w:r w:rsidRPr="002F6832">
              <w:rPr>
                <w:rFonts w:ascii="Calibri" w:hAnsi="Calibri" w:cs="Calibri"/>
                <w:b/>
                <w:bCs/>
                <w:color w:val="000000"/>
                <w:lang w:eastAsia="en-AU"/>
              </w:rPr>
              <w:t>Bait</w:t>
            </w:r>
          </w:p>
        </w:tc>
        <w:tc>
          <w:tcPr>
            <w:tcW w:w="516" w:type="pct"/>
          </w:tcPr>
          <w:p w14:paraId="6AE3C310" w14:textId="4CB7C349" w:rsidR="00103A6B" w:rsidRDefault="00103A6B">
            <w:pPr>
              <w:pStyle w:val="Tablebodytext"/>
              <w:jc w:val="center"/>
            </w:pPr>
            <w:r w:rsidRPr="002F6832">
              <w:rPr>
                <w:rFonts w:ascii="Calibri" w:hAnsi="Calibri" w:cs="Calibri"/>
                <w:b/>
                <w:bCs/>
                <w:color w:val="000000"/>
                <w:lang w:eastAsia="en-AU"/>
              </w:rPr>
              <w:t>8.034</w:t>
            </w:r>
          </w:p>
        </w:tc>
        <w:tc>
          <w:tcPr>
            <w:tcW w:w="441" w:type="pct"/>
          </w:tcPr>
          <w:p w14:paraId="3EBF37D8" w14:textId="40CB9D8A" w:rsidR="00103A6B" w:rsidRDefault="00103A6B">
            <w:pPr>
              <w:pStyle w:val="Tablebodytext"/>
              <w:jc w:val="center"/>
            </w:pPr>
            <w:r w:rsidRPr="002F6832">
              <w:rPr>
                <w:rFonts w:ascii="Calibri" w:hAnsi="Calibri" w:cs="Calibri"/>
                <w:b/>
                <w:bCs/>
                <w:color w:val="000000"/>
                <w:lang w:eastAsia="en-AU"/>
              </w:rPr>
              <w:t>3.232</w:t>
            </w:r>
          </w:p>
        </w:tc>
        <w:tc>
          <w:tcPr>
            <w:tcW w:w="440" w:type="pct"/>
          </w:tcPr>
          <w:p w14:paraId="48CE3D33" w14:textId="5E677EB0" w:rsidR="00103A6B" w:rsidRDefault="00103A6B">
            <w:pPr>
              <w:pStyle w:val="Tablebodytext"/>
              <w:jc w:val="center"/>
            </w:pPr>
            <w:r w:rsidRPr="002F6832">
              <w:rPr>
                <w:rFonts w:ascii="Calibri" w:hAnsi="Calibri" w:cs="Calibri"/>
                <w:b/>
                <w:bCs/>
                <w:color w:val="000000"/>
                <w:lang w:eastAsia="en-AU"/>
              </w:rPr>
              <w:t>9.317</w:t>
            </w:r>
          </w:p>
        </w:tc>
      </w:tr>
      <w:tr w:rsidR="00103A6B" w:rsidRPr="006A33FF" w14:paraId="5919A6E9" w14:textId="77777777" w:rsidTr="00091D5C">
        <w:trPr>
          <w:trHeight w:val="20"/>
        </w:trPr>
        <w:tc>
          <w:tcPr>
            <w:tcW w:w="368" w:type="pct"/>
            <w:shd w:val="clear" w:color="auto" w:fill="auto"/>
          </w:tcPr>
          <w:p w14:paraId="5B08FA29" w14:textId="3EB295C2" w:rsidR="00103A6B" w:rsidRDefault="00AC0209" w:rsidP="00091D5C">
            <w:pPr>
              <w:pStyle w:val="Tablebodytext"/>
              <w:jc w:val="center"/>
            </w:pPr>
            <w:r>
              <w:rPr>
                <w:rFonts w:ascii="Calibri" w:hAnsi="Calibri" w:cs="Calibri"/>
                <w:b/>
                <w:bCs/>
                <w:color w:val="000000"/>
                <w:lang w:eastAsia="en-AU"/>
              </w:rPr>
              <w:t>CBP</w:t>
            </w:r>
          </w:p>
        </w:tc>
        <w:tc>
          <w:tcPr>
            <w:tcW w:w="1618" w:type="pct"/>
            <w:shd w:val="clear" w:color="auto" w:fill="auto"/>
          </w:tcPr>
          <w:p w14:paraId="0271D78E" w14:textId="56D7480E" w:rsidR="00103A6B" w:rsidRDefault="00103A6B">
            <w:pPr>
              <w:pStyle w:val="Tablebodytext"/>
              <w:jc w:val="center"/>
            </w:pPr>
            <w:r w:rsidRPr="002F6832">
              <w:rPr>
                <w:rFonts w:ascii="Calibri" w:hAnsi="Calibri" w:cs="Calibri"/>
                <w:b/>
                <w:bCs/>
                <w:color w:val="000000"/>
                <w:lang w:eastAsia="en-AU"/>
              </w:rPr>
              <w:t>Terrain ruggedness index</w:t>
            </w:r>
          </w:p>
        </w:tc>
        <w:tc>
          <w:tcPr>
            <w:tcW w:w="882" w:type="pct"/>
            <w:shd w:val="clear" w:color="auto" w:fill="auto"/>
          </w:tcPr>
          <w:p w14:paraId="64672233" w14:textId="1BF426FE" w:rsidR="00103A6B" w:rsidRDefault="00103A6B">
            <w:pPr>
              <w:pStyle w:val="Tablebodytext"/>
              <w:jc w:val="center"/>
            </w:pPr>
            <w:r w:rsidRPr="002F6832">
              <w:rPr>
                <w:rFonts w:ascii="Calibri" w:hAnsi="Calibri" w:cs="Calibri"/>
                <w:b/>
                <w:bCs/>
                <w:color w:val="000000"/>
                <w:lang w:eastAsia="en-AU"/>
              </w:rPr>
              <w:t>Colonisation rate</w:t>
            </w:r>
          </w:p>
        </w:tc>
        <w:tc>
          <w:tcPr>
            <w:tcW w:w="735" w:type="pct"/>
            <w:shd w:val="clear" w:color="auto" w:fill="auto"/>
          </w:tcPr>
          <w:p w14:paraId="6397E089" w14:textId="008892F4" w:rsidR="00103A6B" w:rsidRDefault="00103A6B">
            <w:pPr>
              <w:pStyle w:val="Tablebodytext"/>
              <w:jc w:val="center"/>
            </w:pPr>
            <w:r w:rsidRPr="002F6832">
              <w:rPr>
                <w:rFonts w:ascii="Calibri" w:hAnsi="Calibri" w:cs="Calibri"/>
                <w:b/>
                <w:bCs/>
                <w:color w:val="000000"/>
                <w:lang w:eastAsia="en-AU"/>
              </w:rPr>
              <w:t>TRI</w:t>
            </w:r>
          </w:p>
        </w:tc>
        <w:tc>
          <w:tcPr>
            <w:tcW w:w="516" w:type="pct"/>
          </w:tcPr>
          <w:p w14:paraId="548DC8BA" w14:textId="127A425B" w:rsidR="00103A6B" w:rsidRDefault="00103A6B">
            <w:pPr>
              <w:pStyle w:val="Tablebodytext"/>
              <w:jc w:val="center"/>
            </w:pPr>
            <w:r w:rsidRPr="002F6832">
              <w:rPr>
                <w:rFonts w:ascii="Calibri" w:hAnsi="Calibri" w:cs="Calibri"/>
                <w:b/>
                <w:bCs/>
                <w:color w:val="000000"/>
                <w:lang w:eastAsia="en-AU"/>
              </w:rPr>
              <w:t>0.309</w:t>
            </w:r>
          </w:p>
        </w:tc>
        <w:tc>
          <w:tcPr>
            <w:tcW w:w="441" w:type="pct"/>
          </w:tcPr>
          <w:p w14:paraId="5E5A630E" w14:textId="77505ADF" w:rsidR="00103A6B" w:rsidRDefault="00103A6B">
            <w:pPr>
              <w:pStyle w:val="Tablebodytext"/>
              <w:jc w:val="center"/>
            </w:pPr>
            <w:r w:rsidRPr="002F6832">
              <w:rPr>
                <w:rFonts w:ascii="Calibri" w:hAnsi="Calibri" w:cs="Calibri"/>
                <w:b/>
                <w:bCs/>
                <w:color w:val="000000"/>
                <w:lang w:eastAsia="en-AU"/>
              </w:rPr>
              <w:t>0.053</w:t>
            </w:r>
          </w:p>
        </w:tc>
        <w:tc>
          <w:tcPr>
            <w:tcW w:w="440" w:type="pct"/>
          </w:tcPr>
          <w:p w14:paraId="4C9707F9" w14:textId="60BB2318" w:rsidR="00103A6B" w:rsidRDefault="00103A6B">
            <w:pPr>
              <w:pStyle w:val="Tablebodytext"/>
              <w:jc w:val="center"/>
            </w:pPr>
            <w:r w:rsidRPr="002F6832">
              <w:rPr>
                <w:rFonts w:ascii="Calibri" w:hAnsi="Calibri" w:cs="Calibri"/>
                <w:b/>
                <w:bCs/>
                <w:color w:val="000000"/>
                <w:lang w:eastAsia="en-AU"/>
              </w:rPr>
              <w:t>0.587</w:t>
            </w:r>
          </w:p>
        </w:tc>
      </w:tr>
      <w:tr w:rsidR="00103A6B" w:rsidRPr="006A33FF" w14:paraId="3E53AB6C" w14:textId="77777777" w:rsidTr="00091D5C">
        <w:trPr>
          <w:trHeight w:val="20"/>
        </w:trPr>
        <w:tc>
          <w:tcPr>
            <w:tcW w:w="368" w:type="pct"/>
            <w:shd w:val="clear" w:color="auto" w:fill="auto"/>
          </w:tcPr>
          <w:p w14:paraId="66E9C30E" w14:textId="6D210A4A" w:rsidR="00103A6B" w:rsidRDefault="00AC0209" w:rsidP="00091D5C">
            <w:pPr>
              <w:pStyle w:val="Tablebodytext"/>
              <w:jc w:val="center"/>
            </w:pPr>
            <w:r>
              <w:rPr>
                <w:rFonts w:ascii="Calibri" w:hAnsi="Calibri" w:cs="Calibri"/>
                <w:b/>
                <w:bCs/>
                <w:color w:val="000000"/>
                <w:lang w:eastAsia="en-AU"/>
              </w:rPr>
              <w:t>CBP</w:t>
            </w:r>
          </w:p>
        </w:tc>
        <w:tc>
          <w:tcPr>
            <w:tcW w:w="1618" w:type="pct"/>
            <w:shd w:val="clear" w:color="auto" w:fill="auto"/>
          </w:tcPr>
          <w:p w14:paraId="30ECD70A" w14:textId="1CF2006A" w:rsidR="00103A6B" w:rsidRDefault="00103A6B">
            <w:pPr>
              <w:pStyle w:val="Tablebodytext"/>
              <w:jc w:val="center"/>
            </w:pPr>
            <w:r w:rsidRPr="002F6832">
              <w:rPr>
                <w:rFonts w:ascii="Calibri" w:hAnsi="Calibri" w:cs="Calibri"/>
                <w:b/>
                <w:bCs/>
                <w:color w:val="000000"/>
                <w:lang w:eastAsia="en-AU"/>
              </w:rPr>
              <w:t>Terrain ruggedness index</w:t>
            </w:r>
          </w:p>
        </w:tc>
        <w:tc>
          <w:tcPr>
            <w:tcW w:w="882" w:type="pct"/>
            <w:shd w:val="clear" w:color="auto" w:fill="auto"/>
          </w:tcPr>
          <w:p w14:paraId="09026424" w14:textId="0B06928A" w:rsidR="00103A6B" w:rsidRDefault="00103A6B">
            <w:pPr>
              <w:pStyle w:val="Tablebodytext"/>
              <w:jc w:val="center"/>
            </w:pPr>
            <w:r w:rsidRPr="002F6832">
              <w:rPr>
                <w:rFonts w:ascii="Calibri" w:hAnsi="Calibri" w:cs="Calibri"/>
                <w:b/>
                <w:bCs/>
                <w:color w:val="000000"/>
                <w:lang w:eastAsia="en-AU"/>
              </w:rPr>
              <w:t>Colonisation rate</w:t>
            </w:r>
          </w:p>
        </w:tc>
        <w:tc>
          <w:tcPr>
            <w:tcW w:w="735" w:type="pct"/>
            <w:shd w:val="clear" w:color="auto" w:fill="auto"/>
          </w:tcPr>
          <w:p w14:paraId="3BC873D3" w14:textId="16307C2C" w:rsidR="00103A6B" w:rsidRDefault="00103A6B">
            <w:pPr>
              <w:pStyle w:val="Tablebodytext"/>
              <w:jc w:val="center"/>
            </w:pPr>
            <w:proofErr w:type="spellStart"/>
            <w:proofErr w:type="gramStart"/>
            <w:r w:rsidRPr="002F6832">
              <w:rPr>
                <w:rFonts w:ascii="Calibri" w:hAnsi="Calibri" w:cs="Calibri"/>
                <w:b/>
                <w:bCs/>
                <w:color w:val="000000"/>
                <w:lang w:eastAsia="en-AU"/>
              </w:rPr>
              <w:t>TRI:Bait</w:t>
            </w:r>
            <w:proofErr w:type="spellEnd"/>
            <w:proofErr w:type="gramEnd"/>
          </w:p>
        </w:tc>
        <w:tc>
          <w:tcPr>
            <w:tcW w:w="516" w:type="pct"/>
          </w:tcPr>
          <w:p w14:paraId="141028B7" w14:textId="5D1854C3" w:rsidR="00103A6B" w:rsidRDefault="00103A6B">
            <w:pPr>
              <w:pStyle w:val="Tablebodytext"/>
              <w:jc w:val="center"/>
            </w:pPr>
            <w:r w:rsidRPr="002F6832">
              <w:rPr>
                <w:rFonts w:ascii="Calibri" w:hAnsi="Calibri" w:cs="Calibri"/>
                <w:b/>
                <w:bCs/>
                <w:color w:val="000000"/>
                <w:lang w:eastAsia="en-AU"/>
              </w:rPr>
              <w:t>0.730</w:t>
            </w:r>
          </w:p>
        </w:tc>
        <w:tc>
          <w:tcPr>
            <w:tcW w:w="441" w:type="pct"/>
          </w:tcPr>
          <w:p w14:paraId="4AF6BDC3" w14:textId="0978A033" w:rsidR="00103A6B" w:rsidRDefault="00103A6B">
            <w:pPr>
              <w:pStyle w:val="Tablebodytext"/>
              <w:jc w:val="center"/>
            </w:pPr>
            <w:r w:rsidRPr="002F6832">
              <w:rPr>
                <w:rFonts w:ascii="Calibri" w:hAnsi="Calibri" w:cs="Calibri"/>
                <w:b/>
                <w:bCs/>
                <w:color w:val="000000"/>
                <w:lang w:eastAsia="en-AU"/>
              </w:rPr>
              <w:t>0.022</w:t>
            </w:r>
          </w:p>
        </w:tc>
        <w:tc>
          <w:tcPr>
            <w:tcW w:w="440" w:type="pct"/>
          </w:tcPr>
          <w:p w14:paraId="76DAAE0A" w14:textId="73A67275" w:rsidR="00103A6B" w:rsidRDefault="00103A6B">
            <w:pPr>
              <w:pStyle w:val="Tablebodytext"/>
              <w:jc w:val="center"/>
            </w:pPr>
            <w:r w:rsidRPr="002F6832">
              <w:rPr>
                <w:rFonts w:ascii="Calibri" w:hAnsi="Calibri" w:cs="Calibri"/>
                <w:b/>
                <w:bCs/>
                <w:color w:val="000000"/>
                <w:lang w:eastAsia="en-AU"/>
              </w:rPr>
              <w:t>1.468</w:t>
            </w:r>
          </w:p>
        </w:tc>
      </w:tr>
      <w:tr w:rsidR="00103A6B" w:rsidRPr="006A33FF" w14:paraId="0FBCF647" w14:textId="77777777" w:rsidTr="00091D5C">
        <w:trPr>
          <w:trHeight w:val="20"/>
        </w:trPr>
        <w:tc>
          <w:tcPr>
            <w:tcW w:w="368" w:type="pct"/>
            <w:shd w:val="clear" w:color="auto" w:fill="auto"/>
          </w:tcPr>
          <w:p w14:paraId="13B4651D" w14:textId="0C237A0F" w:rsidR="00103A6B" w:rsidRDefault="00AC0209" w:rsidP="00091D5C">
            <w:pPr>
              <w:pStyle w:val="Tablebodytext"/>
              <w:jc w:val="center"/>
            </w:pPr>
            <w:r>
              <w:rPr>
                <w:rFonts w:ascii="Calibri" w:hAnsi="Calibri" w:cs="Calibri"/>
                <w:color w:val="000000"/>
                <w:lang w:eastAsia="en-AU"/>
              </w:rPr>
              <w:t>CBP</w:t>
            </w:r>
          </w:p>
        </w:tc>
        <w:tc>
          <w:tcPr>
            <w:tcW w:w="1618" w:type="pct"/>
            <w:shd w:val="clear" w:color="auto" w:fill="auto"/>
          </w:tcPr>
          <w:p w14:paraId="0A97D870" w14:textId="3785E6C0" w:rsidR="00103A6B" w:rsidRDefault="00103A6B">
            <w:pPr>
              <w:pStyle w:val="Tablebodytext"/>
              <w:jc w:val="center"/>
            </w:pPr>
            <w:r w:rsidRPr="002F6832">
              <w:rPr>
                <w:rFonts w:ascii="Calibri" w:hAnsi="Calibri" w:cs="Calibri"/>
                <w:color w:val="000000"/>
                <w:lang w:eastAsia="en-AU"/>
              </w:rPr>
              <w:t>Terrain ruggedness index</w:t>
            </w:r>
          </w:p>
        </w:tc>
        <w:tc>
          <w:tcPr>
            <w:tcW w:w="882" w:type="pct"/>
            <w:shd w:val="clear" w:color="auto" w:fill="auto"/>
          </w:tcPr>
          <w:p w14:paraId="7E56FE6D" w14:textId="26F22C9E" w:rsidR="00103A6B"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6A6B8F36" w14:textId="33A66D36" w:rsidR="00103A6B" w:rsidRDefault="00103A6B">
            <w:pPr>
              <w:pStyle w:val="Tablebodytext"/>
              <w:jc w:val="center"/>
            </w:pPr>
            <w:r w:rsidRPr="002F6832">
              <w:rPr>
                <w:rFonts w:ascii="Calibri" w:hAnsi="Calibri" w:cs="Calibri"/>
                <w:color w:val="000000"/>
                <w:lang w:eastAsia="en-AU"/>
              </w:rPr>
              <w:t>Bait</w:t>
            </w:r>
          </w:p>
        </w:tc>
        <w:tc>
          <w:tcPr>
            <w:tcW w:w="516" w:type="pct"/>
          </w:tcPr>
          <w:p w14:paraId="3B61EEF2" w14:textId="3439EB60"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4.047</w:t>
            </w:r>
          </w:p>
        </w:tc>
        <w:tc>
          <w:tcPr>
            <w:tcW w:w="441" w:type="pct"/>
          </w:tcPr>
          <w:p w14:paraId="37189C12" w14:textId="40C6B1B5"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7.064</w:t>
            </w:r>
          </w:p>
        </w:tc>
        <w:tc>
          <w:tcPr>
            <w:tcW w:w="440" w:type="pct"/>
          </w:tcPr>
          <w:p w14:paraId="4628366E" w14:textId="2C98582E" w:rsidR="00103A6B" w:rsidRDefault="00103A6B">
            <w:pPr>
              <w:pStyle w:val="Tablebodytext"/>
              <w:jc w:val="center"/>
            </w:pPr>
            <w:r w:rsidRPr="002F6832">
              <w:rPr>
                <w:rFonts w:ascii="Calibri" w:hAnsi="Calibri" w:cs="Calibri"/>
                <w:color w:val="000000"/>
                <w:lang w:eastAsia="en-AU"/>
              </w:rPr>
              <w:t>0.928</w:t>
            </w:r>
          </w:p>
        </w:tc>
      </w:tr>
      <w:tr w:rsidR="00103A6B" w:rsidRPr="006A33FF" w14:paraId="08E4AECB" w14:textId="77777777" w:rsidTr="00091D5C">
        <w:trPr>
          <w:trHeight w:val="20"/>
        </w:trPr>
        <w:tc>
          <w:tcPr>
            <w:tcW w:w="368" w:type="pct"/>
            <w:shd w:val="clear" w:color="auto" w:fill="auto"/>
          </w:tcPr>
          <w:p w14:paraId="7999104D" w14:textId="0B46B788" w:rsidR="00103A6B" w:rsidRDefault="00103A6B" w:rsidP="00091D5C">
            <w:pPr>
              <w:pStyle w:val="Tablebodytext"/>
              <w:jc w:val="center"/>
            </w:pPr>
            <w:r w:rsidRPr="002F6832">
              <w:rPr>
                <w:rFonts w:ascii="Calibri" w:hAnsi="Calibri" w:cs="Calibri"/>
                <w:color w:val="000000"/>
                <w:lang w:eastAsia="en-AU"/>
              </w:rPr>
              <w:t>LNP</w:t>
            </w:r>
          </w:p>
        </w:tc>
        <w:tc>
          <w:tcPr>
            <w:tcW w:w="1618" w:type="pct"/>
            <w:shd w:val="clear" w:color="auto" w:fill="auto"/>
          </w:tcPr>
          <w:p w14:paraId="00134679" w14:textId="32FBA29D"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7E834407" w14:textId="0C9BD0CF" w:rsidR="00103A6B"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0CD5C9F7" w14:textId="0AF3C7FD" w:rsidR="00103A6B" w:rsidRDefault="00103A6B">
            <w:pPr>
              <w:pStyle w:val="Tablebodytext"/>
              <w:jc w:val="center"/>
            </w:pPr>
            <w:r w:rsidRPr="002F6832">
              <w:rPr>
                <w:rFonts w:ascii="Calibri" w:hAnsi="Calibri" w:cs="Calibri"/>
                <w:color w:val="000000"/>
                <w:lang w:eastAsia="en-AU"/>
              </w:rPr>
              <w:t>DNNV</w:t>
            </w:r>
          </w:p>
        </w:tc>
        <w:tc>
          <w:tcPr>
            <w:tcW w:w="516" w:type="pct"/>
          </w:tcPr>
          <w:p w14:paraId="00B1CEF1" w14:textId="2D308267"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1.679</w:t>
            </w:r>
          </w:p>
        </w:tc>
        <w:tc>
          <w:tcPr>
            <w:tcW w:w="441" w:type="pct"/>
          </w:tcPr>
          <w:p w14:paraId="405CAE98" w14:textId="2421B0E0"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3.634</w:t>
            </w:r>
          </w:p>
        </w:tc>
        <w:tc>
          <w:tcPr>
            <w:tcW w:w="440" w:type="pct"/>
          </w:tcPr>
          <w:p w14:paraId="3EA2DC28" w14:textId="1DA9E1BC" w:rsidR="00103A6B" w:rsidRDefault="00103A6B">
            <w:pPr>
              <w:pStyle w:val="Tablebodytext"/>
              <w:jc w:val="center"/>
            </w:pPr>
            <w:r w:rsidRPr="002F6832">
              <w:rPr>
                <w:rFonts w:ascii="Calibri" w:hAnsi="Calibri" w:cs="Calibri"/>
                <w:color w:val="000000"/>
                <w:lang w:eastAsia="en-AU"/>
              </w:rPr>
              <w:t>0.24</w:t>
            </w:r>
            <w:r>
              <w:rPr>
                <w:rFonts w:ascii="Calibri" w:hAnsi="Calibri" w:cs="Calibri"/>
                <w:color w:val="000000"/>
                <w:lang w:eastAsia="en-AU"/>
              </w:rPr>
              <w:t>0</w:t>
            </w:r>
          </w:p>
        </w:tc>
      </w:tr>
      <w:tr w:rsidR="00103A6B" w:rsidRPr="006A33FF" w14:paraId="63569169" w14:textId="77777777" w:rsidTr="00091D5C">
        <w:trPr>
          <w:trHeight w:val="20"/>
        </w:trPr>
        <w:tc>
          <w:tcPr>
            <w:tcW w:w="368" w:type="pct"/>
            <w:shd w:val="clear" w:color="auto" w:fill="auto"/>
          </w:tcPr>
          <w:p w14:paraId="00BC7468" w14:textId="1945AC23" w:rsidR="00103A6B" w:rsidRDefault="00103A6B" w:rsidP="00091D5C">
            <w:pPr>
              <w:pStyle w:val="Tablebodytext"/>
              <w:jc w:val="center"/>
            </w:pPr>
            <w:r w:rsidRPr="002F6832">
              <w:rPr>
                <w:rFonts w:ascii="Calibri" w:hAnsi="Calibri" w:cs="Calibri"/>
                <w:color w:val="000000"/>
                <w:lang w:eastAsia="en-AU"/>
              </w:rPr>
              <w:t>LNP</w:t>
            </w:r>
          </w:p>
        </w:tc>
        <w:tc>
          <w:tcPr>
            <w:tcW w:w="1618" w:type="pct"/>
            <w:shd w:val="clear" w:color="auto" w:fill="auto"/>
          </w:tcPr>
          <w:p w14:paraId="58CA6A55" w14:textId="20E96F18"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685E33B1" w14:textId="195842D4" w:rsidR="00103A6B" w:rsidRDefault="006346AA">
            <w:pPr>
              <w:pStyle w:val="Tablebodytext"/>
              <w:jc w:val="center"/>
            </w:pPr>
            <w:r>
              <w:rPr>
                <w:rFonts w:ascii="Calibri" w:hAnsi="Calibri" w:cs="Calibri"/>
                <w:color w:val="000000"/>
                <w:lang w:eastAsia="en-AU"/>
              </w:rPr>
              <w:t>Persistence rate</w:t>
            </w:r>
          </w:p>
        </w:tc>
        <w:tc>
          <w:tcPr>
            <w:tcW w:w="735" w:type="pct"/>
            <w:shd w:val="clear" w:color="auto" w:fill="auto"/>
          </w:tcPr>
          <w:p w14:paraId="00F1F96D" w14:textId="5A523508" w:rsidR="00103A6B" w:rsidRDefault="00103A6B">
            <w:pPr>
              <w:pStyle w:val="Tablebodytext"/>
              <w:jc w:val="center"/>
            </w:pPr>
            <w:proofErr w:type="spellStart"/>
            <w:proofErr w:type="gramStart"/>
            <w:r w:rsidRPr="002F6832">
              <w:rPr>
                <w:rFonts w:ascii="Calibri" w:hAnsi="Calibri" w:cs="Calibri"/>
                <w:color w:val="000000"/>
                <w:lang w:eastAsia="en-AU"/>
              </w:rPr>
              <w:t>DNNV:Bait</w:t>
            </w:r>
            <w:proofErr w:type="spellEnd"/>
            <w:proofErr w:type="gramEnd"/>
          </w:p>
        </w:tc>
        <w:tc>
          <w:tcPr>
            <w:tcW w:w="516" w:type="pct"/>
          </w:tcPr>
          <w:p w14:paraId="5DFA8231" w14:textId="1EC96CFE" w:rsidR="00103A6B" w:rsidRDefault="00103A6B">
            <w:pPr>
              <w:pStyle w:val="Tablebodytext"/>
              <w:jc w:val="center"/>
            </w:pPr>
            <w:r w:rsidRPr="002F6832">
              <w:rPr>
                <w:rFonts w:ascii="Calibri" w:hAnsi="Calibri" w:cs="Calibri"/>
                <w:color w:val="000000"/>
                <w:lang w:eastAsia="en-AU"/>
              </w:rPr>
              <w:t>1.834</w:t>
            </w:r>
          </w:p>
        </w:tc>
        <w:tc>
          <w:tcPr>
            <w:tcW w:w="441" w:type="pct"/>
          </w:tcPr>
          <w:p w14:paraId="6E618976" w14:textId="654AE83E"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0.154</w:t>
            </w:r>
          </w:p>
        </w:tc>
        <w:tc>
          <w:tcPr>
            <w:tcW w:w="440" w:type="pct"/>
          </w:tcPr>
          <w:p w14:paraId="2EE35C3E" w14:textId="7D7C173E" w:rsidR="00103A6B" w:rsidRDefault="00103A6B">
            <w:pPr>
              <w:pStyle w:val="Tablebodytext"/>
              <w:jc w:val="center"/>
            </w:pPr>
            <w:r w:rsidRPr="002F6832">
              <w:rPr>
                <w:rFonts w:ascii="Calibri" w:hAnsi="Calibri" w:cs="Calibri"/>
                <w:color w:val="000000"/>
                <w:lang w:eastAsia="en-AU"/>
              </w:rPr>
              <w:t>3.845</w:t>
            </w:r>
          </w:p>
        </w:tc>
      </w:tr>
      <w:tr w:rsidR="00103A6B" w:rsidRPr="006A33FF" w14:paraId="73087BD3" w14:textId="77777777" w:rsidTr="00091D5C">
        <w:trPr>
          <w:trHeight w:val="20"/>
        </w:trPr>
        <w:tc>
          <w:tcPr>
            <w:tcW w:w="368" w:type="pct"/>
            <w:shd w:val="clear" w:color="auto" w:fill="auto"/>
          </w:tcPr>
          <w:p w14:paraId="43DF5E62" w14:textId="1C949CE3" w:rsidR="00103A6B" w:rsidRDefault="00103A6B" w:rsidP="00091D5C">
            <w:pPr>
              <w:pStyle w:val="Tablebodytext"/>
              <w:jc w:val="center"/>
            </w:pPr>
            <w:r w:rsidRPr="002F6832">
              <w:rPr>
                <w:rFonts w:ascii="Calibri" w:hAnsi="Calibri" w:cs="Calibri"/>
                <w:b/>
                <w:bCs/>
                <w:color w:val="000000"/>
                <w:lang w:eastAsia="en-AU"/>
              </w:rPr>
              <w:t>LNP</w:t>
            </w:r>
          </w:p>
        </w:tc>
        <w:tc>
          <w:tcPr>
            <w:tcW w:w="1618" w:type="pct"/>
            <w:shd w:val="clear" w:color="auto" w:fill="auto"/>
          </w:tcPr>
          <w:p w14:paraId="6B34B030" w14:textId="0C537195" w:rsidR="00103A6B" w:rsidRDefault="00103A6B">
            <w:pPr>
              <w:pStyle w:val="Tablebodytext"/>
              <w:jc w:val="center"/>
            </w:pPr>
            <w:r w:rsidRPr="002F6832">
              <w:rPr>
                <w:rFonts w:ascii="Calibri" w:hAnsi="Calibri" w:cs="Calibri"/>
                <w:b/>
                <w:bCs/>
                <w:color w:val="000000"/>
                <w:lang w:eastAsia="en-AU"/>
              </w:rPr>
              <w:t>Distance to non-native vegetation</w:t>
            </w:r>
          </w:p>
        </w:tc>
        <w:tc>
          <w:tcPr>
            <w:tcW w:w="882" w:type="pct"/>
            <w:shd w:val="clear" w:color="auto" w:fill="auto"/>
          </w:tcPr>
          <w:p w14:paraId="5F58126E" w14:textId="631146F1" w:rsidR="00103A6B" w:rsidRDefault="006346AA">
            <w:pPr>
              <w:pStyle w:val="Tablebodytext"/>
              <w:jc w:val="center"/>
            </w:pPr>
            <w:r>
              <w:rPr>
                <w:rFonts w:ascii="Calibri" w:hAnsi="Calibri" w:cs="Calibri"/>
                <w:b/>
                <w:bCs/>
                <w:color w:val="000000"/>
                <w:lang w:eastAsia="en-AU"/>
              </w:rPr>
              <w:t>Persistence rate</w:t>
            </w:r>
          </w:p>
        </w:tc>
        <w:tc>
          <w:tcPr>
            <w:tcW w:w="735" w:type="pct"/>
            <w:shd w:val="clear" w:color="auto" w:fill="auto"/>
          </w:tcPr>
          <w:p w14:paraId="50C7DC81" w14:textId="3FF53A33" w:rsidR="00103A6B" w:rsidRDefault="00103A6B">
            <w:pPr>
              <w:pStyle w:val="Tablebodytext"/>
              <w:jc w:val="center"/>
            </w:pPr>
            <w:r w:rsidRPr="002F6832">
              <w:rPr>
                <w:rFonts w:ascii="Calibri" w:hAnsi="Calibri" w:cs="Calibri"/>
                <w:b/>
                <w:bCs/>
                <w:color w:val="000000"/>
                <w:lang w:eastAsia="en-AU"/>
              </w:rPr>
              <w:t>Bait</w:t>
            </w:r>
          </w:p>
        </w:tc>
        <w:tc>
          <w:tcPr>
            <w:tcW w:w="516" w:type="pct"/>
          </w:tcPr>
          <w:p w14:paraId="1E6312D6" w14:textId="3DC67C49" w:rsidR="00103A6B" w:rsidRDefault="00103A6B">
            <w:pPr>
              <w:pStyle w:val="Tablebodytext"/>
              <w:jc w:val="center"/>
            </w:pPr>
            <w:r w:rsidRPr="002F6832">
              <w:rPr>
                <w:rFonts w:ascii="Calibri" w:hAnsi="Calibri" w:cs="Calibri"/>
                <w:b/>
                <w:bCs/>
                <w:color w:val="000000"/>
                <w:lang w:eastAsia="en-AU"/>
              </w:rPr>
              <w:t>4.522</w:t>
            </w:r>
          </w:p>
        </w:tc>
        <w:tc>
          <w:tcPr>
            <w:tcW w:w="441" w:type="pct"/>
          </w:tcPr>
          <w:p w14:paraId="59D66AA4" w14:textId="029ADA7C" w:rsidR="00103A6B" w:rsidRDefault="00103A6B">
            <w:pPr>
              <w:pStyle w:val="Tablebodytext"/>
              <w:jc w:val="center"/>
            </w:pPr>
            <w:r w:rsidRPr="002F6832">
              <w:rPr>
                <w:rFonts w:ascii="Calibri" w:hAnsi="Calibri" w:cs="Calibri"/>
                <w:b/>
                <w:bCs/>
                <w:color w:val="000000"/>
                <w:lang w:eastAsia="en-AU"/>
              </w:rPr>
              <w:t>0.715</w:t>
            </w:r>
          </w:p>
        </w:tc>
        <w:tc>
          <w:tcPr>
            <w:tcW w:w="440" w:type="pct"/>
          </w:tcPr>
          <w:p w14:paraId="11C5F9AF" w14:textId="09BC71FC" w:rsidR="00103A6B" w:rsidRDefault="00103A6B">
            <w:pPr>
              <w:pStyle w:val="Tablebodytext"/>
              <w:jc w:val="center"/>
            </w:pPr>
            <w:r w:rsidRPr="002F6832">
              <w:rPr>
                <w:rFonts w:ascii="Calibri" w:hAnsi="Calibri" w:cs="Calibri"/>
                <w:b/>
                <w:bCs/>
                <w:color w:val="000000"/>
                <w:lang w:eastAsia="en-AU"/>
              </w:rPr>
              <w:t>7.564</w:t>
            </w:r>
          </w:p>
        </w:tc>
      </w:tr>
      <w:tr w:rsidR="00103A6B" w:rsidRPr="006A33FF" w14:paraId="5380A071" w14:textId="77777777" w:rsidTr="00091D5C">
        <w:trPr>
          <w:trHeight w:val="20"/>
        </w:trPr>
        <w:tc>
          <w:tcPr>
            <w:tcW w:w="368" w:type="pct"/>
            <w:shd w:val="clear" w:color="auto" w:fill="auto"/>
          </w:tcPr>
          <w:p w14:paraId="2A14A9F2" w14:textId="1D6D8719" w:rsidR="00103A6B" w:rsidRDefault="00103A6B" w:rsidP="00091D5C">
            <w:pPr>
              <w:pStyle w:val="Tablebodytext"/>
              <w:jc w:val="center"/>
            </w:pPr>
            <w:r w:rsidRPr="002F6832">
              <w:rPr>
                <w:rFonts w:ascii="Calibri" w:hAnsi="Calibri" w:cs="Calibri"/>
                <w:color w:val="000000"/>
                <w:lang w:eastAsia="en-AU"/>
              </w:rPr>
              <w:t>LNP</w:t>
            </w:r>
          </w:p>
        </w:tc>
        <w:tc>
          <w:tcPr>
            <w:tcW w:w="1618" w:type="pct"/>
            <w:shd w:val="clear" w:color="auto" w:fill="auto"/>
          </w:tcPr>
          <w:p w14:paraId="75C8733D" w14:textId="0DE49D8C"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25F9F28F" w14:textId="167CB56D" w:rsidR="00103A6B"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00DB141F" w14:textId="4948E336" w:rsidR="00103A6B" w:rsidRDefault="00103A6B">
            <w:pPr>
              <w:pStyle w:val="Tablebodytext"/>
              <w:jc w:val="center"/>
            </w:pPr>
            <w:r w:rsidRPr="002F6832">
              <w:rPr>
                <w:rFonts w:ascii="Calibri" w:hAnsi="Calibri" w:cs="Calibri"/>
                <w:color w:val="000000"/>
                <w:lang w:eastAsia="en-AU"/>
              </w:rPr>
              <w:t>DNNV</w:t>
            </w:r>
          </w:p>
        </w:tc>
        <w:tc>
          <w:tcPr>
            <w:tcW w:w="516" w:type="pct"/>
          </w:tcPr>
          <w:p w14:paraId="6F9F9744" w14:textId="0C417130" w:rsidR="00103A6B" w:rsidRDefault="00103A6B">
            <w:pPr>
              <w:pStyle w:val="Tablebodytext"/>
              <w:jc w:val="center"/>
            </w:pPr>
            <w:r w:rsidRPr="002F6832">
              <w:rPr>
                <w:rFonts w:ascii="Calibri" w:hAnsi="Calibri" w:cs="Calibri"/>
                <w:color w:val="000000"/>
                <w:lang w:eastAsia="en-AU"/>
              </w:rPr>
              <w:t>0.283</w:t>
            </w:r>
          </w:p>
        </w:tc>
        <w:tc>
          <w:tcPr>
            <w:tcW w:w="441" w:type="pct"/>
          </w:tcPr>
          <w:p w14:paraId="587AF9C6" w14:textId="60953EB8"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0.186</w:t>
            </w:r>
          </w:p>
        </w:tc>
        <w:tc>
          <w:tcPr>
            <w:tcW w:w="440" w:type="pct"/>
          </w:tcPr>
          <w:p w14:paraId="00CCFFDE" w14:textId="26A2B211" w:rsidR="00103A6B" w:rsidRDefault="00103A6B">
            <w:pPr>
              <w:pStyle w:val="Tablebodytext"/>
              <w:jc w:val="center"/>
            </w:pPr>
            <w:r w:rsidRPr="002F6832">
              <w:rPr>
                <w:rFonts w:ascii="Calibri" w:hAnsi="Calibri" w:cs="Calibri"/>
                <w:color w:val="000000"/>
                <w:lang w:eastAsia="en-AU"/>
              </w:rPr>
              <w:t>0.751</w:t>
            </w:r>
          </w:p>
        </w:tc>
      </w:tr>
      <w:tr w:rsidR="00103A6B" w:rsidRPr="006A33FF" w14:paraId="06D3E7B0" w14:textId="77777777" w:rsidTr="00091D5C">
        <w:trPr>
          <w:trHeight w:val="20"/>
        </w:trPr>
        <w:tc>
          <w:tcPr>
            <w:tcW w:w="368" w:type="pct"/>
            <w:shd w:val="clear" w:color="auto" w:fill="auto"/>
          </w:tcPr>
          <w:p w14:paraId="3299CE8B" w14:textId="4A95F890" w:rsidR="00103A6B" w:rsidRDefault="00103A6B" w:rsidP="00091D5C">
            <w:pPr>
              <w:pStyle w:val="Tablebodytext"/>
              <w:jc w:val="center"/>
            </w:pPr>
            <w:r w:rsidRPr="002F6832">
              <w:rPr>
                <w:rFonts w:ascii="Calibri" w:hAnsi="Calibri" w:cs="Calibri"/>
                <w:color w:val="000000"/>
                <w:lang w:eastAsia="en-AU"/>
              </w:rPr>
              <w:t>LNP</w:t>
            </w:r>
          </w:p>
        </w:tc>
        <w:tc>
          <w:tcPr>
            <w:tcW w:w="1618" w:type="pct"/>
            <w:shd w:val="clear" w:color="auto" w:fill="auto"/>
          </w:tcPr>
          <w:p w14:paraId="519566AA" w14:textId="766D839A"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shd w:val="clear" w:color="auto" w:fill="auto"/>
          </w:tcPr>
          <w:p w14:paraId="6B905C20" w14:textId="625E9C3C" w:rsidR="00103A6B" w:rsidRDefault="00103A6B">
            <w:pPr>
              <w:pStyle w:val="Tablebodytext"/>
              <w:jc w:val="center"/>
            </w:pPr>
            <w:r w:rsidRPr="002F6832">
              <w:rPr>
                <w:rFonts w:ascii="Calibri" w:hAnsi="Calibri" w:cs="Calibri"/>
                <w:color w:val="000000"/>
                <w:lang w:eastAsia="en-AU"/>
              </w:rPr>
              <w:t>Colonisation rate</w:t>
            </w:r>
          </w:p>
        </w:tc>
        <w:tc>
          <w:tcPr>
            <w:tcW w:w="735" w:type="pct"/>
            <w:shd w:val="clear" w:color="auto" w:fill="auto"/>
          </w:tcPr>
          <w:p w14:paraId="1C2B25B2" w14:textId="629C9C36" w:rsidR="00103A6B" w:rsidRDefault="00103A6B">
            <w:pPr>
              <w:pStyle w:val="Tablebodytext"/>
              <w:jc w:val="center"/>
            </w:pPr>
            <w:proofErr w:type="spellStart"/>
            <w:proofErr w:type="gramStart"/>
            <w:r w:rsidRPr="002F6832">
              <w:rPr>
                <w:rFonts w:ascii="Calibri" w:hAnsi="Calibri" w:cs="Calibri"/>
                <w:color w:val="000000"/>
                <w:lang w:eastAsia="en-AU"/>
              </w:rPr>
              <w:t>DNNV:Bait</w:t>
            </w:r>
            <w:proofErr w:type="spellEnd"/>
            <w:proofErr w:type="gramEnd"/>
          </w:p>
        </w:tc>
        <w:tc>
          <w:tcPr>
            <w:tcW w:w="516" w:type="pct"/>
          </w:tcPr>
          <w:p w14:paraId="3E51F10F" w14:textId="2D21AB78" w:rsidR="00103A6B" w:rsidRDefault="00103A6B">
            <w:pPr>
              <w:pStyle w:val="Tablebodytext"/>
              <w:jc w:val="center"/>
            </w:pPr>
            <w:r w:rsidRPr="002F6832">
              <w:rPr>
                <w:rFonts w:ascii="Calibri" w:hAnsi="Calibri" w:cs="Calibri"/>
                <w:color w:val="000000"/>
                <w:lang w:eastAsia="en-AU"/>
              </w:rPr>
              <w:t>0.327</w:t>
            </w:r>
          </w:p>
        </w:tc>
        <w:tc>
          <w:tcPr>
            <w:tcW w:w="441" w:type="pct"/>
          </w:tcPr>
          <w:p w14:paraId="6899ACA8" w14:textId="24E25877"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0.235</w:t>
            </w:r>
          </w:p>
        </w:tc>
        <w:tc>
          <w:tcPr>
            <w:tcW w:w="440" w:type="pct"/>
          </w:tcPr>
          <w:p w14:paraId="6A818B8F" w14:textId="6732E84A" w:rsidR="00103A6B" w:rsidRDefault="00103A6B">
            <w:pPr>
              <w:pStyle w:val="Tablebodytext"/>
              <w:jc w:val="center"/>
            </w:pPr>
            <w:r w:rsidRPr="002F6832">
              <w:rPr>
                <w:rFonts w:ascii="Calibri" w:hAnsi="Calibri" w:cs="Calibri"/>
                <w:color w:val="000000"/>
                <w:lang w:eastAsia="en-AU"/>
              </w:rPr>
              <w:t>0.901</w:t>
            </w:r>
          </w:p>
        </w:tc>
      </w:tr>
      <w:tr w:rsidR="00103A6B" w:rsidRPr="006A33FF" w14:paraId="52CABF3D" w14:textId="77777777" w:rsidTr="00091D5C">
        <w:trPr>
          <w:trHeight w:val="20"/>
        </w:trPr>
        <w:tc>
          <w:tcPr>
            <w:tcW w:w="368" w:type="pct"/>
            <w:shd w:val="clear" w:color="auto" w:fill="auto"/>
          </w:tcPr>
          <w:p w14:paraId="4B871BFC" w14:textId="27064CCE" w:rsidR="00103A6B" w:rsidRDefault="00103A6B" w:rsidP="00091D5C">
            <w:pPr>
              <w:pStyle w:val="Tablebodytext"/>
              <w:jc w:val="center"/>
            </w:pPr>
            <w:r w:rsidRPr="002F6832">
              <w:rPr>
                <w:rFonts w:ascii="Calibri" w:hAnsi="Calibri" w:cs="Calibri"/>
                <w:b/>
                <w:bCs/>
                <w:color w:val="000000"/>
                <w:lang w:eastAsia="en-AU"/>
              </w:rPr>
              <w:lastRenderedPageBreak/>
              <w:t>LNP</w:t>
            </w:r>
          </w:p>
        </w:tc>
        <w:tc>
          <w:tcPr>
            <w:tcW w:w="1618" w:type="pct"/>
            <w:shd w:val="clear" w:color="auto" w:fill="auto"/>
          </w:tcPr>
          <w:p w14:paraId="19496545" w14:textId="37BD4038" w:rsidR="00103A6B" w:rsidRDefault="00103A6B">
            <w:pPr>
              <w:pStyle w:val="Tablebodytext"/>
              <w:jc w:val="center"/>
            </w:pPr>
            <w:r w:rsidRPr="002F6832">
              <w:rPr>
                <w:rFonts w:ascii="Calibri" w:hAnsi="Calibri" w:cs="Calibri"/>
                <w:b/>
                <w:bCs/>
                <w:color w:val="000000"/>
                <w:lang w:eastAsia="en-AU"/>
              </w:rPr>
              <w:t>Distance to non-native vegetation</w:t>
            </w:r>
          </w:p>
        </w:tc>
        <w:tc>
          <w:tcPr>
            <w:tcW w:w="882" w:type="pct"/>
            <w:shd w:val="clear" w:color="auto" w:fill="auto"/>
          </w:tcPr>
          <w:p w14:paraId="2FBECFED" w14:textId="725585D3" w:rsidR="00103A6B" w:rsidRDefault="00103A6B">
            <w:pPr>
              <w:pStyle w:val="Tablebodytext"/>
              <w:jc w:val="center"/>
            </w:pPr>
            <w:r w:rsidRPr="002F6832">
              <w:rPr>
                <w:rFonts w:ascii="Calibri" w:hAnsi="Calibri" w:cs="Calibri"/>
                <w:b/>
                <w:bCs/>
                <w:color w:val="000000"/>
                <w:lang w:eastAsia="en-AU"/>
              </w:rPr>
              <w:t>Colonisation rate</w:t>
            </w:r>
          </w:p>
        </w:tc>
        <w:tc>
          <w:tcPr>
            <w:tcW w:w="735" w:type="pct"/>
            <w:shd w:val="clear" w:color="auto" w:fill="auto"/>
          </w:tcPr>
          <w:p w14:paraId="463B71FE" w14:textId="55FBD58E" w:rsidR="00103A6B" w:rsidRDefault="00103A6B">
            <w:pPr>
              <w:pStyle w:val="Tablebodytext"/>
              <w:jc w:val="center"/>
            </w:pPr>
            <w:r w:rsidRPr="002F6832">
              <w:rPr>
                <w:rFonts w:ascii="Calibri" w:hAnsi="Calibri" w:cs="Calibri"/>
                <w:b/>
                <w:bCs/>
                <w:color w:val="000000"/>
                <w:lang w:eastAsia="en-AU"/>
              </w:rPr>
              <w:t>Bait</w:t>
            </w:r>
          </w:p>
        </w:tc>
        <w:tc>
          <w:tcPr>
            <w:tcW w:w="516" w:type="pct"/>
          </w:tcPr>
          <w:p w14:paraId="7190EE45" w14:textId="4C8802ED"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9.473</w:t>
            </w:r>
          </w:p>
        </w:tc>
        <w:tc>
          <w:tcPr>
            <w:tcW w:w="441" w:type="pct"/>
          </w:tcPr>
          <w:p w14:paraId="6011B477" w14:textId="337311C6"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9.982</w:t>
            </w:r>
          </w:p>
        </w:tc>
        <w:tc>
          <w:tcPr>
            <w:tcW w:w="440" w:type="pct"/>
          </w:tcPr>
          <w:p w14:paraId="22452C8C" w14:textId="602A798C"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7.302</w:t>
            </w:r>
          </w:p>
        </w:tc>
      </w:tr>
      <w:tr w:rsidR="00103A6B" w14:paraId="2D84B857" w14:textId="77777777" w:rsidTr="00091D5C">
        <w:trPr>
          <w:trHeight w:val="20"/>
        </w:trPr>
        <w:tc>
          <w:tcPr>
            <w:tcW w:w="368" w:type="pct"/>
            <w:tcBorders>
              <w:top w:val="single" w:sz="4" w:space="0" w:color="00B2A9"/>
              <w:bottom w:val="single" w:sz="4" w:space="0" w:color="00B2A9"/>
              <w:right w:val="nil"/>
            </w:tcBorders>
            <w:shd w:val="clear" w:color="auto" w:fill="auto"/>
          </w:tcPr>
          <w:p w14:paraId="52FB38BE" w14:textId="3E9D56BA" w:rsidR="00103A6B" w:rsidRPr="00243764"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0ABCB8CD" w14:textId="616DD4B1" w:rsidR="00103A6B" w:rsidRPr="00243764" w:rsidRDefault="00103A6B">
            <w:pPr>
              <w:pStyle w:val="Tablebodytext"/>
              <w:jc w:val="center"/>
            </w:pPr>
            <w:r w:rsidRPr="002F6832">
              <w:rPr>
                <w:rFonts w:ascii="Calibri" w:hAnsi="Calibri" w:cs="Calibri"/>
                <w:b/>
                <w:bCs/>
                <w:color w:val="000000"/>
                <w:lang w:eastAsia="en-AU"/>
              </w:rPr>
              <w:t xml:space="preserve">Terrain </w:t>
            </w:r>
            <w:r w:rsidR="001C0781">
              <w:rPr>
                <w:rFonts w:ascii="Calibri" w:hAnsi="Calibri" w:cs="Calibri"/>
                <w:b/>
                <w:bCs/>
                <w:color w:val="000000"/>
                <w:lang w:eastAsia="en-AU"/>
              </w:rPr>
              <w:t>wetn</w:t>
            </w:r>
            <w:r w:rsidRPr="002F6832">
              <w:rPr>
                <w:rFonts w:ascii="Calibri" w:hAnsi="Calibri" w:cs="Calibri"/>
                <w:b/>
                <w:bCs/>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050A59E8" w14:textId="05826B59" w:rsidR="00103A6B" w:rsidRPr="00243764"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7927CD0E" w14:textId="521FC0C6" w:rsidR="00103A6B" w:rsidRDefault="00103A6B">
            <w:pPr>
              <w:pStyle w:val="Tablebodytext"/>
              <w:jc w:val="center"/>
            </w:pPr>
            <w:r w:rsidRPr="002F6832">
              <w:rPr>
                <w:rFonts w:ascii="Calibri" w:hAnsi="Calibri" w:cs="Calibri"/>
                <w:b/>
                <w:bCs/>
                <w:color w:val="000000"/>
                <w:lang w:eastAsia="en-AU"/>
              </w:rPr>
              <w:t>TWI</w:t>
            </w:r>
          </w:p>
        </w:tc>
        <w:tc>
          <w:tcPr>
            <w:tcW w:w="516" w:type="pct"/>
            <w:tcBorders>
              <w:top w:val="single" w:sz="4" w:space="0" w:color="00B2A9"/>
              <w:left w:val="nil"/>
              <w:bottom w:val="single" w:sz="4" w:space="0" w:color="00B2A9"/>
              <w:right w:val="nil"/>
            </w:tcBorders>
          </w:tcPr>
          <w:p w14:paraId="06F27FA3" w14:textId="27333AAE" w:rsidR="00103A6B" w:rsidRDefault="00103A6B">
            <w:pPr>
              <w:pStyle w:val="Tablebodytext"/>
              <w:jc w:val="center"/>
            </w:pPr>
            <w:r w:rsidRPr="002F6832">
              <w:rPr>
                <w:rFonts w:ascii="Calibri" w:hAnsi="Calibri" w:cs="Calibri"/>
                <w:b/>
                <w:bCs/>
                <w:color w:val="000000"/>
                <w:lang w:eastAsia="en-AU"/>
              </w:rPr>
              <w:t>2.595</w:t>
            </w:r>
          </w:p>
        </w:tc>
        <w:tc>
          <w:tcPr>
            <w:tcW w:w="441" w:type="pct"/>
            <w:tcBorders>
              <w:top w:val="single" w:sz="4" w:space="0" w:color="00B2A9"/>
              <w:left w:val="nil"/>
              <w:bottom w:val="single" w:sz="4" w:space="0" w:color="00B2A9"/>
              <w:right w:val="nil"/>
            </w:tcBorders>
          </w:tcPr>
          <w:p w14:paraId="201732E9" w14:textId="735EFB60" w:rsidR="00103A6B" w:rsidRDefault="00103A6B">
            <w:pPr>
              <w:pStyle w:val="Tablebodytext"/>
              <w:jc w:val="center"/>
            </w:pPr>
            <w:r w:rsidRPr="002F6832">
              <w:rPr>
                <w:rFonts w:ascii="Calibri" w:hAnsi="Calibri" w:cs="Calibri"/>
                <w:b/>
                <w:bCs/>
                <w:color w:val="000000"/>
                <w:lang w:eastAsia="en-AU"/>
              </w:rPr>
              <w:t>0.696</w:t>
            </w:r>
          </w:p>
        </w:tc>
        <w:tc>
          <w:tcPr>
            <w:tcW w:w="440" w:type="pct"/>
            <w:tcBorders>
              <w:top w:val="single" w:sz="4" w:space="0" w:color="00B2A9"/>
              <w:left w:val="nil"/>
              <w:bottom w:val="single" w:sz="4" w:space="0" w:color="00B2A9"/>
            </w:tcBorders>
          </w:tcPr>
          <w:p w14:paraId="3508CBF1" w14:textId="1DDE8DBC" w:rsidR="00103A6B" w:rsidRDefault="00103A6B">
            <w:pPr>
              <w:pStyle w:val="Tablebodytext"/>
              <w:jc w:val="center"/>
            </w:pPr>
            <w:r w:rsidRPr="002F6832">
              <w:rPr>
                <w:rFonts w:ascii="Calibri" w:hAnsi="Calibri" w:cs="Calibri"/>
                <w:b/>
                <w:bCs/>
                <w:color w:val="000000"/>
                <w:lang w:eastAsia="en-AU"/>
              </w:rPr>
              <w:t>4.340</w:t>
            </w:r>
          </w:p>
        </w:tc>
      </w:tr>
      <w:tr w:rsidR="00103A6B" w14:paraId="06993010" w14:textId="77777777" w:rsidTr="00091D5C">
        <w:trPr>
          <w:trHeight w:val="20"/>
        </w:trPr>
        <w:tc>
          <w:tcPr>
            <w:tcW w:w="368" w:type="pct"/>
            <w:tcBorders>
              <w:top w:val="single" w:sz="4" w:space="0" w:color="00B2A9"/>
              <w:bottom w:val="single" w:sz="4" w:space="0" w:color="00B2A9"/>
              <w:right w:val="nil"/>
            </w:tcBorders>
            <w:shd w:val="clear" w:color="auto" w:fill="auto"/>
          </w:tcPr>
          <w:p w14:paraId="57A0A8A3" w14:textId="7DF02283" w:rsidR="00103A6B" w:rsidRPr="00243764"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4972568C" w14:textId="158CDAA5" w:rsidR="00103A6B" w:rsidRPr="00243764"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426F10D3" w14:textId="4067F560" w:rsidR="00103A6B" w:rsidRPr="00243764"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39E551EF" w14:textId="3F2B21D4" w:rsidR="00103A6B" w:rsidRDefault="00103A6B">
            <w:pPr>
              <w:pStyle w:val="Tablebodytext"/>
              <w:jc w:val="center"/>
            </w:pPr>
            <w:proofErr w:type="spellStart"/>
            <w:proofErr w:type="gramStart"/>
            <w:r w:rsidRPr="002F6832">
              <w:rPr>
                <w:rFonts w:ascii="Calibri" w:hAnsi="Calibri" w:cs="Calibri"/>
                <w:color w:val="000000"/>
                <w:lang w:eastAsia="en-AU"/>
              </w:rPr>
              <w:t>TWI:Bait</w:t>
            </w:r>
            <w:proofErr w:type="spellEnd"/>
            <w:proofErr w:type="gramEnd"/>
          </w:p>
        </w:tc>
        <w:tc>
          <w:tcPr>
            <w:tcW w:w="516" w:type="pct"/>
            <w:tcBorders>
              <w:top w:val="single" w:sz="4" w:space="0" w:color="00B2A9"/>
              <w:left w:val="nil"/>
              <w:bottom w:val="single" w:sz="4" w:space="0" w:color="00B2A9"/>
              <w:right w:val="nil"/>
            </w:tcBorders>
          </w:tcPr>
          <w:p w14:paraId="2D850B27" w14:textId="00165509"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2.239</w:t>
            </w:r>
          </w:p>
        </w:tc>
        <w:tc>
          <w:tcPr>
            <w:tcW w:w="441" w:type="pct"/>
            <w:tcBorders>
              <w:top w:val="single" w:sz="4" w:space="0" w:color="00B2A9"/>
              <w:left w:val="nil"/>
              <w:bottom w:val="single" w:sz="4" w:space="0" w:color="00B2A9"/>
              <w:right w:val="nil"/>
            </w:tcBorders>
          </w:tcPr>
          <w:p w14:paraId="64099C06" w14:textId="7E910284"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4.093</w:t>
            </w:r>
          </w:p>
        </w:tc>
        <w:tc>
          <w:tcPr>
            <w:tcW w:w="440" w:type="pct"/>
            <w:tcBorders>
              <w:top w:val="single" w:sz="4" w:space="0" w:color="00B2A9"/>
              <w:left w:val="nil"/>
              <w:bottom w:val="single" w:sz="4" w:space="0" w:color="00B2A9"/>
            </w:tcBorders>
          </w:tcPr>
          <w:p w14:paraId="5FB38F9C" w14:textId="5D9D9E8C"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0.21</w:t>
            </w:r>
            <w:r w:rsidR="00103A6B">
              <w:rPr>
                <w:rFonts w:ascii="Calibri" w:hAnsi="Calibri" w:cs="Calibri"/>
                <w:color w:val="000000"/>
                <w:lang w:eastAsia="en-AU"/>
              </w:rPr>
              <w:t>0</w:t>
            </w:r>
          </w:p>
        </w:tc>
      </w:tr>
      <w:tr w:rsidR="00103A6B" w14:paraId="3EA870F0" w14:textId="77777777" w:rsidTr="00091D5C">
        <w:trPr>
          <w:trHeight w:val="20"/>
        </w:trPr>
        <w:tc>
          <w:tcPr>
            <w:tcW w:w="368" w:type="pct"/>
            <w:tcBorders>
              <w:top w:val="single" w:sz="4" w:space="0" w:color="00B2A9"/>
              <w:bottom w:val="single" w:sz="4" w:space="0" w:color="00B2A9"/>
              <w:right w:val="nil"/>
            </w:tcBorders>
            <w:shd w:val="clear" w:color="auto" w:fill="auto"/>
          </w:tcPr>
          <w:p w14:paraId="3DD587DD" w14:textId="76794694" w:rsidR="00103A6B" w:rsidRPr="00243764"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43CA1003" w14:textId="1494DBBC" w:rsidR="00103A6B" w:rsidRPr="00243764" w:rsidRDefault="00103A6B">
            <w:pPr>
              <w:pStyle w:val="Tablebodytext"/>
              <w:jc w:val="center"/>
            </w:pPr>
            <w:r w:rsidRPr="002F6832">
              <w:rPr>
                <w:rFonts w:ascii="Calibri" w:hAnsi="Calibri" w:cs="Calibri"/>
                <w:b/>
                <w:bCs/>
                <w:color w:val="000000"/>
                <w:lang w:eastAsia="en-AU"/>
              </w:rPr>
              <w:t xml:space="preserve">Terrain </w:t>
            </w:r>
            <w:r w:rsidR="001C0781">
              <w:rPr>
                <w:rFonts w:ascii="Calibri" w:hAnsi="Calibri" w:cs="Calibri"/>
                <w:b/>
                <w:bCs/>
                <w:color w:val="000000"/>
                <w:lang w:eastAsia="en-AU"/>
              </w:rPr>
              <w:t>wetn</w:t>
            </w:r>
            <w:r w:rsidRPr="002F6832">
              <w:rPr>
                <w:rFonts w:ascii="Calibri" w:hAnsi="Calibri" w:cs="Calibri"/>
                <w:b/>
                <w:bCs/>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39D51E0E" w14:textId="199DFC5D" w:rsidR="00103A6B" w:rsidRPr="00243764"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3FEEC631" w14:textId="62D7965F" w:rsidR="00103A6B"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46362E1A" w14:textId="03B0A058" w:rsidR="00103A6B" w:rsidRDefault="00103A6B">
            <w:pPr>
              <w:pStyle w:val="Tablebodytext"/>
              <w:jc w:val="center"/>
            </w:pPr>
            <w:r w:rsidRPr="002F6832">
              <w:rPr>
                <w:rFonts w:ascii="Calibri" w:hAnsi="Calibri" w:cs="Calibri"/>
                <w:b/>
                <w:bCs/>
                <w:color w:val="000000"/>
                <w:lang w:eastAsia="en-AU"/>
              </w:rPr>
              <w:t>4.170</w:t>
            </w:r>
          </w:p>
        </w:tc>
        <w:tc>
          <w:tcPr>
            <w:tcW w:w="441" w:type="pct"/>
            <w:tcBorders>
              <w:top w:val="single" w:sz="4" w:space="0" w:color="00B2A9"/>
              <w:left w:val="nil"/>
              <w:bottom w:val="single" w:sz="4" w:space="0" w:color="00B2A9"/>
              <w:right w:val="nil"/>
            </w:tcBorders>
          </w:tcPr>
          <w:p w14:paraId="27936F4B" w14:textId="2A03FDAD" w:rsidR="00103A6B" w:rsidRDefault="00103A6B">
            <w:pPr>
              <w:pStyle w:val="Tablebodytext"/>
              <w:jc w:val="center"/>
            </w:pPr>
            <w:r w:rsidRPr="002F6832">
              <w:rPr>
                <w:rFonts w:ascii="Calibri" w:hAnsi="Calibri" w:cs="Calibri"/>
                <w:b/>
                <w:bCs/>
                <w:color w:val="000000"/>
                <w:lang w:eastAsia="en-AU"/>
              </w:rPr>
              <w:t>0.306</w:t>
            </w:r>
          </w:p>
        </w:tc>
        <w:tc>
          <w:tcPr>
            <w:tcW w:w="440" w:type="pct"/>
            <w:tcBorders>
              <w:top w:val="single" w:sz="4" w:space="0" w:color="00B2A9"/>
              <w:left w:val="nil"/>
              <w:bottom w:val="single" w:sz="4" w:space="0" w:color="00B2A9"/>
            </w:tcBorders>
          </w:tcPr>
          <w:p w14:paraId="5E214D89" w14:textId="7627A80A" w:rsidR="00103A6B" w:rsidRDefault="00103A6B">
            <w:pPr>
              <w:pStyle w:val="Tablebodytext"/>
              <w:jc w:val="center"/>
            </w:pPr>
            <w:r w:rsidRPr="002F6832">
              <w:rPr>
                <w:rFonts w:ascii="Calibri" w:hAnsi="Calibri" w:cs="Calibri"/>
                <w:b/>
                <w:bCs/>
                <w:color w:val="000000"/>
                <w:lang w:eastAsia="en-AU"/>
              </w:rPr>
              <w:t>6.949</w:t>
            </w:r>
          </w:p>
        </w:tc>
      </w:tr>
      <w:tr w:rsidR="00103A6B" w14:paraId="14547A41" w14:textId="77777777" w:rsidTr="00091D5C">
        <w:trPr>
          <w:trHeight w:val="20"/>
        </w:trPr>
        <w:tc>
          <w:tcPr>
            <w:tcW w:w="368" w:type="pct"/>
            <w:tcBorders>
              <w:top w:val="single" w:sz="4" w:space="0" w:color="00B2A9"/>
              <w:bottom w:val="single" w:sz="4" w:space="0" w:color="00B2A9"/>
              <w:right w:val="nil"/>
            </w:tcBorders>
            <w:shd w:val="clear" w:color="auto" w:fill="auto"/>
          </w:tcPr>
          <w:p w14:paraId="5F017DCE" w14:textId="6A6691CC" w:rsidR="00103A6B" w:rsidRPr="00243764"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574420C6" w14:textId="00755388" w:rsidR="00103A6B" w:rsidRPr="00243764"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6BAA3D12" w14:textId="63DD355B" w:rsidR="00103A6B" w:rsidRPr="00243764"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7CF5C004" w14:textId="3854BDE6" w:rsidR="00103A6B" w:rsidRDefault="00103A6B">
            <w:pPr>
              <w:pStyle w:val="Tablebodytext"/>
              <w:jc w:val="center"/>
            </w:pPr>
            <w:r w:rsidRPr="002F6832">
              <w:rPr>
                <w:rFonts w:ascii="Calibri" w:hAnsi="Calibri" w:cs="Calibri"/>
                <w:color w:val="000000"/>
                <w:lang w:eastAsia="en-AU"/>
              </w:rPr>
              <w:t>TWI</w:t>
            </w:r>
          </w:p>
        </w:tc>
        <w:tc>
          <w:tcPr>
            <w:tcW w:w="516" w:type="pct"/>
            <w:tcBorders>
              <w:top w:val="single" w:sz="4" w:space="0" w:color="00B2A9"/>
              <w:left w:val="nil"/>
              <w:bottom w:val="single" w:sz="4" w:space="0" w:color="00B2A9"/>
              <w:right w:val="nil"/>
            </w:tcBorders>
          </w:tcPr>
          <w:p w14:paraId="7AD4499E" w14:textId="619D356E"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0.162</w:t>
            </w:r>
          </w:p>
        </w:tc>
        <w:tc>
          <w:tcPr>
            <w:tcW w:w="441" w:type="pct"/>
            <w:tcBorders>
              <w:top w:val="single" w:sz="4" w:space="0" w:color="00B2A9"/>
              <w:left w:val="nil"/>
              <w:bottom w:val="single" w:sz="4" w:space="0" w:color="00B2A9"/>
              <w:right w:val="nil"/>
            </w:tcBorders>
          </w:tcPr>
          <w:p w14:paraId="3D192F74" w14:textId="513EA619"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1.154</w:t>
            </w:r>
          </w:p>
        </w:tc>
        <w:tc>
          <w:tcPr>
            <w:tcW w:w="440" w:type="pct"/>
            <w:tcBorders>
              <w:top w:val="single" w:sz="4" w:space="0" w:color="00B2A9"/>
              <w:left w:val="nil"/>
              <w:bottom w:val="single" w:sz="4" w:space="0" w:color="00B2A9"/>
            </w:tcBorders>
          </w:tcPr>
          <w:p w14:paraId="0A3E5521" w14:textId="70C2A117" w:rsidR="00103A6B" w:rsidRDefault="00103A6B">
            <w:pPr>
              <w:pStyle w:val="Tablebodytext"/>
              <w:jc w:val="center"/>
            </w:pPr>
            <w:r w:rsidRPr="002F6832">
              <w:rPr>
                <w:rFonts w:ascii="Calibri" w:hAnsi="Calibri" w:cs="Calibri"/>
                <w:color w:val="000000"/>
                <w:lang w:eastAsia="en-AU"/>
              </w:rPr>
              <w:t>0.604</w:t>
            </w:r>
          </w:p>
        </w:tc>
      </w:tr>
      <w:tr w:rsidR="00103A6B" w14:paraId="2DE06C38" w14:textId="77777777" w:rsidTr="00091D5C">
        <w:trPr>
          <w:trHeight w:val="20"/>
        </w:trPr>
        <w:tc>
          <w:tcPr>
            <w:tcW w:w="368" w:type="pct"/>
            <w:tcBorders>
              <w:top w:val="single" w:sz="4" w:space="0" w:color="00B2A9"/>
              <w:bottom w:val="single" w:sz="4" w:space="0" w:color="00B2A9"/>
              <w:right w:val="nil"/>
            </w:tcBorders>
            <w:shd w:val="clear" w:color="auto" w:fill="auto"/>
          </w:tcPr>
          <w:p w14:paraId="07E2C9FC" w14:textId="75AAE178" w:rsidR="00103A6B" w:rsidRPr="00243764"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226B8F22" w14:textId="488FC7C1" w:rsidR="00103A6B" w:rsidRPr="00243764"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135EC2E0" w14:textId="76E553A6" w:rsidR="00103A6B" w:rsidRPr="00243764"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3566D5B4" w14:textId="56C70509" w:rsidR="00103A6B" w:rsidRDefault="00103A6B">
            <w:pPr>
              <w:pStyle w:val="Tablebodytext"/>
              <w:jc w:val="center"/>
            </w:pPr>
            <w:proofErr w:type="spellStart"/>
            <w:proofErr w:type="gramStart"/>
            <w:r w:rsidRPr="002F6832">
              <w:rPr>
                <w:rFonts w:ascii="Calibri" w:hAnsi="Calibri" w:cs="Calibri"/>
                <w:color w:val="000000"/>
                <w:lang w:eastAsia="en-AU"/>
              </w:rPr>
              <w:t>TWI:Bait</w:t>
            </w:r>
            <w:proofErr w:type="spellEnd"/>
            <w:proofErr w:type="gramEnd"/>
          </w:p>
        </w:tc>
        <w:tc>
          <w:tcPr>
            <w:tcW w:w="516" w:type="pct"/>
            <w:tcBorders>
              <w:top w:val="single" w:sz="4" w:space="0" w:color="00B2A9"/>
              <w:left w:val="nil"/>
              <w:bottom w:val="single" w:sz="4" w:space="0" w:color="00B2A9"/>
              <w:right w:val="nil"/>
            </w:tcBorders>
          </w:tcPr>
          <w:p w14:paraId="45213B6C" w14:textId="2C18FC51" w:rsidR="00103A6B" w:rsidRDefault="00103A6B">
            <w:pPr>
              <w:pStyle w:val="Tablebodytext"/>
              <w:jc w:val="center"/>
            </w:pPr>
            <w:r w:rsidRPr="002F6832">
              <w:rPr>
                <w:rFonts w:ascii="Calibri" w:hAnsi="Calibri" w:cs="Calibri"/>
                <w:color w:val="000000"/>
                <w:lang w:eastAsia="en-AU"/>
              </w:rPr>
              <w:t>0.268</w:t>
            </w:r>
          </w:p>
        </w:tc>
        <w:tc>
          <w:tcPr>
            <w:tcW w:w="441" w:type="pct"/>
            <w:tcBorders>
              <w:top w:val="single" w:sz="4" w:space="0" w:color="00B2A9"/>
              <w:left w:val="nil"/>
              <w:bottom w:val="single" w:sz="4" w:space="0" w:color="00B2A9"/>
              <w:right w:val="nil"/>
            </w:tcBorders>
          </w:tcPr>
          <w:p w14:paraId="26F180B1" w14:textId="593A9497"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0.591</w:t>
            </w:r>
          </w:p>
        </w:tc>
        <w:tc>
          <w:tcPr>
            <w:tcW w:w="440" w:type="pct"/>
            <w:tcBorders>
              <w:top w:val="single" w:sz="4" w:space="0" w:color="00B2A9"/>
              <w:left w:val="nil"/>
              <w:bottom w:val="single" w:sz="4" w:space="0" w:color="00B2A9"/>
            </w:tcBorders>
          </w:tcPr>
          <w:p w14:paraId="19E2D3B4" w14:textId="3DCA6E3B" w:rsidR="00103A6B" w:rsidRDefault="00103A6B">
            <w:pPr>
              <w:pStyle w:val="Tablebodytext"/>
              <w:jc w:val="center"/>
            </w:pPr>
            <w:r w:rsidRPr="002F6832">
              <w:rPr>
                <w:rFonts w:ascii="Calibri" w:hAnsi="Calibri" w:cs="Calibri"/>
                <w:color w:val="000000"/>
                <w:lang w:eastAsia="en-AU"/>
              </w:rPr>
              <w:t>1.311</w:t>
            </w:r>
          </w:p>
        </w:tc>
      </w:tr>
      <w:tr w:rsidR="00103A6B" w14:paraId="7546F939" w14:textId="77777777" w:rsidTr="00091D5C">
        <w:trPr>
          <w:trHeight w:val="20"/>
        </w:trPr>
        <w:tc>
          <w:tcPr>
            <w:tcW w:w="368" w:type="pct"/>
            <w:tcBorders>
              <w:top w:val="single" w:sz="4" w:space="0" w:color="00B2A9"/>
              <w:bottom w:val="single" w:sz="4" w:space="0" w:color="00B2A9"/>
              <w:right w:val="nil"/>
            </w:tcBorders>
            <w:shd w:val="clear" w:color="auto" w:fill="auto"/>
          </w:tcPr>
          <w:p w14:paraId="15A4734B" w14:textId="19F39B10" w:rsidR="00103A6B" w:rsidRPr="00243764"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60E7BAA4" w14:textId="455FF74B" w:rsidR="00103A6B" w:rsidRPr="00243764" w:rsidRDefault="00103A6B">
            <w:pPr>
              <w:pStyle w:val="Tablebodytext"/>
              <w:jc w:val="center"/>
            </w:pPr>
            <w:r w:rsidRPr="002F6832">
              <w:rPr>
                <w:rFonts w:ascii="Calibri" w:hAnsi="Calibri" w:cs="Calibri"/>
                <w:b/>
                <w:bCs/>
                <w:color w:val="000000"/>
                <w:lang w:eastAsia="en-AU"/>
              </w:rPr>
              <w:t xml:space="preserve">Terrain </w:t>
            </w:r>
            <w:r w:rsidR="001C0781">
              <w:rPr>
                <w:rFonts w:ascii="Calibri" w:hAnsi="Calibri" w:cs="Calibri"/>
                <w:b/>
                <w:bCs/>
                <w:color w:val="000000"/>
                <w:lang w:eastAsia="en-AU"/>
              </w:rPr>
              <w:t>wetn</w:t>
            </w:r>
            <w:r w:rsidRPr="002F6832">
              <w:rPr>
                <w:rFonts w:ascii="Calibri" w:hAnsi="Calibri" w:cs="Calibri"/>
                <w:b/>
                <w:bCs/>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34F020D6" w14:textId="0D0624A9" w:rsidR="00103A6B" w:rsidRPr="00243764"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7B2883DC" w14:textId="3FB91EEB" w:rsidR="00103A6B"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5C57921F" w14:textId="095AF466"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9.465</w:t>
            </w:r>
          </w:p>
        </w:tc>
        <w:tc>
          <w:tcPr>
            <w:tcW w:w="441" w:type="pct"/>
            <w:tcBorders>
              <w:top w:val="single" w:sz="4" w:space="0" w:color="00B2A9"/>
              <w:left w:val="nil"/>
              <w:bottom w:val="single" w:sz="4" w:space="0" w:color="00B2A9"/>
              <w:right w:val="nil"/>
            </w:tcBorders>
          </w:tcPr>
          <w:p w14:paraId="268D8B33" w14:textId="0C614D8B"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9.979</w:t>
            </w:r>
          </w:p>
        </w:tc>
        <w:tc>
          <w:tcPr>
            <w:tcW w:w="440" w:type="pct"/>
            <w:tcBorders>
              <w:top w:val="single" w:sz="4" w:space="0" w:color="00B2A9"/>
              <w:left w:val="nil"/>
              <w:bottom w:val="single" w:sz="4" w:space="0" w:color="00B2A9"/>
            </w:tcBorders>
          </w:tcPr>
          <w:p w14:paraId="1F21F880" w14:textId="017965CF"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7.254</w:t>
            </w:r>
          </w:p>
        </w:tc>
      </w:tr>
      <w:tr w:rsidR="00103A6B" w:rsidRPr="00DD68C6" w14:paraId="62BA44EB" w14:textId="77777777" w:rsidTr="00091D5C">
        <w:trPr>
          <w:trHeight w:val="20"/>
        </w:trPr>
        <w:tc>
          <w:tcPr>
            <w:tcW w:w="368" w:type="pct"/>
            <w:tcBorders>
              <w:top w:val="single" w:sz="4" w:space="0" w:color="00B2A9"/>
              <w:bottom w:val="single" w:sz="4" w:space="0" w:color="00B2A9"/>
              <w:right w:val="nil"/>
            </w:tcBorders>
            <w:shd w:val="clear" w:color="auto" w:fill="auto"/>
          </w:tcPr>
          <w:p w14:paraId="0B23ED87" w14:textId="39D6C93F" w:rsidR="00103A6B" w:rsidRPr="006A33FF"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7C5C0BF0" w14:textId="7FF3574A" w:rsidR="00103A6B" w:rsidRPr="006A33FF"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7242E35B" w14:textId="2F8DC6AA" w:rsidR="00103A6B" w:rsidRPr="006A33FF"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0B190CED" w14:textId="0D483EF3" w:rsidR="00103A6B" w:rsidRPr="006A33FF" w:rsidRDefault="00103A6B">
            <w:pPr>
              <w:pStyle w:val="Tablebodytext"/>
              <w:jc w:val="center"/>
            </w:pPr>
            <w:r w:rsidRPr="002F6832">
              <w:rPr>
                <w:rFonts w:ascii="Calibri" w:hAnsi="Calibri" w:cs="Calibri"/>
                <w:color w:val="000000"/>
                <w:lang w:eastAsia="en-AU"/>
              </w:rPr>
              <w:t>TRI</w:t>
            </w:r>
          </w:p>
        </w:tc>
        <w:tc>
          <w:tcPr>
            <w:tcW w:w="516" w:type="pct"/>
            <w:tcBorders>
              <w:top w:val="single" w:sz="4" w:space="0" w:color="00B2A9"/>
              <w:left w:val="nil"/>
              <w:bottom w:val="single" w:sz="4" w:space="0" w:color="00B2A9"/>
              <w:right w:val="nil"/>
            </w:tcBorders>
          </w:tcPr>
          <w:p w14:paraId="5B11A51B" w14:textId="27A39E96" w:rsidR="00103A6B" w:rsidRPr="00DD68C6" w:rsidRDefault="00103A6B">
            <w:pPr>
              <w:pStyle w:val="Tablebodytext"/>
              <w:jc w:val="center"/>
            </w:pPr>
            <w:r w:rsidRPr="002F6832">
              <w:rPr>
                <w:rFonts w:ascii="Calibri" w:hAnsi="Calibri" w:cs="Calibri"/>
                <w:color w:val="000000"/>
                <w:lang w:eastAsia="en-AU"/>
              </w:rPr>
              <w:t>0.873</w:t>
            </w:r>
          </w:p>
        </w:tc>
        <w:tc>
          <w:tcPr>
            <w:tcW w:w="441" w:type="pct"/>
            <w:tcBorders>
              <w:top w:val="single" w:sz="4" w:space="0" w:color="00B2A9"/>
              <w:left w:val="nil"/>
              <w:bottom w:val="single" w:sz="4" w:space="0" w:color="00B2A9"/>
              <w:right w:val="nil"/>
            </w:tcBorders>
          </w:tcPr>
          <w:p w14:paraId="4EF7E1D0" w14:textId="38B8E014" w:rsidR="00103A6B" w:rsidRPr="00DD68C6"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2.087</w:t>
            </w:r>
          </w:p>
        </w:tc>
        <w:tc>
          <w:tcPr>
            <w:tcW w:w="440" w:type="pct"/>
            <w:tcBorders>
              <w:top w:val="single" w:sz="4" w:space="0" w:color="00B2A9"/>
              <w:left w:val="nil"/>
              <w:bottom w:val="single" w:sz="4" w:space="0" w:color="00B2A9"/>
            </w:tcBorders>
          </w:tcPr>
          <w:p w14:paraId="169EBCB6" w14:textId="7E3A11F3" w:rsidR="00103A6B" w:rsidRPr="00DD68C6" w:rsidRDefault="00103A6B">
            <w:pPr>
              <w:pStyle w:val="Tablebodytext"/>
              <w:jc w:val="center"/>
            </w:pPr>
            <w:r w:rsidRPr="002F6832">
              <w:rPr>
                <w:rFonts w:ascii="Calibri" w:hAnsi="Calibri" w:cs="Calibri"/>
                <w:color w:val="000000"/>
                <w:lang w:eastAsia="en-AU"/>
              </w:rPr>
              <w:t>3.891</w:t>
            </w:r>
          </w:p>
        </w:tc>
      </w:tr>
      <w:tr w:rsidR="00103A6B" w:rsidRPr="00DD68C6" w14:paraId="6E7CB4D6" w14:textId="77777777" w:rsidTr="00091D5C">
        <w:trPr>
          <w:trHeight w:val="20"/>
        </w:trPr>
        <w:tc>
          <w:tcPr>
            <w:tcW w:w="368" w:type="pct"/>
            <w:tcBorders>
              <w:top w:val="single" w:sz="4" w:space="0" w:color="00B2A9"/>
              <w:bottom w:val="single" w:sz="4" w:space="0" w:color="00B2A9"/>
              <w:right w:val="nil"/>
            </w:tcBorders>
            <w:shd w:val="clear" w:color="auto" w:fill="auto"/>
          </w:tcPr>
          <w:p w14:paraId="1EF2CB0F" w14:textId="14CF9862" w:rsidR="00103A6B" w:rsidRPr="00243764"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6364B033" w14:textId="7B1599E0" w:rsidR="00103A6B" w:rsidRPr="006A33FF"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28C885BF" w14:textId="60D83F2C" w:rsidR="00103A6B" w:rsidRPr="006A33FF"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2FBFB579" w14:textId="20CE757A" w:rsidR="00103A6B" w:rsidRPr="006A33FF" w:rsidRDefault="00103A6B">
            <w:pPr>
              <w:pStyle w:val="Tablebodytext"/>
              <w:jc w:val="center"/>
            </w:pPr>
            <w:proofErr w:type="spellStart"/>
            <w:proofErr w:type="gramStart"/>
            <w:r w:rsidRPr="002F6832">
              <w:rPr>
                <w:rFonts w:ascii="Calibri" w:hAnsi="Calibri" w:cs="Calibri"/>
                <w:color w:val="000000"/>
                <w:lang w:eastAsia="en-AU"/>
              </w:rPr>
              <w:t>TRI:Bait</w:t>
            </w:r>
            <w:proofErr w:type="spellEnd"/>
            <w:proofErr w:type="gramEnd"/>
          </w:p>
        </w:tc>
        <w:tc>
          <w:tcPr>
            <w:tcW w:w="516" w:type="pct"/>
            <w:tcBorders>
              <w:top w:val="single" w:sz="4" w:space="0" w:color="00B2A9"/>
              <w:left w:val="nil"/>
              <w:bottom w:val="single" w:sz="4" w:space="0" w:color="00B2A9"/>
              <w:right w:val="nil"/>
            </w:tcBorders>
          </w:tcPr>
          <w:p w14:paraId="68A1A890" w14:textId="0BF090A7" w:rsidR="00103A6B" w:rsidRPr="00DD68C6"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1.103</w:t>
            </w:r>
          </w:p>
        </w:tc>
        <w:tc>
          <w:tcPr>
            <w:tcW w:w="441" w:type="pct"/>
            <w:tcBorders>
              <w:top w:val="single" w:sz="4" w:space="0" w:color="00B2A9"/>
              <w:left w:val="nil"/>
              <w:bottom w:val="single" w:sz="4" w:space="0" w:color="00B2A9"/>
              <w:right w:val="nil"/>
            </w:tcBorders>
          </w:tcPr>
          <w:p w14:paraId="1CCC92B4" w14:textId="54F576FF" w:rsidR="00103A6B" w:rsidRPr="00DD68C6"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4.367</w:t>
            </w:r>
          </w:p>
        </w:tc>
        <w:tc>
          <w:tcPr>
            <w:tcW w:w="440" w:type="pct"/>
            <w:tcBorders>
              <w:top w:val="single" w:sz="4" w:space="0" w:color="00B2A9"/>
              <w:left w:val="nil"/>
              <w:bottom w:val="single" w:sz="4" w:space="0" w:color="00B2A9"/>
            </w:tcBorders>
          </w:tcPr>
          <w:p w14:paraId="6F24B690" w14:textId="2A0BA86D" w:rsidR="00103A6B" w:rsidRPr="00DD68C6" w:rsidRDefault="00103A6B">
            <w:pPr>
              <w:pStyle w:val="Tablebodytext"/>
              <w:jc w:val="center"/>
            </w:pPr>
            <w:r w:rsidRPr="002F6832">
              <w:rPr>
                <w:rFonts w:ascii="Calibri" w:hAnsi="Calibri" w:cs="Calibri"/>
                <w:color w:val="000000"/>
                <w:lang w:eastAsia="en-AU"/>
              </w:rPr>
              <w:t>2.148</w:t>
            </w:r>
          </w:p>
        </w:tc>
      </w:tr>
      <w:tr w:rsidR="00103A6B" w:rsidRPr="00DD68C6" w14:paraId="34BAA761" w14:textId="77777777" w:rsidTr="00091D5C">
        <w:trPr>
          <w:trHeight w:val="20"/>
        </w:trPr>
        <w:tc>
          <w:tcPr>
            <w:tcW w:w="368" w:type="pct"/>
            <w:tcBorders>
              <w:top w:val="single" w:sz="4" w:space="0" w:color="00B2A9"/>
              <w:bottom w:val="single" w:sz="4" w:space="0" w:color="00B2A9"/>
              <w:right w:val="nil"/>
            </w:tcBorders>
            <w:shd w:val="clear" w:color="auto" w:fill="auto"/>
          </w:tcPr>
          <w:p w14:paraId="41325FC4" w14:textId="1C491978" w:rsidR="00103A6B" w:rsidRPr="00243764"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4490BCF1" w14:textId="3B62C917" w:rsidR="00103A6B" w:rsidRPr="006A33FF" w:rsidRDefault="00103A6B">
            <w:pPr>
              <w:pStyle w:val="Tablebodytext"/>
              <w:jc w:val="center"/>
            </w:pPr>
            <w:r w:rsidRPr="002F6832">
              <w:rPr>
                <w:rFonts w:ascii="Calibri" w:hAnsi="Calibri" w:cs="Calibri"/>
                <w:b/>
                <w:bCs/>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7FAD421D" w14:textId="054374D8" w:rsidR="00103A6B" w:rsidRPr="006A33FF"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34CE4733" w14:textId="60FD7FAE" w:rsidR="00103A6B" w:rsidRPr="006A33FF"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688E4252" w14:textId="78181D89" w:rsidR="00103A6B" w:rsidRPr="00DD68C6" w:rsidRDefault="00103A6B">
            <w:pPr>
              <w:pStyle w:val="Tablebodytext"/>
              <w:jc w:val="center"/>
            </w:pPr>
            <w:r w:rsidRPr="002F6832">
              <w:rPr>
                <w:rFonts w:ascii="Calibri" w:hAnsi="Calibri" w:cs="Calibri"/>
                <w:b/>
                <w:bCs/>
                <w:color w:val="000000"/>
                <w:lang w:eastAsia="en-AU"/>
              </w:rPr>
              <w:t>4.170</w:t>
            </w:r>
          </w:p>
        </w:tc>
        <w:tc>
          <w:tcPr>
            <w:tcW w:w="441" w:type="pct"/>
            <w:tcBorders>
              <w:top w:val="single" w:sz="4" w:space="0" w:color="00B2A9"/>
              <w:left w:val="nil"/>
              <w:bottom w:val="single" w:sz="4" w:space="0" w:color="00B2A9"/>
              <w:right w:val="nil"/>
            </w:tcBorders>
          </w:tcPr>
          <w:p w14:paraId="349338FA" w14:textId="5031FD1D" w:rsidR="00103A6B" w:rsidRPr="00DD68C6" w:rsidRDefault="00103A6B">
            <w:pPr>
              <w:pStyle w:val="Tablebodytext"/>
              <w:jc w:val="center"/>
            </w:pPr>
            <w:r w:rsidRPr="002F6832">
              <w:rPr>
                <w:rFonts w:ascii="Calibri" w:hAnsi="Calibri" w:cs="Calibri"/>
                <w:b/>
                <w:bCs/>
                <w:color w:val="000000"/>
                <w:lang w:eastAsia="en-AU"/>
              </w:rPr>
              <w:t>0.306</w:t>
            </w:r>
          </w:p>
        </w:tc>
        <w:tc>
          <w:tcPr>
            <w:tcW w:w="440" w:type="pct"/>
            <w:tcBorders>
              <w:top w:val="single" w:sz="4" w:space="0" w:color="00B2A9"/>
              <w:left w:val="nil"/>
              <w:bottom w:val="single" w:sz="4" w:space="0" w:color="00B2A9"/>
            </w:tcBorders>
          </w:tcPr>
          <w:p w14:paraId="0EFDABF6" w14:textId="28C8348D" w:rsidR="00103A6B" w:rsidRPr="00DD68C6" w:rsidRDefault="00103A6B">
            <w:pPr>
              <w:pStyle w:val="Tablebodytext"/>
              <w:jc w:val="center"/>
            </w:pPr>
            <w:r w:rsidRPr="002F6832">
              <w:rPr>
                <w:rFonts w:ascii="Calibri" w:hAnsi="Calibri" w:cs="Calibri"/>
                <w:b/>
                <w:bCs/>
                <w:color w:val="000000"/>
                <w:lang w:eastAsia="en-AU"/>
              </w:rPr>
              <w:t>6.949</w:t>
            </w:r>
          </w:p>
        </w:tc>
      </w:tr>
      <w:tr w:rsidR="00103A6B" w:rsidRPr="00DD68C6" w14:paraId="24E82C1E" w14:textId="77777777" w:rsidTr="00091D5C">
        <w:trPr>
          <w:trHeight w:val="20"/>
        </w:trPr>
        <w:tc>
          <w:tcPr>
            <w:tcW w:w="368" w:type="pct"/>
            <w:tcBorders>
              <w:top w:val="single" w:sz="4" w:space="0" w:color="00B2A9"/>
              <w:bottom w:val="single" w:sz="4" w:space="0" w:color="00B2A9"/>
              <w:right w:val="nil"/>
            </w:tcBorders>
            <w:shd w:val="clear" w:color="auto" w:fill="auto"/>
          </w:tcPr>
          <w:p w14:paraId="77B3F1C0" w14:textId="2394D818" w:rsidR="00103A6B" w:rsidRPr="00243764"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4D4E57D2" w14:textId="2032E684" w:rsidR="00103A6B" w:rsidRPr="006A33FF"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518C03E8" w14:textId="5BC2089A" w:rsidR="00103A6B" w:rsidRPr="00042D49"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037EB559" w14:textId="3DD0F40E" w:rsidR="00103A6B" w:rsidRPr="006A33FF" w:rsidRDefault="00103A6B">
            <w:pPr>
              <w:pStyle w:val="Tablebodytext"/>
              <w:jc w:val="center"/>
            </w:pPr>
            <w:r w:rsidRPr="002F6832">
              <w:rPr>
                <w:rFonts w:ascii="Calibri" w:hAnsi="Calibri" w:cs="Calibri"/>
                <w:color w:val="000000"/>
                <w:lang w:eastAsia="en-AU"/>
              </w:rPr>
              <w:t>TRI</w:t>
            </w:r>
          </w:p>
        </w:tc>
        <w:tc>
          <w:tcPr>
            <w:tcW w:w="516" w:type="pct"/>
            <w:tcBorders>
              <w:top w:val="single" w:sz="4" w:space="0" w:color="00B2A9"/>
              <w:left w:val="nil"/>
              <w:bottom w:val="single" w:sz="4" w:space="0" w:color="00B2A9"/>
              <w:right w:val="nil"/>
            </w:tcBorders>
          </w:tcPr>
          <w:p w14:paraId="2EFFD78C" w14:textId="142F9D72" w:rsidR="00103A6B" w:rsidRPr="00DD68C6" w:rsidRDefault="00103A6B">
            <w:pPr>
              <w:pStyle w:val="Tablebodytext"/>
              <w:jc w:val="center"/>
            </w:pPr>
            <w:r w:rsidRPr="002F6832">
              <w:rPr>
                <w:rFonts w:ascii="Calibri" w:hAnsi="Calibri" w:cs="Calibri"/>
                <w:color w:val="000000"/>
                <w:lang w:eastAsia="en-AU"/>
              </w:rPr>
              <w:t>0.031</w:t>
            </w:r>
          </w:p>
        </w:tc>
        <w:tc>
          <w:tcPr>
            <w:tcW w:w="441" w:type="pct"/>
            <w:tcBorders>
              <w:top w:val="single" w:sz="4" w:space="0" w:color="00B2A9"/>
              <w:left w:val="nil"/>
              <w:bottom w:val="single" w:sz="4" w:space="0" w:color="00B2A9"/>
              <w:right w:val="nil"/>
            </w:tcBorders>
          </w:tcPr>
          <w:p w14:paraId="27FCE2E3" w14:textId="236CE002" w:rsidR="00103A6B" w:rsidRPr="00DD68C6"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0.782</w:t>
            </w:r>
          </w:p>
        </w:tc>
        <w:tc>
          <w:tcPr>
            <w:tcW w:w="440" w:type="pct"/>
            <w:tcBorders>
              <w:top w:val="single" w:sz="4" w:space="0" w:color="00B2A9"/>
              <w:left w:val="nil"/>
              <w:bottom w:val="single" w:sz="4" w:space="0" w:color="00B2A9"/>
            </w:tcBorders>
          </w:tcPr>
          <w:p w14:paraId="2B98EDD1" w14:textId="07600273" w:rsidR="00103A6B" w:rsidRPr="00DD68C6" w:rsidRDefault="00103A6B">
            <w:pPr>
              <w:pStyle w:val="Tablebodytext"/>
              <w:jc w:val="center"/>
            </w:pPr>
            <w:r w:rsidRPr="002F6832">
              <w:rPr>
                <w:rFonts w:ascii="Calibri" w:hAnsi="Calibri" w:cs="Calibri"/>
                <w:color w:val="000000"/>
                <w:lang w:eastAsia="en-AU"/>
              </w:rPr>
              <w:t>0.594</w:t>
            </w:r>
          </w:p>
        </w:tc>
      </w:tr>
      <w:tr w:rsidR="00103A6B" w:rsidRPr="00700F91" w14:paraId="72E41034" w14:textId="77777777" w:rsidTr="00091D5C">
        <w:trPr>
          <w:trHeight w:val="20"/>
        </w:trPr>
        <w:tc>
          <w:tcPr>
            <w:tcW w:w="368" w:type="pct"/>
            <w:tcBorders>
              <w:top w:val="single" w:sz="4" w:space="0" w:color="00B2A9"/>
              <w:bottom w:val="single" w:sz="4" w:space="0" w:color="00B2A9"/>
              <w:right w:val="nil"/>
            </w:tcBorders>
            <w:shd w:val="clear" w:color="auto" w:fill="auto"/>
          </w:tcPr>
          <w:p w14:paraId="79F12F6C" w14:textId="094A97E0" w:rsidR="00103A6B" w:rsidRPr="006A33FF"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34B528BD" w14:textId="0DB12949" w:rsidR="00103A6B" w:rsidRPr="006A33FF"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24E8A0B8" w14:textId="60899396" w:rsidR="00103A6B" w:rsidRPr="006A33FF"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0B6A8651" w14:textId="18EFD20A" w:rsidR="00103A6B" w:rsidRPr="006A33FF" w:rsidRDefault="00103A6B">
            <w:pPr>
              <w:pStyle w:val="Tablebodytext"/>
              <w:jc w:val="center"/>
            </w:pPr>
            <w:proofErr w:type="spellStart"/>
            <w:proofErr w:type="gramStart"/>
            <w:r w:rsidRPr="002F6832">
              <w:rPr>
                <w:rFonts w:ascii="Calibri" w:hAnsi="Calibri" w:cs="Calibri"/>
                <w:color w:val="000000"/>
                <w:lang w:eastAsia="en-AU"/>
              </w:rPr>
              <w:t>TRI:Bait</w:t>
            </w:r>
            <w:proofErr w:type="spellEnd"/>
            <w:proofErr w:type="gramEnd"/>
          </w:p>
        </w:tc>
        <w:tc>
          <w:tcPr>
            <w:tcW w:w="516" w:type="pct"/>
            <w:tcBorders>
              <w:top w:val="single" w:sz="4" w:space="0" w:color="00B2A9"/>
              <w:left w:val="nil"/>
              <w:bottom w:val="single" w:sz="4" w:space="0" w:color="00B2A9"/>
              <w:right w:val="nil"/>
            </w:tcBorders>
          </w:tcPr>
          <w:p w14:paraId="10AF923E" w14:textId="5AEC184F" w:rsidR="00103A6B" w:rsidRPr="00700F91"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0.998</w:t>
            </w:r>
          </w:p>
        </w:tc>
        <w:tc>
          <w:tcPr>
            <w:tcW w:w="441" w:type="pct"/>
            <w:tcBorders>
              <w:top w:val="single" w:sz="4" w:space="0" w:color="00B2A9"/>
              <w:left w:val="nil"/>
              <w:bottom w:val="single" w:sz="4" w:space="0" w:color="00B2A9"/>
              <w:right w:val="nil"/>
            </w:tcBorders>
          </w:tcPr>
          <w:p w14:paraId="3A8A0C92" w14:textId="7985DAE6" w:rsidR="00103A6B" w:rsidRPr="00700F91"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1.948</w:t>
            </w:r>
          </w:p>
        </w:tc>
        <w:tc>
          <w:tcPr>
            <w:tcW w:w="440" w:type="pct"/>
            <w:tcBorders>
              <w:top w:val="single" w:sz="4" w:space="0" w:color="00B2A9"/>
              <w:left w:val="nil"/>
              <w:bottom w:val="single" w:sz="4" w:space="0" w:color="00B2A9"/>
            </w:tcBorders>
          </w:tcPr>
          <w:p w14:paraId="5D1111C8" w14:textId="679839B2" w:rsidR="00103A6B" w:rsidRPr="00700F91" w:rsidRDefault="00103A6B">
            <w:pPr>
              <w:pStyle w:val="Tablebodytext"/>
              <w:jc w:val="center"/>
            </w:pPr>
            <w:r w:rsidRPr="002F6832">
              <w:rPr>
                <w:rFonts w:ascii="Calibri" w:hAnsi="Calibri" w:cs="Calibri"/>
                <w:color w:val="000000"/>
                <w:lang w:eastAsia="en-AU"/>
              </w:rPr>
              <w:t>0.019</w:t>
            </w:r>
          </w:p>
        </w:tc>
      </w:tr>
      <w:tr w:rsidR="00103A6B" w:rsidRPr="00700F91" w14:paraId="53B65C25" w14:textId="77777777" w:rsidTr="00091D5C">
        <w:trPr>
          <w:trHeight w:val="20"/>
        </w:trPr>
        <w:tc>
          <w:tcPr>
            <w:tcW w:w="368" w:type="pct"/>
            <w:tcBorders>
              <w:top w:val="single" w:sz="4" w:space="0" w:color="00B2A9"/>
              <w:bottom w:val="single" w:sz="4" w:space="0" w:color="00B2A9"/>
              <w:right w:val="nil"/>
            </w:tcBorders>
            <w:shd w:val="clear" w:color="auto" w:fill="auto"/>
          </w:tcPr>
          <w:p w14:paraId="324E7FF8" w14:textId="55EA5AE6" w:rsidR="00103A6B" w:rsidRPr="00243764"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08902849" w14:textId="1AADFF5A" w:rsidR="00103A6B" w:rsidRPr="006A33FF" w:rsidRDefault="00103A6B">
            <w:pPr>
              <w:pStyle w:val="Tablebodytext"/>
              <w:jc w:val="center"/>
            </w:pPr>
            <w:r w:rsidRPr="002F6832">
              <w:rPr>
                <w:rFonts w:ascii="Calibri" w:hAnsi="Calibri" w:cs="Calibri"/>
                <w:b/>
                <w:bCs/>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1D662E2C" w14:textId="2029D259" w:rsidR="00103A6B" w:rsidRPr="006A33FF"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7406038E" w14:textId="7F777213" w:rsidR="00103A6B" w:rsidRPr="006A33FF"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25C359EB" w14:textId="1C0CE715" w:rsidR="00103A6B" w:rsidRPr="00700F91"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9.465</w:t>
            </w:r>
          </w:p>
        </w:tc>
        <w:tc>
          <w:tcPr>
            <w:tcW w:w="441" w:type="pct"/>
            <w:tcBorders>
              <w:top w:val="single" w:sz="4" w:space="0" w:color="00B2A9"/>
              <w:left w:val="nil"/>
              <w:bottom w:val="single" w:sz="4" w:space="0" w:color="00B2A9"/>
              <w:right w:val="nil"/>
            </w:tcBorders>
          </w:tcPr>
          <w:p w14:paraId="525D659C" w14:textId="34E16033" w:rsidR="00103A6B" w:rsidRPr="00700F91"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9.979</w:t>
            </w:r>
          </w:p>
        </w:tc>
        <w:tc>
          <w:tcPr>
            <w:tcW w:w="440" w:type="pct"/>
            <w:tcBorders>
              <w:top w:val="single" w:sz="4" w:space="0" w:color="00B2A9"/>
              <w:left w:val="nil"/>
              <w:bottom w:val="single" w:sz="4" w:space="0" w:color="00B2A9"/>
            </w:tcBorders>
          </w:tcPr>
          <w:p w14:paraId="640FF852" w14:textId="2164B732" w:rsidR="00103A6B" w:rsidRPr="00700F91"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7.254</w:t>
            </w:r>
          </w:p>
        </w:tc>
      </w:tr>
      <w:tr w:rsidR="00103A6B" w:rsidRPr="00CB0FC8" w14:paraId="61E70F30" w14:textId="77777777" w:rsidTr="00091D5C">
        <w:trPr>
          <w:trHeight w:val="20"/>
        </w:trPr>
        <w:tc>
          <w:tcPr>
            <w:tcW w:w="368" w:type="pct"/>
            <w:tcBorders>
              <w:top w:val="single" w:sz="4" w:space="0" w:color="00B2A9"/>
              <w:bottom w:val="single" w:sz="4" w:space="0" w:color="00B2A9"/>
              <w:right w:val="nil"/>
            </w:tcBorders>
            <w:shd w:val="clear" w:color="auto" w:fill="auto"/>
          </w:tcPr>
          <w:p w14:paraId="4BFA2051" w14:textId="6EC1BE13" w:rsidR="00103A6B"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55B69339" w14:textId="19A5BFCA" w:rsidR="00103A6B" w:rsidRPr="006A33FF" w:rsidRDefault="00103A6B">
            <w:pPr>
              <w:pStyle w:val="Tablebodytext"/>
              <w:jc w:val="center"/>
            </w:pPr>
            <w:r w:rsidRPr="002F6832">
              <w:rPr>
                <w:rFonts w:ascii="Calibri" w:hAnsi="Calibri" w:cs="Calibri"/>
                <w:b/>
                <w:bCs/>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583ADCB4" w14:textId="28177AE9" w:rsidR="00103A6B" w:rsidRPr="006A33FF"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6531CDEA" w14:textId="5BF6A1A5" w:rsidR="00103A6B" w:rsidRPr="006903AF" w:rsidRDefault="00103A6B">
            <w:pPr>
              <w:pStyle w:val="Tablebodytext"/>
              <w:jc w:val="center"/>
            </w:pPr>
            <w:r w:rsidRPr="002F6832">
              <w:rPr>
                <w:rFonts w:ascii="Calibri" w:hAnsi="Calibri" w:cs="Calibri"/>
                <w:b/>
                <w:bCs/>
                <w:color w:val="000000"/>
                <w:lang w:eastAsia="en-AU"/>
              </w:rPr>
              <w:t>TSF non-baited</w:t>
            </w:r>
          </w:p>
        </w:tc>
        <w:tc>
          <w:tcPr>
            <w:tcW w:w="516" w:type="pct"/>
            <w:tcBorders>
              <w:top w:val="single" w:sz="4" w:space="0" w:color="00B2A9"/>
              <w:left w:val="nil"/>
              <w:bottom w:val="single" w:sz="4" w:space="0" w:color="00B2A9"/>
              <w:right w:val="nil"/>
            </w:tcBorders>
          </w:tcPr>
          <w:p w14:paraId="42B572C2" w14:textId="1FA42444" w:rsidR="00103A6B" w:rsidRPr="006903AF" w:rsidRDefault="00103A6B">
            <w:pPr>
              <w:pStyle w:val="Tablebodytext"/>
              <w:jc w:val="center"/>
            </w:pPr>
            <w:r w:rsidRPr="002F6832">
              <w:rPr>
                <w:rFonts w:ascii="Calibri" w:hAnsi="Calibri" w:cs="Calibri"/>
                <w:b/>
                <w:bCs/>
                <w:color w:val="000000"/>
                <w:lang w:eastAsia="en-AU"/>
              </w:rPr>
              <w:t>0.953</w:t>
            </w:r>
          </w:p>
        </w:tc>
        <w:tc>
          <w:tcPr>
            <w:tcW w:w="441" w:type="pct"/>
            <w:tcBorders>
              <w:top w:val="single" w:sz="4" w:space="0" w:color="00B2A9"/>
              <w:left w:val="nil"/>
              <w:bottom w:val="single" w:sz="4" w:space="0" w:color="00B2A9"/>
              <w:right w:val="nil"/>
            </w:tcBorders>
          </w:tcPr>
          <w:p w14:paraId="460053C5" w14:textId="770FF8B3" w:rsidR="00103A6B" w:rsidRPr="006903AF" w:rsidRDefault="00103A6B">
            <w:pPr>
              <w:pStyle w:val="Tablebodytext"/>
              <w:jc w:val="center"/>
            </w:pPr>
            <w:r w:rsidRPr="002F6832">
              <w:rPr>
                <w:rFonts w:ascii="Calibri" w:hAnsi="Calibri" w:cs="Calibri"/>
                <w:b/>
                <w:bCs/>
                <w:color w:val="000000"/>
                <w:lang w:eastAsia="en-AU"/>
              </w:rPr>
              <w:t>0.248</w:t>
            </w:r>
          </w:p>
        </w:tc>
        <w:tc>
          <w:tcPr>
            <w:tcW w:w="440" w:type="pct"/>
            <w:tcBorders>
              <w:top w:val="single" w:sz="4" w:space="0" w:color="00B2A9"/>
              <w:left w:val="nil"/>
              <w:bottom w:val="single" w:sz="4" w:space="0" w:color="00B2A9"/>
            </w:tcBorders>
          </w:tcPr>
          <w:p w14:paraId="159A777F" w14:textId="3AC4ED7A" w:rsidR="00103A6B" w:rsidRPr="006903AF" w:rsidRDefault="00103A6B">
            <w:pPr>
              <w:pStyle w:val="Tablebodytext"/>
              <w:jc w:val="center"/>
            </w:pPr>
            <w:r w:rsidRPr="002F6832">
              <w:rPr>
                <w:rFonts w:ascii="Calibri" w:hAnsi="Calibri" w:cs="Calibri"/>
                <w:b/>
                <w:bCs/>
                <w:color w:val="000000"/>
                <w:lang w:eastAsia="en-AU"/>
              </w:rPr>
              <w:t>1.797</w:t>
            </w:r>
          </w:p>
        </w:tc>
      </w:tr>
      <w:tr w:rsidR="00103A6B" w14:paraId="1F6205C2" w14:textId="77777777" w:rsidTr="00091D5C">
        <w:trPr>
          <w:trHeight w:val="20"/>
        </w:trPr>
        <w:tc>
          <w:tcPr>
            <w:tcW w:w="368" w:type="pct"/>
            <w:tcBorders>
              <w:top w:val="single" w:sz="4" w:space="0" w:color="00B2A9"/>
              <w:bottom w:val="single" w:sz="4" w:space="0" w:color="00B2A9"/>
              <w:right w:val="nil"/>
            </w:tcBorders>
            <w:shd w:val="clear" w:color="auto" w:fill="auto"/>
          </w:tcPr>
          <w:p w14:paraId="783E8C49" w14:textId="2FD7444D" w:rsidR="00103A6B" w:rsidRDefault="00103A6B" w:rsidP="00091D5C">
            <w:pPr>
              <w:pStyle w:val="Tablebodytext"/>
              <w:jc w:val="center"/>
            </w:pPr>
            <w:r w:rsidRPr="002F6832">
              <w:rPr>
                <w:rFonts w:ascii="Calibri" w:hAnsi="Calibri" w:cs="Calibri"/>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1298C349" w14:textId="706415C9" w:rsidR="00103A6B" w:rsidRPr="006A33FF" w:rsidRDefault="00103A6B">
            <w:pPr>
              <w:pStyle w:val="Tablebodytext"/>
              <w:jc w:val="center"/>
            </w:pPr>
            <w:r w:rsidRPr="002F6832">
              <w:rPr>
                <w:rFonts w:ascii="Calibri" w:hAnsi="Calibri" w:cs="Calibri"/>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09887741" w14:textId="681264B7" w:rsidR="00103A6B" w:rsidRPr="006A33FF"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5353A0C6" w14:textId="2CC2A437" w:rsidR="00103A6B" w:rsidRPr="006A33FF" w:rsidRDefault="00103A6B">
            <w:pPr>
              <w:pStyle w:val="Tablebodytext"/>
              <w:jc w:val="center"/>
            </w:pPr>
            <w:r w:rsidRPr="002F6832">
              <w:rPr>
                <w:rFonts w:ascii="Calibri" w:hAnsi="Calibri" w:cs="Calibri"/>
                <w:color w:val="000000"/>
                <w:lang w:eastAsia="en-AU"/>
              </w:rPr>
              <w:t>TSF baited</w:t>
            </w:r>
          </w:p>
        </w:tc>
        <w:tc>
          <w:tcPr>
            <w:tcW w:w="516" w:type="pct"/>
            <w:tcBorders>
              <w:top w:val="single" w:sz="4" w:space="0" w:color="00B2A9"/>
              <w:left w:val="nil"/>
              <w:bottom w:val="single" w:sz="4" w:space="0" w:color="00B2A9"/>
              <w:right w:val="nil"/>
            </w:tcBorders>
          </w:tcPr>
          <w:p w14:paraId="4A4BB38E" w14:textId="296739B2"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0.471</w:t>
            </w:r>
          </w:p>
        </w:tc>
        <w:tc>
          <w:tcPr>
            <w:tcW w:w="441" w:type="pct"/>
            <w:tcBorders>
              <w:top w:val="single" w:sz="4" w:space="0" w:color="00B2A9"/>
              <w:left w:val="nil"/>
              <w:bottom w:val="single" w:sz="4" w:space="0" w:color="00B2A9"/>
              <w:right w:val="nil"/>
            </w:tcBorders>
          </w:tcPr>
          <w:p w14:paraId="55343071" w14:textId="73C2E54F"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1.434</w:t>
            </w:r>
          </w:p>
        </w:tc>
        <w:tc>
          <w:tcPr>
            <w:tcW w:w="440" w:type="pct"/>
            <w:tcBorders>
              <w:top w:val="single" w:sz="4" w:space="0" w:color="00B2A9"/>
              <w:left w:val="nil"/>
              <w:bottom w:val="single" w:sz="4" w:space="0" w:color="00B2A9"/>
            </w:tcBorders>
          </w:tcPr>
          <w:p w14:paraId="4E33416E" w14:textId="4B66024C" w:rsidR="00103A6B" w:rsidRDefault="00103A6B">
            <w:pPr>
              <w:pStyle w:val="Tablebodytext"/>
              <w:jc w:val="center"/>
            </w:pPr>
            <w:r w:rsidRPr="002F6832">
              <w:rPr>
                <w:rFonts w:ascii="Calibri" w:hAnsi="Calibri" w:cs="Calibri"/>
                <w:color w:val="000000"/>
                <w:lang w:eastAsia="en-AU"/>
              </w:rPr>
              <w:t>0.409</w:t>
            </w:r>
          </w:p>
        </w:tc>
      </w:tr>
      <w:tr w:rsidR="00103A6B" w14:paraId="2982B1C6" w14:textId="77777777" w:rsidTr="00091D5C">
        <w:trPr>
          <w:trHeight w:val="20"/>
        </w:trPr>
        <w:tc>
          <w:tcPr>
            <w:tcW w:w="368" w:type="pct"/>
            <w:tcBorders>
              <w:top w:val="single" w:sz="4" w:space="0" w:color="00B2A9"/>
              <w:bottom w:val="single" w:sz="4" w:space="0" w:color="00B2A9"/>
              <w:right w:val="nil"/>
            </w:tcBorders>
            <w:shd w:val="clear" w:color="auto" w:fill="auto"/>
          </w:tcPr>
          <w:p w14:paraId="0E83B36E" w14:textId="2372EEC2" w:rsidR="00103A6B"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6D872F2B" w14:textId="0B3E5774" w:rsidR="00103A6B" w:rsidRPr="006A33FF" w:rsidRDefault="00103A6B">
            <w:pPr>
              <w:pStyle w:val="Tablebodytext"/>
              <w:jc w:val="center"/>
            </w:pPr>
            <w:r w:rsidRPr="002F6832">
              <w:rPr>
                <w:rFonts w:ascii="Calibri" w:hAnsi="Calibri" w:cs="Calibri"/>
                <w:b/>
                <w:bCs/>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762964E7" w14:textId="71ADC1D9" w:rsidR="00103A6B" w:rsidRPr="006A33FF"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2D10DB7E" w14:textId="31F29154" w:rsidR="00103A6B" w:rsidRPr="006A33FF" w:rsidRDefault="00103A6B">
            <w:pPr>
              <w:pStyle w:val="Tablebodytext"/>
              <w:jc w:val="center"/>
            </w:pPr>
            <w:r w:rsidRPr="002F6832">
              <w:rPr>
                <w:rFonts w:ascii="Calibri" w:hAnsi="Calibri" w:cs="Calibri"/>
                <w:b/>
                <w:bCs/>
                <w:color w:val="000000"/>
                <w:lang w:eastAsia="en-AU"/>
              </w:rPr>
              <w:t>TSF non-baited</w:t>
            </w:r>
          </w:p>
        </w:tc>
        <w:tc>
          <w:tcPr>
            <w:tcW w:w="516" w:type="pct"/>
            <w:tcBorders>
              <w:top w:val="single" w:sz="4" w:space="0" w:color="00B2A9"/>
              <w:left w:val="nil"/>
              <w:bottom w:val="single" w:sz="4" w:space="0" w:color="00B2A9"/>
              <w:right w:val="nil"/>
            </w:tcBorders>
          </w:tcPr>
          <w:p w14:paraId="7AC14810" w14:textId="41BE01C8" w:rsidR="00103A6B" w:rsidRDefault="00103A6B">
            <w:pPr>
              <w:pStyle w:val="Tablebodytext"/>
              <w:jc w:val="center"/>
            </w:pPr>
            <w:r w:rsidRPr="002F6832">
              <w:rPr>
                <w:rFonts w:ascii="Calibri" w:hAnsi="Calibri" w:cs="Calibri"/>
                <w:b/>
                <w:bCs/>
                <w:color w:val="000000"/>
                <w:lang w:eastAsia="en-AU"/>
              </w:rPr>
              <w:t>1.223</w:t>
            </w:r>
          </w:p>
        </w:tc>
        <w:tc>
          <w:tcPr>
            <w:tcW w:w="441" w:type="pct"/>
            <w:tcBorders>
              <w:top w:val="single" w:sz="4" w:space="0" w:color="00B2A9"/>
              <w:left w:val="nil"/>
              <w:bottom w:val="single" w:sz="4" w:space="0" w:color="00B2A9"/>
              <w:right w:val="nil"/>
            </w:tcBorders>
          </w:tcPr>
          <w:p w14:paraId="63F67F1A" w14:textId="31572D53" w:rsidR="00103A6B" w:rsidRDefault="00103A6B">
            <w:pPr>
              <w:pStyle w:val="Tablebodytext"/>
              <w:jc w:val="center"/>
            </w:pPr>
            <w:r w:rsidRPr="002F6832">
              <w:rPr>
                <w:rFonts w:ascii="Calibri" w:hAnsi="Calibri" w:cs="Calibri"/>
                <w:b/>
                <w:bCs/>
                <w:color w:val="000000"/>
                <w:lang w:eastAsia="en-AU"/>
              </w:rPr>
              <w:t>0.769</w:t>
            </w:r>
          </w:p>
        </w:tc>
        <w:tc>
          <w:tcPr>
            <w:tcW w:w="440" w:type="pct"/>
            <w:tcBorders>
              <w:top w:val="single" w:sz="4" w:space="0" w:color="00B2A9"/>
              <w:left w:val="nil"/>
              <w:bottom w:val="single" w:sz="4" w:space="0" w:color="00B2A9"/>
            </w:tcBorders>
          </w:tcPr>
          <w:p w14:paraId="0276FADD" w14:textId="7872908E" w:rsidR="00103A6B" w:rsidRDefault="00103A6B">
            <w:pPr>
              <w:pStyle w:val="Tablebodytext"/>
              <w:jc w:val="center"/>
            </w:pPr>
            <w:r w:rsidRPr="002F6832">
              <w:rPr>
                <w:rFonts w:ascii="Calibri" w:hAnsi="Calibri" w:cs="Calibri"/>
                <w:b/>
                <w:bCs/>
                <w:color w:val="000000"/>
                <w:lang w:eastAsia="en-AU"/>
              </w:rPr>
              <w:t>1.730</w:t>
            </w:r>
          </w:p>
        </w:tc>
      </w:tr>
      <w:tr w:rsidR="00103A6B" w14:paraId="422B4469" w14:textId="77777777" w:rsidTr="00091D5C">
        <w:trPr>
          <w:trHeight w:val="20"/>
        </w:trPr>
        <w:tc>
          <w:tcPr>
            <w:tcW w:w="368" w:type="pct"/>
            <w:tcBorders>
              <w:top w:val="single" w:sz="4" w:space="0" w:color="00B2A9"/>
              <w:bottom w:val="single" w:sz="4" w:space="0" w:color="00B2A9"/>
              <w:right w:val="nil"/>
            </w:tcBorders>
            <w:shd w:val="clear" w:color="auto" w:fill="auto"/>
          </w:tcPr>
          <w:p w14:paraId="15EAC955" w14:textId="5E209BC2" w:rsidR="00103A6B" w:rsidRDefault="00103A6B" w:rsidP="00091D5C">
            <w:pPr>
              <w:pStyle w:val="Tablebodytext"/>
              <w:jc w:val="center"/>
            </w:pPr>
            <w:r w:rsidRPr="002F6832">
              <w:rPr>
                <w:rFonts w:ascii="Calibri" w:hAnsi="Calibri" w:cs="Calibri"/>
                <w:b/>
                <w:bCs/>
                <w:color w:val="000000"/>
                <w:lang w:eastAsia="en-AU"/>
              </w:rPr>
              <w:t>LNP</w:t>
            </w:r>
          </w:p>
        </w:tc>
        <w:tc>
          <w:tcPr>
            <w:tcW w:w="1618" w:type="pct"/>
            <w:tcBorders>
              <w:top w:val="single" w:sz="4" w:space="0" w:color="00B2A9"/>
              <w:left w:val="nil"/>
              <w:bottom w:val="single" w:sz="4" w:space="0" w:color="00B2A9"/>
              <w:right w:val="nil"/>
            </w:tcBorders>
            <w:shd w:val="clear" w:color="auto" w:fill="auto"/>
          </w:tcPr>
          <w:p w14:paraId="6B3A8889" w14:textId="24044B34" w:rsidR="00103A6B" w:rsidRDefault="00103A6B">
            <w:pPr>
              <w:pStyle w:val="Tablebodytext"/>
              <w:jc w:val="center"/>
            </w:pPr>
            <w:r w:rsidRPr="002F6832">
              <w:rPr>
                <w:rFonts w:ascii="Calibri" w:hAnsi="Calibri" w:cs="Calibri"/>
                <w:b/>
                <w:bCs/>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3F94D4A0" w14:textId="53C5C8AE" w:rsidR="00103A6B" w:rsidRPr="006A33FF"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4BADC47B" w14:textId="65B09D4A" w:rsidR="00103A6B" w:rsidRPr="006A33FF" w:rsidRDefault="00103A6B">
            <w:pPr>
              <w:pStyle w:val="Tablebodytext"/>
              <w:jc w:val="center"/>
            </w:pPr>
            <w:r w:rsidRPr="002F6832">
              <w:rPr>
                <w:rFonts w:ascii="Calibri" w:hAnsi="Calibri" w:cs="Calibri"/>
                <w:b/>
                <w:bCs/>
                <w:color w:val="000000"/>
                <w:lang w:eastAsia="en-AU"/>
              </w:rPr>
              <w:t>TSF baited</w:t>
            </w:r>
          </w:p>
        </w:tc>
        <w:tc>
          <w:tcPr>
            <w:tcW w:w="516" w:type="pct"/>
            <w:tcBorders>
              <w:top w:val="single" w:sz="4" w:space="0" w:color="00B2A9"/>
              <w:left w:val="nil"/>
              <w:bottom w:val="single" w:sz="4" w:space="0" w:color="00B2A9"/>
              <w:right w:val="nil"/>
            </w:tcBorders>
          </w:tcPr>
          <w:p w14:paraId="64579206" w14:textId="438F172B" w:rsidR="00103A6B" w:rsidRDefault="00103A6B">
            <w:pPr>
              <w:pStyle w:val="Tablebodytext"/>
              <w:jc w:val="center"/>
            </w:pPr>
            <w:r w:rsidRPr="002F6832">
              <w:rPr>
                <w:rFonts w:ascii="Calibri" w:hAnsi="Calibri" w:cs="Calibri"/>
                <w:b/>
                <w:bCs/>
                <w:color w:val="000000"/>
                <w:lang w:eastAsia="en-AU"/>
              </w:rPr>
              <w:t>0.701</w:t>
            </w:r>
          </w:p>
        </w:tc>
        <w:tc>
          <w:tcPr>
            <w:tcW w:w="441" w:type="pct"/>
            <w:tcBorders>
              <w:top w:val="single" w:sz="4" w:space="0" w:color="00B2A9"/>
              <w:left w:val="nil"/>
              <w:bottom w:val="single" w:sz="4" w:space="0" w:color="00B2A9"/>
              <w:right w:val="nil"/>
            </w:tcBorders>
          </w:tcPr>
          <w:p w14:paraId="0E89ED3D" w14:textId="6378AD0D" w:rsidR="00103A6B" w:rsidRDefault="00103A6B">
            <w:pPr>
              <w:pStyle w:val="Tablebodytext"/>
              <w:jc w:val="center"/>
            </w:pPr>
            <w:r w:rsidRPr="002F6832">
              <w:rPr>
                <w:rFonts w:ascii="Calibri" w:hAnsi="Calibri" w:cs="Calibri"/>
                <w:b/>
                <w:bCs/>
                <w:color w:val="000000"/>
                <w:lang w:eastAsia="en-AU"/>
              </w:rPr>
              <w:t>0.077</w:t>
            </w:r>
          </w:p>
        </w:tc>
        <w:tc>
          <w:tcPr>
            <w:tcW w:w="440" w:type="pct"/>
            <w:tcBorders>
              <w:top w:val="single" w:sz="4" w:space="0" w:color="00B2A9"/>
              <w:left w:val="nil"/>
              <w:bottom w:val="single" w:sz="4" w:space="0" w:color="00B2A9"/>
            </w:tcBorders>
          </w:tcPr>
          <w:p w14:paraId="5C5EF6B4" w14:textId="2793C329" w:rsidR="00103A6B" w:rsidRDefault="00103A6B">
            <w:pPr>
              <w:pStyle w:val="Tablebodytext"/>
              <w:jc w:val="center"/>
            </w:pPr>
            <w:r w:rsidRPr="002F6832">
              <w:rPr>
                <w:rFonts w:ascii="Calibri" w:hAnsi="Calibri" w:cs="Calibri"/>
                <w:b/>
                <w:bCs/>
                <w:color w:val="000000"/>
                <w:lang w:eastAsia="en-AU"/>
              </w:rPr>
              <w:t>1.337</w:t>
            </w:r>
          </w:p>
        </w:tc>
      </w:tr>
      <w:tr w:rsidR="00103A6B" w14:paraId="5D1F7E62" w14:textId="77777777" w:rsidTr="00091D5C">
        <w:trPr>
          <w:trHeight w:val="20"/>
        </w:trPr>
        <w:tc>
          <w:tcPr>
            <w:tcW w:w="368" w:type="pct"/>
            <w:tcBorders>
              <w:top w:val="single" w:sz="4" w:space="0" w:color="00B2A9"/>
              <w:bottom w:val="single" w:sz="4" w:space="0" w:color="00B2A9"/>
              <w:right w:val="nil"/>
            </w:tcBorders>
            <w:shd w:val="clear" w:color="auto" w:fill="auto"/>
          </w:tcPr>
          <w:p w14:paraId="404DCC66" w14:textId="6D237848"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03A73FB9" w14:textId="04CA5327"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tcBorders>
              <w:top w:val="single" w:sz="4" w:space="0" w:color="00B2A9"/>
              <w:left w:val="nil"/>
              <w:bottom w:val="single" w:sz="4" w:space="0" w:color="00B2A9"/>
              <w:right w:val="nil"/>
            </w:tcBorders>
            <w:shd w:val="clear" w:color="auto" w:fill="auto"/>
          </w:tcPr>
          <w:p w14:paraId="42444771" w14:textId="5F118C05"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50758C79" w14:textId="4027BB4E" w:rsidR="00103A6B" w:rsidRDefault="00103A6B">
            <w:pPr>
              <w:pStyle w:val="Tablebodytext"/>
              <w:jc w:val="center"/>
            </w:pPr>
            <w:r w:rsidRPr="002F6832">
              <w:rPr>
                <w:rFonts w:ascii="Calibri" w:hAnsi="Calibri" w:cs="Calibri"/>
                <w:color w:val="000000"/>
                <w:lang w:eastAsia="en-AU"/>
              </w:rPr>
              <w:t>DNNV</w:t>
            </w:r>
          </w:p>
        </w:tc>
        <w:tc>
          <w:tcPr>
            <w:tcW w:w="516" w:type="pct"/>
            <w:tcBorders>
              <w:top w:val="single" w:sz="4" w:space="0" w:color="00B2A9"/>
              <w:left w:val="nil"/>
              <w:bottom w:val="single" w:sz="4" w:space="0" w:color="00B2A9"/>
              <w:right w:val="nil"/>
            </w:tcBorders>
          </w:tcPr>
          <w:p w14:paraId="489AD04E" w14:textId="4F496E3C" w:rsidR="00103A6B" w:rsidRDefault="00103A6B">
            <w:pPr>
              <w:pStyle w:val="Tablebodytext"/>
              <w:jc w:val="center"/>
            </w:pPr>
            <w:r w:rsidRPr="002F6832">
              <w:rPr>
                <w:rFonts w:ascii="Calibri" w:hAnsi="Calibri" w:cs="Calibri"/>
                <w:color w:val="000000"/>
                <w:lang w:eastAsia="en-AU"/>
              </w:rPr>
              <w:t>0.09</w:t>
            </w:r>
            <w:r>
              <w:rPr>
                <w:rFonts w:ascii="Calibri" w:hAnsi="Calibri" w:cs="Calibri"/>
                <w:color w:val="000000"/>
                <w:lang w:eastAsia="en-AU"/>
              </w:rPr>
              <w:t>0</w:t>
            </w:r>
          </w:p>
        </w:tc>
        <w:tc>
          <w:tcPr>
            <w:tcW w:w="441" w:type="pct"/>
            <w:tcBorders>
              <w:top w:val="single" w:sz="4" w:space="0" w:color="00B2A9"/>
              <w:left w:val="nil"/>
              <w:bottom w:val="single" w:sz="4" w:space="0" w:color="00B2A9"/>
              <w:right w:val="nil"/>
            </w:tcBorders>
          </w:tcPr>
          <w:p w14:paraId="76360BB6" w14:textId="21C9CA20"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0.678</w:t>
            </w:r>
          </w:p>
        </w:tc>
        <w:tc>
          <w:tcPr>
            <w:tcW w:w="440" w:type="pct"/>
            <w:tcBorders>
              <w:top w:val="single" w:sz="4" w:space="0" w:color="00B2A9"/>
              <w:left w:val="nil"/>
              <w:bottom w:val="single" w:sz="4" w:space="0" w:color="00B2A9"/>
            </w:tcBorders>
          </w:tcPr>
          <w:p w14:paraId="126C3AFC" w14:textId="3A65862B" w:rsidR="00103A6B" w:rsidRDefault="00103A6B">
            <w:pPr>
              <w:pStyle w:val="Tablebodytext"/>
              <w:jc w:val="center"/>
            </w:pPr>
            <w:r w:rsidRPr="002F6832">
              <w:rPr>
                <w:rFonts w:ascii="Calibri" w:hAnsi="Calibri" w:cs="Calibri"/>
                <w:color w:val="000000"/>
                <w:lang w:eastAsia="en-AU"/>
              </w:rPr>
              <w:t>0.852</w:t>
            </w:r>
          </w:p>
        </w:tc>
      </w:tr>
      <w:tr w:rsidR="00103A6B" w14:paraId="740B89E7" w14:textId="77777777" w:rsidTr="00091D5C">
        <w:trPr>
          <w:trHeight w:val="20"/>
        </w:trPr>
        <w:tc>
          <w:tcPr>
            <w:tcW w:w="368" w:type="pct"/>
            <w:tcBorders>
              <w:top w:val="single" w:sz="4" w:space="0" w:color="00B2A9"/>
              <w:bottom w:val="single" w:sz="4" w:space="0" w:color="00B2A9"/>
              <w:right w:val="nil"/>
            </w:tcBorders>
            <w:shd w:val="clear" w:color="auto" w:fill="auto"/>
          </w:tcPr>
          <w:p w14:paraId="1C404F38" w14:textId="63D903E0"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6A2BD41C" w14:textId="17768391"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tcBorders>
              <w:top w:val="single" w:sz="4" w:space="0" w:color="00B2A9"/>
              <w:left w:val="nil"/>
              <w:bottom w:val="single" w:sz="4" w:space="0" w:color="00B2A9"/>
              <w:right w:val="nil"/>
            </w:tcBorders>
            <w:shd w:val="clear" w:color="auto" w:fill="auto"/>
          </w:tcPr>
          <w:p w14:paraId="2E751BED" w14:textId="0492D5CE"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5DBD2033" w14:textId="3AFFD717" w:rsidR="00103A6B" w:rsidRDefault="00103A6B">
            <w:pPr>
              <w:pStyle w:val="Tablebodytext"/>
              <w:jc w:val="center"/>
            </w:pPr>
            <w:proofErr w:type="spellStart"/>
            <w:proofErr w:type="gramStart"/>
            <w:r w:rsidRPr="002F6832">
              <w:rPr>
                <w:rFonts w:ascii="Calibri" w:hAnsi="Calibri" w:cs="Calibri"/>
                <w:color w:val="000000"/>
                <w:lang w:eastAsia="en-AU"/>
              </w:rPr>
              <w:t>DNNV:Bait</w:t>
            </w:r>
            <w:proofErr w:type="spellEnd"/>
            <w:proofErr w:type="gramEnd"/>
          </w:p>
        </w:tc>
        <w:tc>
          <w:tcPr>
            <w:tcW w:w="516" w:type="pct"/>
            <w:tcBorders>
              <w:top w:val="single" w:sz="4" w:space="0" w:color="00B2A9"/>
              <w:left w:val="nil"/>
              <w:bottom w:val="single" w:sz="4" w:space="0" w:color="00B2A9"/>
              <w:right w:val="nil"/>
            </w:tcBorders>
          </w:tcPr>
          <w:p w14:paraId="3B891AD8" w14:textId="03EB6254" w:rsidR="00103A6B" w:rsidRDefault="00103A6B">
            <w:pPr>
              <w:pStyle w:val="Tablebodytext"/>
              <w:jc w:val="center"/>
            </w:pPr>
            <w:r w:rsidRPr="002F6832">
              <w:rPr>
                <w:rFonts w:ascii="Calibri" w:hAnsi="Calibri" w:cs="Calibri"/>
                <w:color w:val="000000"/>
                <w:lang w:eastAsia="en-AU"/>
              </w:rPr>
              <w:t>0.66</w:t>
            </w:r>
            <w:r>
              <w:rPr>
                <w:rFonts w:ascii="Calibri" w:hAnsi="Calibri" w:cs="Calibri"/>
                <w:color w:val="000000"/>
                <w:lang w:eastAsia="en-AU"/>
              </w:rPr>
              <w:t>0</w:t>
            </w:r>
          </w:p>
        </w:tc>
        <w:tc>
          <w:tcPr>
            <w:tcW w:w="441" w:type="pct"/>
            <w:tcBorders>
              <w:top w:val="single" w:sz="4" w:space="0" w:color="00B2A9"/>
              <w:left w:val="nil"/>
              <w:bottom w:val="single" w:sz="4" w:space="0" w:color="00B2A9"/>
              <w:right w:val="nil"/>
            </w:tcBorders>
          </w:tcPr>
          <w:p w14:paraId="15D7B3E7" w14:textId="1FA36DA1"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0.364</w:t>
            </w:r>
          </w:p>
        </w:tc>
        <w:tc>
          <w:tcPr>
            <w:tcW w:w="440" w:type="pct"/>
            <w:tcBorders>
              <w:top w:val="single" w:sz="4" w:space="0" w:color="00B2A9"/>
              <w:left w:val="nil"/>
              <w:bottom w:val="single" w:sz="4" w:space="0" w:color="00B2A9"/>
            </w:tcBorders>
          </w:tcPr>
          <w:p w14:paraId="0F1D59D2" w14:textId="2D459A3D" w:rsidR="00103A6B" w:rsidRDefault="00103A6B">
            <w:pPr>
              <w:pStyle w:val="Tablebodytext"/>
              <w:jc w:val="center"/>
            </w:pPr>
            <w:r w:rsidRPr="002F6832">
              <w:rPr>
                <w:rFonts w:ascii="Calibri" w:hAnsi="Calibri" w:cs="Calibri"/>
                <w:color w:val="000000"/>
                <w:lang w:eastAsia="en-AU"/>
              </w:rPr>
              <w:t>1.69</w:t>
            </w:r>
            <w:r>
              <w:rPr>
                <w:rFonts w:ascii="Calibri" w:hAnsi="Calibri" w:cs="Calibri"/>
                <w:color w:val="000000"/>
                <w:lang w:eastAsia="en-AU"/>
              </w:rPr>
              <w:t>0</w:t>
            </w:r>
          </w:p>
        </w:tc>
      </w:tr>
      <w:tr w:rsidR="00103A6B" w14:paraId="0CC9DE82" w14:textId="77777777" w:rsidTr="00091D5C">
        <w:trPr>
          <w:trHeight w:val="20"/>
        </w:trPr>
        <w:tc>
          <w:tcPr>
            <w:tcW w:w="368" w:type="pct"/>
            <w:tcBorders>
              <w:top w:val="single" w:sz="4" w:space="0" w:color="00B2A9"/>
              <w:bottom w:val="single" w:sz="4" w:space="0" w:color="00B2A9"/>
              <w:right w:val="nil"/>
            </w:tcBorders>
            <w:shd w:val="clear" w:color="auto" w:fill="auto"/>
          </w:tcPr>
          <w:p w14:paraId="79B66118" w14:textId="623AF265"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64B7D16C" w14:textId="0A71FD89"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tcBorders>
              <w:top w:val="single" w:sz="4" w:space="0" w:color="00B2A9"/>
              <w:left w:val="nil"/>
              <w:bottom w:val="single" w:sz="4" w:space="0" w:color="00B2A9"/>
              <w:right w:val="nil"/>
            </w:tcBorders>
            <w:shd w:val="clear" w:color="auto" w:fill="auto"/>
          </w:tcPr>
          <w:p w14:paraId="7AEA183D" w14:textId="5C314994"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01B0CD9B" w14:textId="065DF218" w:rsidR="00103A6B" w:rsidRDefault="00103A6B">
            <w:pPr>
              <w:pStyle w:val="Tablebodytext"/>
              <w:jc w:val="center"/>
            </w:pPr>
            <w:r w:rsidRPr="002F6832">
              <w:rPr>
                <w:rFonts w:ascii="Calibri" w:hAnsi="Calibri" w:cs="Calibri"/>
                <w:color w:val="000000"/>
                <w:lang w:eastAsia="en-AU"/>
              </w:rPr>
              <w:t>Bait</w:t>
            </w:r>
          </w:p>
        </w:tc>
        <w:tc>
          <w:tcPr>
            <w:tcW w:w="516" w:type="pct"/>
            <w:tcBorders>
              <w:top w:val="single" w:sz="4" w:space="0" w:color="00B2A9"/>
              <w:left w:val="nil"/>
              <w:bottom w:val="single" w:sz="4" w:space="0" w:color="00B2A9"/>
              <w:right w:val="nil"/>
            </w:tcBorders>
          </w:tcPr>
          <w:p w14:paraId="76CC6715" w14:textId="5D1D2A81" w:rsidR="00103A6B" w:rsidRDefault="00103A6B">
            <w:pPr>
              <w:pStyle w:val="Tablebodytext"/>
              <w:jc w:val="center"/>
            </w:pPr>
            <w:r w:rsidRPr="002F6832">
              <w:rPr>
                <w:rFonts w:ascii="Calibri" w:hAnsi="Calibri" w:cs="Calibri"/>
                <w:color w:val="000000"/>
                <w:lang w:eastAsia="en-AU"/>
              </w:rPr>
              <w:t>3.332</w:t>
            </w:r>
          </w:p>
        </w:tc>
        <w:tc>
          <w:tcPr>
            <w:tcW w:w="441" w:type="pct"/>
            <w:tcBorders>
              <w:top w:val="single" w:sz="4" w:space="0" w:color="00B2A9"/>
              <w:left w:val="nil"/>
              <w:bottom w:val="single" w:sz="4" w:space="0" w:color="00B2A9"/>
              <w:right w:val="nil"/>
            </w:tcBorders>
          </w:tcPr>
          <w:p w14:paraId="1A9B7E2E" w14:textId="055234D6"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0.605</w:t>
            </w:r>
          </w:p>
        </w:tc>
        <w:tc>
          <w:tcPr>
            <w:tcW w:w="440" w:type="pct"/>
            <w:tcBorders>
              <w:top w:val="single" w:sz="4" w:space="0" w:color="00B2A9"/>
              <w:left w:val="nil"/>
              <w:bottom w:val="single" w:sz="4" w:space="0" w:color="00B2A9"/>
            </w:tcBorders>
          </w:tcPr>
          <w:p w14:paraId="5A446454" w14:textId="392C7D30" w:rsidR="00103A6B" w:rsidRDefault="00103A6B">
            <w:pPr>
              <w:pStyle w:val="Tablebodytext"/>
              <w:jc w:val="center"/>
            </w:pPr>
            <w:r w:rsidRPr="002F6832">
              <w:rPr>
                <w:rFonts w:ascii="Calibri" w:hAnsi="Calibri" w:cs="Calibri"/>
                <w:color w:val="000000"/>
                <w:lang w:eastAsia="en-AU"/>
              </w:rPr>
              <w:t>6.57</w:t>
            </w:r>
            <w:r>
              <w:rPr>
                <w:rFonts w:ascii="Calibri" w:hAnsi="Calibri" w:cs="Calibri"/>
                <w:color w:val="000000"/>
                <w:lang w:eastAsia="en-AU"/>
              </w:rPr>
              <w:t>0</w:t>
            </w:r>
          </w:p>
        </w:tc>
      </w:tr>
      <w:tr w:rsidR="00103A6B" w14:paraId="3C852877" w14:textId="77777777" w:rsidTr="00091D5C">
        <w:trPr>
          <w:trHeight w:val="20"/>
        </w:trPr>
        <w:tc>
          <w:tcPr>
            <w:tcW w:w="368" w:type="pct"/>
            <w:tcBorders>
              <w:top w:val="single" w:sz="4" w:space="0" w:color="00B2A9"/>
              <w:bottom w:val="single" w:sz="4" w:space="0" w:color="00B2A9"/>
              <w:right w:val="nil"/>
            </w:tcBorders>
            <w:shd w:val="clear" w:color="auto" w:fill="auto"/>
          </w:tcPr>
          <w:p w14:paraId="3769DB99" w14:textId="7ACB7AF1"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731A4329" w14:textId="6B386DF4"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tcBorders>
              <w:top w:val="single" w:sz="4" w:space="0" w:color="00B2A9"/>
              <w:left w:val="nil"/>
              <w:bottom w:val="single" w:sz="4" w:space="0" w:color="00B2A9"/>
              <w:right w:val="nil"/>
            </w:tcBorders>
            <w:shd w:val="clear" w:color="auto" w:fill="auto"/>
          </w:tcPr>
          <w:p w14:paraId="518F8024" w14:textId="6EDF13F6"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0933D5D9" w14:textId="7F0DBAFA" w:rsidR="00103A6B" w:rsidRDefault="00103A6B">
            <w:pPr>
              <w:pStyle w:val="Tablebodytext"/>
              <w:jc w:val="center"/>
            </w:pPr>
            <w:r w:rsidRPr="002F6832">
              <w:rPr>
                <w:rFonts w:ascii="Calibri" w:hAnsi="Calibri" w:cs="Calibri"/>
                <w:color w:val="000000"/>
                <w:lang w:eastAsia="en-AU"/>
              </w:rPr>
              <w:t>DNNV</w:t>
            </w:r>
          </w:p>
        </w:tc>
        <w:tc>
          <w:tcPr>
            <w:tcW w:w="516" w:type="pct"/>
            <w:tcBorders>
              <w:top w:val="single" w:sz="4" w:space="0" w:color="00B2A9"/>
              <w:left w:val="nil"/>
              <w:bottom w:val="single" w:sz="4" w:space="0" w:color="00B2A9"/>
              <w:right w:val="nil"/>
            </w:tcBorders>
          </w:tcPr>
          <w:p w14:paraId="249FA779" w14:textId="4CCAF757" w:rsidR="00103A6B" w:rsidRDefault="00103A6B">
            <w:pPr>
              <w:pStyle w:val="Tablebodytext"/>
              <w:jc w:val="center"/>
            </w:pPr>
            <w:r w:rsidRPr="002F6832">
              <w:rPr>
                <w:rFonts w:ascii="Calibri" w:hAnsi="Calibri" w:cs="Calibri"/>
                <w:color w:val="000000"/>
                <w:lang w:eastAsia="en-AU"/>
              </w:rPr>
              <w:t>0.474</w:t>
            </w:r>
          </w:p>
        </w:tc>
        <w:tc>
          <w:tcPr>
            <w:tcW w:w="441" w:type="pct"/>
            <w:tcBorders>
              <w:top w:val="single" w:sz="4" w:space="0" w:color="00B2A9"/>
              <w:left w:val="nil"/>
              <w:bottom w:val="single" w:sz="4" w:space="0" w:color="00B2A9"/>
              <w:right w:val="nil"/>
            </w:tcBorders>
          </w:tcPr>
          <w:p w14:paraId="1BE884EE" w14:textId="217F9B73" w:rsidR="00103A6B" w:rsidRDefault="00103A6B">
            <w:pPr>
              <w:pStyle w:val="Tablebodytext"/>
              <w:jc w:val="center"/>
            </w:pPr>
            <w:r w:rsidRPr="002F6832">
              <w:rPr>
                <w:rFonts w:ascii="Calibri" w:hAnsi="Calibri" w:cs="Calibri"/>
                <w:color w:val="000000"/>
                <w:lang w:eastAsia="en-AU"/>
              </w:rPr>
              <w:t>0.17</w:t>
            </w:r>
            <w:r>
              <w:rPr>
                <w:rFonts w:ascii="Calibri" w:hAnsi="Calibri" w:cs="Calibri"/>
                <w:color w:val="000000"/>
                <w:lang w:eastAsia="en-AU"/>
              </w:rPr>
              <w:t>0</w:t>
            </w:r>
          </w:p>
        </w:tc>
        <w:tc>
          <w:tcPr>
            <w:tcW w:w="440" w:type="pct"/>
            <w:tcBorders>
              <w:top w:val="single" w:sz="4" w:space="0" w:color="00B2A9"/>
              <w:left w:val="nil"/>
              <w:bottom w:val="single" w:sz="4" w:space="0" w:color="00B2A9"/>
            </w:tcBorders>
          </w:tcPr>
          <w:p w14:paraId="42406C3D" w14:textId="377B5243" w:rsidR="00103A6B" w:rsidRDefault="00103A6B">
            <w:pPr>
              <w:pStyle w:val="Tablebodytext"/>
              <w:jc w:val="center"/>
            </w:pPr>
            <w:r w:rsidRPr="002F6832">
              <w:rPr>
                <w:rFonts w:ascii="Calibri" w:hAnsi="Calibri" w:cs="Calibri"/>
                <w:color w:val="000000"/>
                <w:lang w:eastAsia="en-AU"/>
              </w:rPr>
              <w:t>0.801</w:t>
            </w:r>
          </w:p>
        </w:tc>
      </w:tr>
      <w:tr w:rsidR="00103A6B" w14:paraId="4BDD11AD" w14:textId="77777777" w:rsidTr="00091D5C">
        <w:trPr>
          <w:trHeight w:val="20"/>
        </w:trPr>
        <w:tc>
          <w:tcPr>
            <w:tcW w:w="368" w:type="pct"/>
            <w:tcBorders>
              <w:top w:val="single" w:sz="4" w:space="0" w:color="00B2A9"/>
              <w:bottom w:val="single" w:sz="4" w:space="0" w:color="00B2A9"/>
              <w:right w:val="nil"/>
            </w:tcBorders>
            <w:shd w:val="clear" w:color="auto" w:fill="auto"/>
          </w:tcPr>
          <w:p w14:paraId="5B6E41EF" w14:textId="110F92C2"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2FE44C76" w14:textId="1D7DDBB8" w:rsidR="00103A6B" w:rsidRDefault="00103A6B">
            <w:pPr>
              <w:pStyle w:val="Tablebodytext"/>
              <w:jc w:val="center"/>
            </w:pPr>
            <w:r w:rsidRPr="002F6832">
              <w:rPr>
                <w:rFonts w:ascii="Calibri" w:hAnsi="Calibri" w:cs="Calibri"/>
                <w:color w:val="000000"/>
                <w:lang w:eastAsia="en-AU"/>
              </w:rPr>
              <w:t>Distance to non-native vegetation</w:t>
            </w:r>
          </w:p>
        </w:tc>
        <w:tc>
          <w:tcPr>
            <w:tcW w:w="882" w:type="pct"/>
            <w:tcBorders>
              <w:top w:val="single" w:sz="4" w:space="0" w:color="00B2A9"/>
              <w:left w:val="nil"/>
              <w:bottom w:val="single" w:sz="4" w:space="0" w:color="00B2A9"/>
              <w:right w:val="nil"/>
            </w:tcBorders>
            <w:shd w:val="clear" w:color="auto" w:fill="auto"/>
          </w:tcPr>
          <w:p w14:paraId="64560E27" w14:textId="0062E103"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5469CC5A" w14:textId="6C5EE849" w:rsidR="00103A6B" w:rsidRDefault="00103A6B">
            <w:pPr>
              <w:pStyle w:val="Tablebodytext"/>
              <w:jc w:val="center"/>
            </w:pPr>
            <w:proofErr w:type="spellStart"/>
            <w:proofErr w:type="gramStart"/>
            <w:r w:rsidRPr="002F6832">
              <w:rPr>
                <w:rFonts w:ascii="Calibri" w:hAnsi="Calibri" w:cs="Calibri"/>
                <w:color w:val="000000"/>
                <w:lang w:eastAsia="en-AU"/>
              </w:rPr>
              <w:t>DNNV:Bait</w:t>
            </w:r>
            <w:proofErr w:type="spellEnd"/>
            <w:proofErr w:type="gramEnd"/>
          </w:p>
        </w:tc>
        <w:tc>
          <w:tcPr>
            <w:tcW w:w="516" w:type="pct"/>
            <w:tcBorders>
              <w:top w:val="single" w:sz="4" w:space="0" w:color="00B2A9"/>
              <w:left w:val="nil"/>
              <w:bottom w:val="single" w:sz="4" w:space="0" w:color="00B2A9"/>
              <w:right w:val="nil"/>
            </w:tcBorders>
          </w:tcPr>
          <w:p w14:paraId="79D17EE5" w14:textId="0D833903"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0.231</w:t>
            </w:r>
          </w:p>
        </w:tc>
        <w:tc>
          <w:tcPr>
            <w:tcW w:w="441" w:type="pct"/>
            <w:tcBorders>
              <w:top w:val="single" w:sz="4" w:space="0" w:color="00B2A9"/>
              <w:left w:val="nil"/>
              <w:bottom w:val="single" w:sz="4" w:space="0" w:color="00B2A9"/>
              <w:right w:val="nil"/>
            </w:tcBorders>
          </w:tcPr>
          <w:p w14:paraId="74FE0E1A" w14:textId="1E3BBF06"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0.688</w:t>
            </w:r>
          </w:p>
        </w:tc>
        <w:tc>
          <w:tcPr>
            <w:tcW w:w="440" w:type="pct"/>
            <w:tcBorders>
              <w:top w:val="single" w:sz="4" w:space="0" w:color="00B2A9"/>
              <w:left w:val="nil"/>
              <w:bottom w:val="single" w:sz="4" w:space="0" w:color="00B2A9"/>
            </w:tcBorders>
          </w:tcPr>
          <w:p w14:paraId="516FDF79" w14:textId="4446793F" w:rsidR="00103A6B" w:rsidRDefault="00103A6B">
            <w:pPr>
              <w:pStyle w:val="Tablebodytext"/>
              <w:jc w:val="center"/>
            </w:pPr>
            <w:r w:rsidRPr="002F6832">
              <w:rPr>
                <w:rFonts w:ascii="Calibri" w:hAnsi="Calibri" w:cs="Calibri"/>
                <w:color w:val="000000"/>
                <w:lang w:eastAsia="en-AU"/>
              </w:rPr>
              <w:t>0.2</w:t>
            </w:r>
            <w:r>
              <w:rPr>
                <w:rFonts w:ascii="Calibri" w:hAnsi="Calibri" w:cs="Calibri"/>
                <w:color w:val="000000"/>
                <w:lang w:eastAsia="en-AU"/>
              </w:rPr>
              <w:t>00</w:t>
            </w:r>
          </w:p>
        </w:tc>
      </w:tr>
      <w:tr w:rsidR="00103A6B" w14:paraId="27C79AAF" w14:textId="77777777" w:rsidTr="00091D5C">
        <w:trPr>
          <w:trHeight w:val="20"/>
        </w:trPr>
        <w:tc>
          <w:tcPr>
            <w:tcW w:w="368" w:type="pct"/>
            <w:tcBorders>
              <w:top w:val="single" w:sz="4" w:space="0" w:color="00B2A9"/>
              <w:bottom w:val="single" w:sz="4" w:space="0" w:color="00B2A9"/>
              <w:right w:val="nil"/>
            </w:tcBorders>
            <w:shd w:val="clear" w:color="auto" w:fill="auto"/>
          </w:tcPr>
          <w:p w14:paraId="7AFC0930" w14:textId="5EA64438"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31F9737E" w14:textId="2B940C7C" w:rsidR="00103A6B" w:rsidRDefault="00103A6B">
            <w:pPr>
              <w:pStyle w:val="Tablebodytext"/>
              <w:jc w:val="center"/>
            </w:pPr>
            <w:r w:rsidRPr="002F6832">
              <w:rPr>
                <w:rFonts w:ascii="Calibri" w:hAnsi="Calibri" w:cs="Calibri"/>
                <w:b/>
                <w:bCs/>
                <w:color w:val="000000"/>
                <w:lang w:eastAsia="en-AU"/>
              </w:rPr>
              <w:t>Distance to non-native vegetation</w:t>
            </w:r>
          </w:p>
        </w:tc>
        <w:tc>
          <w:tcPr>
            <w:tcW w:w="882" w:type="pct"/>
            <w:tcBorders>
              <w:top w:val="single" w:sz="4" w:space="0" w:color="00B2A9"/>
              <w:left w:val="nil"/>
              <w:bottom w:val="single" w:sz="4" w:space="0" w:color="00B2A9"/>
              <w:right w:val="nil"/>
            </w:tcBorders>
            <w:shd w:val="clear" w:color="auto" w:fill="auto"/>
          </w:tcPr>
          <w:p w14:paraId="49D088C2" w14:textId="69AFB95A" w:rsidR="00103A6B"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601B481A" w14:textId="15669667" w:rsidR="00103A6B"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11A9EE2E" w14:textId="1592B413"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9.077</w:t>
            </w:r>
          </w:p>
        </w:tc>
        <w:tc>
          <w:tcPr>
            <w:tcW w:w="441" w:type="pct"/>
            <w:tcBorders>
              <w:top w:val="single" w:sz="4" w:space="0" w:color="00B2A9"/>
              <w:left w:val="nil"/>
              <w:bottom w:val="single" w:sz="4" w:space="0" w:color="00B2A9"/>
              <w:right w:val="nil"/>
            </w:tcBorders>
          </w:tcPr>
          <w:p w14:paraId="3F23214B" w14:textId="37A72ED0"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9.943</w:t>
            </w:r>
          </w:p>
        </w:tc>
        <w:tc>
          <w:tcPr>
            <w:tcW w:w="440" w:type="pct"/>
            <w:tcBorders>
              <w:top w:val="single" w:sz="4" w:space="0" w:color="00B2A9"/>
              <w:left w:val="nil"/>
              <w:bottom w:val="single" w:sz="4" w:space="0" w:color="00B2A9"/>
            </w:tcBorders>
          </w:tcPr>
          <w:p w14:paraId="41C11822" w14:textId="5EDCFAA1"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6.618</w:t>
            </w:r>
          </w:p>
        </w:tc>
      </w:tr>
      <w:tr w:rsidR="00103A6B" w14:paraId="291F28F0" w14:textId="77777777" w:rsidTr="00091D5C">
        <w:trPr>
          <w:trHeight w:val="20"/>
        </w:trPr>
        <w:tc>
          <w:tcPr>
            <w:tcW w:w="368" w:type="pct"/>
            <w:tcBorders>
              <w:top w:val="single" w:sz="4" w:space="0" w:color="00B2A9"/>
              <w:bottom w:val="single" w:sz="4" w:space="0" w:color="00B2A9"/>
              <w:right w:val="nil"/>
            </w:tcBorders>
            <w:shd w:val="clear" w:color="auto" w:fill="auto"/>
          </w:tcPr>
          <w:p w14:paraId="04ED0352" w14:textId="49759B88"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13A507AE" w14:textId="1F966E2E" w:rsidR="00103A6B"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3D245C1A" w14:textId="65DDEF38"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36EE2CA2" w14:textId="2FFB8093" w:rsidR="00103A6B" w:rsidRDefault="00103A6B">
            <w:pPr>
              <w:pStyle w:val="Tablebodytext"/>
              <w:jc w:val="center"/>
            </w:pPr>
            <w:r w:rsidRPr="002F6832">
              <w:rPr>
                <w:rFonts w:ascii="Calibri" w:hAnsi="Calibri" w:cs="Calibri"/>
                <w:color w:val="000000"/>
                <w:lang w:eastAsia="en-AU"/>
              </w:rPr>
              <w:t>TWI</w:t>
            </w:r>
          </w:p>
        </w:tc>
        <w:tc>
          <w:tcPr>
            <w:tcW w:w="516" w:type="pct"/>
            <w:tcBorders>
              <w:top w:val="single" w:sz="4" w:space="0" w:color="00B2A9"/>
              <w:left w:val="nil"/>
              <w:bottom w:val="single" w:sz="4" w:space="0" w:color="00B2A9"/>
              <w:right w:val="nil"/>
            </w:tcBorders>
          </w:tcPr>
          <w:p w14:paraId="6A331EDC" w14:textId="5E805840" w:rsidR="00103A6B" w:rsidRDefault="00103A6B">
            <w:pPr>
              <w:pStyle w:val="Tablebodytext"/>
              <w:jc w:val="center"/>
            </w:pPr>
            <w:r w:rsidRPr="002F6832">
              <w:rPr>
                <w:rFonts w:ascii="Calibri" w:hAnsi="Calibri" w:cs="Calibri"/>
                <w:color w:val="000000"/>
                <w:lang w:eastAsia="en-AU"/>
              </w:rPr>
              <w:t>0.768</w:t>
            </w:r>
          </w:p>
        </w:tc>
        <w:tc>
          <w:tcPr>
            <w:tcW w:w="441" w:type="pct"/>
            <w:tcBorders>
              <w:top w:val="single" w:sz="4" w:space="0" w:color="00B2A9"/>
              <w:left w:val="nil"/>
              <w:bottom w:val="single" w:sz="4" w:space="0" w:color="00B2A9"/>
              <w:right w:val="nil"/>
            </w:tcBorders>
          </w:tcPr>
          <w:p w14:paraId="4633E039" w14:textId="4953DFB2"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0.327</w:t>
            </w:r>
          </w:p>
        </w:tc>
        <w:tc>
          <w:tcPr>
            <w:tcW w:w="440" w:type="pct"/>
            <w:tcBorders>
              <w:top w:val="single" w:sz="4" w:space="0" w:color="00B2A9"/>
              <w:left w:val="nil"/>
              <w:bottom w:val="single" w:sz="4" w:space="0" w:color="00B2A9"/>
            </w:tcBorders>
          </w:tcPr>
          <w:p w14:paraId="4F2DBFAD" w14:textId="62AC09AC" w:rsidR="00103A6B" w:rsidRDefault="00103A6B">
            <w:pPr>
              <w:pStyle w:val="Tablebodytext"/>
              <w:jc w:val="center"/>
            </w:pPr>
            <w:r w:rsidRPr="002F6832">
              <w:rPr>
                <w:rFonts w:ascii="Calibri" w:hAnsi="Calibri" w:cs="Calibri"/>
                <w:color w:val="000000"/>
                <w:lang w:eastAsia="en-AU"/>
              </w:rPr>
              <w:t>1.987</w:t>
            </w:r>
          </w:p>
        </w:tc>
      </w:tr>
      <w:tr w:rsidR="00103A6B" w14:paraId="73ABD255" w14:textId="77777777" w:rsidTr="00091D5C">
        <w:trPr>
          <w:trHeight w:val="20"/>
        </w:trPr>
        <w:tc>
          <w:tcPr>
            <w:tcW w:w="368" w:type="pct"/>
            <w:tcBorders>
              <w:top w:val="single" w:sz="4" w:space="0" w:color="00B2A9"/>
              <w:bottom w:val="single" w:sz="4" w:space="0" w:color="00B2A9"/>
              <w:right w:val="nil"/>
            </w:tcBorders>
            <w:shd w:val="clear" w:color="auto" w:fill="auto"/>
          </w:tcPr>
          <w:p w14:paraId="2B7257E7" w14:textId="7CFBF98D"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5CA31527" w14:textId="4AA6DB7E" w:rsidR="00103A6B" w:rsidRDefault="00103A6B">
            <w:pPr>
              <w:pStyle w:val="Tablebodytext"/>
              <w:jc w:val="center"/>
            </w:pPr>
            <w:r w:rsidRPr="002F6832">
              <w:rPr>
                <w:rFonts w:ascii="Calibri" w:hAnsi="Calibri" w:cs="Calibri"/>
                <w:b/>
                <w:bCs/>
                <w:color w:val="000000"/>
                <w:lang w:eastAsia="en-AU"/>
              </w:rPr>
              <w:t xml:space="preserve">Terrain </w:t>
            </w:r>
            <w:r w:rsidR="001C0781">
              <w:rPr>
                <w:rFonts w:ascii="Calibri" w:hAnsi="Calibri" w:cs="Calibri"/>
                <w:b/>
                <w:bCs/>
                <w:color w:val="000000"/>
                <w:lang w:eastAsia="en-AU"/>
              </w:rPr>
              <w:t>wetn</w:t>
            </w:r>
            <w:r w:rsidRPr="002F6832">
              <w:rPr>
                <w:rFonts w:ascii="Calibri" w:hAnsi="Calibri" w:cs="Calibri"/>
                <w:b/>
                <w:bCs/>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776F6A02" w14:textId="44788746" w:rsidR="00103A6B"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0842BDB3" w14:textId="742724F7" w:rsidR="00103A6B" w:rsidRDefault="00103A6B">
            <w:pPr>
              <w:pStyle w:val="Tablebodytext"/>
              <w:jc w:val="center"/>
            </w:pPr>
            <w:proofErr w:type="spellStart"/>
            <w:proofErr w:type="gramStart"/>
            <w:r w:rsidRPr="002F6832">
              <w:rPr>
                <w:rFonts w:ascii="Calibri" w:hAnsi="Calibri" w:cs="Calibri"/>
                <w:b/>
                <w:bCs/>
                <w:color w:val="000000"/>
                <w:lang w:eastAsia="en-AU"/>
              </w:rPr>
              <w:t>TWI:Bait</w:t>
            </w:r>
            <w:proofErr w:type="spellEnd"/>
            <w:proofErr w:type="gramEnd"/>
          </w:p>
        </w:tc>
        <w:tc>
          <w:tcPr>
            <w:tcW w:w="516" w:type="pct"/>
            <w:tcBorders>
              <w:top w:val="single" w:sz="4" w:space="0" w:color="00B2A9"/>
              <w:left w:val="nil"/>
              <w:bottom w:val="single" w:sz="4" w:space="0" w:color="00B2A9"/>
              <w:right w:val="nil"/>
            </w:tcBorders>
          </w:tcPr>
          <w:p w14:paraId="03742FF5" w14:textId="41D8AAA0"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1.434</w:t>
            </w:r>
          </w:p>
        </w:tc>
        <w:tc>
          <w:tcPr>
            <w:tcW w:w="441" w:type="pct"/>
            <w:tcBorders>
              <w:top w:val="single" w:sz="4" w:space="0" w:color="00B2A9"/>
              <w:left w:val="nil"/>
              <w:bottom w:val="single" w:sz="4" w:space="0" w:color="00B2A9"/>
              <w:right w:val="nil"/>
            </w:tcBorders>
          </w:tcPr>
          <w:p w14:paraId="1B6078C3" w14:textId="39F54504"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2.867</w:t>
            </w:r>
          </w:p>
        </w:tc>
        <w:tc>
          <w:tcPr>
            <w:tcW w:w="440" w:type="pct"/>
            <w:tcBorders>
              <w:top w:val="single" w:sz="4" w:space="0" w:color="00B2A9"/>
              <w:left w:val="nil"/>
              <w:bottom w:val="single" w:sz="4" w:space="0" w:color="00B2A9"/>
            </w:tcBorders>
          </w:tcPr>
          <w:p w14:paraId="5F059180" w14:textId="72C180BF"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0.096</w:t>
            </w:r>
          </w:p>
        </w:tc>
      </w:tr>
      <w:tr w:rsidR="00103A6B" w14:paraId="71CC5C0D" w14:textId="77777777" w:rsidTr="00091D5C">
        <w:trPr>
          <w:trHeight w:val="20"/>
        </w:trPr>
        <w:tc>
          <w:tcPr>
            <w:tcW w:w="368" w:type="pct"/>
            <w:tcBorders>
              <w:top w:val="single" w:sz="4" w:space="0" w:color="00B2A9"/>
              <w:bottom w:val="single" w:sz="4" w:space="0" w:color="00B2A9"/>
              <w:right w:val="nil"/>
            </w:tcBorders>
            <w:shd w:val="clear" w:color="auto" w:fill="auto"/>
          </w:tcPr>
          <w:p w14:paraId="21B10A3B" w14:textId="6A4605BF"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1FE23CF2" w14:textId="5F5A40F8" w:rsidR="00103A6B"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4548DCA4" w14:textId="5F7B51BD"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1745596C" w14:textId="3DE82FA5" w:rsidR="00103A6B" w:rsidRDefault="00103A6B">
            <w:pPr>
              <w:pStyle w:val="Tablebodytext"/>
              <w:jc w:val="center"/>
            </w:pPr>
            <w:r w:rsidRPr="002F6832">
              <w:rPr>
                <w:rFonts w:ascii="Calibri" w:hAnsi="Calibri" w:cs="Calibri"/>
                <w:color w:val="000000"/>
                <w:lang w:eastAsia="en-AU"/>
              </w:rPr>
              <w:t>Bait</w:t>
            </w:r>
          </w:p>
        </w:tc>
        <w:tc>
          <w:tcPr>
            <w:tcW w:w="516" w:type="pct"/>
            <w:tcBorders>
              <w:top w:val="single" w:sz="4" w:space="0" w:color="00B2A9"/>
              <w:left w:val="nil"/>
              <w:bottom w:val="single" w:sz="4" w:space="0" w:color="00B2A9"/>
              <w:right w:val="nil"/>
            </w:tcBorders>
          </w:tcPr>
          <w:p w14:paraId="5A842F8B" w14:textId="0F789F38" w:rsidR="00103A6B" w:rsidRDefault="00103A6B">
            <w:pPr>
              <w:pStyle w:val="Tablebodytext"/>
              <w:jc w:val="center"/>
            </w:pPr>
            <w:r w:rsidRPr="002F6832">
              <w:rPr>
                <w:rFonts w:ascii="Calibri" w:hAnsi="Calibri" w:cs="Calibri"/>
                <w:color w:val="000000"/>
                <w:lang w:eastAsia="en-AU"/>
              </w:rPr>
              <w:t>3.55</w:t>
            </w:r>
            <w:r>
              <w:rPr>
                <w:rFonts w:ascii="Calibri" w:hAnsi="Calibri" w:cs="Calibri"/>
                <w:color w:val="000000"/>
                <w:lang w:eastAsia="en-AU"/>
              </w:rPr>
              <w:t>0</w:t>
            </w:r>
          </w:p>
        </w:tc>
        <w:tc>
          <w:tcPr>
            <w:tcW w:w="441" w:type="pct"/>
            <w:tcBorders>
              <w:top w:val="single" w:sz="4" w:space="0" w:color="00B2A9"/>
              <w:left w:val="nil"/>
              <w:bottom w:val="single" w:sz="4" w:space="0" w:color="00B2A9"/>
              <w:right w:val="nil"/>
            </w:tcBorders>
          </w:tcPr>
          <w:p w14:paraId="1C20C0E3" w14:textId="2180DC65" w:rsidR="00103A6B" w:rsidRDefault="00103A6B">
            <w:pPr>
              <w:pStyle w:val="Tablebodytext"/>
              <w:jc w:val="center"/>
            </w:pPr>
            <w:r w:rsidRPr="002F6832">
              <w:rPr>
                <w:rFonts w:ascii="Calibri" w:hAnsi="Calibri" w:cs="Calibri"/>
                <w:color w:val="000000"/>
                <w:lang w:eastAsia="en-AU"/>
              </w:rPr>
              <w:t>0.014</w:t>
            </w:r>
          </w:p>
        </w:tc>
        <w:tc>
          <w:tcPr>
            <w:tcW w:w="440" w:type="pct"/>
            <w:tcBorders>
              <w:top w:val="single" w:sz="4" w:space="0" w:color="00B2A9"/>
              <w:left w:val="nil"/>
              <w:bottom w:val="single" w:sz="4" w:space="0" w:color="00B2A9"/>
            </w:tcBorders>
          </w:tcPr>
          <w:p w14:paraId="2F9492B1" w14:textId="6793D93E" w:rsidR="00103A6B" w:rsidRDefault="00103A6B">
            <w:pPr>
              <w:pStyle w:val="Tablebodytext"/>
              <w:jc w:val="center"/>
            </w:pPr>
            <w:r w:rsidRPr="002F6832">
              <w:rPr>
                <w:rFonts w:ascii="Calibri" w:hAnsi="Calibri" w:cs="Calibri"/>
                <w:color w:val="000000"/>
                <w:lang w:eastAsia="en-AU"/>
              </w:rPr>
              <w:t>6.551</w:t>
            </w:r>
          </w:p>
        </w:tc>
      </w:tr>
      <w:tr w:rsidR="00103A6B" w14:paraId="33882287" w14:textId="77777777" w:rsidTr="00091D5C">
        <w:trPr>
          <w:trHeight w:val="20"/>
        </w:trPr>
        <w:tc>
          <w:tcPr>
            <w:tcW w:w="368" w:type="pct"/>
            <w:tcBorders>
              <w:top w:val="single" w:sz="4" w:space="0" w:color="00B2A9"/>
              <w:bottom w:val="single" w:sz="4" w:space="0" w:color="00B2A9"/>
              <w:right w:val="nil"/>
            </w:tcBorders>
            <w:shd w:val="clear" w:color="auto" w:fill="auto"/>
          </w:tcPr>
          <w:p w14:paraId="47F45110" w14:textId="2E021576"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02D6B3D9" w14:textId="2B7090E4" w:rsidR="00103A6B"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01BE47EE" w14:textId="51031CE4"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7BDA1C7F" w14:textId="7F783E73" w:rsidR="00103A6B" w:rsidRDefault="00103A6B">
            <w:pPr>
              <w:pStyle w:val="Tablebodytext"/>
              <w:jc w:val="center"/>
            </w:pPr>
            <w:r w:rsidRPr="002F6832">
              <w:rPr>
                <w:rFonts w:ascii="Calibri" w:hAnsi="Calibri" w:cs="Calibri"/>
                <w:color w:val="000000"/>
                <w:lang w:eastAsia="en-AU"/>
              </w:rPr>
              <w:t>TWI</w:t>
            </w:r>
          </w:p>
        </w:tc>
        <w:tc>
          <w:tcPr>
            <w:tcW w:w="516" w:type="pct"/>
            <w:tcBorders>
              <w:top w:val="single" w:sz="4" w:space="0" w:color="00B2A9"/>
              <w:left w:val="nil"/>
              <w:bottom w:val="single" w:sz="4" w:space="0" w:color="00B2A9"/>
              <w:right w:val="nil"/>
            </w:tcBorders>
          </w:tcPr>
          <w:p w14:paraId="79843D53" w14:textId="4300C9FF" w:rsidR="00103A6B" w:rsidRDefault="00103A6B">
            <w:pPr>
              <w:pStyle w:val="Tablebodytext"/>
              <w:jc w:val="center"/>
            </w:pPr>
            <w:r w:rsidRPr="002F6832">
              <w:rPr>
                <w:rFonts w:ascii="Calibri" w:hAnsi="Calibri" w:cs="Calibri"/>
                <w:color w:val="000000"/>
                <w:lang w:eastAsia="en-AU"/>
              </w:rPr>
              <w:t>0.055</w:t>
            </w:r>
          </w:p>
        </w:tc>
        <w:tc>
          <w:tcPr>
            <w:tcW w:w="441" w:type="pct"/>
            <w:tcBorders>
              <w:top w:val="single" w:sz="4" w:space="0" w:color="00B2A9"/>
              <w:left w:val="nil"/>
              <w:bottom w:val="single" w:sz="4" w:space="0" w:color="00B2A9"/>
              <w:right w:val="nil"/>
            </w:tcBorders>
          </w:tcPr>
          <w:p w14:paraId="613181D3" w14:textId="57FDD58B"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0.378</w:t>
            </w:r>
          </w:p>
        </w:tc>
        <w:tc>
          <w:tcPr>
            <w:tcW w:w="440" w:type="pct"/>
            <w:tcBorders>
              <w:top w:val="single" w:sz="4" w:space="0" w:color="00B2A9"/>
              <w:left w:val="nil"/>
              <w:bottom w:val="single" w:sz="4" w:space="0" w:color="00B2A9"/>
            </w:tcBorders>
          </w:tcPr>
          <w:p w14:paraId="434E726A" w14:textId="395C2BFE" w:rsidR="00103A6B" w:rsidRDefault="00103A6B">
            <w:pPr>
              <w:pStyle w:val="Tablebodytext"/>
              <w:jc w:val="center"/>
            </w:pPr>
            <w:r w:rsidRPr="002F6832">
              <w:rPr>
                <w:rFonts w:ascii="Calibri" w:hAnsi="Calibri" w:cs="Calibri"/>
                <w:color w:val="000000"/>
                <w:lang w:eastAsia="en-AU"/>
              </w:rPr>
              <w:t>0.467</w:t>
            </w:r>
          </w:p>
        </w:tc>
      </w:tr>
      <w:tr w:rsidR="00103A6B" w14:paraId="66BB9C99" w14:textId="77777777" w:rsidTr="00091D5C">
        <w:trPr>
          <w:trHeight w:val="20"/>
        </w:trPr>
        <w:tc>
          <w:tcPr>
            <w:tcW w:w="368" w:type="pct"/>
            <w:tcBorders>
              <w:top w:val="single" w:sz="4" w:space="0" w:color="00B2A9"/>
              <w:bottom w:val="single" w:sz="4" w:space="0" w:color="00B2A9"/>
              <w:right w:val="nil"/>
            </w:tcBorders>
            <w:shd w:val="clear" w:color="auto" w:fill="auto"/>
          </w:tcPr>
          <w:p w14:paraId="08A15C9A" w14:textId="201076FB"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316A4555" w14:textId="173FA6F1" w:rsidR="00103A6B" w:rsidRDefault="00103A6B">
            <w:pPr>
              <w:pStyle w:val="Tablebodytext"/>
              <w:jc w:val="center"/>
            </w:pPr>
            <w:r w:rsidRPr="002F6832">
              <w:rPr>
                <w:rFonts w:ascii="Calibri" w:hAnsi="Calibri" w:cs="Calibri"/>
                <w:color w:val="000000"/>
                <w:lang w:eastAsia="en-AU"/>
              </w:rPr>
              <w:t xml:space="preserve">Terrain </w:t>
            </w:r>
            <w:r w:rsidR="001C0781">
              <w:rPr>
                <w:rFonts w:ascii="Calibri" w:hAnsi="Calibri" w:cs="Calibri"/>
                <w:color w:val="000000"/>
                <w:lang w:eastAsia="en-AU"/>
              </w:rPr>
              <w:t>wetn</w:t>
            </w:r>
            <w:r w:rsidRPr="002F6832">
              <w:rPr>
                <w:rFonts w:ascii="Calibri" w:hAnsi="Calibri" w:cs="Calibri"/>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54F288FF" w14:textId="571D841A"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777E8489" w14:textId="2261C019" w:rsidR="00103A6B" w:rsidRDefault="00103A6B">
            <w:pPr>
              <w:pStyle w:val="Tablebodytext"/>
              <w:jc w:val="center"/>
            </w:pPr>
            <w:proofErr w:type="spellStart"/>
            <w:proofErr w:type="gramStart"/>
            <w:r w:rsidRPr="002F6832">
              <w:rPr>
                <w:rFonts w:ascii="Calibri" w:hAnsi="Calibri" w:cs="Calibri"/>
                <w:color w:val="000000"/>
                <w:lang w:eastAsia="en-AU"/>
              </w:rPr>
              <w:t>TWI:Bait</w:t>
            </w:r>
            <w:proofErr w:type="spellEnd"/>
            <w:proofErr w:type="gramEnd"/>
          </w:p>
        </w:tc>
        <w:tc>
          <w:tcPr>
            <w:tcW w:w="516" w:type="pct"/>
            <w:tcBorders>
              <w:top w:val="single" w:sz="4" w:space="0" w:color="00B2A9"/>
              <w:left w:val="nil"/>
              <w:bottom w:val="single" w:sz="4" w:space="0" w:color="00B2A9"/>
              <w:right w:val="nil"/>
            </w:tcBorders>
          </w:tcPr>
          <w:p w14:paraId="4BAF7D2C" w14:textId="5A5311D0"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0.106</w:t>
            </w:r>
          </w:p>
        </w:tc>
        <w:tc>
          <w:tcPr>
            <w:tcW w:w="441" w:type="pct"/>
            <w:tcBorders>
              <w:top w:val="single" w:sz="4" w:space="0" w:color="00B2A9"/>
              <w:left w:val="nil"/>
              <w:bottom w:val="single" w:sz="4" w:space="0" w:color="00B2A9"/>
              <w:right w:val="nil"/>
            </w:tcBorders>
          </w:tcPr>
          <w:p w14:paraId="2661CF23" w14:textId="06DD9E5B"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0.664</w:t>
            </w:r>
          </w:p>
        </w:tc>
        <w:tc>
          <w:tcPr>
            <w:tcW w:w="440" w:type="pct"/>
            <w:tcBorders>
              <w:top w:val="single" w:sz="4" w:space="0" w:color="00B2A9"/>
              <w:left w:val="nil"/>
              <w:bottom w:val="single" w:sz="4" w:space="0" w:color="00B2A9"/>
            </w:tcBorders>
          </w:tcPr>
          <w:p w14:paraId="11543681" w14:textId="3B4B56B3" w:rsidR="00103A6B" w:rsidRDefault="00103A6B">
            <w:pPr>
              <w:pStyle w:val="Tablebodytext"/>
              <w:jc w:val="center"/>
            </w:pPr>
            <w:r w:rsidRPr="002F6832">
              <w:rPr>
                <w:rFonts w:ascii="Calibri" w:hAnsi="Calibri" w:cs="Calibri"/>
                <w:color w:val="000000"/>
                <w:lang w:eastAsia="en-AU"/>
              </w:rPr>
              <w:t>0.454</w:t>
            </w:r>
          </w:p>
        </w:tc>
      </w:tr>
      <w:tr w:rsidR="00103A6B" w14:paraId="5FC6679F" w14:textId="77777777" w:rsidTr="00091D5C">
        <w:trPr>
          <w:trHeight w:val="20"/>
        </w:trPr>
        <w:tc>
          <w:tcPr>
            <w:tcW w:w="368" w:type="pct"/>
            <w:tcBorders>
              <w:top w:val="single" w:sz="4" w:space="0" w:color="00B2A9"/>
              <w:bottom w:val="single" w:sz="4" w:space="0" w:color="00B2A9"/>
              <w:right w:val="nil"/>
            </w:tcBorders>
            <w:shd w:val="clear" w:color="auto" w:fill="auto"/>
          </w:tcPr>
          <w:p w14:paraId="46737A17" w14:textId="5449E865"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571F9C65" w14:textId="523D6DE3" w:rsidR="00103A6B" w:rsidRDefault="00103A6B">
            <w:pPr>
              <w:pStyle w:val="Tablebodytext"/>
              <w:jc w:val="center"/>
            </w:pPr>
            <w:r w:rsidRPr="002F6832">
              <w:rPr>
                <w:rFonts w:ascii="Calibri" w:hAnsi="Calibri" w:cs="Calibri"/>
                <w:b/>
                <w:bCs/>
                <w:color w:val="000000"/>
                <w:lang w:eastAsia="en-AU"/>
              </w:rPr>
              <w:t xml:space="preserve">Terrain </w:t>
            </w:r>
            <w:r w:rsidR="001C0781">
              <w:rPr>
                <w:rFonts w:ascii="Calibri" w:hAnsi="Calibri" w:cs="Calibri"/>
                <w:b/>
                <w:bCs/>
                <w:color w:val="000000"/>
                <w:lang w:eastAsia="en-AU"/>
              </w:rPr>
              <w:t>wetn</w:t>
            </w:r>
            <w:r w:rsidRPr="002F6832">
              <w:rPr>
                <w:rFonts w:ascii="Calibri" w:hAnsi="Calibri" w:cs="Calibri"/>
                <w:b/>
                <w:bCs/>
                <w:color w:val="000000"/>
                <w:lang w:eastAsia="en-AU"/>
              </w:rPr>
              <w:t>ess index</w:t>
            </w:r>
          </w:p>
        </w:tc>
        <w:tc>
          <w:tcPr>
            <w:tcW w:w="882" w:type="pct"/>
            <w:tcBorders>
              <w:top w:val="single" w:sz="4" w:space="0" w:color="00B2A9"/>
              <w:left w:val="nil"/>
              <w:bottom w:val="single" w:sz="4" w:space="0" w:color="00B2A9"/>
              <w:right w:val="nil"/>
            </w:tcBorders>
            <w:shd w:val="clear" w:color="auto" w:fill="auto"/>
          </w:tcPr>
          <w:p w14:paraId="72BFB8F0" w14:textId="70D234C9" w:rsidR="00103A6B"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4026BEC2" w14:textId="4B3FEB3F" w:rsidR="00103A6B"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2970DDC9" w14:textId="21E502E2"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9.259</w:t>
            </w:r>
          </w:p>
        </w:tc>
        <w:tc>
          <w:tcPr>
            <w:tcW w:w="441" w:type="pct"/>
            <w:tcBorders>
              <w:top w:val="single" w:sz="4" w:space="0" w:color="00B2A9"/>
              <w:left w:val="nil"/>
              <w:bottom w:val="single" w:sz="4" w:space="0" w:color="00B2A9"/>
              <w:right w:val="nil"/>
            </w:tcBorders>
          </w:tcPr>
          <w:p w14:paraId="69F94288" w14:textId="4D1810F1"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9.962</w:t>
            </w:r>
          </w:p>
        </w:tc>
        <w:tc>
          <w:tcPr>
            <w:tcW w:w="440" w:type="pct"/>
            <w:tcBorders>
              <w:top w:val="single" w:sz="4" w:space="0" w:color="00B2A9"/>
              <w:left w:val="nil"/>
              <w:bottom w:val="single" w:sz="4" w:space="0" w:color="00B2A9"/>
            </w:tcBorders>
          </w:tcPr>
          <w:p w14:paraId="1A7A456F" w14:textId="19809B8B"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6.814</w:t>
            </w:r>
          </w:p>
        </w:tc>
      </w:tr>
      <w:tr w:rsidR="00103A6B" w14:paraId="75EC1947" w14:textId="77777777" w:rsidTr="00091D5C">
        <w:trPr>
          <w:trHeight w:val="20"/>
        </w:trPr>
        <w:tc>
          <w:tcPr>
            <w:tcW w:w="368" w:type="pct"/>
            <w:tcBorders>
              <w:top w:val="single" w:sz="4" w:space="0" w:color="00B2A9"/>
              <w:bottom w:val="single" w:sz="4" w:space="0" w:color="00B2A9"/>
              <w:right w:val="nil"/>
            </w:tcBorders>
            <w:shd w:val="clear" w:color="auto" w:fill="auto"/>
          </w:tcPr>
          <w:p w14:paraId="2C7A78FA" w14:textId="7AEBB7D5"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717FD64D" w14:textId="3FF86C93" w:rsidR="00103A6B"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504D2CC0" w14:textId="09D1B76E"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3BBAA76E" w14:textId="5BC80FFC" w:rsidR="00103A6B" w:rsidRDefault="00103A6B">
            <w:pPr>
              <w:pStyle w:val="Tablebodytext"/>
              <w:jc w:val="center"/>
            </w:pPr>
            <w:r w:rsidRPr="002F6832">
              <w:rPr>
                <w:rFonts w:ascii="Calibri" w:hAnsi="Calibri" w:cs="Calibri"/>
                <w:color w:val="000000"/>
                <w:lang w:eastAsia="en-AU"/>
              </w:rPr>
              <w:t>TRI</w:t>
            </w:r>
          </w:p>
        </w:tc>
        <w:tc>
          <w:tcPr>
            <w:tcW w:w="516" w:type="pct"/>
            <w:tcBorders>
              <w:top w:val="single" w:sz="4" w:space="0" w:color="00B2A9"/>
              <w:left w:val="nil"/>
              <w:bottom w:val="single" w:sz="4" w:space="0" w:color="00B2A9"/>
              <w:right w:val="nil"/>
            </w:tcBorders>
          </w:tcPr>
          <w:p w14:paraId="02B5ED19" w14:textId="0D40C88C"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0.927</w:t>
            </w:r>
          </w:p>
        </w:tc>
        <w:tc>
          <w:tcPr>
            <w:tcW w:w="441" w:type="pct"/>
            <w:tcBorders>
              <w:top w:val="single" w:sz="4" w:space="0" w:color="00B2A9"/>
              <w:left w:val="nil"/>
              <w:bottom w:val="single" w:sz="4" w:space="0" w:color="00B2A9"/>
              <w:right w:val="nil"/>
            </w:tcBorders>
          </w:tcPr>
          <w:p w14:paraId="18558C29" w14:textId="37EA5868"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3.033</w:t>
            </w:r>
          </w:p>
        </w:tc>
        <w:tc>
          <w:tcPr>
            <w:tcW w:w="440" w:type="pct"/>
            <w:tcBorders>
              <w:top w:val="single" w:sz="4" w:space="0" w:color="00B2A9"/>
              <w:left w:val="nil"/>
              <w:bottom w:val="single" w:sz="4" w:space="0" w:color="00B2A9"/>
            </w:tcBorders>
          </w:tcPr>
          <w:p w14:paraId="24EEBD97" w14:textId="368418D5" w:rsidR="00103A6B" w:rsidRDefault="00103A6B">
            <w:pPr>
              <w:pStyle w:val="Tablebodytext"/>
              <w:jc w:val="center"/>
            </w:pPr>
            <w:r w:rsidRPr="002F6832">
              <w:rPr>
                <w:rFonts w:ascii="Calibri" w:hAnsi="Calibri" w:cs="Calibri"/>
                <w:color w:val="000000"/>
                <w:lang w:eastAsia="en-AU"/>
              </w:rPr>
              <w:t>0.819</w:t>
            </w:r>
          </w:p>
        </w:tc>
      </w:tr>
      <w:tr w:rsidR="00103A6B" w14:paraId="5F848A20" w14:textId="77777777" w:rsidTr="00091D5C">
        <w:trPr>
          <w:trHeight w:val="20"/>
        </w:trPr>
        <w:tc>
          <w:tcPr>
            <w:tcW w:w="368" w:type="pct"/>
            <w:tcBorders>
              <w:top w:val="single" w:sz="4" w:space="0" w:color="00B2A9"/>
              <w:bottom w:val="single" w:sz="4" w:space="0" w:color="00B2A9"/>
              <w:right w:val="nil"/>
            </w:tcBorders>
            <w:shd w:val="clear" w:color="auto" w:fill="auto"/>
          </w:tcPr>
          <w:p w14:paraId="6AF2044D" w14:textId="04B96C23"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619BF64E" w14:textId="58763C80" w:rsidR="00103A6B"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374503C0" w14:textId="5E1349BC" w:rsidR="00103A6B" w:rsidRDefault="006346AA">
            <w:pPr>
              <w:pStyle w:val="Tablebodytext"/>
              <w:jc w:val="center"/>
            </w:pPr>
            <w:r>
              <w:rPr>
                <w:rFonts w:ascii="Calibri" w:hAnsi="Calibri" w:cs="Calibri"/>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6DADA86D" w14:textId="3CD0FF77" w:rsidR="00103A6B" w:rsidRDefault="00103A6B">
            <w:pPr>
              <w:pStyle w:val="Tablebodytext"/>
              <w:jc w:val="center"/>
            </w:pPr>
            <w:proofErr w:type="spellStart"/>
            <w:proofErr w:type="gramStart"/>
            <w:r w:rsidRPr="002F6832">
              <w:rPr>
                <w:rFonts w:ascii="Calibri" w:hAnsi="Calibri" w:cs="Calibri"/>
                <w:color w:val="000000"/>
                <w:lang w:eastAsia="en-AU"/>
              </w:rPr>
              <w:t>TRI:Bait</w:t>
            </w:r>
            <w:proofErr w:type="spellEnd"/>
            <w:proofErr w:type="gramEnd"/>
          </w:p>
        </w:tc>
        <w:tc>
          <w:tcPr>
            <w:tcW w:w="516" w:type="pct"/>
            <w:tcBorders>
              <w:top w:val="single" w:sz="4" w:space="0" w:color="00B2A9"/>
              <w:left w:val="nil"/>
              <w:bottom w:val="single" w:sz="4" w:space="0" w:color="00B2A9"/>
              <w:right w:val="nil"/>
            </w:tcBorders>
          </w:tcPr>
          <w:p w14:paraId="3A2348F8" w14:textId="38E54149" w:rsidR="00103A6B" w:rsidRDefault="00103A6B">
            <w:pPr>
              <w:pStyle w:val="Tablebodytext"/>
              <w:jc w:val="center"/>
            </w:pPr>
            <w:r w:rsidRPr="002F6832">
              <w:rPr>
                <w:rFonts w:ascii="Calibri" w:hAnsi="Calibri" w:cs="Calibri"/>
                <w:color w:val="000000"/>
                <w:lang w:eastAsia="en-AU"/>
              </w:rPr>
              <w:t>0.707</w:t>
            </w:r>
          </w:p>
        </w:tc>
        <w:tc>
          <w:tcPr>
            <w:tcW w:w="441" w:type="pct"/>
            <w:tcBorders>
              <w:top w:val="single" w:sz="4" w:space="0" w:color="00B2A9"/>
              <w:left w:val="nil"/>
              <w:bottom w:val="single" w:sz="4" w:space="0" w:color="00B2A9"/>
              <w:right w:val="nil"/>
            </w:tcBorders>
          </w:tcPr>
          <w:p w14:paraId="76B3372B" w14:textId="41BF3761"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1.308</w:t>
            </w:r>
          </w:p>
        </w:tc>
        <w:tc>
          <w:tcPr>
            <w:tcW w:w="440" w:type="pct"/>
            <w:tcBorders>
              <w:top w:val="single" w:sz="4" w:space="0" w:color="00B2A9"/>
              <w:left w:val="nil"/>
              <w:bottom w:val="single" w:sz="4" w:space="0" w:color="00B2A9"/>
            </w:tcBorders>
          </w:tcPr>
          <w:p w14:paraId="54586E19" w14:textId="674A9F7F" w:rsidR="00103A6B" w:rsidRDefault="00103A6B">
            <w:pPr>
              <w:pStyle w:val="Tablebodytext"/>
              <w:jc w:val="center"/>
            </w:pPr>
            <w:r w:rsidRPr="002F6832">
              <w:rPr>
                <w:rFonts w:ascii="Calibri" w:hAnsi="Calibri" w:cs="Calibri"/>
                <w:color w:val="000000"/>
                <w:lang w:eastAsia="en-AU"/>
              </w:rPr>
              <w:t>2.952</w:t>
            </w:r>
          </w:p>
        </w:tc>
      </w:tr>
      <w:tr w:rsidR="00103A6B" w14:paraId="6852EAF1" w14:textId="77777777" w:rsidTr="00091D5C">
        <w:trPr>
          <w:trHeight w:val="20"/>
        </w:trPr>
        <w:tc>
          <w:tcPr>
            <w:tcW w:w="368" w:type="pct"/>
            <w:tcBorders>
              <w:top w:val="single" w:sz="4" w:space="0" w:color="00B2A9"/>
              <w:bottom w:val="single" w:sz="4" w:space="0" w:color="00B2A9"/>
              <w:right w:val="nil"/>
            </w:tcBorders>
            <w:shd w:val="clear" w:color="auto" w:fill="auto"/>
          </w:tcPr>
          <w:p w14:paraId="4D53B5DC" w14:textId="34D5B888" w:rsidR="00103A6B" w:rsidRDefault="00103A6B" w:rsidP="00091D5C">
            <w:pPr>
              <w:pStyle w:val="Tablebodytext"/>
              <w:jc w:val="center"/>
            </w:pPr>
            <w:r w:rsidRPr="002F6832">
              <w:rPr>
                <w:rFonts w:ascii="Calibri" w:hAnsi="Calibri" w:cs="Calibri"/>
                <w:b/>
                <w:bCs/>
                <w:color w:val="000000"/>
                <w:lang w:eastAsia="en-AU"/>
              </w:rPr>
              <w:lastRenderedPageBreak/>
              <w:t>SBB</w:t>
            </w:r>
          </w:p>
        </w:tc>
        <w:tc>
          <w:tcPr>
            <w:tcW w:w="1618" w:type="pct"/>
            <w:tcBorders>
              <w:top w:val="single" w:sz="4" w:space="0" w:color="00B2A9"/>
              <w:left w:val="nil"/>
              <w:bottom w:val="single" w:sz="4" w:space="0" w:color="00B2A9"/>
              <w:right w:val="nil"/>
            </w:tcBorders>
            <w:shd w:val="clear" w:color="auto" w:fill="auto"/>
          </w:tcPr>
          <w:p w14:paraId="1F74A126" w14:textId="06151ABE" w:rsidR="00103A6B" w:rsidRDefault="00103A6B">
            <w:pPr>
              <w:pStyle w:val="Tablebodytext"/>
              <w:jc w:val="center"/>
            </w:pPr>
            <w:r w:rsidRPr="002F6832">
              <w:rPr>
                <w:rFonts w:ascii="Calibri" w:hAnsi="Calibri" w:cs="Calibri"/>
                <w:b/>
                <w:bCs/>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5856FBAE" w14:textId="23E32CFD" w:rsidR="00103A6B"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1C0229FD" w14:textId="56188967" w:rsidR="00103A6B"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1A119858" w14:textId="065C2830" w:rsidR="00103A6B" w:rsidRDefault="00103A6B">
            <w:pPr>
              <w:pStyle w:val="Tablebodytext"/>
              <w:jc w:val="center"/>
            </w:pPr>
            <w:r w:rsidRPr="002F6832">
              <w:rPr>
                <w:rFonts w:ascii="Calibri" w:hAnsi="Calibri" w:cs="Calibri"/>
                <w:b/>
                <w:bCs/>
                <w:color w:val="000000"/>
                <w:lang w:eastAsia="en-AU"/>
              </w:rPr>
              <w:t>3.550</w:t>
            </w:r>
          </w:p>
        </w:tc>
        <w:tc>
          <w:tcPr>
            <w:tcW w:w="441" w:type="pct"/>
            <w:tcBorders>
              <w:top w:val="single" w:sz="4" w:space="0" w:color="00B2A9"/>
              <w:left w:val="nil"/>
              <w:bottom w:val="single" w:sz="4" w:space="0" w:color="00B2A9"/>
              <w:right w:val="nil"/>
            </w:tcBorders>
          </w:tcPr>
          <w:p w14:paraId="300E1BBF" w14:textId="187E5EE8" w:rsidR="00103A6B" w:rsidRDefault="00103A6B">
            <w:pPr>
              <w:pStyle w:val="Tablebodytext"/>
              <w:jc w:val="center"/>
            </w:pPr>
            <w:r w:rsidRPr="002F6832">
              <w:rPr>
                <w:rFonts w:ascii="Calibri" w:hAnsi="Calibri" w:cs="Calibri"/>
                <w:b/>
                <w:bCs/>
                <w:color w:val="000000"/>
                <w:lang w:eastAsia="en-AU"/>
              </w:rPr>
              <w:t>0.014</w:t>
            </w:r>
          </w:p>
        </w:tc>
        <w:tc>
          <w:tcPr>
            <w:tcW w:w="440" w:type="pct"/>
            <w:tcBorders>
              <w:top w:val="single" w:sz="4" w:space="0" w:color="00B2A9"/>
              <w:left w:val="nil"/>
              <w:bottom w:val="single" w:sz="4" w:space="0" w:color="00B2A9"/>
            </w:tcBorders>
          </w:tcPr>
          <w:p w14:paraId="284B3592" w14:textId="430B96DD" w:rsidR="00103A6B" w:rsidRDefault="00103A6B">
            <w:pPr>
              <w:pStyle w:val="Tablebodytext"/>
              <w:jc w:val="center"/>
            </w:pPr>
            <w:r w:rsidRPr="002F6832">
              <w:rPr>
                <w:rFonts w:ascii="Calibri" w:hAnsi="Calibri" w:cs="Calibri"/>
                <w:b/>
                <w:bCs/>
                <w:color w:val="000000"/>
                <w:lang w:eastAsia="en-AU"/>
              </w:rPr>
              <w:t>6.551</w:t>
            </w:r>
          </w:p>
        </w:tc>
      </w:tr>
      <w:tr w:rsidR="00103A6B" w14:paraId="1F18B783" w14:textId="77777777" w:rsidTr="00091D5C">
        <w:trPr>
          <w:trHeight w:val="20"/>
        </w:trPr>
        <w:tc>
          <w:tcPr>
            <w:tcW w:w="368" w:type="pct"/>
            <w:tcBorders>
              <w:top w:val="single" w:sz="4" w:space="0" w:color="00B2A9"/>
              <w:bottom w:val="single" w:sz="4" w:space="0" w:color="00B2A9"/>
              <w:right w:val="nil"/>
            </w:tcBorders>
            <w:shd w:val="clear" w:color="auto" w:fill="auto"/>
          </w:tcPr>
          <w:p w14:paraId="0D26FF4C" w14:textId="2EA7790C"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2C1CAC13" w14:textId="69DB9640" w:rsidR="00103A6B"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630227D9" w14:textId="28200DBD"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64BF8C97" w14:textId="70BBC221" w:rsidR="00103A6B" w:rsidRDefault="00103A6B">
            <w:pPr>
              <w:pStyle w:val="Tablebodytext"/>
              <w:jc w:val="center"/>
            </w:pPr>
            <w:r w:rsidRPr="002F6832">
              <w:rPr>
                <w:rFonts w:ascii="Calibri" w:hAnsi="Calibri" w:cs="Calibri"/>
                <w:color w:val="000000"/>
                <w:lang w:eastAsia="en-AU"/>
              </w:rPr>
              <w:t>TRI</w:t>
            </w:r>
          </w:p>
        </w:tc>
        <w:tc>
          <w:tcPr>
            <w:tcW w:w="516" w:type="pct"/>
            <w:tcBorders>
              <w:top w:val="single" w:sz="4" w:space="0" w:color="00B2A9"/>
              <w:left w:val="nil"/>
              <w:bottom w:val="single" w:sz="4" w:space="0" w:color="00B2A9"/>
              <w:right w:val="nil"/>
            </w:tcBorders>
          </w:tcPr>
          <w:p w14:paraId="2381781D" w14:textId="66569331"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0.157</w:t>
            </w:r>
          </w:p>
        </w:tc>
        <w:tc>
          <w:tcPr>
            <w:tcW w:w="441" w:type="pct"/>
            <w:tcBorders>
              <w:top w:val="single" w:sz="4" w:space="0" w:color="00B2A9"/>
              <w:left w:val="nil"/>
              <w:bottom w:val="single" w:sz="4" w:space="0" w:color="00B2A9"/>
              <w:right w:val="nil"/>
            </w:tcBorders>
          </w:tcPr>
          <w:p w14:paraId="38E9C2A8" w14:textId="3DE2F8DA"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0.612</w:t>
            </w:r>
          </w:p>
        </w:tc>
        <w:tc>
          <w:tcPr>
            <w:tcW w:w="440" w:type="pct"/>
            <w:tcBorders>
              <w:top w:val="single" w:sz="4" w:space="0" w:color="00B2A9"/>
              <w:left w:val="nil"/>
              <w:bottom w:val="single" w:sz="4" w:space="0" w:color="00B2A9"/>
            </w:tcBorders>
          </w:tcPr>
          <w:p w14:paraId="7ADD83DD" w14:textId="68F69735" w:rsidR="00103A6B" w:rsidRDefault="00103A6B">
            <w:pPr>
              <w:pStyle w:val="Tablebodytext"/>
              <w:jc w:val="center"/>
            </w:pPr>
            <w:r w:rsidRPr="002F6832">
              <w:rPr>
                <w:rFonts w:ascii="Calibri" w:hAnsi="Calibri" w:cs="Calibri"/>
                <w:color w:val="000000"/>
                <w:lang w:eastAsia="en-AU"/>
              </w:rPr>
              <w:t>0.229</w:t>
            </w:r>
          </w:p>
        </w:tc>
      </w:tr>
      <w:tr w:rsidR="00103A6B" w14:paraId="6C5B94D4" w14:textId="77777777" w:rsidTr="00091D5C">
        <w:trPr>
          <w:trHeight w:val="20"/>
        </w:trPr>
        <w:tc>
          <w:tcPr>
            <w:tcW w:w="368" w:type="pct"/>
            <w:tcBorders>
              <w:top w:val="single" w:sz="4" w:space="0" w:color="00B2A9"/>
              <w:bottom w:val="single" w:sz="4" w:space="0" w:color="00B2A9"/>
              <w:right w:val="nil"/>
            </w:tcBorders>
            <w:shd w:val="clear" w:color="auto" w:fill="auto"/>
          </w:tcPr>
          <w:p w14:paraId="68ABB110" w14:textId="5713C9C2"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1DB49C3D" w14:textId="2D2FFAD5" w:rsidR="00103A6B" w:rsidRDefault="00103A6B">
            <w:pPr>
              <w:pStyle w:val="Tablebodytext"/>
              <w:jc w:val="center"/>
            </w:pPr>
            <w:r w:rsidRPr="002F6832">
              <w:rPr>
                <w:rFonts w:ascii="Calibri" w:hAnsi="Calibri" w:cs="Calibri"/>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34DA9971" w14:textId="24B691AD"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413D5041" w14:textId="0AFF5A97" w:rsidR="00103A6B" w:rsidRDefault="00103A6B">
            <w:pPr>
              <w:pStyle w:val="Tablebodytext"/>
              <w:jc w:val="center"/>
            </w:pPr>
            <w:proofErr w:type="spellStart"/>
            <w:proofErr w:type="gramStart"/>
            <w:r w:rsidRPr="002F6832">
              <w:rPr>
                <w:rFonts w:ascii="Calibri" w:hAnsi="Calibri" w:cs="Calibri"/>
                <w:color w:val="000000"/>
                <w:lang w:eastAsia="en-AU"/>
              </w:rPr>
              <w:t>TRI:Bait</w:t>
            </w:r>
            <w:proofErr w:type="spellEnd"/>
            <w:proofErr w:type="gramEnd"/>
          </w:p>
        </w:tc>
        <w:tc>
          <w:tcPr>
            <w:tcW w:w="516" w:type="pct"/>
            <w:tcBorders>
              <w:top w:val="single" w:sz="4" w:space="0" w:color="00B2A9"/>
              <w:left w:val="nil"/>
              <w:bottom w:val="single" w:sz="4" w:space="0" w:color="00B2A9"/>
              <w:right w:val="nil"/>
            </w:tcBorders>
          </w:tcPr>
          <w:p w14:paraId="683C9D09" w14:textId="014303F0" w:rsidR="00103A6B" w:rsidRDefault="00103A6B">
            <w:pPr>
              <w:pStyle w:val="Tablebodytext"/>
              <w:jc w:val="center"/>
            </w:pPr>
            <w:r w:rsidRPr="002F6832">
              <w:rPr>
                <w:rFonts w:ascii="Calibri" w:hAnsi="Calibri" w:cs="Calibri"/>
                <w:color w:val="000000"/>
                <w:lang w:eastAsia="en-AU"/>
              </w:rPr>
              <w:t>0.442</w:t>
            </w:r>
          </w:p>
        </w:tc>
        <w:tc>
          <w:tcPr>
            <w:tcW w:w="441" w:type="pct"/>
            <w:tcBorders>
              <w:top w:val="single" w:sz="4" w:space="0" w:color="00B2A9"/>
              <w:left w:val="nil"/>
              <w:bottom w:val="single" w:sz="4" w:space="0" w:color="00B2A9"/>
              <w:right w:val="nil"/>
            </w:tcBorders>
          </w:tcPr>
          <w:p w14:paraId="786150C9" w14:textId="02AA0F8F"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0.208</w:t>
            </w:r>
          </w:p>
        </w:tc>
        <w:tc>
          <w:tcPr>
            <w:tcW w:w="440" w:type="pct"/>
            <w:tcBorders>
              <w:top w:val="single" w:sz="4" w:space="0" w:color="00B2A9"/>
              <w:left w:val="nil"/>
              <w:bottom w:val="single" w:sz="4" w:space="0" w:color="00B2A9"/>
            </w:tcBorders>
          </w:tcPr>
          <w:p w14:paraId="48652C26" w14:textId="68BF0A1C" w:rsidR="00103A6B" w:rsidRDefault="00103A6B">
            <w:pPr>
              <w:pStyle w:val="Tablebodytext"/>
              <w:jc w:val="center"/>
            </w:pPr>
            <w:r w:rsidRPr="002F6832">
              <w:rPr>
                <w:rFonts w:ascii="Calibri" w:hAnsi="Calibri" w:cs="Calibri"/>
                <w:color w:val="000000"/>
                <w:lang w:eastAsia="en-AU"/>
              </w:rPr>
              <w:t>1.097</w:t>
            </w:r>
          </w:p>
        </w:tc>
      </w:tr>
      <w:tr w:rsidR="00103A6B" w14:paraId="5D0CC2D6" w14:textId="77777777" w:rsidTr="00091D5C">
        <w:trPr>
          <w:trHeight w:val="20"/>
        </w:trPr>
        <w:tc>
          <w:tcPr>
            <w:tcW w:w="368" w:type="pct"/>
            <w:tcBorders>
              <w:top w:val="single" w:sz="4" w:space="0" w:color="00B2A9"/>
              <w:bottom w:val="single" w:sz="4" w:space="0" w:color="00B2A9"/>
              <w:right w:val="nil"/>
            </w:tcBorders>
            <w:shd w:val="clear" w:color="auto" w:fill="auto"/>
          </w:tcPr>
          <w:p w14:paraId="26D8B00E" w14:textId="03F3C846"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61E6C494" w14:textId="3A56E678" w:rsidR="00103A6B" w:rsidRDefault="00103A6B">
            <w:pPr>
              <w:pStyle w:val="Tablebodytext"/>
              <w:jc w:val="center"/>
            </w:pPr>
            <w:r w:rsidRPr="002F6832">
              <w:rPr>
                <w:rFonts w:ascii="Calibri" w:hAnsi="Calibri" w:cs="Calibri"/>
                <w:b/>
                <w:bCs/>
                <w:color w:val="000000"/>
                <w:lang w:eastAsia="en-AU"/>
              </w:rPr>
              <w:t>Terrain ruggedness index</w:t>
            </w:r>
          </w:p>
        </w:tc>
        <w:tc>
          <w:tcPr>
            <w:tcW w:w="882" w:type="pct"/>
            <w:tcBorders>
              <w:top w:val="single" w:sz="4" w:space="0" w:color="00B2A9"/>
              <w:left w:val="nil"/>
              <w:bottom w:val="single" w:sz="4" w:space="0" w:color="00B2A9"/>
              <w:right w:val="nil"/>
            </w:tcBorders>
            <w:shd w:val="clear" w:color="auto" w:fill="auto"/>
          </w:tcPr>
          <w:p w14:paraId="6D104425" w14:textId="32D4568C" w:rsidR="00103A6B"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24132C3D" w14:textId="1709013E" w:rsidR="00103A6B" w:rsidRDefault="00103A6B">
            <w:pPr>
              <w:pStyle w:val="Tablebodytext"/>
              <w:jc w:val="center"/>
            </w:pPr>
            <w:r w:rsidRPr="002F6832">
              <w:rPr>
                <w:rFonts w:ascii="Calibri" w:hAnsi="Calibri" w:cs="Calibri"/>
                <w:b/>
                <w:bCs/>
                <w:color w:val="000000"/>
                <w:lang w:eastAsia="en-AU"/>
              </w:rPr>
              <w:t>Bait</w:t>
            </w:r>
          </w:p>
        </w:tc>
        <w:tc>
          <w:tcPr>
            <w:tcW w:w="516" w:type="pct"/>
            <w:tcBorders>
              <w:top w:val="single" w:sz="4" w:space="0" w:color="00B2A9"/>
              <w:left w:val="nil"/>
              <w:bottom w:val="single" w:sz="4" w:space="0" w:color="00B2A9"/>
              <w:right w:val="nil"/>
            </w:tcBorders>
          </w:tcPr>
          <w:p w14:paraId="0E94F01D" w14:textId="47460A15"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9.259</w:t>
            </w:r>
          </w:p>
        </w:tc>
        <w:tc>
          <w:tcPr>
            <w:tcW w:w="441" w:type="pct"/>
            <w:tcBorders>
              <w:top w:val="single" w:sz="4" w:space="0" w:color="00B2A9"/>
              <w:left w:val="nil"/>
              <w:bottom w:val="single" w:sz="4" w:space="0" w:color="00B2A9"/>
              <w:right w:val="nil"/>
            </w:tcBorders>
          </w:tcPr>
          <w:p w14:paraId="02CC34BF" w14:textId="651D2280"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9.962</w:t>
            </w:r>
          </w:p>
        </w:tc>
        <w:tc>
          <w:tcPr>
            <w:tcW w:w="440" w:type="pct"/>
            <w:tcBorders>
              <w:top w:val="single" w:sz="4" w:space="0" w:color="00B2A9"/>
              <w:left w:val="nil"/>
              <w:bottom w:val="single" w:sz="4" w:space="0" w:color="00B2A9"/>
            </w:tcBorders>
          </w:tcPr>
          <w:p w14:paraId="6F103D4E" w14:textId="1B3A0887"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6.814</w:t>
            </w:r>
          </w:p>
        </w:tc>
      </w:tr>
      <w:tr w:rsidR="00103A6B" w14:paraId="1C8A54B5" w14:textId="77777777" w:rsidTr="00091D5C">
        <w:trPr>
          <w:trHeight w:val="20"/>
        </w:trPr>
        <w:tc>
          <w:tcPr>
            <w:tcW w:w="368" w:type="pct"/>
            <w:tcBorders>
              <w:top w:val="single" w:sz="4" w:space="0" w:color="00B2A9"/>
              <w:bottom w:val="single" w:sz="4" w:space="0" w:color="00B2A9"/>
              <w:right w:val="nil"/>
            </w:tcBorders>
            <w:shd w:val="clear" w:color="auto" w:fill="auto"/>
          </w:tcPr>
          <w:p w14:paraId="30B87B91" w14:textId="55250882"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30693DF9" w14:textId="08C44F47" w:rsidR="00103A6B" w:rsidRDefault="00103A6B">
            <w:pPr>
              <w:pStyle w:val="Tablebodytext"/>
              <w:jc w:val="center"/>
            </w:pPr>
            <w:r w:rsidRPr="002F6832">
              <w:rPr>
                <w:rFonts w:ascii="Calibri" w:hAnsi="Calibri" w:cs="Calibri"/>
                <w:b/>
                <w:bCs/>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507B3A32" w14:textId="3B07A138" w:rsidR="00103A6B"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2274679C" w14:textId="559B1BF9" w:rsidR="00103A6B" w:rsidRDefault="00103A6B">
            <w:pPr>
              <w:pStyle w:val="Tablebodytext"/>
              <w:jc w:val="center"/>
            </w:pPr>
            <w:r w:rsidRPr="002F6832">
              <w:rPr>
                <w:rFonts w:ascii="Calibri" w:hAnsi="Calibri" w:cs="Calibri"/>
                <w:b/>
                <w:bCs/>
                <w:color w:val="000000"/>
                <w:lang w:eastAsia="en-AU"/>
              </w:rPr>
              <w:t xml:space="preserve">TSF </w:t>
            </w:r>
            <w:proofErr w:type="gramStart"/>
            <w:r w:rsidRPr="002F6832">
              <w:rPr>
                <w:rFonts w:ascii="Calibri" w:hAnsi="Calibri" w:cs="Calibri"/>
                <w:b/>
                <w:bCs/>
                <w:color w:val="000000"/>
                <w:lang w:eastAsia="en-AU"/>
              </w:rPr>
              <w:t>non</w:t>
            </w:r>
            <w:r w:rsidR="00D76048">
              <w:rPr>
                <w:rFonts w:ascii="Calibri" w:hAnsi="Calibri" w:cs="Calibri"/>
                <w:b/>
                <w:bCs/>
                <w:color w:val="000000"/>
                <w:lang w:eastAsia="en-AU"/>
              </w:rPr>
              <w:t>–</w:t>
            </w:r>
            <w:r w:rsidRPr="002F6832">
              <w:rPr>
                <w:rFonts w:ascii="Calibri" w:hAnsi="Calibri" w:cs="Calibri"/>
                <w:b/>
                <w:bCs/>
                <w:color w:val="000000"/>
                <w:lang w:eastAsia="en-AU"/>
              </w:rPr>
              <w:t>baited</w:t>
            </w:r>
            <w:proofErr w:type="gramEnd"/>
          </w:p>
        </w:tc>
        <w:tc>
          <w:tcPr>
            <w:tcW w:w="516" w:type="pct"/>
            <w:tcBorders>
              <w:top w:val="single" w:sz="4" w:space="0" w:color="00B2A9"/>
              <w:left w:val="nil"/>
              <w:bottom w:val="single" w:sz="4" w:space="0" w:color="00B2A9"/>
              <w:right w:val="nil"/>
            </w:tcBorders>
          </w:tcPr>
          <w:p w14:paraId="66B77E2C" w14:textId="65F74CE9"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0.652</w:t>
            </w:r>
          </w:p>
        </w:tc>
        <w:tc>
          <w:tcPr>
            <w:tcW w:w="441" w:type="pct"/>
            <w:tcBorders>
              <w:top w:val="single" w:sz="4" w:space="0" w:color="00B2A9"/>
              <w:left w:val="nil"/>
              <w:bottom w:val="single" w:sz="4" w:space="0" w:color="00B2A9"/>
              <w:right w:val="nil"/>
            </w:tcBorders>
          </w:tcPr>
          <w:p w14:paraId="28704829" w14:textId="437DCE87"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1.113</w:t>
            </w:r>
          </w:p>
        </w:tc>
        <w:tc>
          <w:tcPr>
            <w:tcW w:w="440" w:type="pct"/>
            <w:tcBorders>
              <w:top w:val="single" w:sz="4" w:space="0" w:color="00B2A9"/>
              <w:left w:val="nil"/>
              <w:bottom w:val="single" w:sz="4" w:space="0" w:color="00B2A9"/>
            </w:tcBorders>
          </w:tcPr>
          <w:p w14:paraId="768D0F21" w14:textId="42463989"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0.232</w:t>
            </w:r>
          </w:p>
        </w:tc>
      </w:tr>
      <w:tr w:rsidR="00103A6B" w14:paraId="6B294A7A" w14:textId="77777777" w:rsidTr="00091D5C">
        <w:trPr>
          <w:trHeight w:val="20"/>
        </w:trPr>
        <w:tc>
          <w:tcPr>
            <w:tcW w:w="368" w:type="pct"/>
            <w:tcBorders>
              <w:top w:val="single" w:sz="4" w:space="0" w:color="00B2A9"/>
              <w:bottom w:val="single" w:sz="4" w:space="0" w:color="00B2A9"/>
              <w:right w:val="nil"/>
            </w:tcBorders>
            <w:shd w:val="clear" w:color="auto" w:fill="auto"/>
          </w:tcPr>
          <w:p w14:paraId="392FD963" w14:textId="13223471"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7BB36ED9" w14:textId="2242931E" w:rsidR="00103A6B" w:rsidRDefault="00103A6B">
            <w:pPr>
              <w:pStyle w:val="Tablebodytext"/>
              <w:jc w:val="center"/>
            </w:pPr>
            <w:r w:rsidRPr="002F6832">
              <w:rPr>
                <w:rFonts w:ascii="Calibri" w:hAnsi="Calibri" w:cs="Calibri"/>
                <w:b/>
                <w:bCs/>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2DB06A67" w14:textId="3415FD85" w:rsidR="00103A6B" w:rsidRDefault="006346AA">
            <w:pPr>
              <w:pStyle w:val="Tablebodytext"/>
              <w:jc w:val="center"/>
            </w:pPr>
            <w:r>
              <w:rPr>
                <w:rFonts w:ascii="Calibri" w:hAnsi="Calibri" w:cs="Calibri"/>
                <w:b/>
                <w:bCs/>
                <w:color w:val="000000"/>
                <w:lang w:eastAsia="en-AU"/>
              </w:rPr>
              <w:t>Persistence rate</w:t>
            </w:r>
          </w:p>
        </w:tc>
        <w:tc>
          <w:tcPr>
            <w:tcW w:w="735" w:type="pct"/>
            <w:tcBorders>
              <w:top w:val="single" w:sz="4" w:space="0" w:color="00B2A9"/>
              <w:left w:val="nil"/>
              <w:bottom w:val="single" w:sz="4" w:space="0" w:color="00B2A9"/>
              <w:right w:val="nil"/>
            </w:tcBorders>
            <w:shd w:val="clear" w:color="auto" w:fill="auto"/>
          </w:tcPr>
          <w:p w14:paraId="63EEB6BA" w14:textId="39505581" w:rsidR="00103A6B" w:rsidRDefault="00103A6B">
            <w:pPr>
              <w:pStyle w:val="Tablebodytext"/>
              <w:jc w:val="center"/>
            </w:pPr>
            <w:r w:rsidRPr="002F6832">
              <w:rPr>
                <w:rFonts w:ascii="Calibri" w:hAnsi="Calibri" w:cs="Calibri"/>
                <w:b/>
                <w:bCs/>
                <w:color w:val="000000"/>
                <w:lang w:eastAsia="en-AU"/>
              </w:rPr>
              <w:t>TSF baited</w:t>
            </w:r>
          </w:p>
        </w:tc>
        <w:tc>
          <w:tcPr>
            <w:tcW w:w="516" w:type="pct"/>
            <w:tcBorders>
              <w:top w:val="single" w:sz="4" w:space="0" w:color="00B2A9"/>
              <w:left w:val="nil"/>
              <w:bottom w:val="single" w:sz="4" w:space="0" w:color="00B2A9"/>
              <w:right w:val="nil"/>
            </w:tcBorders>
          </w:tcPr>
          <w:p w14:paraId="57E4D815" w14:textId="7F4652FD"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0.533</w:t>
            </w:r>
          </w:p>
        </w:tc>
        <w:tc>
          <w:tcPr>
            <w:tcW w:w="441" w:type="pct"/>
            <w:tcBorders>
              <w:top w:val="single" w:sz="4" w:space="0" w:color="00B2A9"/>
              <w:left w:val="nil"/>
              <w:bottom w:val="single" w:sz="4" w:space="0" w:color="00B2A9"/>
              <w:right w:val="nil"/>
            </w:tcBorders>
          </w:tcPr>
          <w:p w14:paraId="014287A8" w14:textId="6ADB954C"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0.952</w:t>
            </w:r>
          </w:p>
        </w:tc>
        <w:tc>
          <w:tcPr>
            <w:tcW w:w="440" w:type="pct"/>
            <w:tcBorders>
              <w:top w:val="single" w:sz="4" w:space="0" w:color="00B2A9"/>
              <w:left w:val="nil"/>
              <w:bottom w:val="single" w:sz="4" w:space="0" w:color="00B2A9"/>
            </w:tcBorders>
          </w:tcPr>
          <w:p w14:paraId="705AEC54" w14:textId="5B32D8EE"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0.144</w:t>
            </w:r>
          </w:p>
        </w:tc>
      </w:tr>
      <w:tr w:rsidR="00103A6B" w14:paraId="0AC87277" w14:textId="77777777" w:rsidTr="00091D5C">
        <w:trPr>
          <w:trHeight w:val="20"/>
        </w:trPr>
        <w:tc>
          <w:tcPr>
            <w:tcW w:w="368" w:type="pct"/>
            <w:tcBorders>
              <w:top w:val="single" w:sz="4" w:space="0" w:color="00B2A9"/>
              <w:bottom w:val="single" w:sz="4" w:space="0" w:color="00B2A9"/>
              <w:right w:val="nil"/>
            </w:tcBorders>
            <w:shd w:val="clear" w:color="auto" w:fill="auto"/>
          </w:tcPr>
          <w:p w14:paraId="420611D1" w14:textId="52AD45A8" w:rsidR="00103A6B" w:rsidRDefault="00103A6B" w:rsidP="00091D5C">
            <w:pPr>
              <w:pStyle w:val="Tablebodytext"/>
              <w:jc w:val="center"/>
            </w:pPr>
            <w:r w:rsidRPr="002F6832">
              <w:rPr>
                <w:rFonts w:ascii="Calibri" w:hAnsi="Calibri" w:cs="Calibri"/>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7DE65850" w14:textId="5C5611CD" w:rsidR="00103A6B" w:rsidRDefault="00103A6B">
            <w:pPr>
              <w:pStyle w:val="Tablebodytext"/>
              <w:jc w:val="center"/>
            </w:pPr>
            <w:r w:rsidRPr="002F6832">
              <w:rPr>
                <w:rFonts w:ascii="Calibri" w:hAnsi="Calibri" w:cs="Calibri"/>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08D6E9A8" w14:textId="6CF5C228" w:rsidR="00103A6B" w:rsidRDefault="00103A6B">
            <w:pPr>
              <w:pStyle w:val="Tablebodytext"/>
              <w:jc w:val="center"/>
            </w:pPr>
            <w:r w:rsidRPr="002F6832">
              <w:rPr>
                <w:rFonts w:ascii="Calibri" w:hAnsi="Calibri" w:cs="Calibri"/>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37CE776C" w14:textId="2B266CD2" w:rsidR="00103A6B" w:rsidRDefault="00103A6B">
            <w:pPr>
              <w:pStyle w:val="Tablebodytext"/>
              <w:jc w:val="center"/>
            </w:pPr>
            <w:r w:rsidRPr="002F6832">
              <w:rPr>
                <w:rFonts w:ascii="Calibri" w:hAnsi="Calibri" w:cs="Calibri"/>
                <w:color w:val="000000"/>
                <w:lang w:eastAsia="en-AU"/>
              </w:rPr>
              <w:t>TSF non-baited</w:t>
            </w:r>
          </w:p>
        </w:tc>
        <w:tc>
          <w:tcPr>
            <w:tcW w:w="516" w:type="pct"/>
            <w:tcBorders>
              <w:top w:val="single" w:sz="4" w:space="0" w:color="00B2A9"/>
              <w:left w:val="nil"/>
              <w:bottom w:val="single" w:sz="4" w:space="0" w:color="00B2A9"/>
              <w:right w:val="nil"/>
            </w:tcBorders>
          </w:tcPr>
          <w:p w14:paraId="06C83637" w14:textId="2D9D17D9"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0.03</w:t>
            </w:r>
            <w:r w:rsidR="00103A6B">
              <w:rPr>
                <w:rFonts w:ascii="Calibri" w:hAnsi="Calibri" w:cs="Calibri"/>
                <w:color w:val="000000"/>
                <w:lang w:eastAsia="en-AU"/>
              </w:rPr>
              <w:t>0</w:t>
            </w:r>
          </w:p>
        </w:tc>
        <w:tc>
          <w:tcPr>
            <w:tcW w:w="441" w:type="pct"/>
            <w:tcBorders>
              <w:top w:val="single" w:sz="4" w:space="0" w:color="00B2A9"/>
              <w:left w:val="nil"/>
              <w:bottom w:val="single" w:sz="4" w:space="0" w:color="00B2A9"/>
              <w:right w:val="nil"/>
            </w:tcBorders>
          </w:tcPr>
          <w:p w14:paraId="49D49680" w14:textId="045A06C5" w:rsidR="00103A6B" w:rsidRDefault="00D76048">
            <w:pPr>
              <w:pStyle w:val="Tablebodytext"/>
              <w:jc w:val="center"/>
            </w:pPr>
            <w:r>
              <w:rPr>
                <w:rFonts w:ascii="Calibri" w:hAnsi="Calibri" w:cs="Calibri"/>
                <w:color w:val="000000"/>
                <w:lang w:eastAsia="en-AU"/>
              </w:rPr>
              <w:t>–</w:t>
            </w:r>
            <w:r w:rsidR="00103A6B" w:rsidRPr="002F6832">
              <w:rPr>
                <w:rFonts w:ascii="Calibri" w:hAnsi="Calibri" w:cs="Calibri"/>
                <w:color w:val="000000"/>
                <w:lang w:eastAsia="en-AU"/>
              </w:rPr>
              <w:t>0.291</w:t>
            </w:r>
          </w:p>
        </w:tc>
        <w:tc>
          <w:tcPr>
            <w:tcW w:w="440" w:type="pct"/>
            <w:tcBorders>
              <w:top w:val="single" w:sz="4" w:space="0" w:color="00B2A9"/>
              <w:left w:val="nil"/>
              <w:bottom w:val="single" w:sz="4" w:space="0" w:color="00B2A9"/>
            </w:tcBorders>
          </w:tcPr>
          <w:p w14:paraId="7B9E8104" w14:textId="02CEA730" w:rsidR="00103A6B" w:rsidRDefault="00103A6B">
            <w:pPr>
              <w:pStyle w:val="Tablebodytext"/>
              <w:jc w:val="center"/>
            </w:pPr>
            <w:r w:rsidRPr="002F6832">
              <w:rPr>
                <w:rFonts w:ascii="Calibri" w:hAnsi="Calibri" w:cs="Calibri"/>
                <w:color w:val="000000"/>
                <w:lang w:eastAsia="en-AU"/>
              </w:rPr>
              <w:t>0.236</w:t>
            </w:r>
          </w:p>
        </w:tc>
      </w:tr>
      <w:tr w:rsidR="00103A6B" w14:paraId="5BA2336D" w14:textId="77777777" w:rsidTr="00091D5C">
        <w:trPr>
          <w:trHeight w:val="20"/>
        </w:trPr>
        <w:tc>
          <w:tcPr>
            <w:tcW w:w="368" w:type="pct"/>
            <w:tcBorders>
              <w:top w:val="single" w:sz="4" w:space="0" w:color="00B2A9"/>
              <w:bottom w:val="single" w:sz="4" w:space="0" w:color="00B2A9"/>
              <w:right w:val="nil"/>
            </w:tcBorders>
            <w:shd w:val="clear" w:color="auto" w:fill="auto"/>
          </w:tcPr>
          <w:p w14:paraId="6D784830" w14:textId="4CF08041" w:rsidR="00103A6B" w:rsidRDefault="00103A6B" w:rsidP="00091D5C">
            <w:pPr>
              <w:pStyle w:val="Tablebodytext"/>
              <w:jc w:val="center"/>
            </w:pPr>
            <w:r w:rsidRPr="002F6832">
              <w:rPr>
                <w:rFonts w:ascii="Calibri" w:hAnsi="Calibri" w:cs="Calibri"/>
                <w:b/>
                <w:bCs/>
                <w:color w:val="000000"/>
                <w:lang w:eastAsia="en-AU"/>
              </w:rPr>
              <w:t>SBB</w:t>
            </w:r>
          </w:p>
        </w:tc>
        <w:tc>
          <w:tcPr>
            <w:tcW w:w="1618" w:type="pct"/>
            <w:tcBorders>
              <w:top w:val="single" w:sz="4" w:space="0" w:color="00B2A9"/>
              <w:left w:val="nil"/>
              <w:bottom w:val="single" w:sz="4" w:space="0" w:color="00B2A9"/>
              <w:right w:val="nil"/>
            </w:tcBorders>
            <w:shd w:val="clear" w:color="auto" w:fill="auto"/>
          </w:tcPr>
          <w:p w14:paraId="3A76584B" w14:textId="417510B6" w:rsidR="00103A6B" w:rsidRDefault="00103A6B">
            <w:pPr>
              <w:pStyle w:val="Tablebodytext"/>
              <w:jc w:val="center"/>
            </w:pPr>
            <w:r w:rsidRPr="002F6832">
              <w:rPr>
                <w:rFonts w:ascii="Calibri" w:hAnsi="Calibri" w:cs="Calibri"/>
                <w:b/>
                <w:bCs/>
                <w:color w:val="000000"/>
                <w:lang w:eastAsia="en-AU"/>
              </w:rPr>
              <w:t>Time-since-fire</w:t>
            </w:r>
          </w:p>
        </w:tc>
        <w:tc>
          <w:tcPr>
            <w:tcW w:w="882" w:type="pct"/>
            <w:tcBorders>
              <w:top w:val="single" w:sz="4" w:space="0" w:color="00B2A9"/>
              <w:left w:val="nil"/>
              <w:bottom w:val="single" w:sz="4" w:space="0" w:color="00B2A9"/>
              <w:right w:val="nil"/>
            </w:tcBorders>
            <w:shd w:val="clear" w:color="auto" w:fill="auto"/>
          </w:tcPr>
          <w:p w14:paraId="6925FCA7" w14:textId="430EF174" w:rsidR="00103A6B" w:rsidRDefault="00103A6B">
            <w:pPr>
              <w:pStyle w:val="Tablebodytext"/>
              <w:jc w:val="center"/>
            </w:pPr>
            <w:r w:rsidRPr="002F6832">
              <w:rPr>
                <w:rFonts w:ascii="Calibri" w:hAnsi="Calibri" w:cs="Calibri"/>
                <w:b/>
                <w:bCs/>
                <w:color w:val="000000"/>
                <w:lang w:eastAsia="en-AU"/>
              </w:rPr>
              <w:t>Colonisation rate</w:t>
            </w:r>
          </w:p>
        </w:tc>
        <w:tc>
          <w:tcPr>
            <w:tcW w:w="735" w:type="pct"/>
            <w:tcBorders>
              <w:top w:val="single" w:sz="4" w:space="0" w:color="00B2A9"/>
              <w:left w:val="nil"/>
              <w:bottom w:val="single" w:sz="4" w:space="0" w:color="00B2A9"/>
              <w:right w:val="nil"/>
            </w:tcBorders>
            <w:shd w:val="clear" w:color="auto" w:fill="auto"/>
          </w:tcPr>
          <w:p w14:paraId="715A707A" w14:textId="2F51D917" w:rsidR="00103A6B" w:rsidRDefault="00103A6B">
            <w:pPr>
              <w:pStyle w:val="Tablebodytext"/>
              <w:jc w:val="center"/>
            </w:pPr>
            <w:r w:rsidRPr="002F6832">
              <w:rPr>
                <w:rFonts w:ascii="Calibri" w:hAnsi="Calibri" w:cs="Calibri"/>
                <w:b/>
                <w:bCs/>
                <w:color w:val="000000"/>
                <w:lang w:eastAsia="en-AU"/>
              </w:rPr>
              <w:t>TSF baited</w:t>
            </w:r>
          </w:p>
        </w:tc>
        <w:tc>
          <w:tcPr>
            <w:tcW w:w="516" w:type="pct"/>
            <w:tcBorders>
              <w:top w:val="single" w:sz="4" w:space="0" w:color="00B2A9"/>
              <w:left w:val="nil"/>
              <w:bottom w:val="single" w:sz="4" w:space="0" w:color="00B2A9"/>
              <w:right w:val="nil"/>
            </w:tcBorders>
          </w:tcPr>
          <w:p w14:paraId="3599E20C" w14:textId="5FAFA976"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0.262</w:t>
            </w:r>
          </w:p>
        </w:tc>
        <w:tc>
          <w:tcPr>
            <w:tcW w:w="441" w:type="pct"/>
            <w:tcBorders>
              <w:top w:val="single" w:sz="4" w:space="0" w:color="00B2A9"/>
              <w:left w:val="nil"/>
              <w:bottom w:val="single" w:sz="4" w:space="0" w:color="00B2A9"/>
              <w:right w:val="nil"/>
            </w:tcBorders>
          </w:tcPr>
          <w:p w14:paraId="6B81A539" w14:textId="5951E87A"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0.508</w:t>
            </w:r>
          </w:p>
        </w:tc>
        <w:tc>
          <w:tcPr>
            <w:tcW w:w="440" w:type="pct"/>
            <w:tcBorders>
              <w:top w:val="single" w:sz="4" w:space="0" w:color="00B2A9"/>
              <w:left w:val="nil"/>
              <w:bottom w:val="single" w:sz="4" w:space="0" w:color="00B2A9"/>
            </w:tcBorders>
          </w:tcPr>
          <w:p w14:paraId="67AC64C1" w14:textId="56D2C904" w:rsidR="00103A6B" w:rsidRDefault="00D76048">
            <w:pPr>
              <w:pStyle w:val="Tablebodytext"/>
              <w:jc w:val="center"/>
            </w:pPr>
            <w:r>
              <w:rPr>
                <w:rFonts w:ascii="Calibri" w:hAnsi="Calibri" w:cs="Calibri"/>
                <w:b/>
                <w:bCs/>
                <w:color w:val="000000"/>
                <w:lang w:eastAsia="en-AU"/>
              </w:rPr>
              <w:t>–</w:t>
            </w:r>
            <w:r w:rsidR="00103A6B" w:rsidRPr="002F6832">
              <w:rPr>
                <w:rFonts w:ascii="Calibri" w:hAnsi="Calibri" w:cs="Calibri"/>
                <w:b/>
                <w:bCs/>
                <w:color w:val="000000"/>
                <w:lang w:eastAsia="en-AU"/>
              </w:rPr>
              <w:t>0.027</w:t>
            </w:r>
          </w:p>
        </w:tc>
      </w:tr>
    </w:tbl>
    <w:p w14:paraId="3B69D75E" w14:textId="77777777" w:rsidR="00D868AD" w:rsidRDefault="00D868AD" w:rsidP="00DC3852"/>
    <w:p w14:paraId="66780C09" w14:textId="2671B4F4" w:rsidR="00D868AD" w:rsidRDefault="00DA7A5F" w:rsidP="00DC3852">
      <w:pPr>
        <w:sectPr w:rsidR="00D868AD" w:rsidSect="006107EB">
          <w:pgSz w:w="11907" w:h="16840" w:code="9"/>
          <w:pgMar w:top="1134" w:right="1134" w:bottom="1134" w:left="1134" w:header="709" w:footer="567" w:gutter="0"/>
          <w:cols w:space="708"/>
          <w:formProt w:val="0"/>
          <w:docGrid w:linePitch="360"/>
        </w:sectPr>
      </w:pPr>
      <w:r>
        <w:t>CBP</w:t>
      </w:r>
      <w:r w:rsidR="002D1C2C">
        <w:t xml:space="preserve"> = Common Brushtail Possum; </w:t>
      </w:r>
      <w:r>
        <w:t xml:space="preserve">DNNV = distance to non-native vegetation; </w:t>
      </w:r>
      <w:r w:rsidR="002D1C2C" w:rsidRPr="009776F4">
        <w:rPr>
          <w:sz w:val="18"/>
          <w:szCs w:val="22"/>
        </w:rPr>
        <w:t>LGNP = Lower Glenelg National Park</w:t>
      </w:r>
      <w:r w:rsidR="002D1C2C">
        <w:rPr>
          <w:sz w:val="18"/>
          <w:szCs w:val="22"/>
        </w:rPr>
        <w:t>;</w:t>
      </w:r>
      <w:r w:rsidR="002D1C2C">
        <w:t xml:space="preserve"> LNP = Long-nosed Potoroo; SBB = Southern Brown Bandicoot</w:t>
      </w:r>
      <w:r>
        <w:t xml:space="preserve">; </w:t>
      </w:r>
      <w:r w:rsidR="00615064">
        <w:t xml:space="preserve">TRI = </w:t>
      </w:r>
      <w:r w:rsidR="00615064" w:rsidRPr="00EC4F21">
        <w:t>terrain ruggedness index</w:t>
      </w:r>
      <w:r w:rsidR="00615064">
        <w:t xml:space="preserve">; </w:t>
      </w:r>
      <w:r w:rsidR="002D1C2C">
        <w:t>TSF = time since fire</w:t>
      </w:r>
      <w:r>
        <w:t>; TWI = terrain wetness index</w:t>
      </w:r>
      <w:r w:rsidR="002D1C2C">
        <w:t>.</w:t>
      </w:r>
    </w:p>
    <w:p w14:paraId="26729BC6" w14:textId="77777777" w:rsidR="009B6ADD" w:rsidRPr="00243764" w:rsidRDefault="00603CCC" w:rsidP="00DC3852">
      <w:pPr>
        <w:sectPr w:rsidR="009B6ADD" w:rsidRPr="00243764" w:rsidSect="00D868AD">
          <w:footerReference w:type="even" r:id="rId77"/>
          <w:footerReference w:type="default" r:id="rId78"/>
          <w:footerReference w:type="first" r:id="rId79"/>
          <w:pgSz w:w="11907" w:h="16840" w:code="9"/>
          <w:pgMar w:top="1134" w:right="1134" w:bottom="1134" w:left="1134" w:header="709" w:footer="567" w:gutter="0"/>
          <w:cols w:space="708"/>
          <w:formProt w:val="0"/>
          <w:titlePg/>
          <w:docGrid w:linePitch="360"/>
        </w:sectPr>
      </w:pPr>
      <w:r>
        <w:rPr>
          <w:noProof/>
          <w:lang w:val="en-GB" w:eastAsia="en-GB"/>
        </w:rPr>
        <w:lastRenderedPageBreak/>
        <mc:AlternateContent>
          <mc:Choice Requires="wps">
            <w:drawing>
              <wp:anchor distT="0" distB="0" distL="114300" distR="114300" simplePos="0" relativeHeight="251654144" behindDoc="1" locked="0" layoutInCell="1" allowOverlap="1" wp14:anchorId="1D6BEC10" wp14:editId="504BD2AA">
                <wp:simplePos x="0" y="0"/>
                <wp:positionH relativeFrom="page">
                  <wp:posOffset>361950</wp:posOffset>
                </wp:positionH>
                <wp:positionV relativeFrom="paragraph">
                  <wp:posOffset>-370840</wp:posOffset>
                </wp:positionV>
                <wp:extent cx="6839585" cy="9971405"/>
                <wp:effectExtent l="0" t="0" r="0" b="0"/>
                <wp:wrapNone/>
                <wp:docPr id="2" name="Rectangle 2"/>
                <wp:cNvGraphicFramePr/>
                <a:graphic xmlns:a="http://schemas.openxmlformats.org/drawingml/2006/main">
                  <a:graphicData uri="http://schemas.microsoft.com/office/word/2010/wordprocessingShape">
                    <wps:wsp>
                      <wps:cNvSpPr/>
                      <wps:spPr>
                        <a:xfrm>
                          <a:off x="0" y="0"/>
                          <a:ext cx="6839585" cy="9971405"/>
                        </a:xfrm>
                        <a:prstGeom prst="rect">
                          <a:avLst/>
                        </a:prstGeom>
                        <a:solidFill>
                          <a:srgbClr val="00B2A9">
                            <a:alpha val="5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3B871" id="Rectangle 2" o:spid="_x0000_s1026" style="position:absolute;margin-left:28.5pt;margin-top:-29.2pt;width:538.55pt;height:785.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uYyjwIAAIEFAAAOAAAAZHJzL2Uyb0RvYy54bWysVMFu2zAMvQ/YPwi6r3aypG2COEWWosOA&#10;oi3aDj0rshQbkEVNUuJkXz9Ksp2uK3YYloNCieQj+UxycXVoFNkL62rQBR2d5ZQIzaGs9bag359v&#10;Pl1S4jzTJVOgRUGPwtGr5ccPi9bMxRgqUKWwBEG0m7emoJX3Zp5ljleiYe4MjNColGAb5vFqt1lp&#10;WYvojcrGeX6etWBLY4EL5/D1OinpMuJLKbi/l9IJT1RBMTcfTxvPTTiz5YLNt5aZquZdGuwfsmhY&#10;rTHoAHXNPCM7W/8B1dTcggPpzzg0GUhZcxFrwGpG+ZtqnipmRKwFyXFmoMn9P1h+t38yDxZpaI2b&#10;OxRDFQdpm/CP+ZFDJOs4kCUOnnB8PL/8PJteTinhqJvNLkaTfBrozE7uxjr/VUBDglBQi18jksT2&#10;t84n094kRHOg6vKmVipe7HazVpbsWfhy+ZfxapZ8lalYep1OZvm4C+mSeQz/G47SAU1DwE0hw0t2&#10;qjZK/qhEsFP6UUhSl1jfOIaLjSiGRBjnQvtRUlWsFF0mOf76TELrBo+YSwQMyBLjD9gdQG+ZQHrs&#10;lGVnH1xF7OPBOf9bYsl58IiRQfvBuak12PcAFFbVRU72PUmJmsDSBsrjgyUW0hQ5w29q/LC3zPkH&#10;ZnFscMBwFfh7PKSCtqDQSZRUYH++9x7ssZtRS0mLY1hQ92PHrKBEfdPY57PRZBLmNl4m04sxXuxr&#10;zea1Ru+aNWC/jHDpGB7FYO9VL0oLzQtujFWIiiqmOcYuKPe2v6x9Wg+4c7hYraIZzqph/lY/GR7A&#10;A6uhcZ8PL8yarrs9DsYd9CPL5m+aPNkGTw2rnQdZxwk48drxjXMeG6fbSWGRvL5Hq9PmXP4CAAD/&#10;/wMAUEsDBBQABgAIAAAAIQB5O+h64gAAAAwBAAAPAAAAZHJzL2Rvd25yZXYueG1sTI/BTsMwEETv&#10;SPyDtUhcqtYxNG0JcSqE4FapIgXObrwkEfE6it025evZnuC2ox3NvMnXo+vEEYfQetKgZgkIpMrb&#10;lmoN77vX6QpEiIas6TyhhjMGWBfXV7nJrD/RGx7LWAsOoZAZDU2MfSZlqBp0Jsx8j8S/Lz84E1kO&#10;tbSDOXG46+RdkiykMy1xQ2N6fG6w+i4Pjns3ISwXP7acfOwibd3m/PI5KbW+vRmfHkFEHOOfGS74&#10;jA4FM+39gWwQnYZ0yVOihmm6moO4GNT9XIHY85Uq9QCyyOX/EcUvAAAA//8DAFBLAQItABQABgAI&#10;AAAAIQC2gziS/gAAAOEBAAATAAAAAAAAAAAAAAAAAAAAAABbQ29udGVudF9UeXBlc10ueG1sUEsB&#10;Ai0AFAAGAAgAAAAhADj9If/WAAAAlAEAAAsAAAAAAAAAAAAAAAAALwEAAF9yZWxzLy5yZWxzUEsB&#10;Ai0AFAAGAAgAAAAhAFbu5jKPAgAAgQUAAA4AAAAAAAAAAAAAAAAALgIAAGRycy9lMm9Eb2MueG1s&#10;UEsBAi0AFAAGAAgAAAAhAHk76HriAAAADAEAAA8AAAAAAAAAAAAAAAAA6QQAAGRycy9kb3ducmV2&#10;LnhtbFBLBQYAAAAABAAEAPMAAAD4BQAAAAA=&#10;" fillcolor="#00b2a9" stroked="f" strokeweight="2pt">
                <v:fill opacity="35980f"/>
                <w10:wrap anchorx="page"/>
              </v:rect>
            </w:pict>
          </mc:Fallback>
        </mc:AlternateContent>
      </w:r>
    </w:p>
    <w:p w14:paraId="15CEC0FE" w14:textId="77777777" w:rsidR="004D3E22" w:rsidRPr="00243764" w:rsidRDefault="00B77B33" w:rsidP="00DC3852">
      <w:r w:rsidRPr="00243764">
        <w:rPr>
          <w:noProof/>
          <w:lang w:val="en-GB" w:eastAsia="en-GB"/>
        </w:rPr>
        <mc:AlternateContent>
          <mc:Choice Requires="wps">
            <w:drawing>
              <wp:anchor distT="0" distB="0" distL="114300" distR="114300" simplePos="0" relativeHeight="251652096" behindDoc="0" locked="0" layoutInCell="1" allowOverlap="1" wp14:anchorId="07DDAE16" wp14:editId="5E6C2BCD">
                <wp:simplePos x="0" y="0"/>
                <wp:positionH relativeFrom="page">
                  <wp:posOffset>723900</wp:posOffset>
                </wp:positionH>
                <wp:positionV relativeFrom="paragraph">
                  <wp:posOffset>7280910</wp:posOffset>
                </wp:positionV>
                <wp:extent cx="2343150" cy="1471930"/>
                <wp:effectExtent l="0" t="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7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438A8" w14:textId="77777777" w:rsidR="006667C5" w:rsidRPr="00D422B5" w:rsidRDefault="00273420" w:rsidP="00DC3852">
                            <w:pPr>
                              <w:pStyle w:val="Backpagewebaddress"/>
                            </w:pPr>
                            <w:hyperlink r:id="rId80" w:history="1">
                              <w:r w:rsidR="006667C5" w:rsidRPr="00D422B5">
                                <w:t>www.delwp.vic.gov.au</w:t>
                              </w:r>
                            </w:hyperlink>
                          </w:p>
                          <w:p w14:paraId="057E6E89" w14:textId="77777777" w:rsidR="006667C5" w:rsidRPr="00A32CF2" w:rsidRDefault="006667C5"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7DDAE16" id="Text Box 8" o:spid="_x0000_s1036" type="#_x0000_t202" style="position:absolute;margin-left:57pt;margin-top:573.3pt;width:184.5pt;height:115.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Ge4AEAAKkDAAAOAAAAZHJzL2Uyb0RvYy54bWysU9tu2zAMfR+wfxD0vjhOskuNOEXXosOA&#10;rhvQ9QNkWY6F2aJGKrGzrx8lp2m2vg17EURSPjznkF5fjn0n9gbJgitlPptLYZyG2rptKR+/3775&#10;IAUF5WrVgTOlPBiSl5vXr9aDL8wCWuhqg4JBHBWDL2Ubgi+yjHRrekUz8MZxsQHsVeAQt1mNamD0&#10;vssW8/m7bACsPYI2RJy9mYpyk/CbxujwtWnIBNGVkrmFdGI6q3hmm7Uqtqh8a/WRhvoHFr2yjpue&#10;oG5UUGKH9gVUbzUCQRNmGvoMmsZqkzSwmnz+l5qHVnmTtLA55E820f+D1ff7B/8NRRg/wsgDTCLI&#10;34H+QcLBdavc1lwhwtAaVXPjPFqWDZ6K46fRaiooglTDF6h5yGoXIAGNDfbRFdYpGJ0HcDiZbsYg&#10;NCcXy9Uyf8slzbV89T6/WKaxZKp4+twjhU8GehEvpUSeaoJX+zsKkY4qnp7Ebg5ubdelyXbujwQ/&#10;jJlEPzKeuIexGoWtmUrUFtVUUB9YD8K0L7zffGkBf0kx8K6Ukn7uFBopus+OPbnIV6u4XOcBngfV&#10;eaCcZqhSVlJM1+swLeTOo9223GmagoMr9rGxSeEzqyN93ock/Li7ceHO4/Tq+Q/b/AYAAP//AwBQ&#10;SwMEFAAGAAgAAAAhAMMSWnvfAAAADQEAAA8AAABkcnMvZG93bnJldi54bWxMT8tOwzAQvCPxD9Yi&#10;9Uad0BCiEKcqlRAS9NI2H+DG2yRqvI5itw1/z8KF3nYemp0plpPtxQVH3zlSEM8jEEi1Mx01Cqr9&#10;+2MGwgdNRveOUME3eliW93eFzo270hYvu9AIDiGfawVtCEMupa9btNrP3YDE2tGNVgeGYyPNqK8c&#10;bnv5FEWptLoj/tDqAdct1qfd2SoIX83H6rip4yo1J9p3n1Xy9hwpNXuYVq8gAk7h3wy/9bk6lNzp&#10;4M5kvOgZxwlvCX9HmoJgS5ItmDowtXjJEpBlIW9XlD8AAAD//wMAUEsBAi0AFAAGAAgAAAAhALaD&#10;OJL+AAAA4QEAABMAAAAAAAAAAAAAAAAAAAAAAFtDb250ZW50X1R5cGVzXS54bWxQSwECLQAUAAYA&#10;CAAAACEAOP0h/9YAAACUAQAACwAAAAAAAAAAAAAAAAAvAQAAX3JlbHMvLnJlbHNQSwECLQAUAAYA&#10;CAAAACEAxzAxnuABAACpAwAADgAAAAAAAAAAAAAAAAAuAgAAZHJzL2Uyb0RvYy54bWxQSwECLQAU&#10;AAYACAAAACEAwxJae98AAAANAQAADwAAAAAAAAAAAAAAAAA6BAAAZHJzL2Rvd25yZXYueG1sUEsF&#10;BgAAAAAEAAQA8wAAAEYFAAAAAA==&#10;" filled="f" stroked="f">
                <v:textbox inset=",7.2pt,,7.2pt">
                  <w:txbxContent>
                    <w:p w14:paraId="628438A8" w14:textId="77777777" w:rsidR="006667C5" w:rsidRPr="00D422B5" w:rsidRDefault="00273420" w:rsidP="00DC3852">
                      <w:pPr>
                        <w:pStyle w:val="Backpagewebaddress"/>
                      </w:pPr>
                      <w:hyperlink r:id="rId81" w:history="1">
                        <w:r w:rsidR="006667C5" w:rsidRPr="00D422B5">
                          <w:t>www.delwp.vic.gov.au</w:t>
                        </w:r>
                      </w:hyperlink>
                    </w:p>
                    <w:p w14:paraId="057E6E89" w14:textId="77777777" w:rsidR="006667C5" w:rsidRPr="00A32CF2" w:rsidRDefault="006667C5" w:rsidP="00DC3852">
                      <w:pPr>
                        <w:pStyle w:val="Backpagewebaddress"/>
                      </w:pPr>
                      <w:r w:rsidRPr="00A32CF2">
                        <w:t>www.ari.vic.gov.au</w:t>
                      </w:r>
                    </w:p>
                  </w:txbxContent>
                </v:textbox>
                <w10:wrap anchorx="page"/>
              </v:shape>
            </w:pict>
          </mc:Fallback>
        </mc:AlternateContent>
      </w:r>
    </w:p>
    <w:sectPr w:rsidR="004D3E22" w:rsidRPr="00243764" w:rsidSect="006C2C00">
      <w:headerReference w:type="default" r:id="rId82"/>
      <w:footerReference w:type="even" r:id="rId83"/>
      <w:footerReference w:type="default" r:id="rId84"/>
      <w:footerReference w:type="first" r:id="rId85"/>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27587" w14:textId="77777777" w:rsidR="00273420" w:rsidRDefault="00273420" w:rsidP="00DC3852">
      <w:r>
        <w:separator/>
      </w:r>
    </w:p>
    <w:p w14:paraId="0BD3A6E5" w14:textId="77777777" w:rsidR="00273420" w:rsidRDefault="00273420" w:rsidP="00DC3852"/>
  </w:endnote>
  <w:endnote w:type="continuationSeparator" w:id="0">
    <w:p w14:paraId="5AAAFA80" w14:textId="77777777" w:rsidR="00273420" w:rsidRDefault="00273420" w:rsidP="00DC3852">
      <w:r>
        <w:continuationSeparator/>
      </w:r>
    </w:p>
    <w:p w14:paraId="6C58D70A" w14:textId="77777777" w:rsidR="00273420" w:rsidRDefault="00273420" w:rsidP="00DC3852"/>
  </w:endnote>
  <w:endnote w:type="continuationNotice" w:id="1">
    <w:p w14:paraId="26990325" w14:textId="77777777" w:rsidR="00273420" w:rsidRDefault="00273420" w:rsidP="00DC3852"/>
    <w:p w14:paraId="571A6E1E" w14:textId="77777777" w:rsidR="00273420" w:rsidRDefault="00273420" w:rsidP="00DC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6EA" w14:textId="5BA4126D" w:rsidR="006667C5" w:rsidRPr="00C657F7" w:rsidRDefault="006667C5" w:rsidP="00C657F7">
    <w:pPr>
      <w:rPr>
        <w:sz w:val="18"/>
        <w:szCs w:val="18"/>
      </w:rPr>
    </w:pPr>
    <w:r>
      <w:rPr>
        <w:noProof/>
        <w:sz w:val="18"/>
        <w:szCs w:val="18"/>
        <w:lang w:val="en-GB" w:eastAsia="en-GB"/>
      </w:rPr>
      <mc:AlternateContent>
        <mc:Choice Requires="wps">
          <w:drawing>
            <wp:anchor distT="0" distB="0" distL="114300" distR="114300" simplePos="0" relativeHeight="251845084" behindDoc="0" locked="0" layoutInCell="0" allowOverlap="1" wp14:anchorId="7D4FF7B2" wp14:editId="66767390">
              <wp:simplePos x="0" y="9403953"/>
              <wp:positionH relativeFrom="page">
                <wp:align>center</wp:align>
              </wp:positionH>
              <wp:positionV relativeFrom="page">
                <wp:align>bottom</wp:align>
              </wp:positionV>
              <wp:extent cx="7772400" cy="463550"/>
              <wp:effectExtent l="0" t="0" r="0" b="12700"/>
              <wp:wrapNone/>
              <wp:docPr id="229" name="MSIPCM2fed47cc8fc11577826fb58d"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DDC856" w14:textId="6F4762E4"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D4FF7B2" id="_x0000_t202" coordsize="21600,21600" o:spt="202" path="m,l,21600r21600,l21600,xe">
              <v:stroke joinstyle="miter"/>
              <v:path gradientshapeok="t" o:connecttype="rect"/>
            </v:shapetype>
            <v:shape id="MSIPCM2fed47cc8fc11577826fb58d" o:spid="_x0000_s1037" type="#_x0000_t202" alt="{&quot;HashCode&quot;:-1264680268,&quot;Height&quot;:9999999.0,&quot;Width&quot;:9999999.0,&quot;Placement&quot;:&quot;Footer&quot;,&quot;Index&quot;:&quot;OddAndEven&quot;,&quot;Section&quot;:1,&quot;Top&quot;:0.0,&quot;Left&quot;:0.0}" style="position:absolute;margin-left:0;margin-top:0;width:612pt;height:36.5pt;z-index:25184508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02DDC856" w14:textId="6F4762E4"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sdt>
    <w:sdtPr>
      <w:rPr>
        <w:sz w:val="18"/>
        <w:szCs w:val="18"/>
      </w:rPr>
      <w:id w:val="85581951"/>
      <w:docPartObj>
        <w:docPartGallery w:val="Page Numbers (Bottom of Page)"/>
        <w:docPartUnique/>
      </w:docPartObj>
    </w:sdtPr>
    <w:sdtEndPr>
      <w:rPr>
        <w:noProof/>
      </w:rPr>
    </w:sdtEndPr>
    <w:sdtContent>
      <w:p w14:paraId="0C76469A" w14:textId="0923D7FD" w:rsidR="006667C5" w:rsidRPr="00C657F7" w:rsidRDefault="006667C5" w:rsidP="00C657F7">
        <w:pPr>
          <w:rPr>
            <w:sz w:val="18"/>
            <w:szCs w:val="18"/>
          </w:rPr>
        </w:pPr>
        <w:r w:rsidRPr="00107038">
          <w:rPr>
            <w:color w:val="00B2A9" w:themeColor="accent1"/>
            <w:sz w:val="18"/>
            <w:szCs w:val="18"/>
          </w:rPr>
          <w:fldChar w:fldCharType="begin"/>
        </w:r>
        <w:r w:rsidRPr="00107038">
          <w:rPr>
            <w:color w:val="00B2A9" w:themeColor="accent1"/>
            <w:sz w:val="18"/>
            <w:szCs w:val="18"/>
          </w:rPr>
          <w:instrText xml:space="preserve"> PAGE   \* MERGEFORMAT </w:instrText>
        </w:r>
        <w:r w:rsidRPr="00107038">
          <w:rPr>
            <w:color w:val="00B2A9" w:themeColor="accent1"/>
            <w:sz w:val="18"/>
            <w:szCs w:val="18"/>
          </w:rPr>
          <w:fldChar w:fldCharType="separate"/>
        </w:r>
        <w:r>
          <w:rPr>
            <w:noProof/>
            <w:color w:val="00B2A9" w:themeColor="accent1"/>
            <w:sz w:val="18"/>
            <w:szCs w:val="18"/>
          </w:rPr>
          <w:t>1</w:t>
        </w:r>
        <w:r w:rsidRPr="00107038">
          <w:rPr>
            <w:noProof/>
            <w:color w:val="00B2A9" w:themeColor="accent1"/>
            <w:sz w:val="18"/>
            <w:szCs w:val="18"/>
          </w:rPr>
          <w:fldChar w:fldCharType="end"/>
        </w:r>
        <w:r w:rsidRPr="00107038">
          <w:rPr>
            <w:noProof/>
            <w:sz w:val="18"/>
            <w:szCs w:val="18"/>
          </w:rPr>
          <w:tab/>
        </w:r>
        <w:r w:rsidRPr="00107038">
          <w:rPr>
            <w:sz w:val="18"/>
            <w:szCs w:val="18"/>
          </w:rPr>
          <w:t>This is the title (or shortened title)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8B89" w14:textId="1E326A4D" w:rsidR="006667C5" w:rsidRDefault="006667C5" w:rsidP="00DC3852">
    <w:pPr>
      <w:pStyle w:val="Footer"/>
    </w:pPr>
    <w:r>
      <w:rPr>
        <w:noProof/>
        <w:lang w:val="en-GB" w:eastAsia="en-GB"/>
      </w:rPr>
      <mc:AlternateContent>
        <mc:Choice Requires="wps">
          <w:drawing>
            <wp:anchor distT="0" distB="0" distL="114300" distR="114300" simplePos="0" relativeHeight="251716089" behindDoc="0" locked="0" layoutInCell="0" allowOverlap="1" wp14:anchorId="6A9A883E" wp14:editId="5B7C5674">
              <wp:simplePos x="0" y="0"/>
              <wp:positionH relativeFrom="page">
                <wp:align>center</wp:align>
              </wp:positionH>
              <wp:positionV relativeFrom="page">
                <wp:align>bottom</wp:align>
              </wp:positionV>
              <wp:extent cx="7772400" cy="463550"/>
              <wp:effectExtent l="0" t="0" r="0" b="12700"/>
              <wp:wrapNone/>
              <wp:docPr id="226" name="MSIPCMdd0e4ecd8490f567385e6f25"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536C00" w14:textId="00ED4500"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A9A883E" id="_x0000_t202" coordsize="21600,21600" o:spt="202" path="m,l,21600r21600,l21600,xe">
              <v:stroke joinstyle="miter"/>
              <v:path gradientshapeok="t" o:connecttype="rect"/>
            </v:shapetype>
            <v:shape id="MSIPCMdd0e4ecd8490f567385e6f25" o:spid="_x0000_s1038" type="#_x0000_t202" alt="{&quot;HashCode&quot;:-1264680268,&quot;Height&quot;:9999999.0,&quot;Width&quot;:9999999.0,&quot;Placement&quot;:&quot;Footer&quot;,&quot;Index&quot;:&quot;Primary&quot;,&quot;Section&quot;:1,&quot;Top&quot;:0.0,&quot;Left&quot;:0.0}" style="position:absolute;margin-left:0;margin-top:0;width:612pt;height:36.5pt;z-index:25171608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3E536C00" w14:textId="00ED4500"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r w:rsidRPr="00033FC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0CD" w14:textId="78E58B0A" w:rsidR="006667C5" w:rsidRDefault="006667C5">
    <w:pPr>
      <w:pStyle w:val="Footer"/>
    </w:pPr>
    <w:r>
      <w:rPr>
        <w:noProof/>
        <w:lang w:val="en-GB" w:eastAsia="en-GB"/>
      </w:rPr>
      <mc:AlternateContent>
        <mc:Choice Requires="wps">
          <w:drawing>
            <wp:anchor distT="0" distB="0" distL="114300" distR="114300" simplePos="0" relativeHeight="251716090" behindDoc="0" locked="0" layoutInCell="0" allowOverlap="1" wp14:anchorId="559CFA99" wp14:editId="4C0D85BE">
              <wp:simplePos x="0" y="9403953"/>
              <wp:positionH relativeFrom="page">
                <wp:align>center</wp:align>
              </wp:positionH>
              <wp:positionV relativeFrom="page">
                <wp:align>bottom</wp:align>
              </wp:positionV>
              <wp:extent cx="7772400" cy="463550"/>
              <wp:effectExtent l="0" t="0" r="0" b="12700"/>
              <wp:wrapNone/>
              <wp:docPr id="228" name="MSIPCM32eb451198632593dd8bad67"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0FDDB0" w14:textId="65069CBE"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59CFA99" id="_x0000_t202" coordsize="21600,21600" o:spt="202" path="m,l,21600r21600,l21600,xe">
              <v:stroke joinstyle="miter"/>
              <v:path gradientshapeok="t" o:connecttype="rect"/>
            </v:shapetype>
            <v:shape id="MSIPCM32eb451198632593dd8bad67" o:spid="_x0000_s1039" type="#_x0000_t202" alt="{&quot;HashCode&quot;:-1264680268,&quot;Height&quot;:9999999.0,&quot;Width&quot;:9999999.0,&quot;Placement&quot;:&quot;Footer&quot;,&quot;Index&quot;:&quot;FirstPage&quot;,&quot;Section&quot;:1,&quot;Top&quot;:0.0,&quot;Left&quot;:0.0}" style="position:absolute;margin-left:0;margin-top:0;width:612pt;height:36.5pt;z-index:25171609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410FDDB0" w14:textId="65069CBE"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B8A9" w14:textId="77AA6596" w:rsidR="006667C5" w:rsidRDefault="006667C5">
    <w:pPr>
      <w:pStyle w:val="Footer"/>
    </w:pPr>
    <w:r>
      <w:rPr>
        <w:noProof/>
        <w:lang w:val="en-GB" w:eastAsia="en-GB"/>
      </w:rPr>
      <mc:AlternateContent>
        <mc:Choice Requires="wps">
          <w:drawing>
            <wp:anchor distT="0" distB="0" distL="114300" distR="114300" simplePos="0" relativeHeight="251844571" behindDoc="0" locked="0" layoutInCell="0" allowOverlap="1" wp14:anchorId="59EA1E48" wp14:editId="5125D4EA">
              <wp:simplePos x="0" y="9403953"/>
              <wp:positionH relativeFrom="page">
                <wp:align>center</wp:align>
              </wp:positionH>
              <wp:positionV relativeFrom="page">
                <wp:align>bottom</wp:align>
              </wp:positionV>
              <wp:extent cx="7772400" cy="463550"/>
              <wp:effectExtent l="0" t="0" r="0" b="12700"/>
              <wp:wrapNone/>
              <wp:docPr id="232" name="MSIPCMb605460d8b80dbeab0ac1c7f"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BED416" w14:textId="427CEB89"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9EA1E48" id="_x0000_t202" coordsize="21600,21600" o:spt="202" path="m,l,21600r21600,l21600,xe">
              <v:stroke joinstyle="miter"/>
              <v:path gradientshapeok="t" o:connecttype="rect"/>
            </v:shapetype>
            <v:shape id="MSIPCMb605460d8b80dbeab0ac1c7f" o:spid="_x0000_s1040" type="#_x0000_t202" alt="{&quot;HashCode&quot;:-1264680268,&quot;Height&quot;:9999999.0,&quot;Width&quot;:9999999.0,&quot;Placement&quot;:&quot;Footer&quot;,&quot;Index&quot;:&quot;OddAndEven&quot;,&quot;Section&quot;:2,&quot;Top&quot;:0.0,&quot;Left&quot;:0.0}" style="position:absolute;margin-left:0;margin-top:0;width:612pt;height:36.5pt;z-index:25184457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37BED416" w14:textId="427CEB89"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03D8" w14:textId="78969D2D" w:rsidR="006667C5" w:rsidRDefault="006667C5" w:rsidP="00DC3852">
    <w:pPr>
      <w:pStyle w:val="Footer"/>
      <w:rPr>
        <w:rStyle w:val="PageNumber"/>
      </w:rPr>
    </w:pPr>
    <w:r>
      <w:rPr>
        <w:noProof/>
        <w:lang w:val="en-GB" w:eastAsia="en-GB"/>
      </w:rPr>
      <mc:AlternateContent>
        <mc:Choice Requires="wps">
          <w:drawing>
            <wp:anchor distT="0" distB="0" distL="114300" distR="114300" simplePos="0" relativeHeight="251716091" behindDoc="0" locked="0" layoutInCell="0" allowOverlap="1" wp14:anchorId="75C13EC7" wp14:editId="2F4C2948">
              <wp:simplePos x="0" y="9403953"/>
              <wp:positionH relativeFrom="page">
                <wp:align>center</wp:align>
              </wp:positionH>
              <wp:positionV relativeFrom="page">
                <wp:align>bottom</wp:align>
              </wp:positionV>
              <wp:extent cx="7772400" cy="463550"/>
              <wp:effectExtent l="0" t="0" r="0" b="12700"/>
              <wp:wrapNone/>
              <wp:docPr id="230" name="MSIPCM32d64b5cb6e5154c8f10c2c5"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59AF16" w14:textId="26A5EE03"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5C13EC7" id="_x0000_t202" coordsize="21600,21600" o:spt="202" path="m,l,21600r21600,l21600,xe">
              <v:stroke joinstyle="miter"/>
              <v:path gradientshapeok="t" o:connecttype="rect"/>
            </v:shapetype>
            <v:shape id="MSIPCM32d64b5cb6e5154c8f10c2c5" o:spid="_x0000_s1041" type="#_x0000_t202" alt="{&quot;HashCode&quot;:-1264680268,&quot;Height&quot;:9999999.0,&quot;Width&quot;:9999999.0,&quot;Placement&quot;:&quot;Footer&quot;,&quot;Index&quot;:&quot;Primary&quot;,&quot;Section&quot;:2,&quot;Top&quot;:0.0,&quot;Left&quot;:0.0}" style="position:absolute;margin-left:0;margin-top:0;width:612pt;height:36.5pt;z-index:25171609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1359AF16" w14:textId="26A5EE03"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p w14:paraId="350D73F3" w14:textId="77777777" w:rsidR="006667C5" w:rsidRDefault="006667C5" w:rsidP="00DC38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6970" w14:textId="6FDD9BB3" w:rsidR="006667C5" w:rsidRDefault="006667C5">
    <w:pPr>
      <w:pStyle w:val="Footer"/>
    </w:pPr>
    <w:r>
      <w:rPr>
        <w:noProof/>
        <w:lang w:val="en-GB" w:eastAsia="en-GB"/>
      </w:rPr>
      <mc:AlternateContent>
        <mc:Choice Requires="wps">
          <w:drawing>
            <wp:anchor distT="0" distB="0" distL="114300" distR="114300" simplePos="0" relativeHeight="251716092" behindDoc="0" locked="0" layoutInCell="0" allowOverlap="1" wp14:anchorId="11A40991" wp14:editId="17D8864D">
              <wp:simplePos x="0" y="9403953"/>
              <wp:positionH relativeFrom="page">
                <wp:align>center</wp:align>
              </wp:positionH>
              <wp:positionV relativeFrom="page">
                <wp:align>bottom</wp:align>
              </wp:positionV>
              <wp:extent cx="7772400" cy="463550"/>
              <wp:effectExtent l="0" t="0" r="0" b="12700"/>
              <wp:wrapNone/>
              <wp:docPr id="231" name="MSIPCMf0ce483292f56e2c288c1ad2"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A22CC6" w14:textId="4DF97B19"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1A40991" id="_x0000_t202" coordsize="21600,21600" o:spt="202" path="m,l,21600r21600,l21600,xe">
              <v:stroke joinstyle="miter"/>
              <v:path gradientshapeok="t" o:connecttype="rect"/>
            </v:shapetype>
            <v:shape id="MSIPCMf0ce483292f56e2c288c1ad2" o:spid="_x0000_s1042" type="#_x0000_t202" alt="{&quot;HashCode&quot;:-1264680268,&quot;Height&quot;:9999999.0,&quot;Width&quot;:9999999.0,&quot;Placement&quot;:&quot;Footer&quot;,&quot;Index&quot;:&quot;FirstPage&quot;,&quot;Section&quot;:2,&quot;Top&quot;:0.0,&quot;Left&quot;:0.0}" style="position:absolute;margin-left:0;margin-top:0;width:612pt;height:36.5pt;z-index:25171609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25A22CC6" w14:textId="4DF97B19"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0290" w14:textId="77777777" w:rsidR="006667C5" w:rsidRDefault="006667C5">
    <w:pPr>
      <w:pStyle w:val="Footer"/>
    </w:pPr>
    <w:r>
      <w:rPr>
        <w:noProof/>
        <w:lang w:val="en-GB" w:eastAsia="en-GB"/>
      </w:rPr>
      <mc:AlternateContent>
        <mc:Choice Requires="wps">
          <w:drawing>
            <wp:anchor distT="0" distB="0" distL="114300" distR="114300" simplePos="0" relativeHeight="251842374" behindDoc="0" locked="0" layoutInCell="0" allowOverlap="1" wp14:anchorId="19E4ADBE" wp14:editId="5C2660FA">
              <wp:simplePos x="0" y="0"/>
              <wp:positionH relativeFrom="page">
                <wp:align>center</wp:align>
              </wp:positionH>
              <wp:positionV relativeFrom="page">
                <wp:align>bottom</wp:align>
              </wp:positionV>
              <wp:extent cx="7772400" cy="463550"/>
              <wp:effectExtent l="0" t="0" r="0" b="12700"/>
              <wp:wrapNone/>
              <wp:docPr id="235" name="MSIPCMd16d44a0b95630e36a26849b" descr="{&quot;HashCode&quot;:-1264680268,&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4FFF11" w14:textId="41969E16"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9E4ADBE" id="_x0000_t202" coordsize="21600,21600" o:spt="202" path="m,l,21600r21600,l21600,xe">
              <v:stroke joinstyle="miter"/>
              <v:path gradientshapeok="t" o:connecttype="rect"/>
            </v:shapetype>
            <v:shape id="MSIPCMd16d44a0b95630e36a26849b" o:spid="_x0000_s1043" type="#_x0000_t202" alt="{&quot;HashCode&quot;:-1264680268,&quot;Height&quot;:9999999.0,&quot;Width&quot;:9999999.0,&quot;Placement&quot;:&quot;Footer&quot;,&quot;Index&quot;:&quot;OddAndEven&quot;,&quot;Section&quot;:3,&quot;Top&quot;:0.0,&quot;Left&quot;:0.0}" style="position:absolute;margin-left:0;margin-top:0;width:612pt;height:36.5pt;z-index:25184237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334FFF11" w14:textId="41969E16"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5332B" w14:textId="536AD185" w:rsidR="006667C5" w:rsidRPr="00260A6B" w:rsidRDefault="006667C5" w:rsidP="00DC3852">
    <w:pPr>
      <w:pStyle w:val="Footer"/>
    </w:pPr>
    <w:r>
      <w:rPr>
        <w:noProof/>
        <w:lang w:val="en-GB" w:eastAsia="en-GB"/>
      </w:rPr>
      <mc:AlternateContent>
        <mc:Choice Requires="wps">
          <w:drawing>
            <wp:anchor distT="0" distB="0" distL="114300" distR="114300" simplePos="0" relativeHeight="251839656" behindDoc="0" locked="0" layoutInCell="0" allowOverlap="1" wp14:anchorId="43F4BB26" wp14:editId="58559C03">
              <wp:simplePos x="0" y="0"/>
              <wp:positionH relativeFrom="page">
                <wp:align>center</wp:align>
              </wp:positionH>
              <wp:positionV relativeFrom="page">
                <wp:align>bottom</wp:align>
              </wp:positionV>
              <wp:extent cx="7772400" cy="463550"/>
              <wp:effectExtent l="0" t="0" r="0" b="12700"/>
              <wp:wrapNone/>
              <wp:docPr id="255" name="MSIPCM2fcf497d8dea93c4e2a947b2"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8E6889" w14:textId="29B87590"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3F4BB26" id="_x0000_t202" coordsize="21600,21600" o:spt="202" path="m,l,21600r21600,l21600,xe">
              <v:stroke joinstyle="miter"/>
              <v:path gradientshapeok="t" o:connecttype="rect"/>
            </v:shapetype>
            <v:shape id="MSIPCM2fcf497d8dea93c4e2a947b2" o:spid="_x0000_s1044" type="#_x0000_t202" alt="{&quot;HashCode&quot;:-1264680268,&quot;Height&quot;:9999999.0,&quot;Width&quot;:9999999.0,&quot;Placement&quot;:&quot;Footer&quot;,&quot;Index&quot;:&quot;Primary&quot;,&quot;Section&quot;:3,&quot;Top&quot;:0.0,&quot;Left&quot;:0.0}" style="position:absolute;margin-left:0;margin-top:0;width:612pt;height:36.5pt;z-index:2518396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jm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0m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wZxY5hgCAAAtBAAADgAAAAAAAAAAAAAAAAAuAgAAZHJzL2Uyb0RvYy54bWxQSwECLQAUAAYACAAA&#10;ACEAvh8Kt9oAAAAFAQAADwAAAAAAAAAAAAAAAAByBAAAZHJzL2Rvd25yZXYueG1sUEsFBgAAAAAE&#10;AAQA8wAAAHkFAAAAAA==&#10;" o:allowincell="f" filled="f" stroked="f" strokeweight=".5pt">
              <v:textbox inset=",0,,0">
                <w:txbxContent>
                  <w:p w14:paraId="418E6889" w14:textId="29B87590"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6A06" w14:textId="77777777" w:rsidR="006667C5" w:rsidRPr="00E3679A" w:rsidRDefault="006667C5" w:rsidP="00DC3852">
    <w:pPr>
      <w:pStyle w:val="Footer"/>
    </w:pPr>
    <w:r>
      <w:rPr>
        <w:noProof/>
        <w:lang w:val="en-GB" w:eastAsia="en-GB"/>
      </w:rPr>
      <mc:AlternateContent>
        <mc:Choice Requires="wps">
          <w:drawing>
            <wp:anchor distT="0" distB="0" distL="114300" distR="114300" simplePos="0" relativeHeight="251840111" behindDoc="0" locked="0" layoutInCell="0" allowOverlap="1" wp14:anchorId="3EED2910" wp14:editId="3057BC79">
              <wp:simplePos x="0" y="0"/>
              <wp:positionH relativeFrom="page">
                <wp:align>center</wp:align>
              </wp:positionH>
              <wp:positionV relativeFrom="page">
                <wp:align>bottom</wp:align>
              </wp:positionV>
              <wp:extent cx="7772400" cy="463550"/>
              <wp:effectExtent l="0" t="0" r="0" b="12700"/>
              <wp:wrapNone/>
              <wp:docPr id="234" name="MSIPCM825c4a6cb8e4f622d59273ae"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EF784D" w14:textId="4891715C"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EED2910" id="_x0000_t202" coordsize="21600,21600" o:spt="202" path="m,l,21600r21600,l21600,xe">
              <v:stroke joinstyle="miter"/>
              <v:path gradientshapeok="t" o:connecttype="rect"/>
            </v:shapetype>
            <v:shape id="MSIPCM825c4a6cb8e4f622d59273ae" o:spid="_x0000_s1045" type="#_x0000_t202" alt="{&quot;HashCode&quot;:-1264680268,&quot;Height&quot;:9999999.0,&quot;Width&quot;:9999999.0,&quot;Placement&quot;:&quot;Footer&quot;,&quot;Index&quot;:&quot;FirstPage&quot;,&quot;Section&quot;:3,&quot;Top&quot;:0.0,&quot;Left&quot;:0.0}" style="position:absolute;margin-left:0;margin-top:0;width:612pt;height:36.5pt;z-index:25184011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72EF784D" w14:textId="4891715C"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C5BA" w14:textId="2D72B28D" w:rsidR="006667C5" w:rsidRDefault="006667C5">
    <w:pPr>
      <w:pStyle w:val="Footer"/>
    </w:pPr>
    <w:r>
      <w:rPr>
        <w:noProof/>
        <w:lang w:val="en-GB" w:eastAsia="en-GB"/>
      </w:rPr>
      <mc:AlternateContent>
        <mc:Choice Requires="wps">
          <w:drawing>
            <wp:anchor distT="0" distB="0" distL="114300" distR="114300" simplePos="0" relativeHeight="251839726" behindDoc="0" locked="0" layoutInCell="0" allowOverlap="1" wp14:anchorId="4730E71C" wp14:editId="0B9BBB73">
              <wp:simplePos x="0" y="9403953"/>
              <wp:positionH relativeFrom="page">
                <wp:align>center</wp:align>
              </wp:positionH>
              <wp:positionV relativeFrom="page">
                <wp:align>bottom</wp:align>
              </wp:positionV>
              <wp:extent cx="7772400" cy="463550"/>
              <wp:effectExtent l="0" t="0" r="0" b="12700"/>
              <wp:wrapNone/>
              <wp:docPr id="238" name="MSIPCM41404551aee2b1d5be4796f7" descr="{&quot;HashCode&quot;:-1264680268,&quot;Height&quot;:9999999.0,&quot;Width&quot;:9999999.0,&quot;Placement&quot;:&quot;Foot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98C6CF" w14:textId="5C1699D7"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730E71C" id="_x0000_t202" coordsize="21600,21600" o:spt="202" path="m,l,21600r21600,l21600,xe">
              <v:stroke joinstyle="miter"/>
              <v:path gradientshapeok="t" o:connecttype="rect"/>
            </v:shapetype>
            <v:shape id="MSIPCM41404551aee2b1d5be4796f7" o:spid="_x0000_s1046" type="#_x0000_t202" alt="{&quot;HashCode&quot;:-1264680268,&quot;Height&quot;:9999999.0,&quot;Width&quot;:9999999.0,&quot;Placement&quot;:&quot;Footer&quot;,&quot;Index&quot;:&quot;OddAndEven&quot;,&quot;Section&quot;:4,&quot;Top&quot;:0.0,&quot;Left&quot;:0.0}" style="position:absolute;margin-left:0;margin-top:0;width:612pt;height:36.5pt;z-index:25183972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4yzGQIAAC0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OV/Pa0xwaqA62HMDDvnVw2NMNK&#10;+PAskKimsUm+4YkObYB6wdHirAb89Td/zCcGKMpZR9Ipuf+5E6g4M98tcXM7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EQbjLMZAgAALQQAAA4AAAAAAAAAAAAAAAAALgIAAGRycy9lMm9Eb2MueG1sUEsBAi0AFAAGAAgA&#10;AAAhAL4fCrfaAAAABQEAAA8AAAAAAAAAAAAAAAAAcwQAAGRycy9kb3ducmV2LnhtbFBLBQYAAAAA&#10;BAAEAPMAAAB6BQAAAAA=&#10;" o:allowincell="f" filled="f" stroked="f" strokeweight=".5pt">
              <v:textbox inset=",0,,0">
                <w:txbxContent>
                  <w:p w14:paraId="2698C6CF" w14:textId="5C1699D7"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0514" w14:textId="6C399D99" w:rsidR="006667C5" w:rsidRPr="008D16DE" w:rsidRDefault="006667C5" w:rsidP="00244428">
    <w:pPr>
      <w:pStyle w:val="Footer"/>
      <w:tabs>
        <w:tab w:val="clear" w:pos="8640"/>
        <w:tab w:val="right" w:pos="9639"/>
      </w:tabs>
      <w:rPr>
        <w:sz w:val="18"/>
        <w:szCs w:val="18"/>
      </w:rPr>
    </w:pPr>
    <w:r>
      <w:rPr>
        <w:noProof/>
        <w:lang w:val="en-GB" w:eastAsia="en-GB"/>
      </w:rPr>
      <mc:AlternateContent>
        <mc:Choice Requires="wps">
          <w:drawing>
            <wp:anchor distT="0" distB="0" distL="114300" distR="114300" simplePos="0" relativeHeight="251716093" behindDoc="0" locked="0" layoutInCell="0" allowOverlap="1" wp14:anchorId="60836DFA" wp14:editId="3F2A87EE">
              <wp:simplePos x="0" y="0"/>
              <wp:positionH relativeFrom="page">
                <wp:align>center</wp:align>
              </wp:positionH>
              <wp:positionV relativeFrom="page">
                <wp:align>bottom</wp:align>
              </wp:positionV>
              <wp:extent cx="7772400" cy="463550"/>
              <wp:effectExtent l="0" t="0" r="0" b="12700"/>
              <wp:wrapNone/>
              <wp:docPr id="236" name="MSIPCM25c3416cbcf99b0d4d6a1cf4" descr="{&quot;HashCode&quot;:-1264680268,&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F876CE" w14:textId="49A150FB" w:rsidR="006667C5" w:rsidRPr="00654C6C" w:rsidRDefault="00654C6C" w:rsidP="00654C6C">
                          <w:pPr>
                            <w:tabs>
                              <w:tab w:val="center" w:pos="5387"/>
                            </w:tabs>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0836DFA" id="_x0000_t202" coordsize="21600,21600" o:spt="202" path="m,l,21600r21600,l21600,xe">
              <v:stroke joinstyle="miter"/>
              <v:path gradientshapeok="t" o:connecttype="rect"/>
            </v:shapetype>
            <v:shape id="MSIPCM25c3416cbcf99b0d4d6a1cf4" o:spid="_x0000_s1047" type="#_x0000_t202" alt="{&quot;HashCode&quot;:-1264680268,&quot;Height&quot;:9999999.0,&quot;Width&quot;:9999999.0,&quot;Placement&quot;:&quot;Footer&quot;,&quot;Index&quot;:&quot;Primary&quot;,&quot;Section&quot;:4,&quot;Top&quot;:0.0,&quot;Left&quot;:0.0}" style="position:absolute;margin-left:0;margin-top:0;width:612pt;height:36.5pt;z-index:25171609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YmFw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qI90gTRtYZqT/shHKj3Ti4aGmIp&#10;fHgSSFzT3KTf8EiHNkDN4GhxVgP+ec8f84kCinLWkXZK7n9vBSrOzE9L5HwbjsdRbOlCBr72rk9e&#10;u23vgGQ5pD/EyWTG3GBOpkZoX0je89iNQsJK6llyGfB0uQsHLdMPItV8ntJIWE6EpV05GYtHQCO4&#10;z/2LQHdkIBB3D3DSlyjeEHHIPVAx3wbQTWLpgucReRJlIu/4A0XVv76nrMtvPvsLAAD//wMAUEsD&#10;BBQABgAIAAAAIQC+Hwq32gAAAAUBAAAPAAAAZHJzL2Rvd25yZXYueG1sTI9LT8MwEITvSPwHa5G4&#10;UZsUlSrEqXgICU6ogUtvbrx5QLyOYrcx/54tF7isNJrZ2W+LTXKDOOIUek8arhcKBFLtbU+tho/3&#10;56s1iBANWTN4Qg3fGGBTnp8VJrd+pi0eq9gKLqGQGw1djGMuZag7dCYs/IjEXuMnZyLLqZV2MjOX&#10;u0FmSq2kMz3xhc6M+Nhh/VUdHGP48TX7XM3qaZl21Utq3h762Gh9eZHu70BETPEvDCd83oGSmfb+&#10;QDaIQQM/En/nycuyG9Z7DbdLBbIs5H/68gcAAP//AwBQSwECLQAUAAYACAAAACEAtoM4kv4AAADh&#10;AQAAEwAAAAAAAAAAAAAAAAAAAAAAW0NvbnRlbnRfVHlwZXNdLnhtbFBLAQItABQABgAIAAAAIQA4&#10;/SH/1gAAAJQBAAALAAAAAAAAAAAAAAAAAC8BAABfcmVscy8ucmVsc1BLAQItABQABgAIAAAAIQAF&#10;BFYmFwIAAC4EAAAOAAAAAAAAAAAAAAAAAC4CAABkcnMvZTJvRG9jLnhtbFBLAQItABQABgAIAAAA&#10;IQC+Hwq32gAAAAUBAAAPAAAAAAAAAAAAAAAAAHEEAABkcnMvZG93bnJldi54bWxQSwUGAAAAAAQA&#10;BADzAAAAeAUAAAAA&#10;" o:allowincell="f" filled="f" stroked="f" strokeweight=".5pt">
              <v:textbox inset=",0,,0">
                <w:txbxContent>
                  <w:p w14:paraId="30F876CE" w14:textId="49A150FB" w:rsidR="006667C5" w:rsidRPr="00654C6C" w:rsidRDefault="00654C6C" w:rsidP="00654C6C">
                    <w:pPr>
                      <w:tabs>
                        <w:tab w:val="center" w:pos="5387"/>
                      </w:tabs>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r w:rsidR="008D16DE">
      <w:tab/>
    </w:r>
    <w:r w:rsidR="008D16DE" w:rsidRPr="008D16DE">
      <w:rPr>
        <w:sz w:val="18"/>
        <w:szCs w:val="18"/>
      </w:rPr>
      <w:t>Glenelg Ark 2005–2020</w:t>
    </w:r>
    <w:r w:rsidR="008D16DE">
      <w:rPr>
        <w:sz w:val="18"/>
        <w:szCs w:val="18"/>
      </w:rPr>
      <w:tab/>
    </w:r>
    <w:r w:rsidR="008D16DE" w:rsidRPr="00107038">
      <w:rPr>
        <w:color w:val="00B2A9" w:themeColor="accent1"/>
        <w:sz w:val="18"/>
        <w:szCs w:val="18"/>
      </w:rPr>
      <w:fldChar w:fldCharType="begin"/>
    </w:r>
    <w:r w:rsidR="008D16DE" w:rsidRPr="00107038">
      <w:rPr>
        <w:color w:val="00B2A9" w:themeColor="accent1"/>
        <w:sz w:val="18"/>
        <w:szCs w:val="18"/>
      </w:rPr>
      <w:instrText xml:space="preserve"> PAGE   \* MERGEFORMAT </w:instrText>
    </w:r>
    <w:r w:rsidR="008D16DE" w:rsidRPr="00107038">
      <w:rPr>
        <w:color w:val="00B2A9" w:themeColor="accent1"/>
        <w:sz w:val="18"/>
        <w:szCs w:val="18"/>
      </w:rPr>
      <w:fldChar w:fldCharType="separate"/>
    </w:r>
    <w:r w:rsidR="00281E9A">
      <w:rPr>
        <w:noProof/>
        <w:color w:val="00B2A9" w:themeColor="accent1"/>
        <w:sz w:val="18"/>
        <w:szCs w:val="18"/>
      </w:rPr>
      <w:t>v</w:t>
    </w:r>
    <w:r w:rsidR="008D16DE" w:rsidRPr="00107038">
      <w:rPr>
        <w:noProof/>
        <w:color w:val="00B2A9" w:themeColor="accent1"/>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210C" w14:textId="4C7F1A8F" w:rsidR="006667C5" w:rsidRPr="00107038" w:rsidRDefault="006667C5" w:rsidP="0081068E">
    <w:pPr>
      <w:tabs>
        <w:tab w:val="center" w:pos="4820"/>
      </w:tabs>
      <w:rPr>
        <w:sz w:val="18"/>
        <w:szCs w:val="18"/>
      </w:rPr>
    </w:pPr>
    <w:r>
      <w:rPr>
        <w:noProof/>
        <w:sz w:val="18"/>
        <w:szCs w:val="18"/>
        <w:lang w:val="en-GB" w:eastAsia="en-GB"/>
      </w:rPr>
      <mc:AlternateContent>
        <mc:Choice Requires="wps">
          <w:drawing>
            <wp:anchor distT="0" distB="0" distL="114300" distR="114300" simplePos="0" relativeHeight="251716094" behindDoc="0" locked="0" layoutInCell="0" allowOverlap="1" wp14:anchorId="613F0BCF" wp14:editId="5DAD84A9">
              <wp:simplePos x="0" y="0"/>
              <wp:positionH relativeFrom="page">
                <wp:align>center</wp:align>
              </wp:positionH>
              <wp:positionV relativeFrom="page">
                <wp:align>bottom</wp:align>
              </wp:positionV>
              <wp:extent cx="7772400" cy="463550"/>
              <wp:effectExtent l="0" t="0" r="0" b="12700"/>
              <wp:wrapNone/>
              <wp:docPr id="237" name="MSIPCM1dbf4ffeabb2b74f91787df5" descr="{&quot;HashCode&quot;:-1264680268,&quot;Height&quot;:9999999.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B550E8" w14:textId="6D6A7549"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13F0BCF" id="_x0000_t202" coordsize="21600,21600" o:spt="202" path="m,l,21600r21600,l21600,xe">
              <v:stroke joinstyle="miter"/>
              <v:path gradientshapeok="t" o:connecttype="rect"/>
            </v:shapetype>
            <v:shape id="MSIPCM1dbf4ffeabb2b74f91787df5" o:spid="_x0000_s1048" type="#_x0000_t202" alt="{&quot;HashCode&quot;:-1264680268,&quot;Height&quot;:9999999.0,&quot;Width&quot;:9999999.0,&quot;Placement&quot;:&quot;Footer&quot;,&quot;Index&quot;:&quot;FirstPage&quot;,&quot;Section&quot;:4,&quot;Top&quot;:0.0,&quot;Left&quot;:0.0}" style="position:absolute;margin-left:0;margin-top:0;width:612pt;height:36.5pt;z-index:25171609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1PGA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3mRDVQH2g9hoN47uWxoiJXw&#10;4VkgcU1zk37DEx3aADWDo8VZDfjrb/6YTxRQlLOOtFNy/3MnUHFmvlsi58t4Oo1iSxcy8K13c/La&#10;XXsPJMsx/SFOJjPmBnMyNUL7SvJexG4UElZSz5LLgKfLfRi0TD+IVItFSiNhORFWdu1kLB4BjeC+&#10;9K8C3ZGBQNw9wklfonhHxJA7ULHYBdBNYilCPOB5RJ5Emcg7/kBR9W/vKevym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iPPtTxgCAAAuBAAADgAAAAAAAAAAAAAAAAAuAgAAZHJzL2Uyb0RvYy54bWxQSwECLQAUAAYACAAA&#10;ACEAvh8Kt9oAAAAFAQAADwAAAAAAAAAAAAAAAAByBAAAZHJzL2Rvd25yZXYueG1sUEsFBgAAAAAE&#10;AAQA8wAAAHkFAAAAAA==&#10;" o:allowincell="f" filled="f" stroked="f" strokeweight=".5pt">
              <v:textbox inset=",0,,0">
                <w:txbxContent>
                  <w:p w14:paraId="44B550E8" w14:textId="6D6A7549" w:rsidR="006667C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sdt>
      <w:sdtPr>
        <w:rPr>
          <w:sz w:val="18"/>
          <w:szCs w:val="18"/>
        </w:rPr>
        <w:id w:val="-260681618"/>
        <w:docPartObj>
          <w:docPartGallery w:val="Page Numbers (Bottom of Page)"/>
          <w:docPartUnique/>
        </w:docPartObj>
      </w:sdtPr>
      <w:sdtEndPr>
        <w:rPr>
          <w:noProof/>
        </w:rPr>
      </w:sdtEndPr>
      <w:sdtContent>
        <w:r w:rsidRPr="00107038">
          <w:rPr>
            <w:color w:val="00B2A9" w:themeColor="accent1"/>
            <w:sz w:val="18"/>
            <w:szCs w:val="18"/>
          </w:rPr>
          <w:fldChar w:fldCharType="begin"/>
        </w:r>
        <w:r w:rsidRPr="00107038">
          <w:rPr>
            <w:color w:val="00B2A9" w:themeColor="accent1"/>
            <w:sz w:val="18"/>
            <w:szCs w:val="18"/>
          </w:rPr>
          <w:instrText xml:space="preserve"> PAGE   \* MERGEFORMAT </w:instrText>
        </w:r>
        <w:r w:rsidRPr="00107038">
          <w:rPr>
            <w:color w:val="00B2A9" w:themeColor="accent1"/>
            <w:sz w:val="18"/>
            <w:szCs w:val="18"/>
          </w:rPr>
          <w:fldChar w:fldCharType="separate"/>
        </w:r>
        <w:r w:rsidR="00281E9A">
          <w:rPr>
            <w:noProof/>
            <w:color w:val="00B2A9" w:themeColor="accent1"/>
            <w:sz w:val="18"/>
            <w:szCs w:val="18"/>
          </w:rPr>
          <w:t>ii</w:t>
        </w:r>
        <w:r w:rsidRPr="00107038">
          <w:rPr>
            <w:noProof/>
            <w:color w:val="00B2A9" w:themeColor="accent1"/>
            <w:sz w:val="18"/>
            <w:szCs w:val="18"/>
          </w:rPr>
          <w:fldChar w:fldCharType="end"/>
        </w:r>
        <w:r w:rsidRPr="00107038">
          <w:rPr>
            <w:noProof/>
            <w:sz w:val="18"/>
            <w:szCs w:val="18"/>
          </w:rPr>
          <w:tab/>
        </w:r>
        <w:r>
          <w:rPr>
            <w:sz w:val="18"/>
            <w:szCs w:val="18"/>
          </w:rPr>
          <w:t>Glenelg Ark 2005</w:t>
        </w:r>
        <w:r w:rsidR="0011550C">
          <w:rPr>
            <w:sz w:val="18"/>
            <w:szCs w:val="18"/>
          </w:rPr>
          <w:t>–</w:t>
        </w:r>
        <w:r>
          <w:rPr>
            <w:sz w:val="18"/>
            <w:szCs w:val="18"/>
          </w:rPr>
          <w:t>2020 update</w:t>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35906" w14:textId="3BE0D2AE" w:rsidR="0061680B" w:rsidRPr="0061680B" w:rsidRDefault="00A33935" w:rsidP="00244428">
    <w:pPr>
      <w:pStyle w:val="Footer"/>
    </w:pPr>
    <w:r>
      <w:rPr>
        <w:noProof/>
      </w:rPr>
      <mc:AlternateContent>
        <mc:Choice Requires="wps">
          <w:drawing>
            <wp:anchor distT="0" distB="0" distL="114300" distR="114300" simplePos="0" relativeHeight="251844827" behindDoc="0" locked="0" layoutInCell="0" allowOverlap="1" wp14:anchorId="3AFF345A" wp14:editId="7236F08E">
              <wp:simplePos x="0" y="0"/>
              <wp:positionH relativeFrom="page">
                <wp:align>center</wp:align>
              </wp:positionH>
              <wp:positionV relativeFrom="page">
                <wp:align>bottom</wp:align>
              </wp:positionV>
              <wp:extent cx="7772400" cy="463550"/>
              <wp:effectExtent l="0" t="0" r="0" b="12700"/>
              <wp:wrapNone/>
              <wp:docPr id="448" name="MSIPCM6bd34bc4a19dd85ada166438" descr="{&quot;HashCode&quot;:-1264680268,&quot;Height&quot;:9999999.0,&quot;Width&quot;:9999999.0,&quot;Placement&quot;:&quot;Footer&quot;,&quot;Index&quot;:&quot;OddAndEven&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272FA1" w14:textId="29D59398" w:rsidR="00A3393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AFF345A" id="_x0000_t202" coordsize="21600,21600" o:spt="202" path="m,l,21600r21600,l21600,xe">
              <v:stroke joinstyle="miter"/>
              <v:path gradientshapeok="t" o:connecttype="rect"/>
            </v:shapetype>
            <v:shape id="MSIPCM6bd34bc4a19dd85ada166438" o:spid="_x0000_s1049" type="#_x0000_t202" alt="{&quot;HashCode&quot;:-1264680268,&quot;Height&quot;:9999999.0,&quot;Width&quot;:9999999.0,&quot;Placement&quot;:&quot;Footer&quot;,&quot;Index&quot;:&quot;OddAndEven&quot;,&quot;Section&quot;:5,&quot;Top&quot;:0.0,&quot;Left&quot;:0.0}" style="position:absolute;margin-left:0;margin-top:0;width:612pt;height:36.5pt;z-index:25184482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yH1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S0yAaqA+2HMFDvnVw2NMRK&#10;+PAskLimuUm/4YkObYCawdHirAb89Td/zCcKKMpZR9opuf+5E6g4M98tkfNlPJ1GsaULGfjWuzl5&#10;7a69B5LlmP4QJ5MZc4M5mRqhfSV5L2I3CgkrqWfJZcDT5T4MWqYfRKrFIqWRsJwIK7t2MhaPgEZw&#10;X/pXge7IQCDuHuGkL1G8I2LIHahY7ALoJrEUIR7wPCJPokzkHX+gqPq395R1+c3nvwE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B/rIfUZAgAALgQAAA4AAAAAAAAAAAAAAAAALgIAAGRycy9lMm9Eb2MueG1sUEsBAi0AFAAGAAgA&#10;AAAhAL4fCrfaAAAABQEAAA8AAAAAAAAAAAAAAAAAcwQAAGRycy9kb3ducmV2LnhtbFBLBQYAAAAA&#10;BAAEAPMAAAB6BQAAAAA=&#10;" o:allowincell="f" filled="f" stroked="f" strokeweight=".5pt">
              <v:textbox inset=",0,,0">
                <w:txbxContent>
                  <w:p w14:paraId="65272FA1" w14:textId="29D59398" w:rsidR="00A3393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r w:rsidR="00EC5D43">
      <w:rPr>
        <w:noProof/>
      </w:rPr>
      <mc:AlternateContent>
        <mc:Choice Requires="wps">
          <w:drawing>
            <wp:anchor distT="0" distB="0" distL="114300" distR="114300" simplePos="0" relativeHeight="251835833" behindDoc="0" locked="0" layoutInCell="0" allowOverlap="1" wp14:anchorId="1A1577D5" wp14:editId="25AA29CC">
              <wp:simplePos x="0" y="0"/>
              <wp:positionH relativeFrom="page">
                <wp:align>center</wp:align>
              </wp:positionH>
              <wp:positionV relativeFrom="page">
                <wp:align>bottom</wp:align>
              </wp:positionV>
              <wp:extent cx="7772400" cy="463550"/>
              <wp:effectExtent l="0" t="0" r="0" b="12700"/>
              <wp:wrapNone/>
              <wp:docPr id="239" name="MSIPCM3a454016b31493eacf35d798" descr="{&quot;HashCode&quot;:-1264680268,&quot;Height&quot;:9999999.0,&quot;Width&quot;:9999999.0,&quot;Placement&quot;:&quot;Footer&quot;,&quot;Index&quot;:&quot;OddAndEven&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86B87D" w14:textId="013EDA4A" w:rsidR="00EC5D43" w:rsidRPr="00405D66" w:rsidRDefault="00405D66" w:rsidP="00405D66">
                          <w:pPr>
                            <w:spacing w:after="0"/>
                            <w:jc w:val="center"/>
                            <w:rPr>
                              <w:rFonts w:ascii="Calibri" w:hAnsi="Calibri" w:cs="Calibri"/>
                              <w:color w:val="000000"/>
                              <w:sz w:val="24"/>
                            </w:rPr>
                          </w:pPr>
                          <w:r w:rsidRPr="00405D6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A1577D5" id="MSIPCM3a454016b31493eacf35d798" o:spid="_x0000_s1050" type="#_x0000_t202" alt="{&quot;HashCode&quot;:-1264680268,&quot;Height&quot;:9999999.0,&quot;Width&quot;:9999999.0,&quot;Placement&quot;:&quot;Footer&quot;,&quot;Index&quot;:&quot;OddAndEven&quot;,&quot;Section&quot;:6,&quot;Top&quot;:0.0,&quot;Left&quot;:0.0}" style="position:absolute;margin-left:0;margin-top:0;width:612pt;height:36.5pt;z-index:25183583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qcGQIAAC4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oj6vTIhuoDrQfwkC9d3LZ0BAr&#10;4cOzQOKa5ib9hic6tAFqBkeLsxrw19/8MZ8ooChnHWmn5P7nTqDizHy3RM6X8XQaxZYuZOBb7+bk&#10;tbv2HkiWY/pDnExmzA3mZGqE9pXkvYjdKCSspJ4llwFPl/swaJl+EKkWi5RGwnIirOzayVg8AhrB&#10;felfBbojA4G4e4STvkTxjoghd6BisQugm8RShHjA84g8iTKRd/yBourf3lPW5Tef/wY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JIcmpwZAgAALgQAAA4AAAAAAAAAAAAAAAAALgIAAGRycy9lMm9Eb2MueG1sUEsBAi0AFAAGAAgA&#10;AAAhAL4fCrfaAAAABQEAAA8AAAAAAAAAAAAAAAAAcwQAAGRycy9kb3ducmV2LnhtbFBLBQYAAAAA&#10;BAAEAPMAAAB6BQAAAAA=&#10;" o:allowincell="f" filled="f" stroked="f" strokeweight=".5pt">
              <v:textbox inset=",0,,0">
                <w:txbxContent>
                  <w:p w14:paraId="3686B87D" w14:textId="013EDA4A" w:rsidR="00EC5D43" w:rsidRPr="00405D66" w:rsidRDefault="00405D66" w:rsidP="00405D66">
                    <w:pPr>
                      <w:spacing w:after="0"/>
                      <w:jc w:val="center"/>
                      <w:rPr>
                        <w:rFonts w:ascii="Calibri" w:hAnsi="Calibri" w:cs="Calibri"/>
                        <w:color w:val="000000"/>
                        <w:sz w:val="24"/>
                      </w:rPr>
                    </w:pPr>
                    <w:r w:rsidRPr="00405D66">
                      <w:rPr>
                        <w:rFonts w:ascii="Calibri" w:hAnsi="Calibri" w:cs="Calibri"/>
                        <w:color w:val="000000"/>
                        <w:sz w:val="24"/>
                      </w:rPr>
                      <w:t>OFFICIAL</w:t>
                    </w:r>
                  </w:p>
                </w:txbxContent>
              </v:textbox>
              <w10:wrap anchorx="page" anchory="page"/>
            </v:shape>
          </w:pict>
        </mc:Fallback>
      </mc:AlternateContent>
    </w:r>
    <w:sdt>
      <w:sdtPr>
        <w:id w:val="-93946220"/>
        <w:docPartObj>
          <w:docPartGallery w:val="Page Numbers (Bottom of Page)"/>
          <w:docPartUnique/>
        </w:docPartObj>
      </w:sdtPr>
      <w:sdtEndPr>
        <w:rPr>
          <w:noProof/>
          <w:color w:val="00B2A9" w:themeColor="accent1"/>
          <w:sz w:val="18"/>
          <w:szCs w:val="18"/>
        </w:rPr>
      </w:sdtEndPr>
      <w:sdtContent>
        <w:r w:rsidR="0061680B" w:rsidRPr="0061680B">
          <w:rPr>
            <w:noProof/>
            <w:color w:val="00B2A9" w:themeColor="accent1"/>
            <w:sz w:val="18"/>
            <w:szCs w:val="18"/>
          </w:rPr>
          <w:fldChar w:fldCharType="begin"/>
        </w:r>
        <w:r w:rsidR="0061680B" w:rsidRPr="0061680B">
          <w:rPr>
            <w:noProof/>
            <w:color w:val="00B2A9" w:themeColor="accent1"/>
            <w:sz w:val="18"/>
            <w:szCs w:val="18"/>
          </w:rPr>
          <w:instrText xml:space="preserve"> PAGE   \* MERGEFORMAT </w:instrText>
        </w:r>
        <w:r w:rsidR="0061680B" w:rsidRPr="0061680B">
          <w:rPr>
            <w:noProof/>
            <w:color w:val="00B2A9" w:themeColor="accent1"/>
            <w:sz w:val="18"/>
            <w:szCs w:val="18"/>
          </w:rPr>
          <w:fldChar w:fldCharType="separate"/>
        </w:r>
        <w:r w:rsidR="00281E9A">
          <w:rPr>
            <w:noProof/>
            <w:color w:val="00B2A9" w:themeColor="accent1"/>
            <w:sz w:val="18"/>
            <w:szCs w:val="18"/>
          </w:rPr>
          <w:t>14</w:t>
        </w:r>
        <w:r w:rsidR="0061680B" w:rsidRPr="0061680B">
          <w:rPr>
            <w:noProof/>
            <w:color w:val="00B2A9" w:themeColor="accent1"/>
            <w:sz w:val="18"/>
            <w:szCs w:val="18"/>
          </w:rPr>
          <w:fldChar w:fldCharType="end"/>
        </w:r>
        <w:r w:rsidR="00BE7CC7">
          <w:rPr>
            <w:noProof/>
            <w:color w:val="00B2A9" w:themeColor="accent1"/>
            <w:sz w:val="18"/>
            <w:szCs w:val="18"/>
          </w:rPr>
          <w:tab/>
        </w:r>
        <w:r w:rsidR="00BE7CC7">
          <w:rPr>
            <w:sz w:val="18"/>
            <w:szCs w:val="18"/>
          </w:rPr>
          <w:t>Glenelg Ark 2005–2020</w:t>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68C28" w14:textId="7438B0C3" w:rsidR="006667C5" w:rsidRPr="0033038C" w:rsidRDefault="00A33935" w:rsidP="0061680B">
    <w:pPr>
      <w:tabs>
        <w:tab w:val="center" w:pos="4820"/>
        <w:tab w:val="right" w:pos="9639"/>
      </w:tabs>
      <w:rPr>
        <w:color w:val="00B2A9" w:themeColor="accent1"/>
        <w:sz w:val="18"/>
        <w:szCs w:val="18"/>
      </w:rPr>
    </w:pPr>
    <w:r>
      <w:rPr>
        <w:noProof/>
        <w:sz w:val="18"/>
        <w:szCs w:val="18"/>
        <w:lang w:val="en-GB" w:eastAsia="en-GB"/>
      </w:rPr>
      <mc:AlternateContent>
        <mc:Choice Requires="wps">
          <w:drawing>
            <wp:anchor distT="0" distB="0" distL="114300" distR="114300" simplePos="0" relativeHeight="251840400" behindDoc="0" locked="0" layoutInCell="0" allowOverlap="1" wp14:anchorId="3DE2139D" wp14:editId="1E5546C4">
              <wp:simplePos x="0" y="0"/>
              <wp:positionH relativeFrom="page">
                <wp:align>center</wp:align>
              </wp:positionH>
              <wp:positionV relativeFrom="page">
                <wp:align>bottom</wp:align>
              </wp:positionV>
              <wp:extent cx="7772400" cy="463550"/>
              <wp:effectExtent l="0" t="0" r="0" b="12700"/>
              <wp:wrapNone/>
              <wp:docPr id="13" name="MSIPCMab3644ae841e6021be906af6" descr="{&quot;HashCode&quot;:-1264680268,&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4178A8" w14:textId="39FDFFF4" w:rsidR="00A3393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DE2139D" id="_x0000_t202" coordsize="21600,21600" o:spt="202" path="m,l,21600r21600,l21600,xe">
              <v:stroke joinstyle="miter"/>
              <v:path gradientshapeok="t" o:connecttype="rect"/>
            </v:shapetype>
            <v:shape id="MSIPCMab3644ae841e6021be906af6" o:spid="_x0000_s1051" type="#_x0000_t202" alt="{&quot;HashCode&quot;:-1264680268,&quot;Height&quot;:9999999.0,&quot;Width&quot;:9999999.0,&quot;Placement&quot;:&quot;Footer&quot;,&quot;Index&quot;:&quot;Primary&quot;,&quot;Section&quot;:5,&quot;Top&quot;:0.0,&quot;Left&quot;:0.0}" style="position:absolute;margin-left:0;margin-top:0;width:612pt;height:36.5pt;z-index:25184040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Mhb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S0yAaqA+2HMFDvnVw2NMRK&#10;+PAskLimuUm/4YkObYCawdHirAb89Td/zCcKKMpZR9opuf+5E6g4M98tkfNlPJ1GsaULGfjWuzl5&#10;7a69B5LlmP4QJ5MZc4M5mRqhfSV5L2I3CgkrqWfJZcDT5T4MWqYfRKrFIqWRsJwIK7t2MhaPgEZw&#10;X/pXge7IQCDuHuGkL1G8I2LIHahY7ALoJrEUIR7wPCJPokzkHX+gqPq395R1+c3nvwE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HDcyFsZAgAALgQAAA4AAAAAAAAAAAAAAAAALgIAAGRycy9lMm9Eb2MueG1sUEsBAi0AFAAGAAgA&#10;AAAhAL4fCrfaAAAABQEAAA8AAAAAAAAAAAAAAAAAcwQAAGRycy9kb3ducmV2LnhtbFBLBQYAAAAA&#10;BAAEAPMAAAB6BQAAAAA=&#10;" o:allowincell="f" filled="f" stroked="f" strokeweight=".5pt">
              <v:textbox inset=",0,,0">
                <w:txbxContent>
                  <w:p w14:paraId="084178A8" w14:textId="39FDFFF4" w:rsidR="00A3393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r w:rsidR="006667C5">
      <w:rPr>
        <w:noProof/>
        <w:sz w:val="18"/>
        <w:szCs w:val="18"/>
        <w:lang w:val="en-GB" w:eastAsia="en-GB"/>
      </w:rPr>
      <mc:AlternateContent>
        <mc:Choice Requires="wps">
          <w:drawing>
            <wp:anchor distT="0" distB="0" distL="114300" distR="114300" simplePos="0" relativeHeight="251835810" behindDoc="0" locked="0" layoutInCell="0" allowOverlap="1" wp14:anchorId="49AC648C" wp14:editId="5459E08D">
              <wp:simplePos x="0" y="0"/>
              <wp:positionH relativeFrom="page">
                <wp:align>center</wp:align>
              </wp:positionH>
              <wp:positionV relativeFrom="page">
                <wp:align>bottom</wp:align>
              </wp:positionV>
              <wp:extent cx="7772400" cy="463550"/>
              <wp:effectExtent l="0" t="0" r="0" b="12700"/>
              <wp:wrapNone/>
              <wp:docPr id="10" name="MSIPCM7a294cacb232c17b1abcaabf" descr="{&quot;HashCode&quot;:-1264680268,&quot;Height&quot;:9999999.0,&quot;Width&quot;:9999999.0,&quot;Placement&quot;:&quot;Foot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6ED7A" w14:textId="5274FD42" w:rsidR="006667C5" w:rsidRPr="00405D66" w:rsidRDefault="00405D66" w:rsidP="00405D66">
                          <w:pPr>
                            <w:spacing w:after="0"/>
                            <w:jc w:val="center"/>
                            <w:rPr>
                              <w:rFonts w:ascii="Calibri" w:hAnsi="Calibri" w:cs="Calibri"/>
                              <w:color w:val="000000"/>
                              <w:sz w:val="24"/>
                            </w:rPr>
                          </w:pPr>
                          <w:r w:rsidRPr="00405D6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49AC648C" id="MSIPCM7a294cacb232c17b1abcaabf" o:spid="_x0000_s1052" type="#_x0000_t202" alt="{&quot;HashCode&quot;:-1264680268,&quot;Height&quot;:9999999.0,&quot;Width&quot;:9999999.0,&quot;Placement&quot;:&quot;Footer&quot;,&quot;Index&quot;:&quot;Primary&quot;,&quot;Section&quot;:6,&quot;Top&quot;:0.0,&quot;Left&quot;:0.0}" style="position:absolute;margin-left:0;margin-top:0;width:612pt;height:36.5pt;z-index:25183581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3MyGQIAAC4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W4x2xYZAfVCfdz0FPvLV8rHGLD&#10;fHhmDrnGuVG/4QkPqQGbwdmipAb362/+mI8UYJSSFrVTUv/zwJygRH83SM6X8XQaxZYuaLi33t3g&#10;NYfmHlCWY/xDLE9mzA16MKWD5hXlvYrdMMQMx54l5cENl/vQaxl/EC5Wq5SGwrIsbMzW8lg8AhrB&#10;felembNnBgJy9wiDvljxjog+t6didQggVWIpQtzjeUYeRZnIO/9AUfVv7ynr+psvfw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P0rczIZAgAALgQAAA4AAAAAAAAAAAAAAAAALgIAAGRycy9lMm9Eb2MueG1sUEsBAi0AFAAGAAgA&#10;AAAhAL4fCrfaAAAABQEAAA8AAAAAAAAAAAAAAAAAcwQAAGRycy9kb3ducmV2LnhtbFBLBQYAAAAA&#10;BAAEAPMAAAB6BQAAAAA=&#10;" o:allowincell="f" filled="f" stroked="f" strokeweight=".5pt">
              <v:textbox inset=",0,,0">
                <w:txbxContent>
                  <w:p w14:paraId="3606ED7A" w14:textId="5274FD42" w:rsidR="006667C5" w:rsidRPr="00405D66" w:rsidRDefault="00405D66" w:rsidP="00405D66">
                    <w:pPr>
                      <w:spacing w:after="0"/>
                      <w:jc w:val="center"/>
                      <w:rPr>
                        <w:rFonts w:ascii="Calibri" w:hAnsi="Calibri" w:cs="Calibri"/>
                        <w:color w:val="000000"/>
                        <w:sz w:val="24"/>
                      </w:rPr>
                    </w:pPr>
                    <w:r w:rsidRPr="00405D66">
                      <w:rPr>
                        <w:rFonts w:ascii="Calibri" w:hAnsi="Calibri" w:cs="Calibri"/>
                        <w:color w:val="000000"/>
                        <w:sz w:val="24"/>
                      </w:rPr>
                      <w:t>OFFICIAL</w:t>
                    </w:r>
                  </w:p>
                </w:txbxContent>
              </v:textbox>
              <w10:wrap anchorx="page" anchory="page"/>
            </v:shape>
          </w:pict>
        </mc:Fallback>
      </mc:AlternateContent>
    </w:r>
    <w:r w:rsidR="0061680B">
      <w:rPr>
        <w:sz w:val="18"/>
        <w:szCs w:val="18"/>
      </w:rPr>
      <w:tab/>
    </w:r>
    <w:r w:rsidR="006667C5">
      <w:rPr>
        <w:sz w:val="18"/>
        <w:szCs w:val="18"/>
      </w:rPr>
      <w:t>Glenelg Ark 2005–2020</w:t>
    </w:r>
    <w:r w:rsidR="006667C5">
      <w:rPr>
        <w:sz w:val="18"/>
        <w:szCs w:val="18"/>
      </w:rPr>
      <w:tab/>
    </w:r>
    <w:r w:rsidR="006667C5" w:rsidRPr="00107038">
      <w:rPr>
        <w:rStyle w:val="PageNumber"/>
        <w:color w:val="00B2A9" w:themeColor="accent1"/>
        <w:sz w:val="18"/>
        <w:szCs w:val="18"/>
      </w:rPr>
      <w:fldChar w:fldCharType="begin"/>
    </w:r>
    <w:r w:rsidR="006667C5" w:rsidRPr="00107038">
      <w:rPr>
        <w:rStyle w:val="PageNumber"/>
        <w:color w:val="00B2A9" w:themeColor="accent1"/>
        <w:sz w:val="18"/>
        <w:szCs w:val="18"/>
      </w:rPr>
      <w:instrText xml:space="preserve"> PAGE </w:instrText>
    </w:r>
    <w:r w:rsidR="006667C5" w:rsidRPr="00107038">
      <w:rPr>
        <w:rStyle w:val="PageNumber"/>
        <w:color w:val="00B2A9" w:themeColor="accent1"/>
        <w:sz w:val="18"/>
        <w:szCs w:val="18"/>
      </w:rPr>
      <w:fldChar w:fldCharType="separate"/>
    </w:r>
    <w:r w:rsidR="00281E9A">
      <w:rPr>
        <w:rStyle w:val="PageNumber"/>
        <w:noProof/>
        <w:color w:val="00B2A9" w:themeColor="accent1"/>
        <w:sz w:val="18"/>
        <w:szCs w:val="18"/>
      </w:rPr>
      <w:t>1</w:t>
    </w:r>
    <w:r w:rsidR="006667C5" w:rsidRPr="00107038">
      <w:rPr>
        <w:rStyle w:val="PageNumber"/>
        <w:color w:val="00B2A9" w:themeColor="accent1"/>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413FF" w14:textId="09BFE49B" w:rsidR="006667C5" w:rsidRDefault="00A33935" w:rsidP="00A33935">
    <w:pPr>
      <w:pStyle w:val="Footer"/>
    </w:pPr>
    <w:r>
      <w:rPr>
        <w:noProof/>
        <w:color w:val="99E0DD" w:themeColor="accent4"/>
        <w:sz w:val="18"/>
        <w:szCs w:val="18"/>
      </w:rPr>
      <mc:AlternateContent>
        <mc:Choice Requires="wps">
          <w:drawing>
            <wp:anchor distT="0" distB="0" distL="114300" distR="114300" simplePos="0" relativeHeight="251843216" behindDoc="0" locked="0" layoutInCell="0" allowOverlap="1" wp14:anchorId="21B1CEAD" wp14:editId="717C228D">
              <wp:simplePos x="0" y="0"/>
              <wp:positionH relativeFrom="page">
                <wp:align>center</wp:align>
              </wp:positionH>
              <wp:positionV relativeFrom="page">
                <wp:align>bottom</wp:align>
              </wp:positionV>
              <wp:extent cx="7772400" cy="463550"/>
              <wp:effectExtent l="0" t="0" r="0" b="12700"/>
              <wp:wrapNone/>
              <wp:docPr id="14" name="MSIPCM345945c9be1aa623d89a7b16" descr="{&quot;HashCode&quot;:-1264680268,&quot;Height&quot;:9999999.0,&quot;Width&quot;:9999999.0,&quot;Placement&quot;:&quot;Foot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FBEF67" w14:textId="4F48E6C1" w:rsidR="00A3393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1B1CEAD" id="_x0000_t202" coordsize="21600,21600" o:spt="202" path="m,l,21600r21600,l21600,xe">
              <v:stroke joinstyle="miter"/>
              <v:path gradientshapeok="t" o:connecttype="rect"/>
            </v:shapetype>
            <v:shape id="MSIPCM345945c9be1aa623d89a7b16" o:spid="_x0000_s1053" type="#_x0000_t202" alt="{&quot;HashCode&quot;:-1264680268,&quot;Height&quot;:9999999.0,&quot;Width&quot;:9999999.0,&quot;Placement&quot;:&quot;Footer&quot;,&quot;Index&quot;:&quot;FirstPage&quot;,&quot;Section&quot;:5,&quot;Top&quot;:0.0,&quot;Left&quot;:0.0}" style="position:absolute;margin-left:0;margin-top:0;width:612pt;height:36.5pt;z-index:25184321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IGQIAAC4EAAAOAAAAZHJzL2Uyb0RvYy54bWysU99v2jAQfp+0/8Hy+0hgFLqIULFWTJNQ&#10;W4lOfTaOTSw5Ps82JOyv39khUHV7mvbinO/O9+P7vizuukaTo3BegSnpeJRTIgyHSpl9SX+8rD/d&#10;UuIDMxXTYERJT8LTu+XHD4vWFmICNehKOIJFjC9aW9I6BFtkmee1aJgfgRUGgxJcwwJe3T6rHGux&#10;eqOzSZ7PshZcZR1w4T16H/ogXab6UgoenqT0IhBdUpwtpNOlcxfPbLlgxd4xWyt+HoP9wxQNUwab&#10;Xko9sMDIwak/SjWKO/Agw4hDk4GUiou0A24zzt9ts62ZFWkXBMfbC0z+/5Xlj8etfXYkdF+hQwIj&#10;IK31hUdn3KeTrolfnJRgHCE8XWATXSAcnfP5fDLNMcQxNp19vrlJuGbX19b58E1AQ6JRUoe0JLTY&#10;ceMDdsTUISU2M7BWWidqtCFtSbFmnh5cIvhCG3x4nTVaodt1RFW4x2xYZAfVCfdz0FPvLV8rHGLD&#10;fHhmDrnGuVG/4QkPqQGbwdmipAb362/+mI8UYJSSFrVTUv/zwJygRH83SM6X8XQaxZYuaLi33t3g&#10;NYfmHlCWY/xDLE9mzA16MKWD5hXlvYrdMMQMx54l5cENl/vQaxl/EC5Wq5SGwrIsbMzW8lg8AhrB&#10;felembNnBgJy9wiDvljxjog+t6didQggVWIpQtzjeUYeRZnIO/9AUfVv7ynr+psvfw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Gozv4gZAgAALgQAAA4AAAAAAAAAAAAAAAAALgIAAGRycy9lMm9Eb2MueG1sUEsBAi0AFAAGAAgA&#10;AAAhAL4fCrfaAAAABQEAAA8AAAAAAAAAAAAAAAAAcwQAAGRycy9kb3ducmV2LnhtbFBLBQYAAAAA&#10;BAAEAPMAAAB6BQAAAAA=&#10;" o:allowincell="f" filled="f" stroked="f" strokeweight=".5pt">
              <v:textbox inset=",0,,0">
                <w:txbxContent>
                  <w:p w14:paraId="39FBEF67" w14:textId="4F48E6C1" w:rsidR="00A33935" w:rsidRPr="00654C6C" w:rsidRDefault="00654C6C" w:rsidP="00654C6C">
                    <w:pPr>
                      <w:spacing w:after="0"/>
                      <w:jc w:val="center"/>
                      <w:rPr>
                        <w:rFonts w:ascii="Calibri" w:hAnsi="Calibri" w:cs="Calibri"/>
                        <w:color w:val="000000"/>
                        <w:sz w:val="24"/>
                      </w:rPr>
                    </w:pPr>
                    <w:r w:rsidRPr="00654C6C">
                      <w:rPr>
                        <w:rFonts w:ascii="Calibri" w:hAnsi="Calibri" w:cs="Calibri"/>
                        <w:color w:val="000000"/>
                        <w:sz w:val="24"/>
                      </w:rPr>
                      <w:t>OFFICIAL</w:t>
                    </w:r>
                  </w:p>
                </w:txbxContent>
              </v:textbox>
              <w10:wrap anchorx="page" anchory="page"/>
            </v:shape>
          </w:pict>
        </mc:Fallback>
      </mc:AlternateContent>
    </w:r>
    <w:r w:rsidRPr="00A33935">
      <w:rPr>
        <w:color w:val="50CAC4" w:themeColor="accent4" w:themeShade="BF"/>
        <w:sz w:val="18"/>
        <w:szCs w:val="18"/>
      </w:rPr>
      <w:fldChar w:fldCharType="begin"/>
    </w:r>
    <w:r w:rsidRPr="00A33935">
      <w:rPr>
        <w:color w:val="50CAC4" w:themeColor="accent4" w:themeShade="BF"/>
        <w:sz w:val="18"/>
        <w:szCs w:val="18"/>
      </w:rPr>
      <w:instrText xml:space="preserve"> PAGE   \* MERGEFORMAT </w:instrText>
    </w:r>
    <w:r w:rsidRPr="00A33935">
      <w:rPr>
        <w:color w:val="50CAC4" w:themeColor="accent4" w:themeShade="BF"/>
        <w:sz w:val="18"/>
        <w:szCs w:val="18"/>
      </w:rPr>
      <w:fldChar w:fldCharType="separate"/>
    </w:r>
    <w:r w:rsidRPr="00A33935">
      <w:rPr>
        <w:noProof/>
        <w:color w:val="50CAC4" w:themeColor="accent4" w:themeShade="BF"/>
        <w:sz w:val="18"/>
        <w:szCs w:val="18"/>
      </w:rPr>
      <w:t>1</w:t>
    </w:r>
    <w:r w:rsidRPr="00A33935">
      <w:rPr>
        <w:noProof/>
        <w:color w:val="50CAC4" w:themeColor="accent4" w:themeShade="BF"/>
        <w:sz w:val="18"/>
        <w:szCs w:val="18"/>
      </w:rPr>
      <w:fldChar w:fldCharType="end"/>
    </w:r>
    <w:r>
      <w:rPr>
        <w:noProof/>
        <w:sz w:val="18"/>
        <w:szCs w:val="18"/>
      </w:rPr>
      <w:tab/>
    </w:r>
    <w:r>
      <w:rPr>
        <w:sz w:val="18"/>
        <w:szCs w:val="18"/>
      </w:rPr>
      <w:t>Glenelg Ark 2005–2020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B2CB" w14:textId="05F40355" w:rsidR="006667C5" w:rsidRDefault="006667C5">
    <w:pPr>
      <w:pStyle w:val="Footer"/>
    </w:pPr>
    <w:r>
      <w:rPr>
        <w:noProof/>
        <w:lang w:val="en-GB" w:eastAsia="en-GB"/>
      </w:rPr>
      <mc:AlternateContent>
        <mc:Choice Requires="wps">
          <w:drawing>
            <wp:anchor distT="0" distB="0" distL="114300" distR="114300" simplePos="0" relativeHeight="251816251" behindDoc="0" locked="0" layoutInCell="0" allowOverlap="1" wp14:anchorId="7D308FBE" wp14:editId="762914CF">
              <wp:simplePos x="0" y="9403953"/>
              <wp:positionH relativeFrom="page">
                <wp:align>center</wp:align>
              </wp:positionH>
              <wp:positionV relativeFrom="page">
                <wp:align>bottom</wp:align>
              </wp:positionV>
              <wp:extent cx="7772400" cy="463550"/>
              <wp:effectExtent l="0" t="0" r="0" b="12700"/>
              <wp:wrapNone/>
              <wp:docPr id="18" name="MSIPCM79ae48758180169fcfe2c99d" descr="{&quot;HashCode&quot;:-1264680268,&quot;Height&quot;:9999999.0,&quot;Width&quot;:9999999.0,&quot;Placement&quot;:&quot;Footer&quot;,&quot;Index&quot;:&quot;OddAndEven&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905639" w14:textId="0D892EC5" w:rsidR="006667C5" w:rsidRPr="000E65B7" w:rsidRDefault="000E65B7" w:rsidP="000E65B7">
                          <w:pPr>
                            <w:spacing w:after="0"/>
                            <w:jc w:val="center"/>
                            <w:rPr>
                              <w:rFonts w:ascii="Calibri" w:hAnsi="Calibri" w:cs="Calibri"/>
                              <w:color w:val="000000"/>
                              <w:sz w:val="24"/>
                            </w:rPr>
                          </w:pPr>
                          <w:r w:rsidRPr="000E65B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D308FBE" id="_x0000_t202" coordsize="21600,21600" o:spt="202" path="m,l,21600r21600,l21600,xe">
              <v:stroke joinstyle="miter"/>
              <v:path gradientshapeok="t" o:connecttype="rect"/>
            </v:shapetype>
            <v:shape id="MSIPCM79ae48758180169fcfe2c99d" o:spid="_x0000_s1054" type="#_x0000_t202" alt="{&quot;HashCode&quot;:-1264680268,&quot;Height&quot;:9999999.0,&quot;Width&quot;:9999999.0,&quot;Placement&quot;:&quot;Footer&quot;,&quot;Index&quot;:&quot;OddAndEven&quot;,&quot;Section&quot;:8,&quot;Top&quot;:0.0,&quot;Left&quot;:0.0}" style="position:absolute;margin-left:0;margin-top:0;width:612pt;height:36.5pt;z-index:25181625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AThGQIAAC4EAAAOAAAAZHJzL2Uyb0RvYy54bWysU01v2zAMvQ/YfxB0X+xkadMZcYqsRYYB&#10;RVsgHXpWZCk2IIsapcTOfv0oOR9Ft9Owi0yRFD/ee57f9q1he4W+AVvy8SjnTFkJVWO3Jf/xsvp0&#10;w5kPwlbCgFUlPyjPbxcfP8w7V6gJ1GAqhYyKWF90ruR1CK7IMi9r1Qo/AqcsBTVgKwJdcZtVKDqq&#10;3ppskufXWQdYOQSpvCfv/RDki1RfayXDk9ZeBWZKTrOFdGI6N/HMFnNRbFG4upHHMcQ/TNGKxlLT&#10;c6l7EQTbYfNHqbaRCB50GEloM9C6kSrtQNuM83fbrGvhVNqFwPHuDJP/f2Xl437tnpGF/iv0RGAE&#10;pHO+8OSM+/Qa2/ilSRnFCcLDGTbVBybJOZvNJtOcQpJi0+vPV1cJ1+zy2qEP3xS0LBolR6IloSX2&#10;Dz5QR0o9pcRmFlaNMYkaY1lXcqqZpwfnCL0wlh5eZo1W6Dc9ayraY3ZaZAPVgfZDGKj3Tq4aGuJB&#10;+PAskLimuUm/4YkObYCawdHirAb89Td/zCcKKMpZR9opuf+5E6g4M98tkfNlPJ1GsaULGfjWuzl5&#10;7a69A5LlmP4QJ5MZc4M5mRqhfSV5L2M3CgkrqWfJZcDT5S4MWqYfRKrlMqWRsJwID3btZCweAY3g&#10;vvSvAt2RgUDcPcJJX6J4R8SQO1Cx3AXQTWIpQjzgeUSeRJnIO/5AUfVv7ynr8psvfg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OfEBOEZAgAALgQAAA4AAAAAAAAAAAAAAAAALgIAAGRycy9lMm9Eb2MueG1sUEsBAi0AFAAGAAgA&#10;AAAhAL4fCrfaAAAABQEAAA8AAAAAAAAAAAAAAAAAcwQAAGRycy9kb3ducmV2LnhtbFBLBQYAAAAA&#10;BAAEAPMAAAB6BQAAAAA=&#10;" o:allowincell="f" filled="f" stroked="f" strokeweight=".5pt">
              <v:textbox inset=",0,,0">
                <w:txbxContent>
                  <w:p w14:paraId="77905639" w14:textId="0D892EC5" w:rsidR="006667C5" w:rsidRPr="000E65B7" w:rsidRDefault="000E65B7" w:rsidP="000E65B7">
                    <w:pPr>
                      <w:spacing w:after="0"/>
                      <w:jc w:val="center"/>
                      <w:rPr>
                        <w:rFonts w:ascii="Calibri" w:hAnsi="Calibri" w:cs="Calibri"/>
                        <w:color w:val="000000"/>
                        <w:sz w:val="24"/>
                      </w:rPr>
                    </w:pPr>
                    <w:r w:rsidRPr="000E65B7">
                      <w:rPr>
                        <w:rFonts w:ascii="Calibri" w:hAnsi="Calibri" w:cs="Calibri"/>
                        <w:color w:val="000000"/>
                        <w:sz w:val="24"/>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B46D" w14:textId="5BB16CA2" w:rsidR="006667C5" w:rsidRDefault="006667C5">
    <w:pPr>
      <w:pStyle w:val="Footer"/>
    </w:pPr>
    <w:r>
      <w:rPr>
        <w:noProof/>
        <w:lang w:val="en-GB" w:eastAsia="en-GB"/>
      </w:rPr>
      <mc:AlternateContent>
        <mc:Choice Requires="wps">
          <w:drawing>
            <wp:anchor distT="0" distB="0" distL="114300" distR="114300" simplePos="0" relativeHeight="251831411" behindDoc="0" locked="0" layoutInCell="0" allowOverlap="1" wp14:anchorId="40A16083" wp14:editId="3759423A">
              <wp:simplePos x="0" y="9403953"/>
              <wp:positionH relativeFrom="page">
                <wp:align>center</wp:align>
              </wp:positionH>
              <wp:positionV relativeFrom="page">
                <wp:align>bottom</wp:align>
              </wp:positionV>
              <wp:extent cx="7772400" cy="463550"/>
              <wp:effectExtent l="0" t="0" r="0" b="12700"/>
              <wp:wrapNone/>
              <wp:docPr id="16" name="MSIPCM7eda4f809b48179739968ca3" descr="{&quot;HashCode&quot;:-1264680268,&quot;Height&quot;:9999999.0,&quot;Width&quot;:9999999.0,&quot;Placement&quot;:&quot;Foot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0B1945" w14:textId="1950B81C" w:rsidR="006667C5" w:rsidRPr="000E65B7" w:rsidRDefault="000E65B7" w:rsidP="000E65B7">
                          <w:pPr>
                            <w:spacing w:after="0"/>
                            <w:jc w:val="center"/>
                            <w:rPr>
                              <w:rFonts w:ascii="Calibri" w:hAnsi="Calibri" w:cs="Calibri"/>
                              <w:color w:val="000000"/>
                              <w:sz w:val="24"/>
                            </w:rPr>
                          </w:pPr>
                          <w:r w:rsidRPr="000E65B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0A16083" id="_x0000_t202" coordsize="21600,21600" o:spt="202" path="m,l,21600r21600,l21600,xe">
              <v:stroke joinstyle="miter"/>
              <v:path gradientshapeok="t" o:connecttype="rect"/>
            </v:shapetype>
            <v:shape id="MSIPCM7eda4f809b48179739968ca3" o:spid="_x0000_s1055" type="#_x0000_t202" alt="{&quot;HashCode&quot;:-1264680268,&quot;Height&quot;:9999999.0,&quot;Width&quot;:9999999.0,&quot;Placement&quot;:&quot;Footer&quot;,&quot;Index&quot;:&quot;Primary&quot;,&quot;Section&quot;:8,&quot;Top&quot;:0.0,&quot;Left&quot;:0.0}" style="position:absolute;margin-left:0;margin-top:0;width:612pt;height:36.5pt;z-index:25183141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Gvd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1pkQ1UB9oPYaDeO7lsaIiV&#10;8OFZIHFNc5N+wxMd2gA1g6PFWQ3462/+mE8UUJSzjrRTcv9zJ1BxZr5bIufLeDqNYksXMvCtd3Py&#10;2l17DyTLMf0hTiYz5gZzMjVC+0ryXsRuFBJWUs+Sy4Cny30YtEw/iFSLRUojYTkRVnbtZCweAY3g&#10;vvSvAt2RgUDcPcJJX6J4R8SQO1Cx2AXQTWIpQjzgeUSeRJnIO/5AUfVv7ynr8pvPfw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O+0a90ZAgAALgQAAA4AAAAAAAAAAAAAAAAALgIAAGRycy9lMm9Eb2MueG1sUEsBAi0AFAAGAAgA&#10;AAAhAL4fCrfaAAAABQEAAA8AAAAAAAAAAAAAAAAAcwQAAGRycy9kb3ducmV2LnhtbFBLBQYAAAAA&#10;BAAEAPMAAAB6BQAAAAA=&#10;" o:allowincell="f" filled="f" stroked="f" strokeweight=".5pt">
              <v:textbox inset=",0,,0">
                <w:txbxContent>
                  <w:p w14:paraId="4B0B1945" w14:textId="1950B81C" w:rsidR="006667C5" w:rsidRPr="000E65B7" w:rsidRDefault="000E65B7" w:rsidP="000E65B7">
                    <w:pPr>
                      <w:spacing w:after="0"/>
                      <w:jc w:val="center"/>
                      <w:rPr>
                        <w:rFonts w:ascii="Calibri" w:hAnsi="Calibri" w:cs="Calibri"/>
                        <w:color w:val="000000"/>
                        <w:sz w:val="24"/>
                      </w:rPr>
                    </w:pPr>
                    <w:r w:rsidRPr="000E65B7">
                      <w:rPr>
                        <w:rFonts w:ascii="Calibri" w:hAnsi="Calibri" w:cs="Calibri"/>
                        <w:color w:val="000000"/>
                        <w:sz w:val="24"/>
                      </w:rPr>
                      <w:t>OFFICIAL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FA4F" w14:textId="1BB3009C" w:rsidR="006667C5" w:rsidRPr="004E2D4F" w:rsidRDefault="006667C5" w:rsidP="00E3679A">
    <w:pPr>
      <w:rPr>
        <w:color w:val="00B2A9" w:themeColor="accent1"/>
      </w:rPr>
    </w:pPr>
    <w:r>
      <w:rPr>
        <w:noProof/>
        <w:color w:val="00B2A9" w:themeColor="accent1"/>
        <w:lang w:val="en-GB" w:eastAsia="en-GB"/>
      </w:rPr>
      <mc:AlternateContent>
        <mc:Choice Requires="wps">
          <w:drawing>
            <wp:anchor distT="0" distB="0" distL="114300" distR="114300" simplePos="0" relativeHeight="251833424" behindDoc="0" locked="0" layoutInCell="0" allowOverlap="1" wp14:anchorId="3D2B2A7A" wp14:editId="34ADBA9D">
              <wp:simplePos x="0" y="0"/>
              <wp:positionH relativeFrom="page">
                <wp:align>center</wp:align>
              </wp:positionH>
              <wp:positionV relativeFrom="page">
                <wp:align>bottom</wp:align>
              </wp:positionV>
              <wp:extent cx="7772400" cy="463550"/>
              <wp:effectExtent l="0" t="0" r="0" b="12700"/>
              <wp:wrapNone/>
              <wp:docPr id="17" name="MSIPCM7cf147fbb48f5ce4d91ea9ff" descr="{&quot;HashCode&quot;:-1264680268,&quot;Height&quot;:9999999.0,&quot;Width&quot;:9999999.0,&quot;Placement&quot;:&quot;Footer&quot;,&quot;Index&quot;:&quot;FirstPage&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D8B020" w14:textId="174A7E63" w:rsidR="006667C5" w:rsidRPr="000E65B7" w:rsidRDefault="000E65B7" w:rsidP="000E65B7">
                          <w:pPr>
                            <w:spacing w:after="0"/>
                            <w:jc w:val="center"/>
                            <w:rPr>
                              <w:rFonts w:ascii="Calibri" w:hAnsi="Calibri" w:cs="Calibri"/>
                              <w:color w:val="000000"/>
                              <w:sz w:val="24"/>
                            </w:rPr>
                          </w:pPr>
                          <w:r w:rsidRPr="000E65B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D2B2A7A" id="_x0000_t202" coordsize="21600,21600" o:spt="202" path="m,l,21600r21600,l21600,xe">
              <v:stroke joinstyle="miter"/>
              <v:path gradientshapeok="t" o:connecttype="rect"/>
            </v:shapetype>
            <v:shape id="MSIPCM7cf147fbb48f5ce4d91ea9ff" o:spid="_x0000_s1056" type="#_x0000_t202" alt="{&quot;HashCode&quot;:-1264680268,&quot;Height&quot;:9999999.0,&quot;Width&quot;:9999999.0,&quot;Placement&quot;:&quot;Footer&quot;,&quot;Index&quot;:&quot;FirstPage&quot;,&quot;Section&quot;:8,&quot;Top&quot;:0.0,&quot;Left&quot;:0.0}" style="position:absolute;margin-left:0;margin-top:0;width:612pt;height:36.5pt;z-index:25183342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9C0GQIAAC4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PRHrenRTZQHWg/hIF67+SyoSFW&#10;wodngcQ1zU36DU90aAPUDI4WZzXgr7/5Yz5RQFHOOtJOyf3PnUDFmfluiZzb8XQaxZYuZOBb7+bk&#10;tbv2HkiWY/pDnExmzA3mZGqE9pXkvYjdKCSspJ4llwFPl/swaJl+EKkWi5RGwnIirOzayVg8AhrB&#10;felfBbojA4G4e4STvkTxjoghd6BisQugm8RShHjA84g8iTKRd/yBourf3lPW5Tef/wY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GJD0LQZAgAALgQAAA4AAAAAAAAAAAAAAAAALgIAAGRycy9lMm9Eb2MueG1sUEsBAi0AFAAGAAgA&#10;AAAhAL4fCrfaAAAABQEAAA8AAAAAAAAAAAAAAAAAcwQAAGRycy9kb3ducmV2LnhtbFBLBQYAAAAA&#10;BAAEAPMAAAB6BQAAAAA=&#10;" o:allowincell="f" filled="f" stroked="f" strokeweight=".5pt">
              <v:textbox inset=",0,,0">
                <w:txbxContent>
                  <w:p w14:paraId="4ED8B020" w14:textId="174A7E63" w:rsidR="006667C5" w:rsidRPr="000E65B7" w:rsidRDefault="000E65B7" w:rsidP="000E65B7">
                    <w:pPr>
                      <w:spacing w:after="0"/>
                      <w:jc w:val="center"/>
                      <w:rPr>
                        <w:rFonts w:ascii="Calibri" w:hAnsi="Calibri" w:cs="Calibri"/>
                        <w:color w:val="000000"/>
                        <w:sz w:val="24"/>
                      </w:rPr>
                    </w:pPr>
                    <w:r w:rsidRPr="000E65B7">
                      <w:rPr>
                        <w:rFonts w:ascii="Calibri" w:hAnsi="Calibri" w:cs="Calibri"/>
                        <w:color w:val="000000"/>
                        <w:sz w:val="24"/>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99CF" w14:textId="569F9D7F" w:rsidR="006667C5" w:rsidRDefault="006667C5">
    <w:pPr>
      <w:pStyle w:val="Footer"/>
    </w:pPr>
    <w:r>
      <w:rPr>
        <w:noProof/>
        <w:lang w:val="en-GB" w:eastAsia="en-GB"/>
      </w:rPr>
      <mc:AlternateContent>
        <mc:Choice Requires="wps">
          <w:drawing>
            <wp:anchor distT="0" distB="0" distL="114300" distR="114300" simplePos="0" relativeHeight="251716095" behindDoc="0" locked="0" layoutInCell="0" allowOverlap="1" wp14:anchorId="4469EA27" wp14:editId="2FF9DD14">
              <wp:simplePos x="0" y="9403953"/>
              <wp:positionH relativeFrom="page">
                <wp:align>center</wp:align>
              </wp:positionH>
              <wp:positionV relativeFrom="page">
                <wp:align>bottom</wp:align>
              </wp:positionV>
              <wp:extent cx="7772400" cy="463550"/>
              <wp:effectExtent l="0" t="0" r="0" b="12700"/>
              <wp:wrapNone/>
              <wp:docPr id="29" name="MSIPCMb2994b55957668d6b6d7f531" descr="{&quot;HashCode&quot;:-1264680268,&quot;Height&quot;:9999999.0,&quot;Width&quot;:9999999.0,&quot;Placement&quot;:&quot;Footer&quot;,&quot;Index&quot;:&quot;OddAndEven&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98B041" w14:textId="105EBC86" w:rsidR="006667C5" w:rsidRPr="00157640" w:rsidRDefault="006667C5" w:rsidP="00157640">
                          <w:pPr>
                            <w:spacing w:after="0"/>
                            <w:jc w:val="center"/>
                            <w:rPr>
                              <w:rFonts w:ascii="Calibri" w:hAnsi="Calibri" w:cs="Calibri"/>
                              <w:color w:val="000000"/>
                              <w:sz w:val="24"/>
                            </w:rPr>
                          </w:pPr>
                          <w:r w:rsidRPr="0015764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469EA27" id="_x0000_t202" coordsize="21600,21600" o:spt="202" path="m,l,21600r21600,l21600,xe">
              <v:stroke joinstyle="miter"/>
              <v:path gradientshapeok="t" o:connecttype="rect"/>
            </v:shapetype>
            <v:shape id="MSIPCMb2994b55957668d6b6d7f531" o:spid="_x0000_s1057" type="#_x0000_t202" alt="{&quot;HashCode&quot;:-1264680268,&quot;Height&quot;:9999999.0,&quot;Width&quot;:9999999.0,&quot;Placement&quot;:&quot;Footer&quot;,&quot;Index&quot;:&quot;OddAndEven&quot;,&quot;Section&quot;:9,&quot;Top&quot;:0.0,&quot;Left&quot;:0.0}" style="position:absolute;margin-left:0;margin-top:0;width:612pt;height:36.5pt;z-index:25171609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odIGA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ir5KE0QXWuo9rQfwoF67+SioSGW&#10;wocngcQ1zU36DY90aAPUDI4WZzXgn/f8MZ8ooChnHWmn5P73VqDizPy0RM634XgcxZYuZOBr7/rk&#10;tdv2DkiWQ/pDnExmzA3mZGqE9oXkPY/dKCSspJ4llwFPl7tw0DL9IFLN5ymNhOVEWNqVk7F4BDSC&#10;+9y/CHRHBgJx9wAnfYniDRGH3AMV820A3SSWLngekSdRJvKOP1BU/et7yrr85rO/AA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s6HSBgCAAAuBAAADgAAAAAAAAAAAAAAAAAuAgAAZHJzL2Uyb0RvYy54bWxQSwECLQAUAAYACAAA&#10;ACEAvh8Kt9oAAAAFAQAADwAAAAAAAAAAAAAAAAByBAAAZHJzL2Rvd25yZXYueG1sUEsFBgAAAAAE&#10;AAQA8wAAAHkFAAAAAA==&#10;" o:allowincell="f" filled="f" stroked="f" strokeweight=".5pt">
              <v:textbox inset=",0,,0">
                <w:txbxContent>
                  <w:p w14:paraId="2B98B041" w14:textId="105EBC86" w:rsidR="006667C5" w:rsidRPr="00157640" w:rsidRDefault="006667C5" w:rsidP="00157640">
                    <w:pPr>
                      <w:spacing w:after="0"/>
                      <w:jc w:val="center"/>
                      <w:rPr>
                        <w:rFonts w:ascii="Calibri" w:hAnsi="Calibri" w:cs="Calibri"/>
                        <w:color w:val="000000"/>
                        <w:sz w:val="24"/>
                      </w:rPr>
                    </w:pPr>
                    <w:r w:rsidRPr="00157640">
                      <w:rPr>
                        <w:rFonts w:ascii="Calibri" w:hAnsi="Calibri" w:cs="Calibri"/>
                        <w:color w:val="000000"/>
                        <w:sz w:val="24"/>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55C5D" w14:textId="137C76C6" w:rsidR="006667C5" w:rsidRPr="00371E21" w:rsidRDefault="006667C5" w:rsidP="00DE01BF">
    <w:pPr>
      <w:rPr>
        <w:rStyle w:val="zRptPgNum"/>
        <w:color w:val="auto"/>
      </w:rPr>
    </w:pPr>
    <w:r>
      <w:rPr>
        <w:rFonts w:ascii="Calibri" w:hAnsi="Calibri"/>
        <w:noProof/>
        <w:sz w:val="16"/>
        <w:lang w:val="en-GB" w:eastAsia="en-GB"/>
      </w:rPr>
      <mc:AlternateContent>
        <mc:Choice Requires="wps">
          <w:drawing>
            <wp:anchor distT="0" distB="0" distL="114300" distR="114300" simplePos="0" relativeHeight="251797976" behindDoc="0" locked="0" layoutInCell="0" allowOverlap="1" wp14:anchorId="28E539A9" wp14:editId="215B81D3">
              <wp:simplePos x="0" y="9403953"/>
              <wp:positionH relativeFrom="page">
                <wp:align>center</wp:align>
              </wp:positionH>
              <wp:positionV relativeFrom="page">
                <wp:align>bottom</wp:align>
              </wp:positionV>
              <wp:extent cx="7772400" cy="463550"/>
              <wp:effectExtent l="0" t="0" r="0" b="12700"/>
              <wp:wrapNone/>
              <wp:docPr id="26" name="MSIPCMd346456e988e74be203ee2ef" descr="{&quot;HashCode&quot;:-1264680268,&quot;Height&quot;:9999999.0,&quot;Width&quot;:9999999.0,&quot;Placement&quot;:&quot;Foot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710492" w14:textId="4B40D120" w:rsidR="006667C5" w:rsidRPr="00584FA8" w:rsidRDefault="006667C5" w:rsidP="00584FA8">
                          <w:pPr>
                            <w:spacing w:after="0"/>
                            <w:jc w:val="center"/>
                            <w:rPr>
                              <w:rFonts w:ascii="Calibri" w:hAnsi="Calibri" w:cs="Calibri"/>
                              <w:color w:val="000000"/>
                              <w:sz w:val="24"/>
                            </w:rPr>
                          </w:pPr>
                          <w:r w:rsidRPr="00584FA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8E539A9" id="_x0000_t202" coordsize="21600,21600" o:spt="202" path="m,l,21600r21600,l21600,xe">
              <v:stroke joinstyle="miter"/>
              <v:path gradientshapeok="t" o:connecttype="rect"/>
            </v:shapetype>
            <v:shape id="MSIPCMd346456e988e74be203ee2ef" o:spid="_x0000_s1058" type="#_x0000_t202" alt="{&quot;HashCode&quot;:-1264680268,&quot;Height&quot;:9999999.0,&quot;Width&quot;:9999999.0,&quot;Placement&quot;:&quot;Footer&quot;,&quot;Index&quot;:&quot;Primary&quot;,&quot;Section&quot;:9,&quot;Top&quot;:0.0,&quot;Left&quot;:0.0}" style="position:absolute;margin-left:0;margin-top:0;width:612pt;height:36.5pt;z-index:25179797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Twh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wX2UB1oP0QBuq9k8uGhlgJ&#10;H54FEtc0N+k3PNGhDVAzOFqc1YC//uaP+UQBRTnrSDsl9z93AhVn5rslcr6Mp9MotnQhA996Nyev&#10;3bX3QLIc0x/iZDJjbjAnUyO0ryTvRexGIWEl9Sy5DHi63IdBy/SDSLVYpDQSlhNhZddOxuIR0Aju&#10;S/8q0B0ZCMTdI5z0JYp3RAy5AxWLXQDdJJYixAOeR+RJlIm84w8UVf/2nrIuv/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Hc5PCEZAgAALgQAAA4AAAAAAAAAAAAAAAAALgIAAGRycy9lMm9Eb2MueG1sUEsBAi0AFAAGAAgA&#10;AAAhAL4fCrfaAAAABQEAAA8AAAAAAAAAAAAAAAAAcwQAAGRycy9kb3ducmV2LnhtbFBLBQYAAAAA&#10;BAAEAPMAAAB6BQAAAAA=&#10;" o:allowincell="f" filled="f" stroked="f" strokeweight=".5pt">
              <v:textbox inset=",0,,0">
                <w:txbxContent>
                  <w:p w14:paraId="12710492" w14:textId="4B40D120" w:rsidR="006667C5" w:rsidRPr="00584FA8" w:rsidRDefault="006667C5" w:rsidP="00584FA8">
                    <w:pPr>
                      <w:spacing w:after="0"/>
                      <w:jc w:val="center"/>
                      <w:rPr>
                        <w:rFonts w:ascii="Calibri" w:hAnsi="Calibri" w:cs="Calibri"/>
                        <w:color w:val="000000"/>
                        <w:sz w:val="24"/>
                      </w:rPr>
                    </w:pPr>
                    <w:r w:rsidRPr="00584FA8">
                      <w:rPr>
                        <w:rFonts w:ascii="Calibri" w:hAnsi="Calibri" w:cs="Calibri"/>
                        <w:color w:val="000000"/>
                        <w:sz w:val="24"/>
                      </w:rPr>
                      <w:t>OFFICIAL</w:t>
                    </w:r>
                  </w:p>
                </w:txbxContent>
              </v:textbox>
              <w10:wrap anchorx="page" anchory="page"/>
            </v:shape>
          </w:pict>
        </mc:Fallback>
      </mc:AlternateContent>
    </w:r>
  </w:p>
  <w:p w14:paraId="25A51FBF" w14:textId="77777777" w:rsidR="006667C5" w:rsidRPr="00A60CCB" w:rsidRDefault="006667C5" w:rsidP="00DE01BF">
    <w:pPr>
      <w:rPr>
        <w:color w:val="228591"/>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166E" w14:textId="56657579" w:rsidR="006667C5" w:rsidRDefault="006667C5">
    <w:pPr>
      <w:pStyle w:val="Footer"/>
    </w:pPr>
    <w:r>
      <w:rPr>
        <w:noProof/>
        <w:lang w:val="en-GB" w:eastAsia="en-GB"/>
      </w:rPr>
      <mc:AlternateContent>
        <mc:Choice Requires="wps">
          <w:drawing>
            <wp:anchor distT="0" distB="0" distL="114300" distR="114300" simplePos="0" relativeHeight="251801093" behindDoc="0" locked="0" layoutInCell="0" allowOverlap="1" wp14:anchorId="0D587C6D" wp14:editId="41B20011">
              <wp:simplePos x="0" y="9403953"/>
              <wp:positionH relativeFrom="page">
                <wp:align>center</wp:align>
              </wp:positionH>
              <wp:positionV relativeFrom="page">
                <wp:align>bottom</wp:align>
              </wp:positionV>
              <wp:extent cx="7772400" cy="463550"/>
              <wp:effectExtent l="0" t="0" r="0" b="12700"/>
              <wp:wrapNone/>
              <wp:docPr id="27" name="MSIPCMa45845cf9c43e0e650ff6dd6" descr="{&quot;HashCode&quot;:-1264680268,&quot;Height&quot;:9999999.0,&quot;Width&quot;:9999999.0,&quot;Placement&quot;:&quot;Footer&quot;,&quot;Index&quot;:&quot;FirstPage&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0D7A93" w14:textId="4C315D22" w:rsidR="006667C5" w:rsidRPr="00584FA8" w:rsidRDefault="006667C5" w:rsidP="00584FA8">
                          <w:pPr>
                            <w:spacing w:after="0"/>
                            <w:jc w:val="center"/>
                            <w:rPr>
                              <w:rFonts w:ascii="Calibri" w:hAnsi="Calibri" w:cs="Calibri"/>
                              <w:color w:val="000000"/>
                              <w:sz w:val="24"/>
                            </w:rPr>
                          </w:pPr>
                          <w:r w:rsidRPr="00584FA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D587C6D" id="_x0000_t202" coordsize="21600,21600" o:spt="202" path="m,l,21600r21600,l21600,xe">
              <v:stroke joinstyle="miter"/>
              <v:path gradientshapeok="t" o:connecttype="rect"/>
            </v:shapetype>
            <v:shape id="MSIPCMa45845cf9c43e0e650ff6dd6" o:spid="_x0000_s1059" type="#_x0000_t202" alt="{&quot;HashCode&quot;:-1264680268,&quot;Height&quot;:9999999.0,&quot;Width&quot;:9999999.0,&quot;Placement&quot;:&quot;Footer&quot;,&quot;Index&quot;:&quot;FirstPage&quot;,&quot;Section&quot;:9,&quot;Top&quot;:0.0,&quot;Left&quot;:0.0}" style="position:absolute;margin-left:0;margin-top:0;width:612pt;height:36.5pt;z-index:25180109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Cb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0xOi2ygOtB+CAP13sllQ0Os&#10;hA/PAolrmpv0G57o0AaoGRwtzmrAX3/zx3yigKKcdaSdkvufO4GKM/PdEjlfxtNpFFu6kIFvvZuT&#10;1+7aeyBZjukPcTKZMTeYk6kR2leS9yJ2o5CwknqWXAY8Xe7DoGX6QaRaLFIaCcuJsLJrJ2PxCGgE&#10;96V/FeiODATi7hFO+hLFOyKG3IGKxS6AbhJLEeIBzyPyJMpE3vEHiqp/e09Zl998/hs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OAh8JsZAgAALgQAAA4AAAAAAAAAAAAAAAAALgIAAGRycy9lMm9Eb2MueG1sUEsBAi0AFAAGAAgA&#10;AAAhAL4fCrfaAAAABQEAAA8AAAAAAAAAAAAAAAAAcwQAAGRycy9kb3ducmV2LnhtbFBLBQYAAAAA&#10;BAAEAPMAAAB6BQAAAAA=&#10;" o:allowincell="f" filled="f" stroked="f" strokeweight=".5pt">
              <v:textbox inset=",0,,0">
                <w:txbxContent>
                  <w:p w14:paraId="160D7A93" w14:textId="4C315D22" w:rsidR="006667C5" w:rsidRPr="00584FA8" w:rsidRDefault="006667C5" w:rsidP="00584FA8">
                    <w:pPr>
                      <w:spacing w:after="0"/>
                      <w:jc w:val="center"/>
                      <w:rPr>
                        <w:rFonts w:ascii="Calibri" w:hAnsi="Calibri" w:cs="Calibri"/>
                        <w:color w:val="000000"/>
                        <w:sz w:val="24"/>
                      </w:rPr>
                    </w:pPr>
                    <w:r w:rsidRPr="00584FA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5F6A2" w14:textId="77777777" w:rsidR="00273420" w:rsidRPr="00D07E53" w:rsidRDefault="00273420" w:rsidP="00DC3852">
      <w:r w:rsidRPr="00D20920">
        <w:separator/>
      </w:r>
    </w:p>
    <w:p w14:paraId="2B337E78" w14:textId="77777777" w:rsidR="00273420" w:rsidRDefault="00273420" w:rsidP="00DC3852"/>
  </w:footnote>
  <w:footnote w:type="continuationSeparator" w:id="0">
    <w:p w14:paraId="7607752C" w14:textId="77777777" w:rsidR="00273420" w:rsidRDefault="00273420" w:rsidP="00DC3852">
      <w:r>
        <w:continuationSeparator/>
      </w:r>
    </w:p>
    <w:p w14:paraId="17270C9A" w14:textId="77777777" w:rsidR="00273420" w:rsidRDefault="00273420" w:rsidP="00DC3852"/>
  </w:footnote>
  <w:footnote w:type="continuationNotice" w:id="1">
    <w:p w14:paraId="3DBD25CD" w14:textId="77777777" w:rsidR="00273420" w:rsidRDefault="00273420" w:rsidP="00DC3852"/>
    <w:p w14:paraId="1C60015E" w14:textId="77777777" w:rsidR="00273420" w:rsidRDefault="00273420" w:rsidP="00DC38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BE64" w14:textId="77777777" w:rsidR="00654C6C" w:rsidRDefault="00654C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6975" w14:textId="77777777" w:rsidR="006667C5" w:rsidRDefault="006667C5" w:rsidP="00DC3852">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1A8C" w14:textId="77777777" w:rsidR="00654C6C" w:rsidRDefault="00654C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BEF6" w14:textId="77777777" w:rsidR="006667C5" w:rsidRDefault="006667C5" w:rsidP="00DC38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3AA1" w14:textId="77777777" w:rsidR="006667C5" w:rsidRPr="00E3679A" w:rsidRDefault="006667C5" w:rsidP="00DC38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AF62B" w14:textId="77777777" w:rsidR="006667C5" w:rsidRPr="002B32FF" w:rsidRDefault="006667C5" w:rsidP="00DC38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E3612" w14:textId="77777777" w:rsidR="006667C5" w:rsidRPr="00C9172F" w:rsidRDefault="006667C5" w:rsidP="00C917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B772B7"/>
    <w:multiLevelType w:val="multilevel"/>
    <w:tmpl w:val="C18CA0E6"/>
    <w:lvl w:ilvl="0">
      <w:start w:val="1"/>
      <w:numFmt w:val="decimal"/>
      <w:pStyle w:val="Heading1-Numbered"/>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33D47AE"/>
    <w:multiLevelType w:val="hybridMultilevel"/>
    <w:tmpl w:val="51B4D1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64C0DE0"/>
    <w:multiLevelType w:val="multilevel"/>
    <w:tmpl w:val="2216F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F8C6D7B"/>
    <w:multiLevelType w:val="hybridMultilevel"/>
    <w:tmpl w:val="A5E0F9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A595665"/>
    <w:multiLevelType w:val="hybridMultilevel"/>
    <w:tmpl w:val="D4D0DA64"/>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D2502A"/>
    <w:multiLevelType w:val="hybridMultilevel"/>
    <w:tmpl w:val="648E11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7C3BE4"/>
    <w:multiLevelType w:val="hybridMultilevel"/>
    <w:tmpl w:val="8E12B6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4FE74BE"/>
    <w:multiLevelType w:val="hybridMultilevel"/>
    <w:tmpl w:val="0B5ABA24"/>
    <w:lvl w:ilvl="0" w:tplc="77DA6E62">
      <w:start w:val="1"/>
      <w:numFmt w:val="lowerLetter"/>
      <w:pStyle w:val="ARIERindentedlett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900D1"/>
    <w:multiLevelType w:val="hybridMultilevel"/>
    <w:tmpl w:val="F2F67FCA"/>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66A76B7"/>
    <w:multiLevelType w:val="hybridMultilevel"/>
    <w:tmpl w:val="41C45F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0F249F"/>
    <w:multiLevelType w:val="hybridMultilevel"/>
    <w:tmpl w:val="3CC2422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61A24CDA"/>
    <w:multiLevelType w:val="hybridMultilevel"/>
    <w:tmpl w:val="50A2B26A"/>
    <w:lvl w:ilvl="0" w:tplc="C0CCDBB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A643C5B"/>
    <w:multiLevelType w:val="hybridMultilevel"/>
    <w:tmpl w:val="6B82B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2A0464A"/>
    <w:multiLevelType w:val="hybridMultilevel"/>
    <w:tmpl w:val="8F8C5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DC1384"/>
    <w:multiLevelType w:val="hybridMultilevel"/>
    <w:tmpl w:val="BEECDF54"/>
    <w:lvl w:ilvl="0" w:tplc="C6901DB4">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16"/>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0"/>
  </w:num>
  <w:num w:numId="16">
    <w:abstractNumId w:val="22"/>
  </w:num>
  <w:num w:numId="17">
    <w:abstractNumId w:val="15"/>
  </w:num>
  <w:num w:numId="18">
    <w:abstractNumId w:val="13"/>
  </w:num>
  <w:num w:numId="19">
    <w:abstractNumId w:val="35"/>
  </w:num>
  <w:num w:numId="20">
    <w:abstractNumId w:val="27"/>
  </w:num>
  <w:num w:numId="21">
    <w:abstractNumId w:val="26"/>
  </w:num>
  <w:num w:numId="22">
    <w:abstractNumId w:val="32"/>
  </w:num>
  <w:num w:numId="23">
    <w:abstractNumId w:val="33"/>
  </w:num>
  <w:num w:numId="24">
    <w:abstractNumId w:val="11"/>
  </w:num>
  <w:num w:numId="25">
    <w:abstractNumId w:val="27"/>
    <w:lvlOverride w:ilvl="0">
      <w:startOverride w:val="1"/>
    </w:lvlOverride>
  </w:num>
  <w:num w:numId="26">
    <w:abstractNumId w:val="18"/>
  </w:num>
  <w:num w:numId="27">
    <w:abstractNumId w:val="36"/>
  </w:num>
  <w:num w:numId="28">
    <w:abstractNumId w:val="20"/>
  </w:num>
  <w:num w:numId="29">
    <w:abstractNumId w:val="15"/>
  </w:num>
  <w:num w:numId="30">
    <w:abstractNumId w:val="15"/>
  </w:num>
  <w:num w:numId="31">
    <w:abstractNumId w:val="34"/>
  </w:num>
  <w:num w:numId="32">
    <w:abstractNumId w:val="25"/>
  </w:num>
  <w:num w:numId="33">
    <w:abstractNumId w:val="23"/>
  </w:num>
  <w:num w:numId="34">
    <w:abstractNumId w:val="30"/>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31"/>
  </w:num>
  <w:num w:numId="38">
    <w:abstractNumId w:val="29"/>
  </w:num>
  <w:num w:numId="39">
    <w:abstractNumId w:val="17"/>
  </w:num>
  <w:num w:numId="40">
    <w:abstractNumId w:val="24"/>
  </w:num>
  <w:num w:numId="41">
    <w:abstractNumId w:val="19"/>
  </w:num>
  <w:num w:numId="42">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US" w:vendorID="64" w:dllVersion="6" w:nlCheck="1" w:checkStyle="0"/>
  <w:activeWritingStyle w:appName="MSWord" w:lang="en-AU" w:vendorID="64" w:dllVersion="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1" w:cryptProviderType="rsaAES" w:cryptAlgorithmClass="hash" w:cryptAlgorithmType="typeAny" w:cryptAlgorithmSid="14" w:cryptSpinCount="100000" w:hash="8lFsrrMAFqdDtbtqjfySI6YeDaKu2cOlO3beTTIyaicmem8omWYlhKSYPwrSmdyBcWwuP/WyTdjbvCT05POQRA==" w:salt="GFAvdzlUfOKmunV4b5vVmg=="/>
  <w:defaultTabStop w:val="720"/>
  <w:evenAndOddHeaders/>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3MzW1sLA0NTKwNDVW0lEKTi0uzszPAykwsqwFAD9jkdYtAAAA"/>
    <w:docVar w:name="EN.InstantFormat" w:val="&lt;ENInstantFormat&gt;&lt;Enabled&gt;1&lt;/Enabled&gt;&lt;ScanUnformatted&gt;1&lt;/ScanUnformatted&gt;&lt;ScanChanges&gt;1&lt;/ScanChanges&gt;&lt;Suspended&gt;0&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9A2B34"/>
    <w:rsid w:val="000017BB"/>
    <w:rsid w:val="00001E48"/>
    <w:rsid w:val="00003A07"/>
    <w:rsid w:val="00003CB6"/>
    <w:rsid w:val="00004C89"/>
    <w:rsid w:val="00004E8C"/>
    <w:rsid w:val="0000509B"/>
    <w:rsid w:val="00007345"/>
    <w:rsid w:val="00007627"/>
    <w:rsid w:val="0000767D"/>
    <w:rsid w:val="00010544"/>
    <w:rsid w:val="00010A77"/>
    <w:rsid w:val="00011438"/>
    <w:rsid w:val="0001205B"/>
    <w:rsid w:val="00012793"/>
    <w:rsid w:val="000129C9"/>
    <w:rsid w:val="00014002"/>
    <w:rsid w:val="0001410E"/>
    <w:rsid w:val="00014E49"/>
    <w:rsid w:val="00016064"/>
    <w:rsid w:val="00016289"/>
    <w:rsid w:val="00020E34"/>
    <w:rsid w:val="000213FC"/>
    <w:rsid w:val="00021509"/>
    <w:rsid w:val="000222B1"/>
    <w:rsid w:val="00022C0F"/>
    <w:rsid w:val="00023BB2"/>
    <w:rsid w:val="00024D90"/>
    <w:rsid w:val="000266B0"/>
    <w:rsid w:val="00026728"/>
    <w:rsid w:val="000267CD"/>
    <w:rsid w:val="0003062D"/>
    <w:rsid w:val="000309A3"/>
    <w:rsid w:val="00033DF0"/>
    <w:rsid w:val="00033FC6"/>
    <w:rsid w:val="00034068"/>
    <w:rsid w:val="00034369"/>
    <w:rsid w:val="000356C5"/>
    <w:rsid w:val="00035D62"/>
    <w:rsid w:val="000362B1"/>
    <w:rsid w:val="00037867"/>
    <w:rsid w:val="00040071"/>
    <w:rsid w:val="00041156"/>
    <w:rsid w:val="000411CF"/>
    <w:rsid w:val="000421BC"/>
    <w:rsid w:val="00043E60"/>
    <w:rsid w:val="0004411D"/>
    <w:rsid w:val="00044D9D"/>
    <w:rsid w:val="00045ED5"/>
    <w:rsid w:val="00046987"/>
    <w:rsid w:val="0004704E"/>
    <w:rsid w:val="00050233"/>
    <w:rsid w:val="0005057A"/>
    <w:rsid w:val="0005163F"/>
    <w:rsid w:val="00051887"/>
    <w:rsid w:val="00051FE1"/>
    <w:rsid w:val="00053526"/>
    <w:rsid w:val="00054788"/>
    <w:rsid w:val="000547F1"/>
    <w:rsid w:val="0005555C"/>
    <w:rsid w:val="00055E7F"/>
    <w:rsid w:val="00055FB4"/>
    <w:rsid w:val="0005616D"/>
    <w:rsid w:val="0005745B"/>
    <w:rsid w:val="00057DD5"/>
    <w:rsid w:val="00060284"/>
    <w:rsid w:val="00060383"/>
    <w:rsid w:val="00060A68"/>
    <w:rsid w:val="00061DBC"/>
    <w:rsid w:val="00063D97"/>
    <w:rsid w:val="000641DF"/>
    <w:rsid w:val="0006507E"/>
    <w:rsid w:val="0006587E"/>
    <w:rsid w:val="0006629B"/>
    <w:rsid w:val="00066B41"/>
    <w:rsid w:val="000672B0"/>
    <w:rsid w:val="000675CA"/>
    <w:rsid w:val="000704B7"/>
    <w:rsid w:val="000717C0"/>
    <w:rsid w:val="000718CB"/>
    <w:rsid w:val="0007200A"/>
    <w:rsid w:val="00072AE0"/>
    <w:rsid w:val="00073528"/>
    <w:rsid w:val="00074331"/>
    <w:rsid w:val="0007522B"/>
    <w:rsid w:val="0007550A"/>
    <w:rsid w:val="00076886"/>
    <w:rsid w:val="0008070C"/>
    <w:rsid w:val="000812EB"/>
    <w:rsid w:val="00081764"/>
    <w:rsid w:val="00081E30"/>
    <w:rsid w:val="0008366E"/>
    <w:rsid w:val="00086D3E"/>
    <w:rsid w:val="00086DF3"/>
    <w:rsid w:val="0008754B"/>
    <w:rsid w:val="00087BDC"/>
    <w:rsid w:val="00087DC5"/>
    <w:rsid w:val="000902D6"/>
    <w:rsid w:val="00090458"/>
    <w:rsid w:val="00091775"/>
    <w:rsid w:val="00091D5C"/>
    <w:rsid w:val="0009277F"/>
    <w:rsid w:val="0009426B"/>
    <w:rsid w:val="00095166"/>
    <w:rsid w:val="000966C9"/>
    <w:rsid w:val="0009699E"/>
    <w:rsid w:val="00097EF8"/>
    <w:rsid w:val="000A1B4A"/>
    <w:rsid w:val="000A2203"/>
    <w:rsid w:val="000A3203"/>
    <w:rsid w:val="000A470D"/>
    <w:rsid w:val="000A5E54"/>
    <w:rsid w:val="000B2A8A"/>
    <w:rsid w:val="000B2E20"/>
    <w:rsid w:val="000B3C19"/>
    <w:rsid w:val="000B70B7"/>
    <w:rsid w:val="000B7272"/>
    <w:rsid w:val="000B773D"/>
    <w:rsid w:val="000B7DFD"/>
    <w:rsid w:val="000C025A"/>
    <w:rsid w:val="000C15EE"/>
    <w:rsid w:val="000C1781"/>
    <w:rsid w:val="000C2CB8"/>
    <w:rsid w:val="000C3259"/>
    <w:rsid w:val="000C4DCF"/>
    <w:rsid w:val="000C5BE8"/>
    <w:rsid w:val="000C5F2D"/>
    <w:rsid w:val="000C6EC9"/>
    <w:rsid w:val="000D009F"/>
    <w:rsid w:val="000D121A"/>
    <w:rsid w:val="000D3639"/>
    <w:rsid w:val="000D36F1"/>
    <w:rsid w:val="000D5259"/>
    <w:rsid w:val="000D622E"/>
    <w:rsid w:val="000D6B7B"/>
    <w:rsid w:val="000D7D99"/>
    <w:rsid w:val="000E02A3"/>
    <w:rsid w:val="000E0399"/>
    <w:rsid w:val="000E0643"/>
    <w:rsid w:val="000E1A61"/>
    <w:rsid w:val="000E1DC0"/>
    <w:rsid w:val="000E2D64"/>
    <w:rsid w:val="000E318B"/>
    <w:rsid w:val="000E3720"/>
    <w:rsid w:val="000E3D79"/>
    <w:rsid w:val="000E4132"/>
    <w:rsid w:val="000E65B7"/>
    <w:rsid w:val="000E6BF2"/>
    <w:rsid w:val="000E795D"/>
    <w:rsid w:val="000F03CE"/>
    <w:rsid w:val="000F1683"/>
    <w:rsid w:val="000F1796"/>
    <w:rsid w:val="000F47C0"/>
    <w:rsid w:val="000F5A8F"/>
    <w:rsid w:val="000F6139"/>
    <w:rsid w:val="000F63B8"/>
    <w:rsid w:val="000F646F"/>
    <w:rsid w:val="000F64DD"/>
    <w:rsid w:val="000F70D7"/>
    <w:rsid w:val="00100557"/>
    <w:rsid w:val="00100BAC"/>
    <w:rsid w:val="00100E6D"/>
    <w:rsid w:val="001018C2"/>
    <w:rsid w:val="00101B5E"/>
    <w:rsid w:val="00102ADC"/>
    <w:rsid w:val="00102E08"/>
    <w:rsid w:val="00103A6B"/>
    <w:rsid w:val="00104109"/>
    <w:rsid w:val="00104895"/>
    <w:rsid w:val="00104B27"/>
    <w:rsid w:val="00104C93"/>
    <w:rsid w:val="001053DA"/>
    <w:rsid w:val="001065A1"/>
    <w:rsid w:val="00106DA7"/>
    <w:rsid w:val="00107038"/>
    <w:rsid w:val="00113A36"/>
    <w:rsid w:val="00113DD3"/>
    <w:rsid w:val="00114882"/>
    <w:rsid w:val="0011550C"/>
    <w:rsid w:val="00115667"/>
    <w:rsid w:val="0011624A"/>
    <w:rsid w:val="00120C40"/>
    <w:rsid w:val="001219C0"/>
    <w:rsid w:val="00122A34"/>
    <w:rsid w:val="00125205"/>
    <w:rsid w:val="0012583B"/>
    <w:rsid w:val="00125862"/>
    <w:rsid w:val="001274B6"/>
    <w:rsid w:val="00127BDB"/>
    <w:rsid w:val="001306EF"/>
    <w:rsid w:val="00131CD7"/>
    <w:rsid w:val="00133258"/>
    <w:rsid w:val="00133587"/>
    <w:rsid w:val="001335FD"/>
    <w:rsid w:val="001336D9"/>
    <w:rsid w:val="001348A4"/>
    <w:rsid w:val="0013541C"/>
    <w:rsid w:val="00135C70"/>
    <w:rsid w:val="00136501"/>
    <w:rsid w:val="00136C62"/>
    <w:rsid w:val="00137C8A"/>
    <w:rsid w:val="00140B20"/>
    <w:rsid w:val="001411DC"/>
    <w:rsid w:val="00142733"/>
    <w:rsid w:val="001427EA"/>
    <w:rsid w:val="00142D2C"/>
    <w:rsid w:val="00144794"/>
    <w:rsid w:val="001453FA"/>
    <w:rsid w:val="001456FF"/>
    <w:rsid w:val="001460C4"/>
    <w:rsid w:val="00146192"/>
    <w:rsid w:val="00146C83"/>
    <w:rsid w:val="00150BD2"/>
    <w:rsid w:val="00150C2F"/>
    <w:rsid w:val="00150D31"/>
    <w:rsid w:val="00151C3D"/>
    <w:rsid w:val="00151D75"/>
    <w:rsid w:val="00152CCA"/>
    <w:rsid w:val="00153209"/>
    <w:rsid w:val="00153399"/>
    <w:rsid w:val="00153969"/>
    <w:rsid w:val="001548E3"/>
    <w:rsid w:val="001552F2"/>
    <w:rsid w:val="0015565D"/>
    <w:rsid w:val="001557A0"/>
    <w:rsid w:val="00157640"/>
    <w:rsid w:val="00161890"/>
    <w:rsid w:val="00161F84"/>
    <w:rsid w:val="001622A8"/>
    <w:rsid w:val="001623BC"/>
    <w:rsid w:val="00163067"/>
    <w:rsid w:val="0016331C"/>
    <w:rsid w:val="0016365D"/>
    <w:rsid w:val="00164039"/>
    <w:rsid w:val="00164C47"/>
    <w:rsid w:val="00164DF0"/>
    <w:rsid w:val="00164F59"/>
    <w:rsid w:val="001653FA"/>
    <w:rsid w:val="001653FC"/>
    <w:rsid w:val="00166BB8"/>
    <w:rsid w:val="00167F23"/>
    <w:rsid w:val="00170A92"/>
    <w:rsid w:val="00171878"/>
    <w:rsid w:val="00173689"/>
    <w:rsid w:val="00176774"/>
    <w:rsid w:val="00177115"/>
    <w:rsid w:val="0017745F"/>
    <w:rsid w:val="001774FF"/>
    <w:rsid w:val="0018033F"/>
    <w:rsid w:val="001814BA"/>
    <w:rsid w:val="0018189B"/>
    <w:rsid w:val="0018237E"/>
    <w:rsid w:val="001832E1"/>
    <w:rsid w:val="00183344"/>
    <w:rsid w:val="00185265"/>
    <w:rsid w:val="0018657A"/>
    <w:rsid w:val="00186CFD"/>
    <w:rsid w:val="00187119"/>
    <w:rsid w:val="00190778"/>
    <w:rsid w:val="00190F62"/>
    <w:rsid w:val="00191029"/>
    <w:rsid w:val="00191604"/>
    <w:rsid w:val="00191CFC"/>
    <w:rsid w:val="0019280B"/>
    <w:rsid w:val="001930CF"/>
    <w:rsid w:val="00193567"/>
    <w:rsid w:val="001937BC"/>
    <w:rsid w:val="001958BE"/>
    <w:rsid w:val="0019670F"/>
    <w:rsid w:val="00196BDB"/>
    <w:rsid w:val="001A243B"/>
    <w:rsid w:val="001A3E14"/>
    <w:rsid w:val="001A43D7"/>
    <w:rsid w:val="001A4FE5"/>
    <w:rsid w:val="001A50B3"/>
    <w:rsid w:val="001A5744"/>
    <w:rsid w:val="001A60E1"/>
    <w:rsid w:val="001A792F"/>
    <w:rsid w:val="001B031C"/>
    <w:rsid w:val="001B2982"/>
    <w:rsid w:val="001B2EC4"/>
    <w:rsid w:val="001B32AC"/>
    <w:rsid w:val="001B33B6"/>
    <w:rsid w:val="001B5E48"/>
    <w:rsid w:val="001B6A2F"/>
    <w:rsid w:val="001B6A43"/>
    <w:rsid w:val="001B7713"/>
    <w:rsid w:val="001B7AA9"/>
    <w:rsid w:val="001C0781"/>
    <w:rsid w:val="001C150D"/>
    <w:rsid w:val="001C3EFB"/>
    <w:rsid w:val="001C459C"/>
    <w:rsid w:val="001C558C"/>
    <w:rsid w:val="001C5955"/>
    <w:rsid w:val="001C72D0"/>
    <w:rsid w:val="001D0468"/>
    <w:rsid w:val="001D0C8E"/>
    <w:rsid w:val="001D22A3"/>
    <w:rsid w:val="001D2593"/>
    <w:rsid w:val="001D2717"/>
    <w:rsid w:val="001D2FBB"/>
    <w:rsid w:val="001D6365"/>
    <w:rsid w:val="001D650A"/>
    <w:rsid w:val="001D663D"/>
    <w:rsid w:val="001D739F"/>
    <w:rsid w:val="001D7D81"/>
    <w:rsid w:val="001E2024"/>
    <w:rsid w:val="001E23B9"/>
    <w:rsid w:val="001E3864"/>
    <w:rsid w:val="001E43B5"/>
    <w:rsid w:val="001E4561"/>
    <w:rsid w:val="001E54BE"/>
    <w:rsid w:val="001E5878"/>
    <w:rsid w:val="001E5CCD"/>
    <w:rsid w:val="001E7143"/>
    <w:rsid w:val="001E764C"/>
    <w:rsid w:val="001E7978"/>
    <w:rsid w:val="001F0158"/>
    <w:rsid w:val="001F0356"/>
    <w:rsid w:val="001F09C1"/>
    <w:rsid w:val="001F10BD"/>
    <w:rsid w:val="001F1296"/>
    <w:rsid w:val="001F368E"/>
    <w:rsid w:val="001F51F0"/>
    <w:rsid w:val="001F6F87"/>
    <w:rsid w:val="001F7C65"/>
    <w:rsid w:val="00200E85"/>
    <w:rsid w:val="00200F94"/>
    <w:rsid w:val="0020196D"/>
    <w:rsid w:val="00203F44"/>
    <w:rsid w:val="00204300"/>
    <w:rsid w:val="0020558B"/>
    <w:rsid w:val="00205A81"/>
    <w:rsid w:val="00206311"/>
    <w:rsid w:val="00207048"/>
    <w:rsid w:val="00207A7C"/>
    <w:rsid w:val="002107A6"/>
    <w:rsid w:val="00212907"/>
    <w:rsid w:val="00212AE7"/>
    <w:rsid w:val="00213887"/>
    <w:rsid w:val="0021390F"/>
    <w:rsid w:val="00214534"/>
    <w:rsid w:val="00214B23"/>
    <w:rsid w:val="00215A5D"/>
    <w:rsid w:val="00215C8A"/>
    <w:rsid w:val="00216805"/>
    <w:rsid w:val="00220122"/>
    <w:rsid w:val="0022137C"/>
    <w:rsid w:val="0022188E"/>
    <w:rsid w:val="00222742"/>
    <w:rsid w:val="00222869"/>
    <w:rsid w:val="002228E0"/>
    <w:rsid w:val="00225913"/>
    <w:rsid w:val="00225D17"/>
    <w:rsid w:val="0022657E"/>
    <w:rsid w:val="00226A24"/>
    <w:rsid w:val="002270E9"/>
    <w:rsid w:val="00227A0F"/>
    <w:rsid w:val="00227BDE"/>
    <w:rsid w:val="002306CC"/>
    <w:rsid w:val="00231177"/>
    <w:rsid w:val="00231717"/>
    <w:rsid w:val="00232455"/>
    <w:rsid w:val="00232B6C"/>
    <w:rsid w:val="00235A46"/>
    <w:rsid w:val="00235C7F"/>
    <w:rsid w:val="00236B80"/>
    <w:rsid w:val="00236FF6"/>
    <w:rsid w:val="002401F6"/>
    <w:rsid w:val="00240917"/>
    <w:rsid w:val="002425AF"/>
    <w:rsid w:val="00242707"/>
    <w:rsid w:val="002428C8"/>
    <w:rsid w:val="00243764"/>
    <w:rsid w:val="00243FD6"/>
    <w:rsid w:val="00244428"/>
    <w:rsid w:val="00244645"/>
    <w:rsid w:val="00244B58"/>
    <w:rsid w:val="00245B15"/>
    <w:rsid w:val="00245BC3"/>
    <w:rsid w:val="00245D93"/>
    <w:rsid w:val="00246101"/>
    <w:rsid w:val="00246BEA"/>
    <w:rsid w:val="00246D1B"/>
    <w:rsid w:val="00246E39"/>
    <w:rsid w:val="00247329"/>
    <w:rsid w:val="00247F74"/>
    <w:rsid w:val="00250475"/>
    <w:rsid w:val="00250ACA"/>
    <w:rsid w:val="0025127D"/>
    <w:rsid w:val="0025227C"/>
    <w:rsid w:val="002526EA"/>
    <w:rsid w:val="00252A73"/>
    <w:rsid w:val="002533BB"/>
    <w:rsid w:val="002535E8"/>
    <w:rsid w:val="002549A0"/>
    <w:rsid w:val="0025529E"/>
    <w:rsid w:val="00256969"/>
    <w:rsid w:val="0025705D"/>
    <w:rsid w:val="00257BF1"/>
    <w:rsid w:val="00257C62"/>
    <w:rsid w:val="00260A6B"/>
    <w:rsid w:val="00260C73"/>
    <w:rsid w:val="00261EFC"/>
    <w:rsid w:val="00263C7D"/>
    <w:rsid w:val="00263CCD"/>
    <w:rsid w:val="002643DA"/>
    <w:rsid w:val="0026474F"/>
    <w:rsid w:val="00264A42"/>
    <w:rsid w:val="002665BB"/>
    <w:rsid w:val="00267FDD"/>
    <w:rsid w:val="00270B05"/>
    <w:rsid w:val="00271F86"/>
    <w:rsid w:val="00273420"/>
    <w:rsid w:val="00274342"/>
    <w:rsid w:val="00274C3A"/>
    <w:rsid w:val="00274E8B"/>
    <w:rsid w:val="00275FF9"/>
    <w:rsid w:val="00276E2C"/>
    <w:rsid w:val="002772E3"/>
    <w:rsid w:val="002778A1"/>
    <w:rsid w:val="00281AEE"/>
    <w:rsid w:val="00281AF6"/>
    <w:rsid w:val="00281E9A"/>
    <w:rsid w:val="00281FF0"/>
    <w:rsid w:val="00283141"/>
    <w:rsid w:val="00285925"/>
    <w:rsid w:val="00285B9C"/>
    <w:rsid w:val="00285FC1"/>
    <w:rsid w:val="0028603B"/>
    <w:rsid w:val="00286159"/>
    <w:rsid w:val="00286C91"/>
    <w:rsid w:val="00287526"/>
    <w:rsid w:val="00287D1C"/>
    <w:rsid w:val="00290093"/>
    <w:rsid w:val="00291BB8"/>
    <w:rsid w:val="00294737"/>
    <w:rsid w:val="00294A17"/>
    <w:rsid w:val="00297481"/>
    <w:rsid w:val="0029768C"/>
    <w:rsid w:val="00297E44"/>
    <w:rsid w:val="002A0BC3"/>
    <w:rsid w:val="002A0D3A"/>
    <w:rsid w:val="002A133C"/>
    <w:rsid w:val="002A14BE"/>
    <w:rsid w:val="002A225F"/>
    <w:rsid w:val="002A2CA5"/>
    <w:rsid w:val="002A502B"/>
    <w:rsid w:val="002A56B6"/>
    <w:rsid w:val="002A5AE5"/>
    <w:rsid w:val="002A61B8"/>
    <w:rsid w:val="002A7C78"/>
    <w:rsid w:val="002A7C79"/>
    <w:rsid w:val="002B0B39"/>
    <w:rsid w:val="002B15CF"/>
    <w:rsid w:val="002B1849"/>
    <w:rsid w:val="002B2AE5"/>
    <w:rsid w:val="002B32FF"/>
    <w:rsid w:val="002B440B"/>
    <w:rsid w:val="002B4B78"/>
    <w:rsid w:val="002B54CF"/>
    <w:rsid w:val="002B647F"/>
    <w:rsid w:val="002B6C07"/>
    <w:rsid w:val="002B71D3"/>
    <w:rsid w:val="002B7E80"/>
    <w:rsid w:val="002C1485"/>
    <w:rsid w:val="002C175A"/>
    <w:rsid w:val="002C2124"/>
    <w:rsid w:val="002C317A"/>
    <w:rsid w:val="002C4B46"/>
    <w:rsid w:val="002C4C80"/>
    <w:rsid w:val="002C5BA2"/>
    <w:rsid w:val="002C5BAA"/>
    <w:rsid w:val="002C6463"/>
    <w:rsid w:val="002C77DC"/>
    <w:rsid w:val="002C7961"/>
    <w:rsid w:val="002D1AD6"/>
    <w:rsid w:val="002D1C2C"/>
    <w:rsid w:val="002D26F6"/>
    <w:rsid w:val="002D4720"/>
    <w:rsid w:val="002D527E"/>
    <w:rsid w:val="002D5942"/>
    <w:rsid w:val="002D71E7"/>
    <w:rsid w:val="002E0F63"/>
    <w:rsid w:val="002E11C7"/>
    <w:rsid w:val="002E18B3"/>
    <w:rsid w:val="002E1D3E"/>
    <w:rsid w:val="002E26FA"/>
    <w:rsid w:val="002E4E84"/>
    <w:rsid w:val="002E4FA9"/>
    <w:rsid w:val="002E5193"/>
    <w:rsid w:val="002E56D4"/>
    <w:rsid w:val="002E704E"/>
    <w:rsid w:val="002F042B"/>
    <w:rsid w:val="002F04B4"/>
    <w:rsid w:val="002F0660"/>
    <w:rsid w:val="002F08D2"/>
    <w:rsid w:val="002F14BA"/>
    <w:rsid w:val="002F229B"/>
    <w:rsid w:val="002F2325"/>
    <w:rsid w:val="002F2420"/>
    <w:rsid w:val="002F4E09"/>
    <w:rsid w:val="002F5F52"/>
    <w:rsid w:val="002F64B3"/>
    <w:rsid w:val="002F6DF6"/>
    <w:rsid w:val="003000F6"/>
    <w:rsid w:val="003004D9"/>
    <w:rsid w:val="00302CBB"/>
    <w:rsid w:val="00303C61"/>
    <w:rsid w:val="00303D9E"/>
    <w:rsid w:val="00304778"/>
    <w:rsid w:val="00305E1D"/>
    <w:rsid w:val="0030759E"/>
    <w:rsid w:val="00310335"/>
    <w:rsid w:val="003136B5"/>
    <w:rsid w:val="00314279"/>
    <w:rsid w:val="0031461C"/>
    <w:rsid w:val="003155E5"/>
    <w:rsid w:val="0031590F"/>
    <w:rsid w:val="003163F1"/>
    <w:rsid w:val="00320F69"/>
    <w:rsid w:val="00320F71"/>
    <w:rsid w:val="00320FFF"/>
    <w:rsid w:val="00321C98"/>
    <w:rsid w:val="00322661"/>
    <w:rsid w:val="003228CB"/>
    <w:rsid w:val="0032340F"/>
    <w:rsid w:val="0032389B"/>
    <w:rsid w:val="0032398D"/>
    <w:rsid w:val="00323D96"/>
    <w:rsid w:val="0033002F"/>
    <w:rsid w:val="003302FA"/>
    <w:rsid w:val="0033038C"/>
    <w:rsid w:val="00330679"/>
    <w:rsid w:val="003314B8"/>
    <w:rsid w:val="003319C8"/>
    <w:rsid w:val="00332072"/>
    <w:rsid w:val="00333429"/>
    <w:rsid w:val="00333E8C"/>
    <w:rsid w:val="0033502D"/>
    <w:rsid w:val="00335042"/>
    <w:rsid w:val="00335675"/>
    <w:rsid w:val="00336886"/>
    <w:rsid w:val="00340129"/>
    <w:rsid w:val="00340E61"/>
    <w:rsid w:val="00341156"/>
    <w:rsid w:val="00341520"/>
    <w:rsid w:val="00341797"/>
    <w:rsid w:val="003420D3"/>
    <w:rsid w:val="00342235"/>
    <w:rsid w:val="003424E6"/>
    <w:rsid w:val="00342578"/>
    <w:rsid w:val="003427B4"/>
    <w:rsid w:val="003430E7"/>
    <w:rsid w:val="0034319E"/>
    <w:rsid w:val="003438B0"/>
    <w:rsid w:val="00344133"/>
    <w:rsid w:val="003442F7"/>
    <w:rsid w:val="003459BF"/>
    <w:rsid w:val="00346379"/>
    <w:rsid w:val="003467EC"/>
    <w:rsid w:val="00347FBC"/>
    <w:rsid w:val="0035294C"/>
    <w:rsid w:val="00353D97"/>
    <w:rsid w:val="00356C16"/>
    <w:rsid w:val="0036264B"/>
    <w:rsid w:val="0036305A"/>
    <w:rsid w:val="00365BD2"/>
    <w:rsid w:val="003665BF"/>
    <w:rsid w:val="00367C0D"/>
    <w:rsid w:val="003707F9"/>
    <w:rsid w:val="00370977"/>
    <w:rsid w:val="00371E21"/>
    <w:rsid w:val="00372C14"/>
    <w:rsid w:val="003760E7"/>
    <w:rsid w:val="003765FB"/>
    <w:rsid w:val="003778E8"/>
    <w:rsid w:val="00380E03"/>
    <w:rsid w:val="00381E63"/>
    <w:rsid w:val="00382000"/>
    <w:rsid w:val="0038392A"/>
    <w:rsid w:val="00386483"/>
    <w:rsid w:val="0038654A"/>
    <w:rsid w:val="00386EDD"/>
    <w:rsid w:val="00390622"/>
    <w:rsid w:val="0039069D"/>
    <w:rsid w:val="00390E4E"/>
    <w:rsid w:val="00391232"/>
    <w:rsid w:val="00391391"/>
    <w:rsid w:val="003917F9"/>
    <w:rsid w:val="00393023"/>
    <w:rsid w:val="0039316C"/>
    <w:rsid w:val="003935AA"/>
    <w:rsid w:val="00394AB6"/>
    <w:rsid w:val="0039551A"/>
    <w:rsid w:val="0039591B"/>
    <w:rsid w:val="00396A82"/>
    <w:rsid w:val="003A1497"/>
    <w:rsid w:val="003A2304"/>
    <w:rsid w:val="003A26C1"/>
    <w:rsid w:val="003A553F"/>
    <w:rsid w:val="003A5BE4"/>
    <w:rsid w:val="003A69A4"/>
    <w:rsid w:val="003A7392"/>
    <w:rsid w:val="003A7C08"/>
    <w:rsid w:val="003B05B9"/>
    <w:rsid w:val="003B07D8"/>
    <w:rsid w:val="003B0846"/>
    <w:rsid w:val="003B1144"/>
    <w:rsid w:val="003B2B08"/>
    <w:rsid w:val="003B3B71"/>
    <w:rsid w:val="003B474E"/>
    <w:rsid w:val="003B69EA"/>
    <w:rsid w:val="003B735E"/>
    <w:rsid w:val="003C164F"/>
    <w:rsid w:val="003C2CE3"/>
    <w:rsid w:val="003C5068"/>
    <w:rsid w:val="003C50F1"/>
    <w:rsid w:val="003C5C59"/>
    <w:rsid w:val="003C7039"/>
    <w:rsid w:val="003C72D7"/>
    <w:rsid w:val="003C7FAE"/>
    <w:rsid w:val="003D253C"/>
    <w:rsid w:val="003D36D3"/>
    <w:rsid w:val="003D372C"/>
    <w:rsid w:val="003D6E04"/>
    <w:rsid w:val="003D7CA6"/>
    <w:rsid w:val="003E1839"/>
    <w:rsid w:val="003E1C93"/>
    <w:rsid w:val="003E293E"/>
    <w:rsid w:val="003E4628"/>
    <w:rsid w:val="003E5151"/>
    <w:rsid w:val="003E5424"/>
    <w:rsid w:val="003E5BE7"/>
    <w:rsid w:val="003E77A2"/>
    <w:rsid w:val="003F1040"/>
    <w:rsid w:val="003F207D"/>
    <w:rsid w:val="003F2FBC"/>
    <w:rsid w:val="003F347D"/>
    <w:rsid w:val="003F4717"/>
    <w:rsid w:val="003F5344"/>
    <w:rsid w:val="003F5AEA"/>
    <w:rsid w:val="003F7936"/>
    <w:rsid w:val="0040083F"/>
    <w:rsid w:val="00400B45"/>
    <w:rsid w:val="00402ADE"/>
    <w:rsid w:val="00402B41"/>
    <w:rsid w:val="004039BC"/>
    <w:rsid w:val="004044D5"/>
    <w:rsid w:val="00404C8B"/>
    <w:rsid w:val="00404E5B"/>
    <w:rsid w:val="00405894"/>
    <w:rsid w:val="00405D66"/>
    <w:rsid w:val="00407454"/>
    <w:rsid w:val="0040756D"/>
    <w:rsid w:val="00410B81"/>
    <w:rsid w:val="00410D20"/>
    <w:rsid w:val="0041164A"/>
    <w:rsid w:val="0041270C"/>
    <w:rsid w:val="00413091"/>
    <w:rsid w:val="00413615"/>
    <w:rsid w:val="004137BF"/>
    <w:rsid w:val="004138A1"/>
    <w:rsid w:val="00413A33"/>
    <w:rsid w:val="0041436F"/>
    <w:rsid w:val="00416748"/>
    <w:rsid w:val="00416EE0"/>
    <w:rsid w:val="00417060"/>
    <w:rsid w:val="004170E1"/>
    <w:rsid w:val="00417A4E"/>
    <w:rsid w:val="00420D53"/>
    <w:rsid w:val="00421EF9"/>
    <w:rsid w:val="00422EA7"/>
    <w:rsid w:val="004231BB"/>
    <w:rsid w:val="00423CB6"/>
    <w:rsid w:val="004274A6"/>
    <w:rsid w:val="00427D34"/>
    <w:rsid w:val="00430BED"/>
    <w:rsid w:val="004310C2"/>
    <w:rsid w:val="00431C87"/>
    <w:rsid w:val="004332C9"/>
    <w:rsid w:val="00433589"/>
    <w:rsid w:val="004342CB"/>
    <w:rsid w:val="00435274"/>
    <w:rsid w:val="0043594E"/>
    <w:rsid w:val="00436B2F"/>
    <w:rsid w:val="00436CA9"/>
    <w:rsid w:val="004371A7"/>
    <w:rsid w:val="00437435"/>
    <w:rsid w:val="00437824"/>
    <w:rsid w:val="00437CCC"/>
    <w:rsid w:val="00437DC6"/>
    <w:rsid w:val="00440288"/>
    <w:rsid w:val="00440B51"/>
    <w:rsid w:val="00440C00"/>
    <w:rsid w:val="004418B1"/>
    <w:rsid w:val="004442C4"/>
    <w:rsid w:val="004443DE"/>
    <w:rsid w:val="004446EB"/>
    <w:rsid w:val="00444D9F"/>
    <w:rsid w:val="00445CFC"/>
    <w:rsid w:val="004465D1"/>
    <w:rsid w:val="004471F8"/>
    <w:rsid w:val="004509B4"/>
    <w:rsid w:val="004514C1"/>
    <w:rsid w:val="00452450"/>
    <w:rsid w:val="0045330E"/>
    <w:rsid w:val="004536DF"/>
    <w:rsid w:val="00455AC0"/>
    <w:rsid w:val="00455F12"/>
    <w:rsid w:val="00457209"/>
    <w:rsid w:val="004578FA"/>
    <w:rsid w:val="004610CF"/>
    <w:rsid w:val="00462445"/>
    <w:rsid w:val="00463362"/>
    <w:rsid w:val="0046396C"/>
    <w:rsid w:val="004656C4"/>
    <w:rsid w:val="00465780"/>
    <w:rsid w:val="0046592A"/>
    <w:rsid w:val="00465C26"/>
    <w:rsid w:val="004663D8"/>
    <w:rsid w:val="00466D4D"/>
    <w:rsid w:val="00466D83"/>
    <w:rsid w:val="0046710A"/>
    <w:rsid w:val="004679AB"/>
    <w:rsid w:val="0047035C"/>
    <w:rsid w:val="00470E7D"/>
    <w:rsid w:val="004714C4"/>
    <w:rsid w:val="00473385"/>
    <w:rsid w:val="00473419"/>
    <w:rsid w:val="00473879"/>
    <w:rsid w:val="00473A94"/>
    <w:rsid w:val="004745FF"/>
    <w:rsid w:val="00476CA0"/>
    <w:rsid w:val="004773E5"/>
    <w:rsid w:val="00477B29"/>
    <w:rsid w:val="00477BB6"/>
    <w:rsid w:val="00481A63"/>
    <w:rsid w:val="0048233D"/>
    <w:rsid w:val="004841F8"/>
    <w:rsid w:val="00484BE7"/>
    <w:rsid w:val="00486D36"/>
    <w:rsid w:val="00487984"/>
    <w:rsid w:val="00487EC8"/>
    <w:rsid w:val="00487F7A"/>
    <w:rsid w:val="00491585"/>
    <w:rsid w:val="00492657"/>
    <w:rsid w:val="004927E2"/>
    <w:rsid w:val="00496F0E"/>
    <w:rsid w:val="004971E3"/>
    <w:rsid w:val="0049754B"/>
    <w:rsid w:val="004978FC"/>
    <w:rsid w:val="004A0207"/>
    <w:rsid w:val="004A1E00"/>
    <w:rsid w:val="004A22E2"/>
    <w:rsid w:val="004A257A"/>
    <w:rsid w:val="004A26AB"/>
    <w:rsid w:val="004A30B9"/>
    <w:rsid w:val="004A3C15"/>
    <w:rsid w:val="004A4F57"/>
    <w:rsid w:val="004A550C"/>
    <w:rsid w:val="004A607B"/>
    <w:rsid w:val="004A62F2"/>
    <w:rsid w:val="004A67DD"/>
    <w:rsid w:val="004A6D0B"/>
    <w:rsid w:val="004A79D2"/>
    <w:rsid w:val="004A7E32"/>
    <w:rsid w:val="004B0F3A"/>
    <w:rsid w:val="004B2E1B"/>
    <w:rsid w:val="004B3C55"/>
    <w:rsid w:val="004B4718"/>
    <w:rsid w:val="004B47F9"/>
    <w:rsid w:val="004B57BB"/>
    <w:rsid w:val="004B5C61"/>
    <w:rsid w:val="004B5F07"/>
    <w:rsid w:val="004C0867"/>
    <w:rsid w:val="004C0897"/>
    <w:rsid w:val="004C1494"/>
    <w:rsid w:val="004C23B0"/>
    <w:rsid w:val="004C2609"/>
    <w:rsid w:val="004C372C"/>
    <w:rsid w:val="004C56A6"/>
    <w:rsid w:val="004C57EA"/>
    <w:rsid w:val="004C580E"/>
    <w:rsid w:val="004C66B5"/>
    <w:rsid w:val="004D00CE"/>
    <w:rsid w:val="004D21CD"/>
    <w:rsid w:val="004D2AD7"/>
    <w:rsid w:val="004D3A47"/>
    <w:rsid w:val="004D3E22"/>
    <w:rsid w:val="004D5834"/>
    <w:rsid w:val="004D71A2"/>
    <w:rsid w:val="004D7653"/>
    <w:rsid w:val="004E0CF6"/>
    <w:rsid w:val="004E22C0"/>
    <w:rsid w:val="004E22D0"/>
    <w:rsid w:val="004E2B95"/>
    <w:rsid w:val="004E2D4F"/>
    <w:rsid w:val="004E5490"/>
    <w:rsid w:val="004E5B55"/>
    <w:rsid w:val="004E664F"/>
    <w:rsid w:val="004E6888"/>
    <w:rsid w:val="004E797C"/>
    <w:rsid w:val="004F4756"/>
    <w:rsid w:val="004F4DF4"/>
    <w:rsid w:val="004F53B2"/>
    <w:rsid w:val="004F572C"/>
    <w:rsid w:val="004F587B"/>
    <w:rsid w:val="004F5FE8"/>
    <w:rsid w:val="004F6B8C"/>
    <w:rsid w:val="004F769F"/>
    <w:rsid w:val="004F7F99"/>
    <w:rsid w:val="005013EC"/>
    <w:rsid w:val="00501ABD"/>
    <w:rsid w:val="005020AA"/>
    <w:rsid w:val="00502AC4"/>
    <w:rsid w:val="00504275"/>
    <w:rsid w:val="0050769F"/>
    <w:rsid w:val="00507782"/>
    <w:rsid w:val="00507881"/>
    <w:rsid w:val="00507F90"/>
    <w:rsid w:val="00510502"/>
    <w:rsid w:val="00510FB7"/>
    <w:rsid w:val="0051149D"/>
    <w:rsid w:val="00511E3A"/>
    <w:rsid w:val="00513C52"/>
    <w:rsid w:val="00513E41"/>
    <w:rsid w:val="0051402E"/>
    <w:rsid w:val="005144D5"/>
    <w:rsid w:val="00514816"/>
    <w:rsid w:val="00516DFC"/>
    <w:rsid w:val="00517234"/>
    <w:rsid w:val="00517235"/>
    <w:rsid w:val="00517405"/>
    <w:rsid w:val="005178DF"/>
    <w:rsid w:val="00517939"/>
    <w:rsid w:val="00517A1E"/>
    <w:rsid w:val="00517B83"/>
    <w:rsid w:val="00517FBA"/>
    <w:rsid w:val="005211F6"/>
    <w:rsid w:val="00522BF6"/>
    <w:rsid w:val="00523303"/>
    <w:rsid w:val="005241CE"/>
    <w:rsid w:val="00525365"/>
    <w:rsid w:val="00525521"/>
    <w:rsid w:val="005257D0"/>
    <w:rsid w:val="00525A08"/>
    <w:rsid w:val="00525EE8"/>
    <w:rsid w:val="00526920"/>
    <w:rsid w:val="00530D51"/>
    <w:rsid w:val="00531228"/>
    <w:rsid w:val="00531EBE"/>
    <w:rsid w:val="0053212B"/>
    <w:rsid w:val="00533C54"/>
    <w:rsid w:val="00534953"/>
    <w:rsid w:val="0053530B"/>
    <w:rsid w:val="005356D9"/>
    <w:rsid w:val="00536A70"/>
    <w:rsid w:val="005371AF"/>
    <w:rsid w:val="00540762"/>
    <w:rsid w:val="00540BB0"/>
    <w:rsid w:val="00540DCA"/>
    <w:rsid w:val="00543898"/>
    <w:rsid w:val="00544908"/>
    <w:rsid w:val="005458FF"/>
    <w:rsid w:val="00545D17"/>
    <w:rsid w:val="005461E7"/>
    <w:rsid w:val="00547097"/>
    <w:rsid w:val="00547343"/>
    <w:rsid w:val="00550093"/>
    <w:rsid w:val="005505AD"/>
    <w:rsid w:val="00550861"/>
    <w:rsid w:val="00550E9F"/>
    <w:rsid w:val="00550F27"/>
    <w:rsid w:val="00551557"/>
    <w:rsid w:val="00553A78"/>
    <w:rsid w:val="00553CEA"/>
    <w:rsid w:val="00555B62"/>
    <w:rsid w:val="00556C8A"/>
    <w:rsid w:val="005575F4"/>
    <w:rsid w:val="0055783D"/>
    <w:rsid w:val="00557B67"/>
    <w:rsid w:val="00557E64"/>
    <w:rsid w:val="00560849"/>
    <w:rsid w:val="0056098B"/>
    <w:rsid w:val="00561093"/>
    <w:rsid w:val="0056166A"/>
    <w:rsid w:val="00561992"/>
    <w:rsid w:val="005633B0"/>
    <w:rsid w:val="005647CF"/>
    <w:rsid w:val="005655BD"/>
    <w:rsid w:val="00565E0D"/>
    <w:rsid w:val="00565FBA"/>
    <w:rsid w:val="00566053"/>
    <w:rsid w:val="00566FE3"/>
    <w:rsid w:val="00570487"/>
    <w:rsid w:val="0057064C"/>
    <w:rsid w:val="00571446"/>
    <w:rsid w:val="005720D9"/>
    <w:rsid w:val="005722B5"/>
    <w:rsid w:val="00572E86"/>
    <w:rsid w:val="00574FE9"/>
    <w:rsid w:val="00575350"/>
    <w:rsid w:val="00576C25"/>
    <w:rsid w:val="00577455"/>
    <w:rsid w:val="0057781D"/>
    <w:rsid w:val="0057798B"/>
    <w:rsid w:val="00581084"/>
    <w:rsid w:val="005819DB"/>
    <w:rsid w:val="0058242D"/>
    <w:rsid w:val="005831F3"/>
    <w:rsid w:val="00583A5E"/>
    <w:rsid w:val="00584FA8"/>
    <w:rsid w:val="005851B0"/>
    <w:rsid w:val="00585EE1"/>
    <w:rsid w:val="00590601"/>
    <w:rsid w:val="00590EF3"/>
    <w:rsid w:val="0059197D"/>
    <w:rsid w:val="00595B02"/>
    <w:rsid w:val="00595D32"/>
    <w:rsid w:val="00596597"/>
    <w:rsid w:val="00597BE4"/>
    <w:rsid w:val="005A0BF6"/>
    <w:rsid w:val="005A0FD9"/>
    <w:rsid w:val="005A2157"/>
    <w:rsid w:val="005A3CBF"/>
    <w:rsid w:val="005A68D0"/>
    <w:rsid w:val="005A6CF9"/>
    <w:rsid w:val="005A717B"/>
    <w:rsid w:val="005A74A3"/>
    <w:rsid w:val="005A7532"/>
    <w:rsid w:val="005A7D68"/>
    <w:rsid w:val="005A7ECC"/>
    <w:rsid w:val="005B046E"/>
    <w:rsid w:val="005B0E7C"/>
    <w:rsid w:val="005B0F6D"/>
    <w:rsid w:val="005B40BB"/>
    <w:rsid w:val="005B41FD"/>
    <w:rsid w:val="005B4E22"/>
    <w:rsid w:val="005B531E"/>
    <w:rsid w:val="005B6926"/>
    <w:rsid w:val="005C0C61"/>
    <w:rsid w:val="005C12D1"/>
    <w:rsid w:val="005C17A0"/>
    <w:rsid w:val="005C19C6"/>
    <w:rsid w:val="005C464A"/>
    <w:rsid w:val="005C79A8"/>
    <w:rsid w:val="005D2A9F"/>
    <w:rsid w:val="005D4780"/>
    <w:rsid w:val="005D5279"/>
    <w:rsid w:val="005E0197"/>
    <w:rsid w:val="005E063A"/>
    <w:rsid w:val="005E2C8F"/>
    <w:rsid w:val="005E3595"/>
    <w:rsid w:val="005E35C6"/>
    <w:rsid w:val="005E35DC"/>
    <w:rsid w:val="005E38AC"/>
    <w:rsid w:val="005E4DF3"/>
    <w:rsid w:val="005E6656"/>
    <w:rsid w:val="005E74C2"/>
    <w:rsid w:val="005F0419"/>
    <w:rsid w:val="005F0AE2"/>
    <w:rsid w:val="005F1520"/>
    <w:rsid w:val="005F2EEF"/>
    <w:rsid w:val="005F2F80"/>
    <w:rsid w:val="005F3539"/>
    <w:rsid w:val="005F410D"/>
    <w:rsid w:val="005F50E7"/>
    <w:rsid w:val="005F55AD"/>
    <w:rsid w:val="005F5B6F"/>
    <w:rsid w:val="005F5F81"/>
    <w:rsid w:val="005F6E89"/>
    <w:rsid w:val="0060215C"/>
    <w:rsid w:val="006039A4"/>
    <w:rsid w:val="00603CCC"/>
    <w:rsid w:val="00606451"/>
    <w:rsid w:val="00606ACF"/>
    <w:rsid w:val="00607A4C"/>
    <w:rsid w:val="00610765"/>
    <w:rsid w:val="006107EB"/>
    <w:rsid w:val="00614513"/>
    <w:rsid w:val="00615064"/>
    <w:rsid w:val="006161E9"/>
    <w:rsid w:val="0061680B"/>
    <w:rsid w:val="00620320"/>
    <w:rsid w:val="00622FE5"/>
    <w:rsid w:val="006247E1"/>
    <w:rsid w:val="00624EAC"/>
    <w:rsid w:val="00624EEF"/>
    <w:rsid w:val="006269B6"/>
    <w:rsid w:val="00627064"/>
    <w:rsid w:val="00627A99"/>
    <w:rsid w:val="00627BC3"/>
    <w:rsid w:val="00630060"/>
    <w:rsid w:val="006309A9"/>
    <w:rsid w:val="00632BDA"/>
    <w:rsid w:val="00632F53"/>
    <w:rsid w:val="00633FA6"/>
    <w:rsid w:val="006340D8"/>
    <w:rsid w:val="00634584"/>
    <w:rsid w:val="006346AA"/>
    <w:rsid w:val="00634B0D"/>
    <w:rsid w:val="0063517B"/>
    <w:rsid w:val="00635235"/>
    <w:rsid w:val="0063533F"/>
    <w:rsid w:val="00635AF3"/>
    <w:rsid w:val="00640671"/>
    <w:rsid w:val="00640EE6"/>
    <w:rsid w:val="006418C2"/>
    <w:rsid w:val="00641AF6"/>
    <w:rsid w:val="00642130"/>
    <w:rsid w:val="00642596"/>
    <w:rsid w:val="00643ED4"/>
    <w:rsid w:val="0064704C"/>
    <w:rsid w:val="00647EDD"/>
    <w:rsid w:val="006502F5"/>
    <w:rsid w:val="0065086D"/>
    <w:rsid w:val="00650B14"/>
    <w:rsid w:val="0065104F"/>
    <w:rsid w:val="0065317A"/>
    <w:rsid w:val="00654C6C"/>
    <w:rsid w:val="00656657"/>
    <w:rsid w:val="00656E15"/>
    <w:rsid w:val="00657384"/>
    <w:rsid w:val="0066037E"/>
    <w:rsid w:val="00660BBC"/>
    <w:rsid w:val="0066202E"/>
    <w:rsid w:val="006624E6"/>
    <w:rsid w:val="006650D3"/>
    <w:rsid w:val="00665683"/>
    <w:rsid w:val="00665E70"/>
    <w:rsid w:val="006667C5"/>
    <w:rsid w:val="00667398"/>
    <w:rsid w:val="006736DE"/>
    <w:rsid w:val="0067421F"/>
    <w:rsid w:val="00674FD6"/>
    <w:rsid w:val="00675636"/>
    <w:rsid w:val="00677847"/>
    <w:rsid w:val="00677C02"/>
    <w:rsid w:val="00680549"/>
    <w:rsid w:val="00680C20"/>
    <w:rsid w:val="00681463"/>
    <w:rsid w:val="006817F9"/>
    <w:rsid w:val="006858C1"/>
    <w:rsid w:val="006872D5"/>
    <w:rsid w:val="006903AF"/>
    <w:rsid w:val="00690A70"/>
    <w:rsid w:val="00690BF8"/>
    <w:rsid w:val="00690F8E"/>
    <w:rsid w:val="0069656D"/>
    <w:rsid w:val="00696677"/>
    <w:rsid w:val="006968EE"/>
    <w:rsid w:val="00696B0F"/>
    <w:rsid w:val="006A26BE"/>
    <w:rsid w:val="006A28AC"/>
    <w:rsid w:val="006A32D5"/>
    <w:rsid w:val="006A33F1"/>
    <w:rsid w:val="006A45C9"/>
    <w:rsid w:val="006A4AD7"/>
    <w:rsid w:val="006A54EF"/>
    <w:rsid w:val="006A58C9"/>
    <w:rsid w:val="006A6623"/>
    <w:rsid w:val="006A6E5E"/>
    <w:rsid w:val="006B0319"/>
    <w:rsid w:val="006B0367"/>
    <w:rsid w:val="006B18AB"/>
    <w:rsid w:val="006B19B8"/>
    <w:rsid w:val="006B3519"/>
    <w:rsid w:val="006B3C50"/>
    <w:rsid w:val="006B4624"/>
    <w:rsid w:val="006B51C4"/>
    <w:rsid w:val="006B5EE8"/>
    <w:rsid w:val="006B630C"/>
    <w:rsid w:val="006B7F97"/>
    <w:rsid w:val="006C2447"/>
    <w:rsid w:val="006C2AA8"/>
    <w:rsid w:val="006C2C00"/>
    <w:rsid w:val="006C3999"/>
    <w:rsid w:val="006C4986"/>
    <w:rsid w:val="006C50D6"/>
    <w:rsid w:val="006C59ED"/>
    <w:rsid w:val="006C59FD"/>
    <w:rsid w:val="006C68D2"/>
    <w:rsid w:val="006C6D8A"/>
    <w:rsid w:val="006C7AFA"/>
    <w:rsid w:val="006C7B38"/>
    <w:rsid w:val="006D0485"/>
    <w:rsid w:val="006D1169"/>
    <w:rsid w:val="006D24D2"/>
    <w:rsid w:val="006D467B"/>
    <w:rsid w:val="006D4B47"/>
    <w:rsid w:val="006D510C"/>
    <w:rsid w:val="006D613B"/>
    <w:rsid w:val="006D7841"/>
    <w:rsid w:val="006E0156"/>
    <w:rsid w:val="006E07D9"/>
    <w:rsid w:val="006E23EB"/>
    <w:rsid w:val="006E37ED"/>
    <w:rsid w:val="006E67FF"/>
    <w:rsid w:val="006E6CE0"/>
    <w:rsid w:val="006E74C7"/>
    <w:rsid w:val="006F026B"/>
    <w:rsid w:val="006F027E"/>
    <w:rsid w:val="006F0E6B"/>
    <w:rsid w:val="006F249B"/>
    <w:rsid w:val="006F3D64"/>
    <w:rsid w:val="006F5618"/>
    <w:rsid w:val="006F5878"/>
    <w:rsid w:val="006F6304"/>
    <w:rsid w:val="006F635D"/>
    <w:rsid w:val="006F657B"/>
    <w:rsid w:val="006F6E3A"/>
    <w:rsid w:val="006F707D"/>
    <w:rsid w:val="006F714F"/>
    <w:rsid w:val="006F7430"/>
    <w:rsid w:val="0070003C"/>
    <w:rsid w:val="00700510"/>
    <w:rsid w:val="007018B0"/>
    <w:rsid w:val="007020B0"/>
    <w:rsid w:val="0070256C"/>
    <w:rsid w:val="00703AA2"/>
    <w:rsid w:val="00703BAA"/>
    <w:rsid w:val="00704099"/>
    <w:rsid w:val="00704B8F"/>
    <w:rsid w:val="00706E7C"/>
    <w:rsid w:val="007106A0"/>
    <w:rsid w:val="00710ACA"/>
    <w:rsid w:val="00710C5E"/>
    <w:rsid w:val="0071429D"/>
    <w:rsid w:val="00715DA4"/>
    <w:rsid w:val="00715E46"/>
    <w:rsid w:val="00716950"/>
    <w:rsid w:val="00720813"/>
    <w:rsid w:val="0072180D"/>
    <w:rsid w:val="00721A55"/>
    <w:rsid w:val="00722588"/>
    <w:rsid w:val="007237F9"/>
    <w:rsid w:val="00723899"/>
    <w:rsid w:val="00726B3F"/>
    <w:rsid w:val="00726CF4"/>
    <w:rsid w:val="00727255"/>
    <w:rsid w:val="0072760D"/>
    <w:rsid w:val="00727ADD"/>
    <w:rsid w:val="0073040B"/>
    <w:rsid w:val="00731C5B"/>
    <w:rsid w:val="0073323B"/>
    <w:rsid w:val="007339A6"/>
    <w:rsid w:val="00733C34"/>
    <w:rsid w:val="00734738"/>
    <w:rsid w:val="00735539"/>
    <w:rsid w:val="00735839"/>
    <w:rsid w:val="007367A1"/>
    <w:rsid w:val="00736A5E"/>
    <w:rsid w:val="0073739E"/>
    <w:rsid w:val="007373D7"/>
    <w:rsid w:val="00737F53"/>
    <w:rsid w:val="007406D1"/>
    <w:rsid w:val="00740C18"/>
    <w:rsid w:val="00741413"/>
    <w:rsid w:val="00741440"/>
    <w:rsid w:val="00744123"/>
    <w:rsid w:val="00744A3D"/>
    <w:rsid w:val="00745152"/>
    <w:rsid w:val="00745962"/>
    <w:rsid w:val="00746E71"/>
    <w:rsid w:val="00750375"/>
    <w:rsid w:val="007508BA"/>
    <w:rsid w:val="00750DA4"/>
    <w:rsid w:val="00751730"/>
    <w:rsid w:val="00751900"/>
    <w:rsid w:val="00752444"/>
    <w:rsid w:val="00752FC9"/>
    <w:rsid w:val="0075386F"/>
    <w:rsid w:val="00754064"/>
    <w:rsid w:val="00754533"/>
    <w:rsid w:val="00754ED8"/>
    <w:rsid w:val="00756071"/>
    <w:rsid w:val="0075703A"/>
    <w:rsid w:val="007574C9"/>
    <w:rsid w:val="00757FD0"/>
    <w:rsid w:val="00762125"/>
    <w:rsid w:val="00763214"/>
    <w:rsid w:val="007647E4"/>
    <w:rsid w:val="00765222"/>
    <w:rsid w:val="0076586F"/>
    <w:rsid w:val="00765A88"/>
    <w:rsid w:val="007662E5"/>
    <w:rsid w:val="00766522"/>
    <w:rsid w:val="007670E1"/>
    <w:rsid w:val="0076747B"/>
    <w:rsid w:val="00767F2D"/>
    <w:rsid w:val="007702BD"/>
    <w:rsid w:val="00770C11"/>
    <w:rsid w:val="007716D0"/>
    <w:rsid w:val="00772526"/>
    <w:rsid w:val="00772ED7"/>
    <w:rsid w:val="00775291"/>
    <w:rsid w:val="007758AD"/>
    <w:rsid w:val="00775D1C"/>
    <w:rsid w:val="00776551"/>
    <w:rsid w:val="00776962"/>
    <w:rsid w:val="007771BD"/>
    <w:rsid w:val="0077794C"/>
    <w:rsid w:val="0078094D"/>
    <w:rsid w:val="007818F4"/>
    <w:rsid w:val="00782D18"/>
    <w:rsid w:val="00782F73"/>
    <w:rsid w:val="007839D7"/>
    <w:rsid w:val="007863DE"/>
    <w:rsid w:val="00787030"/>
    <w:rsid w:val="00787A65"/>
    <w:rsid w:val="00791257"/>
    <w:rsid w:val="00791A1D"/>
    <w:rsid w:val="0079278B"/>
    <w:rsid w:val="0079370C"/>
    <w:rsid w:val="00796328"/>
    <w:rsid w:val="007967C9"/>
    <w:rsid w:val="00796EA3"/>
    <w:rsid w:val="00797315"/>
    <w:rsid w:val="00797403"/>
    <w:rsid w:val="00797421"/>
    <w:rsid w:val="007977A6"/>
    <w:rsid w:val="007A021F"/>
    <w:rsid w:val="007A0DC0"/>
    <w:rsid w:val="007A2E97"/>
    <w:rsid w:val="007A3996"/>
    <w:rsid w:val="007A40A5"/>
    <w:rsid w:val="007A4BA7"/>
    <w:rsid w:val="007A4E1F"/>
    <w:rsid w:val="007A6177"/>
    <w:rsid w:val="007A7831"/>
    <w:rsid w:val="007B011D"/>
    <w:rsid w:val="007B0244"/>
    <w:rsid w:val="007B043E"/>
    <w:rsid w:val="007B04C6"/>
    <w:rsid w:val="007B15EF"/>
    <w:rsid w:val="007B1750"/>
    <w:rsid w:val="007B2F94"/>
    <w:rsid w:val="007B5B2C"/>
    <w:rsid w:val="007B5BAB"/>
    <w:rsid w:val="007B6C29"/>
    <w:rsid w:val="007B7208"/>
    <w:rsid w:val="007C0840"/>
    <w:rsid w:val="007C0E99"/>
    <w:rsid w:val="007C11A8"/>
    <w:rsid w:val="007C3121"/>
    <w:rsid w:val="007C322A"/>
    <w:rsid w:val="007C3488"/>
    <w:rsid w:val="007C39BD"/>
    <w:rsid w:val="007C3BB5"/>
    <w:rsid w:val="007C4958"/>
    <w:rsid w:val="007C571A"/>
    <w:rsid w:val="007C5A38"/>
    <w:rsid w:val="007C6A06"/>
    <w:rsid w:val="007C73D7"/>
    <w:rsid w:val="007C7DCA"/>
    <w:rsid w:val="007D0971"/>
    <w:rsid w:val="007D16B0"/>
    <w:rsid w:val="007D1C1E"/>
    <w:rsid w:val="007D246E"/>
    <w:rsid w:val="007D4AF2"/>
    <w:rsid w:val="007D5CCE"/>
    <w:rsid w:val="007D642E"/>
    <w:rsid w:val="007D6C21"/>
    <w:rsid w:val="007D6D55"/>
    <w:rsid w:val="007E0A2A"/>
    <w:rsid w:val="007E0C92"/>
    <w:rsid w:val="007E0FB6"/>
    <w:rsid w:val="007E24EC"/>
    <w:rsid w:val="007E2CC1"/>
    <w:rsid w:val="007E2D2B"/>
    <w:rsid w:val="007E307E"/>
    <w:rsid w:val="007E36CA"/>
    <w:rsid w:val="007E539A"/>
    <w:rsid w:val="007E5B52"/>
    <w:rsid w:val="007E6FA7"/>
    <w:rsid w:val="007F0DF2"/>
    <w:rsid w:val="007F137D"/>
    <w:rsid w:val="007F148C"/>
    <w:rsid w:val="007F1511"/>
    <w:rsid w:val="007F38C7"/>
    <w:rsid w:val="007F541A"/>
    <w:rsid w:val="007F5E46"/>
    <w:rsid w:val="007F794C"/>
    <w:rsid w:val="007F7CA8"/>
    <w:rsid w:val="008003E3"/>
    <w:rsid w:val="00800DC8"/>
    <w:rsid w:val="0080131C"/>
    <w:rsid w:val="00801A56"/>
    <w:rsid w:val="00801C4D"/>
    <w:rsid w:val="00802178"/>
    <w:rsid w:val="00802999"/>
    <w:rsid w:val="0080299E"/>
    <w:rsid w:val="008036AD"/>
    <w:rsid w:val="008039FA"/>
    <w:rsid w:val="00805556"/>
    <w:rsid w:val="00807E7F"/>
    <w:rsid w:val="0081068E"/>
    <w:rsid w:val="008116FF"/>
    <w:rsid w:val="00811D3F"/>
    <w:rsid w:val="0081211A"/>
    <w:rsid w:val="008125B2"/>
    <w:rsid w:val="0081358C"/>
    <w:rsid w:val="008138E4"/>
    <w:rsid w:val="00815113"/>
    <w:rsid w:val="0081570E"/>
    <w:rsid w:val="00815DD4"/>
    <w:rsid w:val="0081615C"/>
    <w:rsid w:val="00817744"/>
    <w:rsid w:val="00820126"/>
    <w:rsid w:val="00820E98"/>
    <w:rsid w:val="00822479"/>
    <w:rsid w:val="00823009"/>
    <w:rsid w:val="008231E7"/>
    <w:rsid w:val="00823E6F"/>
    <w:rsid w:val="00824766"/>
    <w:rsid w:val="008251FD"/>
    <w:rsid w:val="00826D97"/>
    <w:rsid w:val="008275D9"/>
    <w:rsid w:val="008279A5"/>
    <w:rsid w:val="008302A9"/>
    <w:rsid w:val="008304D8"/>
    <w:rsid w:val="008319B3"/>
    <w:rsid w:val="008325CD"/>
    <w:rsid w:val="008327A3"/>
    <w:rsid w:val="0083347D"/>
    <w:rsid w:val="0083376D"/>
    <w:rsid w:val="00833B79"/>
    <w:rsid w:val="0083408B"/>
    <w:rsid w:val="008352D5"/>
    <w:rsid w:val="0083541B"/>
    <w:rsid w:val="0083774D"/>
    <w:rsid w:val="00837C0E"/>
    <w:rsid w:val="00837ECD"/>
    <w:rsid w:val="008401B9"/>
    <w:rsid w:val="00840428"/>
    <w:rsid w:val="008408F2"/>
    <w:rsid w:val="00840E9C"/>
    <w:rsid w:val="00841686"/>
    <w:rsid w:val="00842339"/>
    <w:rsid w:val="0084288D"/>
    <w:rsid w:val="0084354E"/>
    <w:rsid w:val="00843692"/>
    <w:rsid w:val="00843A28"/>
    <w:rsid w:val="00843B9C"/>
    <w:rsid w:val="00843C86"/>
    <w:rsid w:val="008449BA"/>
    <w:rsid w:val="00844A8E"/>
    <w:rsid w:val="00844C4C"/>
    <w:rsid w:val="00845CBD"/>
    <w:rsid w:val="008469FF"/>
    <w:rsid w:val="008472FC"/>
    <w:rsid w:val="00847A1E"/>
    <w:rsid w:val="00847E25"/>
    <w:rsid w:val="00850C3F"/>
    <w:rsid w:val="00851B2F"/>
    <w:rsid w:val="00852A30"/>
    <w:rsid w:val="00853A27"/>
    <w:rsid w:val="00854BBB"/>
    <w:rsid w:val="00856855"/>
    <w:rsid w:val="00856D1B"/>
    <w:rsid w:val="008575F4"/>
    <w:rsid w:val="008613C1"/>
    <w:rsid w:val="0086224D"/>
    <w:rsid w:val="00862F7F"/>
    <w:rsid w:val="00863576"/>
    <w:rsid w:val="00863BF2"/>
    <w:rsid w:val="008655D7"/>
    <w:rsid w:val="00867230"/>
    <w:rsid w:val="0086743A"/>
    <w:rsid w:val="00867740"/>
    <w:rsid w:val="00871EC3"/>
    <w:rsid w:val="00873892"/>
    <w:rsid w:val="00874217"/>
    <w:rsid w:val="008742BE"/>
    <w:rsid w:val="0087583A"/>
    <w:rsid w:val="00875BDB"/>
    <w:rsid w:val="00875F8F"/>
    <w:rsid w:val="00876D82"/>
    <w:rsid w:val="008805EE"/>
    <w:rsid w:val="00880E5E"/>
    <w:rsid w:val="00880E8D"/>
    <w:rsid w:val="008819A1"/>
    <w:rsid w:val="00885C77"/>
    <w:rsid w:val="00885F77"/>
    <w:rsid w:val="0088653D"/>
    <w:rsid w:val="0088694B"/>
    <w:rsid w:val="008879AD"/>
    <w:rsid w:val="00892E3A"/>
    <w:rsid w:val="008941DC"/>
    <w:rsid w:val="00894FF0"/>
    <w:rsid w:val="00896E2D"/>
    <w:rsid w:val="00897210"/>
    <w:rsid w:val="0089749D"/>
    <w:rsid w:val="008A0A1F"/>
    <w:rsid w:val="008A16D2"/>
    <w:rsid w:val="008A1D2E"/>
    <w:rsid w:val="008A23C6"/>
    <w:rsid w:val="008A6478"/>
    <w:rsid w:val="008A65A6"/>
    <w:rsid w:val="008A6859"/>
    <w:rsid w:val="008A69EF"/>
    <w:rsid w:val="008A6B6B"/>
    <w:rsid w:val="008A6BBA"/>
    <w:rsid w:val="008A7D99"/>
    <w:rsid w:val="008A7E20"/>
    <w:rsid w:val="008B01D2"/>
    <w:rsid w:val="008B0682"/>
    <w:rsid w:val="008B11D6"/>
    <w:rsid w:val="008B1C0C"/>
    <w:rsid w:val="008B1C95"/>
    <w:rsid w:val="008B3AF6"/>
    <w:rsid w:val="008B3C1C"/>
    <w:rsid w:val="008B4D2B"/>
    <w:rsid w:val="008B5E74"/>
    <w:rsid w:val="008B60A8"/>
    <w:rsid w:val="008B61B5"/>
    <w:rsid w:val="008B7145"/>
    <w:rsid w:val="008B7D01"/>
    <w:rsid w:val="008C18DA"/>
    <w:rsid w:val="008C1E19"/>
    <w:rsid w:val="008C204C"/>
    <w:rsid w:val="008C2370"/>
    <w:rsid w:val="008C345D"/>
    <w:rsid w:val="008C3C54"/>
    <w:rsid w:val="008C42E6"/>
    <w:rsid w:val="008C4E2D"/>
    <w:rsid w:val="008C5E29"/>
    <w:rsid w:val="008C7A22"/>
    <w:rsid w:val="008D094B"/>
    <w:rsid w:val="008D09F0"/>
    <w:rsid w:val="008D16DE"/>
    <w:rsid w:val="008D3F80"/>
    <w:rsid w:val="008D41EB"/>
    <w:rsid w:val="008D438E"/>
    <w:rsid w:val="008D470E"/>
    <w:rsid w:val="008D4E79"/>
    <w:rsid w:val="008D5A36"/>
    <w:rsid w:val="008D5ABD"/>
    <w:rsid w:val="008D5AE2"/>
    <w:rsid w:val="008D714F"/>
    <w:rsid w:val="008D7918"/>
    <w:rsid w:val="008E3B79"/>
    <w:rsid w:val="008E3D83"/>
    <w:rsid w:val="008E548C"/>
    <w:rsid w:val="008E5E98"/>
    <w:rsid w:val="008E65D4"/>
    <w:rsid w:val="008E6794"/>
    <w:rsid w:val="008E74FC"/>
    <w:rsid w:val="008F04E0"/>
    <w:rsid w:val="008F22FB"/>
    <w:rsid w:val="008F2E82"/>
    <w:rsid w:val="008F30E6"/>
    <w:rsid w:val="008F317E"/>
    <w:rsid w:val="008F4372"/>
    <w:rsid w:val="008F4932"/>
    <w:rsid w:val="008F5917"/>
    <w:rsid w:val="008F5C4D"/>
    <w:rsid w:val="008F6EFA"/>
    <w:rsid w:val="008F74FE"/>
    <w:rsid w:val="009003C5"/>
    <w:rsid w:val="0090189E"/>
    <w:rsid w:val="00902C74"/>
    <w:rsid w:val="00903522"/>
    <w:rsid w:val="009046B1"/>
    <w:rsid w:val="0090639A"/>
    <w:rsid w:val="0090719E"/>
    <w:rsid w:val="00911AF5"/>
    <w:rsid w:val="00912977"/>
    <w:rsid w:val="009144B0"/>
    <w:rsid w:val="00915BB7"/>
    <w:rsid w:val="0091659A"/>
    <w:rsid w:val="00916FBC"/>
    <w:rsid w:val="0091706F"/>
    <w:rsid w:val="00917C83"/>
    <w:rsid w:val="00920300"/>
    <w:rsid w:val="00920DF4"/>
    <w:rsid w:val="00921863"/>
    <w:rsid w:val="00921EBE"/>
    <w:rsid w:val="00922154"/>
    <w:rsid w:val="009225D4"/>
    <w:rsid w:val="00923321"/>
    <w:rsid w:val="0092473B"/>
    <w:rsid w:val="00924B6E"/>
    <w:rsid w:val="00926491"/>
    <w:rsid w:val="00926640"/>
    <w:rsid w:val="00926BDE"/>
    <w:rsid w:val="00931595"/>
    <w:rsid w:val="00933BDA"/>
    <w:rsid w:val="009354F3"/>
    <w:rsid w:val="009368DF"/>
    <w:rsid w:val="00940476"/>
    <w:rsid w:val="009405A0"/>
    <w:rsid w:val="0094068B"/>
    <w:rsid w:val="00942D93"/>
    <w:rsid w:val="00943F3B"/>
    <w:rsid w:val="009440DF"/>
    <w:rsid w:val="009464AA"/>
    <w:rsid w:val="00947245"/>
    <w:rsid w:val="00950E64"/>
    <w:rsid w:val="00951623"/>
    <w:rsid w:val="009529D0"/>
    <w:rsid w:val="009545D3"/>
    <w:rsid w:val="00956AEB"/>
    <w:rsid w:val="00956C21"/>
    <w:rsid w:val="009575FF"/>
    <w:rsid w:val="0096013C"/>
    <w:rsid w:val="009601A7"/>
    <w:rsid w:val="00960347"/>
    <w:rsid w:val="0096191C"/>
    <w:rsid w:val="00962D3B"/>
    <w:rsid w:val="00963330"/>
    <w:rsid w:val="0096369B"/>
    <w:rsid w:val="00963898"/>
    <w:rsid w:val="00963A50"/>
    <w:rsid w:val="009662A9"/>
    <w:rsid w:val="00966486"/>
    <w:rsid w:val="00966C48"/>
    <w:rsid w:val="00966D5E"/>
    <w:rsid w:val="00967503"/>
    <w:rsid w:val="00970CE1"/>
    <w:rsid w:val="00971E21"/>
    <w:rsid w:val="009727A6"/>
    <w:rsid w:val="00972F76"/>
    <w:rsid w:val="009730D5"/>
    <w:rsid w:val="00973736"/>
    <w:rsid w:val="00974429"/>
    <w:rsid w:val="0097485E"/>
    <w:rsid w:val="00975008"/>
    <w:rsid w:val="00976804"/>
    <w:rsid w:val="00976937"/>
    <w:rsid w:val="009776F4"/>
    <w:rsid w:val="00977713"/>
    <w:rsid w:val="0097782E"/>
    <w:rsid w:val="00980E26"/>
    <w:rsid w:val="00981ABE"/>
    <w:rsid w:val="00981EA2"/>
    <w:rsid w:val="00982262"/>
    <w:rsid w:val="00982B80"/>
    <w:rsid w:val="00982D04"/>
    <w:rsid w:val="00982DAA"/>
    <w:rsid w:val="00982FD6"/>
    <w:rsid w:val="00983A81"/>
    <w:rsid w:val="0098672F"/>
    <w:rsid w:val="009867B4"/>
    <w:rsid w:val="00986CAA"/>
    <w:rsid w:val="00987772"/>
    <w:rsid w:val="00991096"/>
    <w:rsid w:val="00991C27"/>
    <w:rsid w:val="00992BDA"/>
    <w:rsid w:val="009939B3"/>
    <w:rsid w:val="00994256"/>
    <w:rsid w:val="00994EFD"/>
    <w:rsid w:val="00994F12"/>
    <w:rsid w:val="00995AD5"/>
    <w:rsid w:val="0099614E"/>
    <w:rsid w:val="00996930"/>
    <w:rsid w:val="00996A37"/>
    <w:rsid w:val="009A01CA"/>
    <w:rsid w:val="009A05DE"/>
    <w:rsid w:val="009A204D"/>
    <w:rsid w:val="009A2B34"/>
    <w:rsid w:val="009A46F6"/>
    <w:rsid w:val="009A4C85"/>
    <w:rsid w:val="009A55F4"/>
    <w:rsid w:val="009A63B3"/>
    <w:rsid w:val="009A6794"/>
    <w:rsid w:val="009A693C"/>
    <w:rsid w:val="009B1354"/>
    <w:rsid w:val="009B1D4D"/>
    <w:rsid w:val="009B3798"/>
    <w:rsid w:val="009B3B87"/>
    <w:rsid w:val="009B3BDF"/>
    <w:rsid w:val="009B40C2"/>
    <w:rsid w:val="009B4CB3"/>
    <w:rsid w:val="009B4E6A"/>
    <w:rsid w:val="009B6ADD"/>
    <w:rsid w:val="009B6D8F"/>
    <w:rsid w:val="009B72F8"/>
    <w:rsid w:val="009C2ACE"/>
    <w:rsid w:val="009C3727"/>
    <w:rsid w:val="009C4216"/>
    <w:rsid w:val="009C4465"/>
    <w:rsid w:val="009C514E"/>
    <w:rsid w:val="009C6878"/>
    <w:rsid w:val="009C77A3"/>
    <w:rsid w:val="009C783E"/>
    <w:rsid w:val="009C7D2D"/>
    <w:rsid w:val="009D0E10"/>
    <w:rsid w:val="009D1264"/>
    <w:rsid w:val="009D18C7"/>
    <w:rsid w:val="009D21A3"/>
    <w:rsid w:val="009D303E"/>
    <w:rsid w:val="009D35B7"/>
    <w:rsid w:val="009D4709"/>
    <w:rsid w:val="009D4D64"/>
    <w:rsid w:val="009D4FA6"/>
    <w:rsid w:val="009D54C6"/>
    <w:rsid w:val="009D61CA"/>
    <w:rsid w:val="009D639F"/>
    <w:rsid w:val="009D6B0A"/>
    <w:rsid w:val="009D6EBD"/>
    <w:rsid w:val="009E2377"/>
    <w:rsid w:val="009E30A2"/>
    <w:rsid w:val="009E3258"/>
    <w:rsid w:val="009E4262"/>
    <w:rsid w:val="009E47AE"/>
    <w:rsid w:val="009E64B4"/>
    <w:rsid w:val="009E6BD1"/>
    <w:rsid w:val="009E7B76"/>
    <w:rsid w:val="009F342D"/>
    <w:rsid w:val="009F3976"/>
    <w:rsid w:val="009F4E32"/>
    <w:rsid w:val="009F61FE"/>
    <w:rsid w:val="00A0021E"/>
    <w:rsid w:val="00A023AE"/>
    <w:rsid w:val="00A03F1F"/>
    <w:rsid w:val="00A041FF"/>
    <w:rsid w:val="00A04614"/>
    <w:rsid w:val="00A0493C"/>
    <w:rsid w:val="00A050E9"/>
    <w:rsid w:val="00A05C38"/>
    <w:rsid w:val="00A06444"/>
    <w:rsid w:val="00A064CA"/>
    <w:rsid w:val="00A068E6"/>
    <w:rsid w:val="00A114E6"/>
    <w:rsid w:val="00A140EA"/>
    <w:rsid w:val="00A14B2F"/>
    <w:rsid w:val="00A1518C"/>
    <w:rsid w:val="00A1529A"/>
    <w:rsid w:val="00A1577F"/>
    <w:rsid w:val="00A15796"/>
    <w:rsid w:val="00A20D61"/>
    <w:rsid w:val="00A21319"/>
    <w:rsid w:val="00A229B4"/>
    <w:rsid w:val="00A23A47"/>
    <w:rsid w:val="00A243B9"/>
    <w:rsid w:val="00A24CB7"/>
    <w:rsid w:val="00A255A1"/>
    <w:rsid w:val="00A25A45"/>
    <w:rsid w:val="00A25DE8"/>
    <w:rsid w:val="00A273BA"/>
    <w:rsid w:val="00A274E9"/>
    <w:rsid w:val="00A27506"/>
    <w:rsid w:val="00A27C3E"/>
    <w:rsid w:val="00A3000C"/>
    <w:rsid w:val="00A30D08"/>
    <w:rsid w:val="00A31FA5"/>
    <w:rsid w:val="00A32CF2"/>
    <w:rsid w:val="00A33262"/>
    <w:rsid w:val="00A33935"/>
    <w:rsid w:val="00A33D88"/>
    <w:rsid w:val="00A33D8A"/>
    <w:rsid w:val="00A36FD2"/>
    <w:rsid w:val="00A378C9"/>
    <w:rsid w:val="00A37BFA"/>
    <w:rsid w:val="00A40003"/>
    <w:rsid w:val="00A40062"/>
    <w:rsid w:val="00A40F85"/>
    <w:rsid w:val="00A42AA9"/>
    <w:rsid w:val="00A434BA"/>
    <w:rsid w:val="00A43631"/>
    <w:rsid w:val="00A43966"/>
    <w:rsid w:val="00A43C76"/>
    <w:rsid w:val="00A440E5"/>
    <w:rsid w:val="00A44130"/>
    <w:rsid w:val="00A4543A"/>
    <w:rsid w:val="00A4702B"/>
    <w:rsid w:val="00A4712E"/>
    <w:rsid w:val="00A4769A"/>
    <w:rsid w:val="00A47A4B"/>
    <w:rsid w:val="00A47EC0"/>
    <w:rsid w:val="00A509C9"/>
    <w:rsid w:val="00A50F12"/>
    <w:rsid w:val="00A52109"/>
    <w:rsid w:val="00A526D1"/>
    <w:rsid w:val="00A532BB"/>
    <w:rsid w:val="00A54EB5"/>
    <w:rsid w:val="00A60CCB"/>
    <w:rsid w:val="00A60DE1"/>
    <w:rsid w:val="00A6129C"/>
    <w:rsid w:val="00A62428"/>
    <w:rsid w:val="00A62811"/>
    <w:rsid w:val="00A631F7"/>
    <w:rsid w:val="00A63A81"/>
    <w:rsid w:val="00A64EDF"/>
    <w:rsid w:val="00A65337"/>
    <w:rsid w:val="00A65B20"/>
    <w:rsid w:val="00A65D33"/>
    <w:rsid w:val="00A67436"/>
    <w:rsid w:val="00A6787F"/>
    <w:rsid w:val="00A67D11"/>
    <w:rsid w:val="00A70224"/>
    <w:rsid w:val="00A71953"/>
    <w:rsid w:val="00A727BB"/>
    <w:rsid w:val="00A730A4"/>
    <w:rsid w:val="00A731AB"/>
    <w:rsid w:val="00A735F0"/>
    <w:rsid w:val="00A73CDA"/>
    <w:rsid w:val="00A73D98"/>
    <w:rsid w:val="00A74331"/>
    <w:rsid w:val="00A74AEE"/>
    <w:rsid w:val="00A74E42"/>
    <w:rsid w:val="00A75160"/>
    <w:rsid w:val="00A7720E"/>
    <w:rsid w:val="00A77A13"/>
    <w:rsid w:val="00A80246"/>
    <w:rsid w:val="00A80659"/>
    <w:rsid w:val="00A817A2"/>
    <w:rsid w:val="00A81C32"/>
    <w:rsid w:val="00A82A1C"/>
    <w:rsid w:val="00A841A8"/>
    <w:rsid w:val="00A84A1A"/>
    <w:rsid w:val="00A84DFA"/>
    <w:rsid w:val="00A84F0C"/>
    <w:rsid w:val="00A85081"/>
    <w:rsid w:val="00A85977"/>
    <w:rsid w:val="00A87D2A"/>
    <w:rsid w:val="00A90B4E"/>
    <w:rsid w:val="00A91C8E"/>
    <w:rsid w:val="00A91D04"/>
    <w:rsid w:val="00A92BA0"/>
    <w:rsid w:val="00A93682"/>
    <w:rsid w:val="00A94332"/>
    <w:rsid w:val="00A949D2"/>
    <w:rsid w:val="00A94AB2"/>
    <w:rsid w:val="00A94D24"/>
    <w:rsid w:val="00A94DF3"/>
    <w:rsid w:val="00A94EC1"/>
    <w:rsid w:val="00A9581F"/>
    <w:rsid w:val="00A95F81"/>
    <w:rsid w:val="00A9638C"/>
    <w:rsid w:val="00AA168B"/>
    <w:rsid w:val="00AA1A57"/>
    <w:rsid w:val="00AA289E"/>
    <w:rsid w:val="00AA37A9"/>
    <w:rsid w:val="00AA3AC6"/>
    <w:rsid w:val="00AA5968"/>
    <w:rsid w:val="00AA6C41"/>
    <w:rsid w:val="00AA7ABA"/>
    <w:rsid w:val="00AB0232"/>
    <w:rsid w:val="00AB0BF9"/>
    <w:rsid w:val="00AB2ADE"/>
    <w:rsid w:val="00AB3A2C"/>
    <w:rsid w:val="00AB4804"/>
    <w:rsid w:val="00AB7013"/>
    <w:rsid w:val="00AB73A3"/>
    <w:rsid w:val="00AB7602"/>
    <w:rsid w:val="00AB78A5"/>
    <w:rsid w:val="00AC0209"/>
    <w:rsid w:val="00AC0C99"/>
    <w:rsid w:val="00AC136F"/>
    <w:rsid w:val="00AC17F6"/>
    <w:rsid w:val="00AC2483"/>
    <w:rsid w:val="00AC4916"/>
    <w:rsid w:val="00AC7747"/>
    <w:rsid w:val="00AC7E79"/>
    <w:rsid w:val="00AD1549"/>
    <w:rsid w:val="00AD1616"/>
    <w:rsid w:val="00AD1A5D"/>
    <w:rsid w:val="00AD324E"/>
    <w:rsid w:val="00AD3B14"/>
    <w:rsid w:val="00AD3B26"/>
    <w:rsid w:val="00AD44E7"/>
    <w:rsid w:val="00AD565E"/>
    <w:rsid w:val="00AD7EA3"/>
    <w:rsid w:val="00AE04BC"/>
    <w:rsid w:val="00AE197B"/>
    <w:rsid w:val="00AE37B5"/>
    <w:rsid w:val="00AE3B68"/>
    <w:rsid w:val="00AE3BCA"/>
    <w:rsid w:val="00AE620D"/>
    <w:rsid w:val="00AE696B"/>
    <w:rsid w:val="00AE7685"/>
    <w:rsid w:val="00AE7B03"/>
    <w:rsid w:val="00AF2D45"/>
    <w:rsid w:val="00AF30D8"/>
    <w:rsid w:val="00AF3986"/>
    <w:rsid w:val="00AF42A1"/>
    <w:rsid w:val="00AF4DB4"/>
    <w:rsid w:val="00AF5DAF"/>
    <w:rsid w:val="00AF62C3"/>
    <w:rsid w:val="00AF7962"/>
    <w:rsid w:val="00AF7BB0"/>
    <w:rsid w:val="00B00D7D"/>
    <w:rsid w:val="00B00F24"/>
    <w:rsid w:val="00B0228E"/>
    <w:rsid w:val="00B025B6"/>
    <w:rsid w:val="00B02A9B"/>
    <w:rsid w:val="00B02CBE"/>
    <w:rsid w:val="00B04420"/>
    <w:rsid w:val="00B062F2"/>
    <w:rsid w:val="00B06452"/>
    <w:rsid w:val="00B07C5F"/>
    <w:rsid w:val="00B102F0"/>
    <w:rsid w:val="00B106DA"/>
    <w:rsid w:val="00B107B3"/>
    <w:rsid w:val="00B1285C"/>
    <w:rsid w:val="00B13AE2"/>
    <w:rsid w:val="00B14B9A"/>
    <w:rsid w:val="00B1691B"/>
    <w:rsid w:val="00B20AC9"/>
    <w:rsid w:val="00B2175C"/>
    <w:rsid w:val="00B2183F"/>
    <w:rsid w:val="00B223C5"/>
    <w:rsid w:val="00B228F3"/>
    <w:rsid w:val="00B2382F"/>
    <w:rsid w:val="00B23911"/>
    <w:rsid w:val="00B23B81"/>
    <w:rsid w:val="00B24721"/>
    <w:rsid w:val="00B24C11"/>
    <w:rsid w:val="00B25AD8"/>
    <w:rsid w:val="00B270C8"/>
    <w:rsid w:val="00B27FAD"/>
    <w:rsid w:val="00B30322"/>
    <w:rsid w:val="00B3061B"/>
    <w:rsid w:val="00B32165"/>
    <w:rsid w:val="00B32424"/>
    <w:rsid w:val="00B32D20"/>
    <w:rsid w:val="00B32FD0"/>
    <w:rsid w:val="00B33849"/>
    <w:rsid w:val="00B34CB6"/>
    <w:rsid w:val="00B35A15"/>
    <w:rsid w:val="00B366EC"/>
    <w:rsid w:val="00B36D90"/>
    <w:rsid w:val="00B412F2"/>
    <w:rsid w:val="00B41845"/>
    <w:rsid w:val="00B42ADE"/>
    <w:rsid w:val="00B42B20"/>
    <w:rsid w:val="00B44EA9"/>
    <w:rsid w:val="00B4507F"/>
    <w:rsid w:val="00B451CE"/>
    <w:rsid w:val="00B455FF"/>
    <w:rsid w:val="00B4599B"/>
    <w:rsid w:val="00B47265"/>
    <w:rsid w:val="00B47F27"/>
    <w:rsid w:val="00B47FEF"/>
    <w:rsid w:val="00B50623"/>
    <w:rsid w:val="00B508B8"/>
    <w:rsid w:val="00B508D5"/>
    <w:rsid w:val="00B50A95"/>
    <w:rsid w:val="00B5151F"/>
    <w:rsid w:val="00B52077"/>
    <w:rsid w:val="00B522DE"/>
    <w:rsid w:val="00B53C79"/>
    <w:rsid w:val="00B5505A"/>
    <w:rsid w:val="00B55341"/>
    <w:rsid w:val="00B55748"/>
    <w:rsid w:val="00B558FD"/>
    <w:rsid w:val="00B55FDF"/>
    <w:rsid w:val="00B5600F"/>
    <w:rsid w:val="00B56232"/>
    <w:rsid w:val="00B61042"/>
    <w:rsid w:val="00B629B7"/>
    <w:rsid w:val="00B633DA"/>
    <w:rsid w:val="00B657B1"/>
    <w:rsid w:val="00B65F48"/>
    <w:rsid w:val="00B66CFB"/>
    <w:rsid w:val="00B676FA"/>
    <w:rsid w:val="00B7011F"/>
    <w:rsid w:val="00B705CE"/>
    <w:rsid w:val="00B72134"/>
    <w:rsid w:val="00B73161"/>
    <w:rsid w:val="00B74B88"/>
    <w:rsid w:val="00B75952"/>
    <w:rsid w:val="00B75D06"/>
    <w:rsid w:val="00B77B33"/>
    <w:rsid w:val="00B8093B"/>
    <w:rsid w:val="00B829D3"/>
    <w:rsid w:val="00B8436E"/>
    <w:rsid w:val="00B849B9"/>
    <w:rsid w:val="00B85454"/>
    <w:rsid w:val="00B86619"/>
    <w:rsid w:val="00B8718B"/>
    <w:rsid w:val="00B87405"/>
    <w:rsid w:val="00B8764E"/>
    <w:rsid w:val="00B913EC"/>
    <w:rsid w:val="00B91BA7"/>
    <w:rsid w:val="00B9292E"/>
    <w:rsid w:val="00B92968"/>
    <w:rsid w:val="00B93276"/>
    <w:rsid w:val="00B943EA"/>
    <w:rsid w:val="00B9442D"/>
    <w:rsid w:val="00B94ADB"/>
    <w:rsid w:val="00B95424"/>
    <w:rsid w:val="00B959FB"/>
    <w:rsid w:val="00B96212"/>
    <w:rsid w:val="00B96646"/>
    <w:rsid w:val="00B97FB4"/>
    <w:rsid w:val="00BA1094"/>
    <w:rsid w:val="00BA1352"/>
    <w:rsid w:val="00BA4E81"/>
    <w:rsid w:val="00BA651E"/>
    <w:rsid w:val="00BA6530"/>
    <w:rsid w:val="00BA74B6"/>
    <w:rsid w:val="00BA7716"/>
    <w:rsid w:val="00BB3053"/>
    <w:rsid w:val="00BB3608"/>
    <w:rsid w:val="00BB37E4"/>
    <w:rsid w:val="00BB4C1E"/>
    <w:rsid w:val="00BB4E1E"/>
    <w:rsid w:val="00BB5A64"/>
    <w:rsid w:val="00BB5B02"/>
    <w:rsid w:val="00BB6A87"/>
    <w:rsid w:val="00BC19FC"/>
    <w:rsid w:val="00BC1BE5"/>
    <w:rsid w:val="00BC2047"/>
    <w:rsid w:val="00BC25ED"/>
    <w:rsid w:val="00BC3D21"/>
    <w:rsid w:val="00BC64A5"/>
    <w:rsid w:val="00BC76E8"/>
    <w:rsid w:val="00BC7DC1"/>
    <w:rsid w:val="00BD059E"/>
    <w:rsid w:val="00BD0CEB"/>
    <w:rsid w:val="00BD2D11"/>
    <w:rsid w:val="00BD2D1B"/>
    <w:rsid w:val="00BD2D86"/>
    <w:rsid w:val="00BD4546"/>
    <w:rsid w:val="00BD49ED"/>
    <w:rsid w:val="00BD581E"/>
    <w:rsid w:val="00BD60B6"/>
    <w:rsid w:val="00BD65E3"/>
    <w:rsid w:val="00BD676D"/>
    <w:rsid w:val="00BD7123"/>
    <w:rsid w:val="00BD7198"/>
    <w:rsid w:val="00BD7A4E"/>
    <w:rsid w:val="00BD7FC6"/>
    <w:rsid w:val="00BE00AA"/>
    <w:rsid w:val="00BE293B"/>
    <w:rsid w:val="00BE3F70"/>
    <w:rsid w:val="00BE541D"/>
    <w:rsid w:val="00BE575B"/>
    <w:rsid w:val="00BE65A4"/>
    <w:rsid w:val="00BE73AA"/>
    <w:rsid w:val="00BE7647"/>
    <w:rsid w:val="00BE7CC7"/>
    <w:rsid w:val="00BE7D21"/>
    <w:rsid w:val="00BF037F"/>
    <w:rsid w:val="00BF3AA9"/>
    <w:rsid w:val="00BF454B"/>
    <w:rsid w:val="00BF4BBA"/>
    <w:rsid w:val="00BF64EF"/>
    <w:rsid w:val="00BF70FC"/>
    <w:rsid w:val="00BF7DFE"/>
    <w:rsid w:val="00C00008"/>
    <w:rsid w:val="00C005CE"/>
    <w:rsid w:val="00C00B8D"/>
    <w:rsid w:val="00C0173A"/>
    <w:rsid w:val="00C02849"/>
    <w:rsid w:val="00C064A2"/>
    <w:rsid w:val="00C0673B"/>
    <w:rsid w:val="00C0679A"/>
    <w:rsid w:val="00C0685F"/>
    <w:rsid w:val="00C079CE"/>
    <w:rsid w:val="00C10212"/>
    <w:rsid w:val="00C10CB8"/>
    <w:rsid w:val="00C11190"/>
    <w:rsid w:val="00C1159A"/>
    <w:rsid w:val="00C118C6"/>
    <w:rsid w:val="00C12FCE"/>
    <w:rsid w:val="00C131CD"/>
    <w:rsid w:val="00C13320"/>
    <w:rsid w:val="00C15671"/>
    <w:rsid w:val="00C16DF2"/>
    <w:rsid w:val="00C177A1"/>
    <w:rsid w:val="00C2052A"/>
    <w:rsid w:val="00C218C5"/>
    <w:rsid w:val="00C219F2"/>
    <w:rsid w:val="00C2291E"/>
    <w:rsid w:val="00C22D3E"/>
    <w:rsid w:val="00C260B1"/>
    <w:rsid w:val="00C26181"/>
    <w:rsid w:val="00C26741"/>
    <w:rsid w:val="00C27416"/>
    <w:rsid w:val="00C2776F"/>
    <w:rsid w:val="00C277F4"/>
    <w:rsid w:val="00C279B2"/>
    <w:rsid w:val="00C27B6E"/>
    <w:rsid w:val="00C27DCD"/>
    <w:rsid w:val="00C305C1"/>
    <w:rsid w:val="00C31068"/>
    <w:rsid w:val="00C31D44"/>
    <w:rsid w:val="00C348A8"/>
    <w:rsid w:val="00C36FC3"/>
    <w:rsid w:val="00C40914"/>
    <w:rsid w:val="00C40D68"/>
    <w:rsid w:val="00C40EDC"/>
    <w:rsid w:val="00C41BC0"/>
    <w:rsid w:val="00C41CDD"/>
    <w:rsid w:val="00C41DDB"/>
    <w:rsid w:val="00C425C5"/>
    <w:rsid w:val="00C43C0D"/>
    <w:rsid w:val="00C4432A"/>
    <w:rsid w:val="00C448F3"/>
    <w:rsid w:val="00C4669F"/>
    <w:rsid w:val="00C46947"/>
    <w:rsid w:val="00C46B5E"/>
    <w:rsid w:val="00C470DA"/>
    <w:rsid w:val="00C517A4"/>
    <w:rsid w:val="00C52342"/>
    <w:rsid w:val="00C525EA"/>
    <w:rsid w:val="00C52BBF"/>
    <w:rsid w:val="00C546E0"/>
    <w:rsid w:val="00C551A0"/>
    <w:rsid w:val="00C5558F"/>
    <w:rsid w:val="00C57C95"/>
    <w:rsid w:val="00C61BB1"/>
    <w:rsid w:val="00C6205C"/>
    <w:rsid w:val="00C62115"/>
    <w:rsid w:val="00C62ACA"/>
    <w:rsid w:val="00C62E85"/>
    <w:rsid w:val="00C62F71"/>
    <w:rsid w:val="00C644EC"/>
    <w:rsid w:val="00C657F7"/>
    <w:rsid w:val="00C65F01"/>
    <w:rsid w:val="00C668F8"/>
    <w:rsid w:val="00C703F4"/>
    <w:rsid w:val="00C70657"/>
    <w:rsid w:val="00C70797"/>
    <w:rsid w:val="00C737A1"/>
    <w:rsid w:val="00C739C8"/>
    <w:rsid w:val="00C75C73"/>
    <w:rsid w:val="00C772CA"/>
    <w:rsid w:val="00C779CF"/>
    <w:rsid w:val="00C77A20"/>
    <w:rsid w:val="00C77A92"/>
    <w:rsid w:val="00C80B36"/>
    <w:rsid w:val="00C855E8"/>
    <w:rsid w:val="00C85F5F"/>
    <w:rsid w:val="00C86AC9"/>
    <w:rsid w:val="00C90CE1"/>
    <w:rsid w:val="00C9172F"/>
    <w:rsid w:val="00C922FA"/>
    <w:rsid w:val="00C933D4"/>
    <w:rsid w:val="00C93834"/>
    <w:rsid w:val="00C9453F"/>
    <w:rsid w:val="00C94944"/>
    <w:rsid w:val="00C94BA5"/>
    <w:rsid w:val="00C961E5"/>
    <w:rsid w:val="00C97242"/>
    <w:rsid w:val="00CA19B7"/>
    <w:rsid w:val="00CA37AE"/>
    <w:rsid w:val="00CA4255"/>
    <w:rsid w:val="00CA5771"/>
    <w:rsid w:val="00CA5BBE"/>
    <w:rsid w:val="00CA6417"/>
    <w:rsid w:val="00CA651E"/>
    <w:rsid w:val="00CA77CB"/>
    <w:rsid w:val="00CA7F0A"/>
    <w:rsid w:val="00CB013A"/>
    <w:rsid w:val="00CB1CE7"/>
    <w:rsid w:val="00CB2060"/>
    <w:rsid w:val="00CB267A"/>
    <w:rsid w:val="00CB28E5"/>
    <w:rsid w:val="00CB319D"/>
    <w:rsid w:val="00CB33BB"/>
    <w:rsid w:val="00CB36DD"/>
    <w:rsid w:val="00CB4609"/>
    <w:rsid w:val="00CB4EE2"/>
    <w:rsid w:val="00CB59DC"/>
    <w:rsid w:val="00CB6E9F"/>
    <w:rsid w:val="00CC0B7E"/>
    <w:rsid w:val="00CC18FC"/>
    <w:rsid w:val="00CC1AD7"/>
    <w:rsid w:val="00CC4DEE"/>
    <w:rsid w:val="00CC50A9"/>
    <w:rsid w:val="00CD0F7E"/>
    <w:rsid w:val="00CD1842"/>
    <w:rsid w:val="00CD1BDF"/>
    <w:rsid w:val="00CD1EC9"/>
    <w:rsid w:val="00CD2865"/>
    <w:rsid w:val="00CD36F3"/>
    <w:rsid w:val="00CD3A25"/>
    <w:rsid w:val="00CD3D1D"/>
    <w:rsid w:val="00CD41AF"/>
    <w:rsid w:val="00CD4EC7"/>
    <w:rsid w:val="00CD647C"/>
    <w:rsid w:val="00CD6DCE"/>
    <w:rsid w:val="00CD761E"/>
    <w:rsid w:val="00CE0775"/>
    <w:rsid w:val="00CE0B5C"/>
    <w:rsid w:val="00CE0F6A"/>
    <w:rsid w:val="00CE13F4"/>
    <w:rsid w:val="00CE37AA"/>
    <w:rsid w:val="00CE39E2"/>
    <w:rsid w:val="00CE449B"/>
    <w:rsid w:val="00CE4543"/>
    <w:rsid w:val="00CE56EE"/>
    <w:rsid w:val="00CE6306"/>
    <w:rsid w:val="00CE6CD0"/>
    <w:rsid w:val="00CE7CFA"/>
    <w:rsid w:val="00CE7E5D"/>
    <w:rsid w:val="00CF0537"/>
    <w:rsid w:val="00CF0777"/>
    <w:rsid w:val="00CF0BA2"/>
    <w:rsid w:val="00CF0FEA"/>
    <w:rsid w:val="00CF1F75"/>
    <w:rsid w:val="00CF34D9"/>
    <w:rsid w:val="00CF3B6C"/>
    <w:rsid w:val="00CF3DF6"/>
    <w:rsid w:val="00CF46F7"/>
    <w:rsid w:val="00D01CDD"/>
    <w:rsid w:val="00D0200C"/>
    <w:rsid w:val="00D032AA"/>
    <w:rsid w:val="00D035F7"/>
    <w:rsid w:val="00D03617"/>
    <w:rsid w:val="00D04279"/>
    <w:rsid w:val="00D0497E"/>
    <w:rsid w:val="00D05460"/>
    <w:rsid w:val="00D05A9F"/>
    <w:rsid w:val="00D0602D"/>
    <w:rsid w:val="00D062ED"/>
    <w:rsid w:val="00D07706"/>
    <w:rsid w:val="00D07E53"/>
    <w:rsid w:val="00D1069D"/>
    <w:rsid w:val="00D107F9"/>
    <w:rsid w:val="00D112DF"/>
    <w:rsid w:val="00D11F33"/>
    <w:rsid w:val="00D12252"/>
    <w:rsid w:val="00D123B4"/>
    <w:rsid w:val="00D12E7E"/>
    <w:rsid w:val="00D1327F"/>
    <w:rsid w:val="00D14A18"/>
    <w:rsid w:val="00D14B0E"/>
    <w:rsid w:val="00D15382"/>
    <w:rsid w:val="00D2000D"/>
    <w:rsid w:val="00D200A3"/>
    <w:rsid w:val="00D204BC"/>
    <w:rsid w:val="00D20920"/>
    <w:rsid w:val="00D2098F"/>
    <w:rsid w:val="00D209A4"/>
    <w:rsid w:val="00D20CFE"/>
    <w:rsid w:val="00D210EE"/>
    <w:rsid w:val="00D21124"/>
    <w:rsid w:val="00D21824"/>
    <w:rsid w:val="00D226D0"/>
    <w:rsid w:val="00D23434"/>
    <w:rsid w:val="00D2462D"/>
    <w:rsid w:val="00D253EA"/>
    <w:rsid w:val="00D25B57"/>
    <w:rsid w:val="00D260CB"/>
    <w:rsid w:val="00D2670A"/>
    <w:rsid w:val="00D279FF"/>
    <w:rsid w:val="00D27E8E"/>
    <w:rsid w:val="00D32E1F"/>
    <w:rsid w:val="00D33E8E"/>
    <w:rsid w:val="00D34CE7"/>
    <w:rsid w:val="00D367DA"/>
    <w:rsid w:val="00D37601"/>
    <w:rsid w:val="00D402C7"/>
    <w:rsid w:val="00D407D3"/>
    <w:rsid w:val="00D41395"/>
    <w:rsid w:val="00D422B5"/>
    <w:rsid w:val="00D45529"/>
    <w:rsid w:val="00D463F9"/>
    <w:rsid w:val="00D4742A"/>
    <w:rsid w:val="00D4767A"/>
    <w:rsid w:val="00D47706"/>
    <w:rsid w:val="00D47C83"/>
    <w:rsid w:val="00D519DD"/>
    <w:rsid w:val="00D53338"/>
    <w:rsid w:val="00D53667"/>
    <w:rsid w:val="00D553D1"/>
    <w:rsid w:val="00D558A6"/>
    <w:rsid w:val="00D576C2"/>
    <w:rsid w:val="00D57FF0"/>
    <w:rsid w:val="00D60718"/>
    <w:rsid w:val="00D60E48"/>
    <w:rsid w:val="00D6110B"/>
    <w:rsid w:val="00D61D96"/>
    <w:rsid w:val="00D62F07"/>
    <w:rsid w:val="00D6364F"/>
    <w:rsid w:val="00D64CC8"/>
    <w:rsid w:val="00D6650C"/>
    <w:rsid w:val="00D666E7"/>
    <w:rsid w:val="00D67F8F"/>
    <w:rsid w:val="00D71734"/>
    <w:rsid w:val="00D720D8"/>
    <w:rsid w:val="00D73482"/>
    <w:rsid w:val="00D7391B"/>
    <w:rsid w:val="00D75C60"/>
    <w:rsid w:val="00D75D97"/>
    <w:rsid w:val="00D76048"/>
    <w:rsid w:val="00D7614B"/>
    <w:rsid w:val="00D80070"/>
    <w:rsid w:val="00D80AC3"/>
    <w:rsid w:val="00D80FB9"/>
    <w:rsid w:val="00D81070"/>
    <w:rsid w:val="00D8246D"/>
    <w:rsid w:val="00D831F0"/>
    <w:rsid w:val="00D83752"/>
    <w:rsid w:val="00D83F61"/>
    <w:rsid w:val="00D849CE"/>
    <w:rsid w:val="00D85266"/>
    <w:rsid w:val="00D8542E"/>
    <w:rsid w:val="00D85CBC"/>
    <w:rsid w:val="00D868AD"/>
    <w:rsid w:val="00D86C3B"/>
    <w:rsid w:val="00D90D3D"/>
    <w:rsid w:val="00D90F60"/>
    <w:rsid w:val="00D91019"/>
    <w:rsid w:val="00D916DD"/>
    <w:rsid w:val="00D91774"/>
    <w:rsid w:val="00D920BA"/>
    <w:rsid w:val="00D92343"/>
    <w:rsid w:val="00D923BD"/>
    <w:rsid w:val="00D925AA"/>
    <w:rsid w:val="00D92B19"/>
    <w:rsid w:val="00D938EF"/>
    <w:rsid w:val="00D95343"/>
    <w:rsid w:val="00D9706E"/>
    <w:rsid w:val="00DA0042"/>
    <w:rsid w:val="00DA0373"/>
    <w:rsid w:val="00DA0ABF"/>
    <w:rsid w:val="00DA2679"/>
    <w:rsid w:val="00DA3FCF"/>
    <w:rsid w:val="00DA63EE"/>
    <w:rsid w:val="00DA6B00"/>
    <w:rsid w:val="00DA6BB4"/>
    <w:rsid w:val="00DA7790"/>
    <w:rsid w:val="00DA7A5F"/>
    <w:rsid w:val="00DA7D7F"/>
    <w:rsid w:val="00DB01B6"/>
    <w:rsid w:val="00DB068B"/>
    <w:rsid w:val="00DB084B"/>
    <w:rsid w:val="00DB1515"/>
    <w:rsid w:val="00DB22D5"/>
    <w:rsid w:val="00DB2B2F"/>
    <w:rsid w:val="00DB3335"/>
    <w:rsid w:val="00DB664F"/>
    <w:rsid w:val="00DB6E6E"/>
    <w:rsid w:val="00DC00EB"/>
    <w:rsid w:val="00DC051D"/>
    <w:rsid w:val="00DC0791"/>
    <w:rsid w:val="00DC094A"/>
    <w:rsid w:val="00DC1725"/>
    <w:rsid w:val="00DC196C"/>
    <w:rsid w:val="00DC2447"/>
    <w:rsid w:val="00DC2BEB"/>
    <w:rsid w:val="00DC304D"/>
    <w:rsid w:val="00DC3852"/>
    <w:rsid w:val="00DC4C4F"/>
    <w:rsid w:val="00DC56AF"/>
    <w:rsid w:val="00DC65EA"/>
    <w:rsid w:val="00DC73D4"/>
    <w:rsid w:val="00DC7F99"/>
    <w:rsid w:val="00DD09BE"/>
    <w:rsid w:val="00DD1C30"/>
    <w:rsid w:val="00DD23A2"/>
    <w:rsid w:val="00DD2FCC"/>
    <w:rsid w:val="00DD3736"/>
    <w:rsid w:val="00DD4019"/>
    <w:rsid w:val="00DD453F"/>
    <w:rsid w:val="00DD4D27"/>
    <w:rsid w:val="00DD64AE"/>
    <w:rsid w:val="00DD7ADD"/>
    <w:rsid w:val="00DE01BF"/>
    <w:rsid w:val="00DE1337"/>
    <w:rsid w:val="00DE16DA"/>
    <w:rsid w:val="00DE182C"/>
    <w:rsid w:val="00DE3136"/>
    <w:rsid w:val="00DE3D2C"/>
    <w:rsid w:val="00DE423F"/>
    <w:rsid w:val="00DE655F"/>
    <w:rsid w:val="00DE7B6D"/>
    <w:rsid w:val="00DF0074"/>
    <w:rsid w:val="00DF1008"/>
    <w:rsid w:val="00DF217F"/>
    <w:rsid w:val="00DF2564"/>
    <w:rsid w:val="00DF5E3C"/>
    <w:rsid w:val="00DF6173"/>
    <w:rsid w:val="00DF79B5"/>
    <w:rsid w:val="00DF7C3A"/>
    <w:rsid w:val="00E00838"/>
    <w:rsid w:val="00E034E2"/>
    <w:rsid w:val="00E037BD"/>
    <w:rsid w:val="00E07DB4"/>
    <w:rsid w:val="00E113AF"/>
    <w:rsid w:val="00E12589"/>
    <w:rsid w:val="00E127AE"/>
    <w:rsid w:val="00E15EF0"/>
    <w:rsid w:val="00E1641B"/>
    <w:rsid w:val="00E207D7"/>
    <w:rsid w:val="00E20D8B"/>
    <w:rsid w:val="00E21E28"/>
    <w:rsid w:val="00E22052"/>
    <w:rsid w:val="00E24DE5"/>
    <w:rsid w:val="00E257F2"/>
    <w:rsid w:val="00E26E6A"/>
    <w:rsid w:val="00E26F3A"/>
    <w:rsid w:val="00E27B0A"/>
    <w:rsid w:val="00E27FB7"/>
    <w:rsid w:val="00E30A7E"/>
    <w:rsid w:val="00E325E7"/>
    <w:rsid w:val="00E3428D"/>
    <w:rsid w:val="00E34370"/>
    <w:rsid w:val="00E35B29"/>
    <w:rsid w:val="00E3679A"/>
    <w:rsid w:val="00E374DC"/>
    <w:rsid w:val="00E40131"/>
    <w:rsid w:val="00E40314"/>
    <w:rsid w:val="00E41039"/>
    <w:rsid w:val="00E41474"/>
    <w:rsid w:val="00E4299A"/>
    <w:rsid w:val="00E42C8E"/>
    <w:rsid w:val="00E44745"/>
    <w:rsid w:val="00E459A8"/>
    <w:rsid w:val="00E45F39"/>
    <w:rsid w:val="00E4653D"/>
    <w:rsid w:val="00E51072"/>
    <w:rsid w:val="00E531CC"/>
    <w:rsid w:val="00E53B66"/>
    <w:rsid w:val="00E53F94"/>
    <w:rsid w:val="00E54052"/>
    <w:rsid w:val="00E55A1F"/>
    <w:rsid w:val="00E56D27"/>
    <w:rsid w:val="00E602DD"/>
    <w:rsid w:val="00E611F4"/>
    <w:rsid w:val="00E618DE"/>
    <w:rsid w:val="00E623FC"/>
    <w:rsid w:val="00E62594"/>
    <w:rsid w:val="00E6278D"/>
    <w:rsid w:val="00E630D3"/>
    <w:rsid w:val="00E652A4"/>
    <w:rsid w:val="00E65481"/>
    <w:rsid w:val="00E65A30"/>
    <w:rsid w:val="00E6711D"/>
    <w:rsid w:val="00E6735C"/>
    <w:rsid w:val="00E673C4"/>
    <w:rsid w:val="00E70D31"/>
    <w:rsid w:val="00E719AF"/>
    <w:rsid w:val="00E729C0"/>
    <w:rsid w:val="00E7371E"/>
    <w:rsid w:val="00E74EAF"/>
    <w:rsid w:val="00E75AA2"/>
    <w:rsid w:val="00E761BA"/>
    <w:rsid w:val="00E761C3"/>
    <w:rsid w:val="00E769A4"/>
    <w:rsid w:val="00E8147D"/>
    <w:rsid w:val="00E81D3B"/>
    <w:rsid w:val="00E82E30"/>
    <w:rsid w:val="00E83113"/>
    <w:rsid w:val="00E83674"/>
    <w:rsid w:val="00E83830"/>
    <w:rsid w:val="00E8448C"/>
    <w:rsid w:val="00E84AFF"/>
    <w:rsid w:val="00E852B4"/>
    <w:rsid w:val="00E85D99"/>
    <w:rsid w:val="00E8632B"/>
    <w:rsid w:val="00E87CB9"/>
    <w:rsid w:val="00E90924"/>
    <w:rsid w:val="00E90A31"/>
    <w:rsid w:val="00E925F6"/>
    <w:rsid w:val="00E95E4D"/>
    <w:rsid w:val="00E963ED"/>
    <w:rsid w:val="00E97951"/>
    <w:rsid w:val="00E97A59"/>
    <w:rsid w:val="00EA017F"/>
    <w:rsid w:val="00EA0BDD"/>
    <w:rsid w:val="00EA136C"/>
    <w:rsid w:val="00EA2A18"/>
    <w:rsid w:val="00EA31C2"/>
    <w:rsid w:val="00EA334C"/>
    <w:rsid w:val="00EA3DE8"/>
    <w:rsid w:val="00EA4AEF"/>
    <w:rsid w:val="00EA5C35"/>
    <w:rsid w:val="00EA63CE"/>
    <w:rsid w:val="00EA6D2C"/>
    <w:rsid w:val="00EA7A6C"/>
    <w:rsid w:val="00EA7AD9"/>
    <w:rsid w:val="00EB0576"/>
    <w:rsid w:val="00EB08D9"/>
    <w:rsid w:val="00EB0984"/>
    <w:rsid w:val="00EB12FF"/>
    <w:rsid w:val="00EB1FE7"/>
    <w:rsid w:val="00EB2E66"/>
    <w:rsid w:val="00EB3AF0"/>
    <w:rsid w:val="00EB436C"/>
    <w:rsid w:val="00EB4924"/>
    <w:rsid w:val="00EB5DF8"/>
    <w:rsid w:val="00EB619D"/>
    <w:rsid w:val="00EB67FC"/>
    <w:rsid w:val="00EB69BA"/>
    <w:rsid w:val="00EB75EA"/>
    <w:rsid w:val="00EC0147"/>
    <w:rsid w:val="00EC2D23"/>
    <w:rsid w:val="00EC4F21"/>
    <w:rsid w:val="00EC54CA"/>
    <w:rsid w:val="00EC5D43"/>
    <w:rsid w:val="00EC69EA"/>
    <w:rsid w:val="00EC6E9C"/>
    <w:rsid w:val="00EC6F19"/>
    <w:rsid w:val="00EC7A9E"/>
    <w:rsid w:val="00EC7B8F"/>
    <w:rsid w:val="00ED0B4D"/>
    <w:rsid w:val="00ED321E"/>
    <w:rsid w:val="00ED5B67"/>
    <w:rsid w:val="00ED5BF5"/>
    <w:rsid w:val="00ED6AB6"/>
    <w:rsid w:val="00ED751F"/>
    <w:rsid w:val="00EE0F91"/>
    <w:rsid w:val="00EE215F"/>
    <w:rsid w:val="00EE26D1"/>
    <w:rsid w:val="00EE3013"/>
    <w:rsid w:val="00EE32B6"/>
    <w:rsid w:val="00EE3575"/>
    <w:rsid w:val="00EE3635"/>
    <w:rsid w:val="00EE408C"/>
    <w:rsid w:val="00EE4090"/>
    <w:rsid w:val="00EE41FE"/>
    <w:rsid w:val="00EE4D54"/>
    <w:rsid w:val="00EE6352"/>
    <w:rsid w:val="00EE69D4"/>
    <w:rsid w:val="00EE717D"/>
    <w:rsid w:val="00EE7306"/>
    <w:rsid w:val="00EE7D41"/>
    <w:rsid w:val="00EE7FFE"/>
    <w:rsid w:val="00EF029B"/>
    <w:rsid w:val="00EF0F1B"/>
    <w:rsid w:val="00EF13AE"/>
    <w:rsid w:val="00EF149C"/>
    <w:rsid w:val="00EF1770"/>
    <w:rsid w:val="00EF3934"/>
    <w:rsid w:val="00EF3DC5"/>
    <w:rsid w:val="00EF5039"/>
    <w:rsid w:val="00EF5D98"/>
    <w:rsid w:val="00EF6205"/>
    <w:rsid w:val="00EF650B"/>
    <w:rsid w:val="00EF6A7A"/>
    <w:rsid w:val="00EF7CED"/>
    <w:rsid w:val="00F00719"/>
    <w:rsid w:val="00F00833"/>
    <w:rsid w:val="00F00DE4"/>
    <w:rsid w:val="00F01BF0"/>
    <w:rsid w:val="00F05262"/>
    <w:rsid w:val="00F066CC"/>
    <w:rsid w:val="00F101D6"/>
    <w:rsid w:val="00F10436"/>
    <w:rsid w:val="00F115C4"/>
    <w:rsid w:val="00F11D4E"/>
    <w:rsid w:val="00F123E6"/>
    <w:rsid w:val="00F124DF"/>
    <w:rsid w:val="00F14602"/>
    <w:rsid w:val="00F15671"/>
    <w:rsid w:val="00F1603F"/>
    <w:rsid w:val="00F17F45"/>
    <w:rsid w:val="00F221DA"/>
    <w:rsid w:val="00F226AC"/>
    <w:rsid w:val="00F22D54"/>
    <w:rsid w:val="00F2425D"/>
    <w:rsid w:val="00F24530"/>
    <w:rsid w:val="00F254C0"/>
    <w:rsid w:val="00F276C7"/>
    <w:rsid w:val="00F27D75"/>
    <w:rsid w:val="00F30040"/>
    <w:rsid w:val="00F3080E"/>
    <w:rsid w:val="00F31ACB"/>
    <w:rsid w:val="00F332D8"/>
    <w:rsid w:val="00F33A68"/>
    <w:rsid w:val="00F33D99"/>
    <w:rsid w:val="00F35791"/>
    <w:rsid w:val="00F35DEA"/>
    <w:rsid w:val="00F36A07"/>
    <w:rsid w:val="00F37503"/>
    <w:rsid w:val="00F37570"/>
    <w:rsid w:val="00F41119"/>
    <w:rsid w:val="00F43033"/>
    <w:rsid w:val="00F4325F"/>
    <w:rsid w:val="00F437C3"/>
    <w:rsid w:val="00F4457C"/>
    <w:rsid w:val="00F44BA3"/>
    <w:rsid w:val="00F45881"/>
    <w:rsid w:val="00F46148"/>
    <w:rsid w:val="00F46996"/>
    <w:rsid w:val="00F471B0"/>
    <w:rsid w:val="00F47D18"/>
    <w:rsid w:val="00F50943"/>
    <w:rsid w:val="00F5197A"/>
    <w:rsid w:val="00F521C6"/>
    <w:rsid w:val="00F550ED"/>
    <w:rsid w:val="00F5683B"/>
    <w:rsid w:val="00F56D9E"/>
    <w:rsid w:val="00F60C8D"/>
    <w:rsid w:val="00F61037"/>
    <w:rsid w:val="00F61142"/>
    <w:rsid w:val="00F6120F"/>
    <w:rsid w:val="00F61373"/>
    <w:rsid w:val="00F618CF"/>
    <w:rsid w:val="00F6428C"/>
    <w:rsid w:val="00F649B6"/>
    <w:rsid w:val="00F64AAB"/>
    <w:rsid w:val="00F64D95"/>
    <w:rsid w:val="00F6549D"/>
    <w:rsid w:val="00F66A2D"/>
    <w:rsid w:val="00F67893"/>
    <w:rsid w:val="00F70171"/>
    <w:rsid w:val="00F702BE"/>
    <w:rsid w:val="00F7112F"/>
    <w:rsid w:val="00F73E84"/>
    <w:rsid w:val="00F765D8"/>
    <w:rsid w:val="00F773C0"/>
    <w:rsid w:val="00F77AB6"/>
    <w:rsid w:val="00F808AC"/>
    <w:rsid w:val="00F811B5"/>
    <w:rsid w:val="00F811F5"/>
    <w:rsid w:val="00F81B54"/>
    <w:rsid w:val="00F8337D"/>
    <w:rsid w:val="00F83EF0"/>
    <w:rsid w:val="00F84102"/>
    <w:rsid w:val="00F842A4"/>
    <w:rsid w:val="00F85147"/>
    <w:rsid w:val="00F85782"/>
    <w:rsid w:val="00F85AEC"/>
    <w:rsid w:val="00F87548"/>
    <w:rsid w:val="00F87F63"/>
    <w:rsid w:val="00F90092"/>
    <w:rsid w:val="00F902E2"/>
    <w:rsid w:val="00F92105"/>
    <w:rsid w:val="00F93DA0"/>
    <w:rsid w:val="00F93E30"/>
    <w:rsid w:val="00F940C5"/>
    <w:rsid w:val="00F957B6"/>
    <w:rsid w:val="00F957CF"/>
    <w:rsid w:val="00F95C7C"/>
    <w:rsid w:val="00F95DD8"/>
    <w:rsid w:val="00F968EA"/>
    <w:rsid w:val="00F9772C"/>
    <w:rsid w:val="00FA0E61"/>
    <w:rsid w:val="00FA241E"/>
    <w:rsid w:val="00FA50E8"/>
    <w:rsid w:val="00FA56CD"/>
    <w:rsid w:val="00FA5CF4"/>
    <w:rsid w:val="00FA668A"/>
    <w:rsid w:val="00FA7359"/>
    <w:rsid w:val="00FB0899"/>
    <w:rsid w:val="00FB0B32"/>
    <w:rsid w:val="00FB198D"/>
    <w:rsid w:val="00FB2ECD"/>
    <w:rsid w:val="00FB3C7E"/>
    <w:rsid w:val="00FB4BAA"/>
    <w:rsid w:val="00FB4E43"/>
    <w:rsid w:val="00FB55BB"/>
    <w:rsid w:val="00FB5F62"/>
    <w:rsid w:val="00FC02F4"/>
    <w:rsid w:val="00FC0A4B"/>
    <w:rsid w:val="00FC1339"/>
    <w:rsid w:val="00FC1377"/>
    <w:rsid w:val="00FC2DDE"/>
    <w:rsid w:val="00FC37A3"/>
    <w:rsid w:val="00FC38C3"/>
    <w:rsid w:val="00FC393A"/>
    <w:rsid w:val="00FC43B6"/>
    <w:rsid w:val="00FC65BC"/>
    <w:rsid w:val="00FC6A12"/>
    <w:rsid w:val="00FC7485"/>
    <w:rsid w:val="00FD145C"/>
    <w:rsid w:val="00FD1761"/>
    <w:rsid w:val="00FD1C6D"/>
    <w:rsid w:val="00FD1D70"/>
    <w:rsid w:val="00FD2A4A"/>
    <w:rsid w:val="00FD344D"/>
    <w:rsid w:val="00FD346A"/>
    <w:rsid w:val="00FD47F8"/>
    <w:rsid w:val="00FD4848"/>
    <w:rsid w:val="00FD48EB"/>
    <w:rsid w:val="00FD5AED"/>
    <w:rsid w:val="00FD5FFD"/>
    <w:rsid w:val="00FD6273"/>
    <w:rsid w:val="00FD6985"/>
    <w:rsid w:val="00FD6B39"/>
    <w:rsid w:val="00FD7DB8"/>
    <w:rsid w:val="00FE0439"/>
    <w:rsid w:val="00FE1B62"/>
    <w:rsid w:val="00FE1E56"/>
    <w:rsid w:val="00FE229F"/>
    <w:rsid w:val="00FE2571"/>
    <w:rsid w:val="00FE2C3F"/>
    <w:rsid w:val="00FE2E29"/>
    <w:rsid w:val="00FE4011"/>
    <w:rsid w:val="00FF01AC"/>
    <w:rsid w:val="00FF150E"/>
    <w:rsid w:val="00FF1D33"/>
    <w:rsid w:val="00FF1DFD"/>
    <w:rsid w:val="00FF22E2"/>
    <w:rsid w:val="00FF3587"/>
    <w:rsid w:val="00FF704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BB6732"/>
  <w15:docId w15:val="{3DE2F88C-0854-49E5-B4A9-009FED9B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BE8"/>
    <w:rPr>
      <w:rFonts w:ascii="Arial" w:hAnsi="Arial" w:cs="Arial"/>
      <w:szCs w:val="24"/>
      <w:lang w:eastAsia="en-US"/>
    </w:rPr>
  </w:style>
  <w:style w:type="paragraph" w:styleId="Heading1">
    <w:name w:val="heading 1"/>
    <w:basedOn w:val="Normal"/>
    <w:next w:val="Normal"/>
    <w:link w:val="Heading1Char"/>
    <w:uiPriority w:val="99"/>
    <w:qFormat/>
    <w:rsid w:val="007D16B0"/>
    <w:pPr>
      <w:spacing w:after="600" w:line="460" w:lineRule="atLeast"/>
      <w:outlineLvl w:val="0"/>
    </w:pPr>
    <w:rPr>
      <w:b/>
      <w:color w:val="00B2A9" w:themeColor="accent1"/>
      <w:sz w:val="32"/>
      <w:szCs w:val="32"/>
      <w:lang w:val="en-US"/>
    </w:rPr>
  </w:style>
  <w:style w:type="paragraph" w:styleId="Heading2">
    <w:name w:val="heading 2"/>
    <w:basedOn w:val="Normal"/>
    <w:next w:val="Normal"/>
    <w:qFormat/>
    <w:rsid w:val="007D16B0"/>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qFormat/>
    <w:rsid w:val="007D16B0"/>
    <w:pPr>
      <w:spacing w:before="140" w:after="57" w:line="220" w:lineRule="atLeast"/>
      <w:outlineLvl w:val="2"/>
    </w:pPr>
    <w:rPr>
      <w:b/>
      <w:sz w:val="24"/>
    </w:rPr>
  </w:style>
  <w:style w:type="paragraph" w:styleId="Heading4">
    <w:name w:val="heading 4"/>
    <w:basedOn w:val="Normal"/>
    <w:next w:val="Normal"/>
    <w:link w:val="Heading4Char"/>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rsid w:val="00F968EA"/>
    <w:pPr>
      <w:spacing w:before="240" w:after="60"/>
      <w:outlineLvl w:val="5"/>
    </w:pPr>
    <w:rPr>
      <w:b/>
      <w:bCs/>
      <w:szCs w:val="22"/>
    </w:rPr>
  </w:style>
  <w:style w:type="paragraph" w:styleId="Heading7">
    <w:name w:val="heading 7"/>
    <w:aliases w:val="App 3"/>
    <w:basedOn w:val="Normal"/>
    <w:next w:val="Normal"/>
    <w:rsid w:val="00F968EA"/>
    <w:pPr>
      <w:spacing w:before="240" w:after="60"/>
      <w:outlineLvl w:val="6"/>
    </w:pPr>
  </w:style>
  <w:style w:type="paragraph" w:styleId="Heading8">
    <w:name w:val="heading 8"/>
    <w:aliases w:val="App 4"/>
    <w:basedOn w:val="Normal"/>
    <w:next w:val="Normal"/>
    <w:rsid w:val="00F968EA"/>
    <w:pPr>
      <w:spacing w:before="240" w:after="60"/>
      <w:outlineLvl w:val="7"/>
    </w:pPr>
    <w:rPr>
      <w:i/>
      <w:iCs/>
    </w:rPr>
  </w:style>
  <w:style w:type="paragraph" w:styleId="Heading9">
    <w:name w:val="heading 9"/>
    <w:basedOn w:val="Normal"/>
    <w:next w:val="Normal"/>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s>
    </w:pPr>
  </w:style>
  <w:style w:type="paragraph" w:styleId="Header">
    <w:name w:val="header"/>
    <w:basedOn w:val="Normal"/>
    <w:link w:val="HeaderChar"/>
    <w:uiPriority w:val="99"/>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qFormat/>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uiPriority w:val="99"/>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uiPriority w:val="99"/>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3430E7"/>
    <w:pPr>
      <w:tabs>
        <w:tab w:val="left" w:pos="567"/>
        <w:tab w:val="right" w:pos="9629"/>
      </w:tabs>
      <w:spacing w:after="60"/>
      <w:ind w:left="567" w:hanging="567"/>
    </w:pPr>
    <w:rPr>
      <w:bCs/>
      <w:noProof/>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71429D"/>
    <w:pPr>
      <w:tabs>
        <w:tab w:val="left" w:pos="1276"/>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rsid w:val="00E90924"/>
    <w:rPr>
      <w:sz w:val="16"/>
      <w:szCs w:val="16"/>
    </w:rPr>
  </w:style>
  <w:style w:type="paragraph" w:styleId="CommentText">
    <w:name w:val="annotation text"/>
    <w:basedOn w:val="Normal"/>
    <w:link w:val="CommentTextChar"/>
    <w:rsid w:val="00E90924"/>
    <w:rPr>
      <w:szCs w:val="20"/>
    </w:rPr>
  </w:style>
  <w:style w:type="character" w:customStyle="1" w:styleId="CommentTextChar">
    <w:name w:val="Comment Text Char"/>
    <w:link w:val="CommentText"/>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basedOn w:val="Normal"/>
    <w:uiPriority w:val="34"/>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nhideWhenUsed/>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semiHidden/>
    <w:rsid w:val="001D2FBB"/>
    <w:pPr>
      <w:ind w:left="660"/>
    </w:pPr>
  </w:style>
  <w:style w:type="paragraph" w:styleId="TOC5">
    <w:name w:val="toc 5"/>
    <w:basedOn w:val="Normal"/>
    <w:next w:val="Normal"/>
    <w:autoRedefine/>
    <w:semiHidden/>
    <w:rsid w:val="001D2FBB"/>
    <w:pPr>
      <w:ind w:left="880"/>
    </w:pPr>
  </w:style>
  <w:style w:type="paragraph" w:styleId="TOC6">
    <w:name w:val="toc 6"/>
    <w:basedOn w:val="Normal"/>
    <w:next w:val="Normal"/>
    <w:autoRedefine/>
    <w:semiHidden/>
    <w:rsid w:val="001D2FBB"/>
    <w:pPr>
      <w:ind w:left="1100"/>
    </w:pPr>
  </w:style>
  <w:style w:type="paragraph" w:styleId="TOC7">
    <w:name w:val="toc 7"/>
    <w:basedOn w:val="Normal"/>
    <w:next w:val="Normal"/>
    <w:autoRedefine/>
    <w:semiHidden/>
    <w:rsid w:val="001D2FBB"/>
    <w:pPr>
      <w:ind w:left="1320"/>
    </w:pPr>
  </w:style>
  <w:style w:type="paragraph" w:styleId="TOC8">
    <w:name w:val="toc 8"/>
    <w:basedOn w:val="Normal"/>
    <w:next w:val="Normal"/>
    <w:autoRedefine/>
    <w:semiHidden/>
    <w:rsid w:val="001D2FBB"/>
    <w:pPr>
      <w:ind w:left="1540"/>
    </w:pPr>
  </w:style>
  <w:style w:type="paragraph" w:styleId="TOC9">
    <w:name w:val="toc 9"/>
    <w:basedOn w:val="Normal"/>
    <w:next w:val="Normal"/>
    <w:autoRedefine/>
    <w:semiHidden/>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7D16B0"/>
    <w:rPr>
      <w:rFonts w:ascii="Arial" w:hAnsi="Arial" w:cs="Arial"/>
      <w:b/>
      <w:i/>
      <w:sz w:val="22"/>
      <w:szCs w:val="24"/>
      <w:lang w:eastAsia="en-US"/>
    </w:rPr>
  </w:style>
  <w:style w:type="paragraph" w:customStyle="1" w:styleId="Heading4-Numbered">
    <w:name w:val="Heading 4 -Numbered"/>
    <w:basedOn w:val="Heading4"/>
    <w:rsid w:val="006F6E3A"/>
    <w:pPr>
      <w:numPr>
        <w:ilvl w:val="3"/>
        <w:numId w:val="30"/>
      </w:numPr>
      <w:spacing w:before="40" w:after="0" w:line="200" w:lineRule="exact"/>
    </w:pPr>
    <w:rPr>
      <w:rFonts w:ascii="Tahoma" w:hAnsi="Tahoma"/>
      <w:sz w:val="18"/>
      <w:lang w:eastAsia="en-AU"/>
    </w:rPr>
  </w:style>
  <w:style w:type="paragraph" w:customStyle="1" w:styleId="Heading3-Numbered">
    <w:name w:val="Heading 3 - Numbered"/>
    <w:basedOn w:val="Heading3"/>
    <w:next w:val="Normal"/>
    <w:autoRedefine/>
    <w:qFormat/>
    <w:rsid w:val="006F6E3A"/>
    <w:pPr>
      <w:numPr>
        <w:ilvl w:val="2"/>
        <w:numId w:val="30"/>
      </w:numPr>
      <w:tabs>
        <w:tab w:val="left" w:pos="851"/>
      </w:tabs>
      <w:spacing w:line="240" w:lineRule="atLeast"/>
    </w:pPr>
    <w:rPr>
      <w:sz w:val="22"/>
      <w:lang w:eastAsia="en-AU"/>
    </w:rPr>
  </w:style>
  <w:style w:type="paragraph" w:customStyle="1" w:styleId="Heading2-Numbered">
    <w:name w:val="Heading 2 - Numbered"/>
    <w:basedOn w:val="Heading2"/>
    <w:autoRedefine/>
    <w:qFormat/>
    <w:rsid w:val="009776F4"/>
    <w:pPr>
      <w:numPr>
        <w:ilvl w:val="1"/>
        <w:numId w:val="17"/>
      </w:numPr>
      <w:tabs>
        <w:tab w:val="left" w:pos="851"/>
      </w:tabs>
    </w:pPr>
    <w:rPr>
      <w:sz w:val="24"/>
      <w:szCs w:val="28"/>
      <w:lang w:eastAsia="en-AU"/>
    </w:rPr>
  </w:style>
  <w:style w:type="paragraph" w:customStyle="1" w:styleId="Heading1-Numbered">
    <w:name w:val="Heading 1 - Numbered"/>
    <w:basedOn w:val="Heading1"/>
    <w:next w:val="Normal"/>
    <w:link w:val="Heading1-NumberedChar"/>
    <w:qFormat/>
    <w:rsid w:val="006F6E3A"/>
    <w:pPr>
      <w:numPr>
        <w:numId w:val="30"/>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9"/>
    <w:rsid w:val="00DC3852"/>
    <w:rPr>
      <w:rFonts w:ascii="Arial" w:hAnsi="Arial" w:cs="Arial"/>
      <w:b/>
      <w:color w:val="00B2A9" w:themeColor="accent1"/>
      <w:sz w:val="32"/>
      <w:szCs w:val="32"/>
      <w:lang w:val="en-US" w:eastAsia="en-US"/>
    </w:rPr>
  </w:style>
  <w:style w:type="character" w:customStyle="1" w:styleId="Heading1-NumberedChar">
    <w:name w:val="Heading 1 - Numbered Char"/>
    <w:link w:val="Heading1-Numbered"/>
    <w:rsid w:val="00704099"/>
    <w:rPr>
      <w:rFonts w:ascii="Arial" w:hAnsi="Arial" w:cs="Arial"/>
      <w:b/>
      <w:color w:val="00B2A9" w:themeColor="accent1"/>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107038"/>
    <w:pPr>
      <w:keepNext/>
      <w:keepLines/>
      <w:spacing w:before="200" w:after="120"/>
    </w:pPr>
    <w:rPr>
      <w:color w:val="201547" w:themeColor="accent3"/>
      <w:sz w:val="22"/>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584FA8"/>
    <w:pPr>
      <w:keepLines/>
      <w:spacing w:before="80" w:after="120"/>
      <w:ind w:right="425"/>
    </w:pPr>
    <w:rPr>
      <w:color w:val="auto"/>
      <w:szCs w:val="22"/>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2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rPr>
      <w:sz w:val="20"/>
    </w:rPr>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customStyle="1" w:styleId="UnresolvedMention1">
    <w:name w:val="Unresolved Mention1"/>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BC25ED"/>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BC25ED"/>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BC25ED"/>
    <w:pPr>
      <w:framePr w:wrap="around"/>
      <w:spacing w:before="120" w:after="120"/>
    </w:pPr>
    <w:rPr>
      <w:b/>
      <w:color w:val="00B2A9" w:themeColor="accent1"/>
      <w:sz w:val="20"/>
    </w:rPr>
  </w:style>
  <w:style w:type="paragraph" w:customStyle="1" w:styleId="xDisclaimertext5">
    <w:name w:val="xDisclaimer text 5"/>
    <w:basedOn w:val="xDisclaimertext4"/>
    <w:qFormat/>
    <w:rsid w:val="00BC25ED"/>
    <w:pPr>
      <w:framePr w:wrap="around"/>
      <w:spacing w:after="100"/>
      <w:ind w:right="3119"/>
    </w:pPr>
  </w:style>
  <w:style w:type="paragraph" w:customStyle="1" w:styleId="ARIERBody">
    <w:name w:val="ARIER_Body"/>
    <w:basedOn w:val="Normal"/>
    <w:link w:val="ARIERBodyChar"/>
    <w:uiPriority w:val="99"/>
    <w:qFormat/>
    <w:rsid w:val="002D1AD6"/>
    <w:pPr>
      <w:spacing w:after="113" w:line="240" w:lineRule="atLeast"/>
    </w:pPr>
    <w:rPr>
      <w:rFonts w:ascii="Calibri" w:hAnsi="Calibri"/>
      <w:sz w:val="22"/>
      <w:szCs w:val="22"/>
    </w:rPr>
  </w:style>
  <w:style w:type="character" w:customStyle="1" w:styleId="ARIERBodyChar">
    <w:name w:val="ARIER_Body Char"/>
    <w:link w:val="ARIERBody"/>
    <w:uiPriority w:val="99"/>
    <w:rsid w:val="002D1AD6"/>
    <w:rPr>
      <w:rFonts w:ascii="Calibri" w:hAnsi="Calibri" w:cs="Arial"/>
      <w:sz w:val="22"/>
      <w:szCs w:val="22"/>
      <w:lang w:eastAsia="en-US"/>
    </w:rPr>
  </w:style>
  <w:style w:type="paragraph" w:customStyle="1" w:styleId="ARIERindentedlettered">
    <w:name w:val="ARIER_indented lettered"/>
    <w:basedOn w:val="Normal"/>
    <w:qFormat/>
    <w:rsid w:val="002D1AD6"/>
    <w:pPr>
      <w:numPr>
        <w:numId w:val="32"/>
      </w:numPr>
      <w:spacing w:after="113" w:line="240" w:lineRule="atLeast"/>
    </w:pPr>
    <w:rPr>
      <w:rFonts w:ascii="Calibri" w:hAnsi="Calibri" w:cs="Times New Roman"/>
      <w:noProof/>
      <w:sz w:val="22"/>
      <w:szCs w:val="22"/>
      <w:lang w:eastAsia="en-AU"/>
    </w:rPr>
  </w:style>
  <w:style w:type="paragraph" w:customStyle="1" w:styleId="Body2">
    <w:name w:val="_Body2"/>
    <w:basedOn w:val="Normal"/>
    <w:link w:val="Body2Char"/>
    <w:uiPriority w:val="9"/>
    <w:qFormat/>
    <w:rsid w:val="009776F4"/>
    <w:pPr>
      <w:spacing w:after="113" w:line="240" w:lineRule="atLeast"/>
    </w:pPr>
    <w:rPr>
      <w:rFonts w:ascii="Calibri" w:hAnsi="Calibri"/>
      <w:sz w:val="22"/>
      <w:szCs w:val="22"/>
    </w:rPr>
  </w:style>
  <w:style w:type="character" w:customStyle="1" w:styleId="Body2Char">
    <w:name w:val="_Body2 Char"/>
    <w:link w:val="Body2"/>
    <w:uiPriority w:val="9"/>
    <w:rsid w:val="009776F4"/>
    <w:rPr>
      <w:rFonts w:ascii="Calibri" w:hAnsi="Calibri" w:cs="Arial"/>
      <w:sz w:val="22"/>
      <w:szCs w:val="22"/>
      <w:lang w:eastAsia="en-US"/>
    </w:rPr>
  </w:style>
  <w:style w:type="paragraph" w:customStyle="1" w:styleId="ARIERCaption-Figure">
    <w:name w:val="ARIER_Caption - Figure"/>
    <w:basedOn w:val="Caption0"/>
    <w:next w:val="Normal"/>
    <w:qFormat/>
    <w:rsid w:val="009776F4"/>
    <w:pPr>
      <w:keepLines/>
      <w:spacing w:before="80" w:after="0" w:line="240" w:lineRule="auto"/>
    </w:pPr>
    <w:rPr>
      <w:rFonts w:ascii="Calibri" w:hAnsi="Calibri" w:cs="Times New Roman"/>
      <w:color w:val="228591"/>
    </w:rPr>
  </w:style>
  <w:style w:type="paragraph" w:customStyle="1" w:styleId="FirstParagraph">
    <w:name w:val="First Paragraph"/>
    <w:basedOn w:val="BodyText"/>
    <w:next w:val="BodyText"/>
    <w:qFormat/>
    <w:rsid w:val="00393023"/>
    <w:pPr>
      <w:spacing w:before="180" w:after="180" w:line="240" w:lineRule="auto"/>
    </w:pPr>
    <w:rPr>
      <w:rFonts w:asciiTheme="minorHAnsi" w:eastAsiaTheme="minorHAnsi" w:hAnsiTheme="minorHAnsi" w:cstheme="minorBidi"/>
      <w:sz w:val="24"/>
      <w:lang w:val="en-US"/>
    </w:rPr>
  </w:style>
  <w:style w:type="paragraph" w:customStyle="1" w:styleId="ImageCaption">
    <w:name w:val="Image Caption"/>
    <w:basedOn w:val="Caption0"/>
    <w:rsid w:val="005E6656"/>
    <w:pPr>
      <w:spacing w:after="120" w:line="240" w:lineRule="auto"/>
    </w:pPr>
    <w:rPr>
      <w:rFonts w:asciiTheme="minorHAnsi" w:eastAsiaTheme="minorHAnsi" w:hAnsiTheme="minorHAnsi" w:cstheme="minorBidi"/>
      <w:b w:val="0"/>
      <w:bCs w:val="0"/>
      <w:i/>
      <w:color w:val="auto"/>
      <w:sz w:val="24"/>
      <w:szCs w:val="24"/>
      <w:lang w:val="en-US"/>
    </w:rPr>
  </w:style>
  <w:style w:type="paragraph" w:customStyle="1" w:styleId="CaptionedFigure">
    <w:name w:val="Captioned Figure"/>
    <w:basedOn w:val="Figure"/>
    <w:rsid w:val="005E6656"/>
    <w:pPr>
      <w:spacing w:after="200" w:line="240" w:lineRule="auto"/>
      <w:jc w:val="left"/>
    </w:pPr>
    <w:rPr>
      <w:rFonts w:eastAsiaTheme="minorHAnsi" w:cstheme="minorBidi"/>
      <w:noProof w:val="0"/>
      <w:sz w:val="24"/>
      <w:lang w:val="en-US"/>
    </w:rPr>
  </w:style>
  <w:style w:type="table" w:customStyle="1" w:styleId="TableGrid20">
    <w:name w:val="Table Grid2"/>
    <w:basedOn w:val="TableNormal"/>
    <w:next w:val="TableGrid"/>
    <w:rsid w:val="00E611F4"/>
    <w:pPr>
      <w:spacing w:before="60" w:after="60" w:line="220" w:lineRule="atLeast"/>
      <w:ind w:left="113" w:right="113"/>
    </w:pPr>
    <w:rPr>
      <w:rFonts w:ascii="Arial" w:hAnsi="Arial"/>
      <w:color w:val="363534"/>
      <w:sz w:val="18"/>
    </w:rPr>
    <w:tblPr>
      <w:tblStyleColBandSize w:val="1"/>
      <w:tblBorders>
        <w:top w:val="single" w:sz="8" w:space="0" w:color="CDDC29"/>
        <w:bottom w:val="single" w:sz="8" w:space="0" w:color="CDDC29"/>
        <w:insideH w:val="single" w:sz="8" w:space="0" w:color="CDDC29"/>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CDDC29"/>
      </w:tcPr>
    </w:tblStylePr>
    <w:tblStylePr w:type="lastRow">
      <w:rPr>
        <w:b w:val="0"/>
      </w:rPr>
    </w:tblStylePr>
    <w:tblStylePr w:type="lastCol">
      <w:pPr>
        <w:jc w:val="left"/>
      </w:pPr>
    </w:tblStylePr>
    <w:tblStylePr w:type="band1Vert">
      <w:tblPr/>
      <w:tcPr>
        <w:shd w:val="clear" w:color="auto" w:fill="F8FAE8"/>
      </w:tcPr>
    </w:tblStylePr>
    <w:tblStylePr w:type="nwCell">
      <w:pPr>
        <w:jc w:val="left"/>
      </w:pPr>
      <w:tblPr/>
      <w:tcPr>
        <w:vAlign w:val="center"/>
      </w:tcPr>
    </w:tblStylePr>
  </w:style>
  <w:style w:type="paragraph" w:customStyle="1" w:styleId="Compact">
    <w:name w:val="Compact"/>
    <w:basedOn w:val="BodyText"/>
    <w:qFormat/>
    <w:rsid w:val="00462445"/>
    <w:pPr>
      <w:spacing w:before="36" w:after="36" w:line="240" w:lineRule="auto"/>
    </w:pPr>
    <w:rPr>
      <w:rFonts w:asciiTheme="minorHAnsi" w:eastAsiaTheme="minorHAnsi" w:hAnsiTheme="minorHAnsi" w:cstheme="minorBidi"/>
      <w:sz w:val="24"/>
      <w:lang w:val="en-US"/>
    </w:rPr>
  </w:style>
  <w:style w:type="table" w:customStyle="1" w:styleId="Table">
    <w:name w:val="Table"/>
    <w:semiHidden/>
    <w:unhideWhenUsed/>
    <w:qFormat/>
    <w:rsid w:val="00462445"/>
    <w:pPr>
      <w:spacing w:after="200" w:line="240" w:lineRule="auto"/>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TableCaption">
    <w:name w:val="Table Caption"/>
    <w:basedOn w:val="Caption0"/>
    <w:rsid w:val="00462445"/>
    <w:pPr>
      <w:keepNext/>
      <w:spacing w:after="120" w:line="240" w:lineRule="auto"/>
    </w:pPr>
    <w:rPr>
      <w:rFonts w:asciiTheme="minorHAnsi" w:eastAsiaTheme="minorHAnsi" w:hAnsiTheme="minorHAnsi" w:cstheme="minorBidi"/>
      <w:b w:val="0"/>
      <w:bCs w:val="0"/>
      <w:i/>
      <w:color w:val="auto"/>
      <w:sz w:val="24"/>
      <w:szCs w:val="24"/>
      <w:lang w:val="en-US"/>
    </w:rPr>
  </w:style>
  <w:style w:type="paragraph" w:customStyle="1" w:styleId="ARIimpcoverphoto">
    <w:name w:val="ARI_imp_coverphoto"/>
    <w:basedOn w:val="Normal"/>
    <w:qFormat/>
    <w:rsid w:val="001018C2"/>
    <w:pPr>
      <w:autoSpaceDE w:val="0"/>
      <w:autoSpaceDN w:val="0"/>
      <w:adjustRightInd w:val="0"/>
      <w:spacing w:after="320" w:line="240" w:lineRule="auto"/>
    </w:pPr>
    <w:rPr>
      <w:rFonts w:ascii="Calibri" w:hAnsi="Calibri" w:cs="Times New Roman"/>
      <w:color w:val="FF0000"/>
      <w:sz w:val="16"/>
      <w:szCs w:val="16"/>
    </w:rPr>
  </w:style>
  <w:style w:type="paragraph" w:customStyle="1" w:styleId="msonormal0">
    <w:name w:val="msonormal"/>
    <w:basedOn w:val="Normal"/>
    <w:rsid w:val="00FD6B39"/>
    <w:pPr>
      <w:spacing w:before="100" w:beforeAutospacing="1" w:after="100" w:afterAutospacing="1" w:line="240" w:lineRule="auto"/>
    </w:pPr>
    <w:rPr>
      <w:rFonts w:ascii="Times New Roman" w:hAnsi="Times New Roman" w:cs="Times New Roman"/>
      <w:sz w:val="24"/>
      <w:lang w:eastAsia="en-AU"/>
    </w:rPr>
  </w:style>
  <w:style w:type="character" w:customStyle="1" w:styleId="HeaderChar">
    <w:name w:val="Header Char"/>
    <w:basedOn w:val="DefaultParagraphFont"/>
    <w:link w:val="Header"/>
    <w:uiPriority w:val="99"/>
    <w:rsid w:val="00FD6B39"/>
    <w:rPr>
      <w:rFonts w:ascii="Arial" w:hAnsi="Arial" w:cs="Arial"/>
      <w:szCs w:val="24"/>
      <w:lang w:eastAsia="en-US"/>
    </w:rPr>
  </w:style>
  <w:style w:type="character" w:styleId="UnresolvedMention">
    <w:name w:val="Unresolved Mention"/>
    <w:basedOn w:val="DefaultParagraphFont"/>
    <w:uiPriority w:val="99"/>
    <w:semiHidden/>
    <w:unhideWhenUsed/>
    <w:rsid w:val="006D7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976183397">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28476472">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45088650">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36009743">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 w:id="2017997359">
      <w:bodyDiv w:val="1"/>
      <w:marLeft w:val="0"/>
      <w:marRight w:val="0"/>
      <w:marTop w:val="0"/>
      <w:marBottom w:val="0"/>
      <w:divBdr>
        <w:top w:val="none" w:sz="0" w:space="0" w:color="auto"/>
        <w:left w:val="none" w:sz="0" w:space="0" w:color="auto"/>
        <w:bottom w:val="none" w:sz="0" w:space="0" w:color="auto"/>
        <w:right w:val="none" w:sz="0" w:space="0" w:color="auto"/>
      </w:divBdr>
      <w:divsChild>
        <w:div w:id="1438061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eader" Target="header1.xml"/><Relationship Id="rId26" Type="http://schemas.openxmlformats.org/officeDocument/2006/relationships/footer" Target="footer5.xml"/><Relationship Id="rId39" Type="http://schemas.openxmlformats.org/officeDocument/2006/relationships/hyperlink" Target="mailto:customer.service@delwp.vic.gov.au" TargetMode="External"/><Relationship Id="rId21" Type="http://schemas.openxmlformats.org/officeDocument/2006/relationships/footer" Target="footer2.xml"/><Relationship Id="rId34" Type="http://schemas.openxmlformats.org/officeDocument/2006/relationships/image" Target="media/image10.jpeg"/><Relationship Id="rId42" Type="http://schemas.openxmlformats.org/officeDocument/2006/relationships/header" Target="header5.xml"/><Relationship Id="rId47" Type="http://schemas.openxmlformats.org/officeDocument/2006/relationships/footer" Target="footer10.xml"/><Relationship Id="rId50" Type="http://schemas.openxmlformats.org/officeDocument/2006/relationships/footer" Target="footer13.xml"/><Relationship Id="rId55" Type="http://schemas.openxmlformats.org/officeDocument/2006/relationships/image" Target="media/image15.png"/><Relationship Id="rId63" Type="http://schemas.openxmlformats.org/officeDocument/2006/relationships/image" Target="media/image23.png"/><Relationship Id="rId68" Type="http://schemas.openxmlformats.org/officeDocument/2006/relationships/hyperlink" Target="https://doi.org/10.1071/WR9930267" TargetMode="External"/><Relationship Id="rId76" Type="http://schemas.openxmlformats.org/officeDocument/2006/relationships/hyperlink" Target="https://CRAN.R-project.org/package=R2jags" TargetMode="External"/><Relationship Id="rId84" Type="http://schemas.openxmlformats.org/officeDocument/2006/relationships/footer" Target="footer20.xml"/><Relationship Id="rId7" Type="http://schemas.openxmlformats.org/officeDocument/2006/relationships/customXml" Target="../customXml/item7.xml"/><Relationship Id="rId71" Type="http://schemas.openxmlformats.org/officeDocument/2006/relationships/hyperlink" Target="https://doi.org/10.1111/aec.12697" TargetMode="Externa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5.png"/><Relationship Id="rId11" Type="http://schemas.openxmlformats.org/officeDocument/2006/relationships/settings" Target="settings.xml"/><Relationship Id="rId24" Type="http://schemas.openxmlformats.org/officeDocument/2006/relationships/header" Target="header4.xml"/><Relationship Id="rId32" Type="http://schemas.openxmlformats.org/officeDocument/2006/relationships/image" Target="media/image8.png"/><Relationship Id="rId37" Type="http://schemas.openxmlformats.org/officeDocument/2006/relationships/image" Target="media/image12.emf"/><Relationship Id="rId40" Type="http://schemas.openxmlformats.org/officeDocument/2006/relationships/hyperlink" Target="http://www.relayservice.com.au" TargetMode="External"/><Relationship Id="rId45" Type="http://schemas.openxmlformats.org/officeDocument/2006/relationships/header" Target="header6.xml"/><Relationship Id="rId53" Type="http://schemas.openxmlformats.org/officeDocument/2006/relationships/image" Target="media/image13.png"/><Relationship Id="rId58" Type="http://schemas.openxmlformats.org/officeDocument/2006/relationships/image" Target="media/image18.png"/><Relationship Id="rId66" Type="http://schemas.openxmlformats.org/officeDocument/2006/relationships/image" Target="media/image26.png"/><Relationship Id="rId74" Type="http://schemas.openxmlformats.org/officeDocument/2006/relationships/hyperlink" Target="https://doi.org/10.1111/j.1442-9993.1978.tb00856.x" TargetMode="External"/><Relationship Id="rId79" Type="http://schemas.openxmlformats.org/officeDocument/2006/relationships/footer" Target="footer18.xml"/><Relationship Id="rId87"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21.png"/><Relationship Id="rId82" Type="http://schemas.openxmlformats.org/officeDocument/2006/relationships/header" Target="header7.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footer" Target="footer7.xml"/><Relationship Id="rId48" Type="http://schemas.openxmlformats.org/officeDocument/2006/relationships/footer" Target="footer11.xml"/><Relationship Id="rId56" Type="http://schemas.openxmlformats.org/officeDocument/2006/relationships/image" Target="media/image16.png"/><Relationship Id="rId64" Type="http://schemas.openxmlformats.org/officeDocument/2006/relationships/image" Target="media/image24.png"/><Relationship Id="rId69" Type="http://schemas.openxmlformats.org/officeDocument/2006/relationships/hyperlink" Target="http://services.land.vic.gov.au/catalogue/metadata?anzlicId=ANZVI0803003495&amp;publicId=guest&amp;extractionProviderId=1" TargetMode="External"/><Relationship Id="rId77" Type="http://schemas.openxmlformats.org/officeDocument/2006/relationships/footer" Target="footer16.xml"/><Relationship Id="rId8" Type="http://schemas.openxmlformats.org/officeDocument/2006/relationships/customXml" Target="../customXml/item8.xml"/><Relationship Id="rId51" Type="http://schemas.openxmlformats.org/officeDocument/2006/relationships/footer" Target="footer14.xml"/><Relationship Id="rId72" Type="http://schemas.openxmlformats.org/officeDocument/2006/relationships/hyperlink" Target="http://www.r-project.org/conferences/DSC-2003/" TargetMode="External"/><Relationship Id="rId80" Type="http://schemas.openxmlformats.org/officeDocument/2006/relationships/hyperlink" Target="http://www.delwp.vic.gov.au" TargetMode="External"/><Relationship Id="rId85" Type="http://schemas.openxmlformats.org/officeDocument/2006/relationships/footer" Target="footer2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footer" Target="footer4.xml"/><Relationship Id="rId33" Type="http://schemas.openxmlformats.org/officeDocument/2006/relationships/image" Target="media/image9.jpeg"/><Relationship Id="rId38" Type="http://schemas.openxmlformats.org/officeDocument/2006/relationships/hyperlink" Target="http://creativecommons.org/licenses/by/3.0/au/deed.en" TargetMode="External"/><Relationship Id="rId46" Type="http://schemas.openxmlformats.org/officeDocument/2006/relationships/footer" Target="footer9.xml"/><Relationship Id="rId59" Type="http://schemas.openxmlformats.org/officeDocument/2006/relationships/image" Target="media/image19.png"/><Relationship Id="rId67" Type="http://schemas.openxmlformats.org/officeDocument/2006/relationships/image" Target="media/image27.png"/><Relationship Id="rId20" Type="http://schemas.openxmlformats.org/officeDocument/2006/relationships/footer" Target="footer1.xml"/><Relationship Id="rId41" Type="http://schemas.openxmlformats.org/officeDocument/2006/relationships/hyperlink" Target="http://www.delwp.vic.gov.au" TargetMode="External"/><Relationship Id="rId54" Type="http://schemas.openxmlformats.org/officeDocument/2006/relationships/image" Target="media/image14.png"/><Relationship Id="rId62" Type="http://schemas.openxmlformats.org/officeDocument/2006/relationships/image" Target="media/image22.png"/><Relationship Id="rId70" Type="http://schemas.openxmlformats.org/officeDocument/2006/relationships/hyperlink" Target="https://www.land.vic.gov.au/maps-and-spatial/spatial-data/vicmap-catalogue/vicmap-elevation" TargetMode="External"/><Relationship Id="rId75" Type="http://schemas.openxmlformats.org/officeDocument/2006/relationships/hyperlink" Target="https://doi.org/10.1111/2041-210X.12219" TargetMode="External"/><Relationship Id="rId83"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eg"/><Relationship Id="rId23" Type="http://schemas.openxmlformats.org/officeDocument/2006/relationships/footer" Target="footer3.xml"/><Relationship Id="rId28" Type="http://schemas.openxmlformats.org/officeDocument/2006/relationships/image" Target="media/image4.jpeg"/><Relationship Id="rId36" Type="http://schemas.openxmlformats.org/officeDocument/2006/relationships/hyperlink" Target="http://www.ari.vic.gov.au" TargetMode="External"/><Relationship Id="rId49" Type="http://schemas.openxmlformats.org/officeDocument/2006/relationships/footer" Target="footer12.xml"/><Relationship Id="rId57" Type="http://schemas.openxmlformats.org/officeDocument/2006/relationships/image" Target="media/image17.png"/><Relationship Id="rId10" Type="http://schemas.openxmlformats.org/officeDocument/2006/relationships/styles" Target="styles.xml"/><Relationship Id="rId31" Type="http://schemas.openxmlformats.org/officeDocument/2006/relationships/image" Target="media/image7.png"/><Relationship Id="rId44" Type="http://schemas.openxmlformats.org/officeDocument/2006/relationships/footer" Target="footer8.xml"/><Relationship Id="rId52" Type="http://schemas.openxmlformats.org/officeDocument/2006/relationships/footer" Target="footer15.xml"/><Relationship Id="rId60" Type="http://schemas.openxmlformats.org/officeDocument/2006/relationships/image" Target="media/image20.png"/><Relationship Id="rId65" Type="http://schemas.openxmlformats.org/officeDocument/2006/relationships/image" Target="media/image25.png"/><Relationship Id="rId73" Type="http://schemas.openxmlformats.org/officeDocument/2006/relationships/hyperlink" Target="http://www.R-project.org" TargetMode="External"/><Relationship Id="rId78" Type="http://schemas.openxmlformats.org/officeDocument/2006/relationships/footer" Target="footer17.xml"/><Relationship Id="rId81" Type="http://schemas.openxmlformats.org/officeDocument/2006/relationships/hyperlink" Target="http://www.delwp.vic.gov.au" TargetMode="External"/><Relationship Id="rId86"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Publications\3%20Templates%20for%20reports\ARI%20Templates%20-%202019\ARI%20Technical%20Report%20Template%202019.dotx" TargetMode="External"/></Relationships>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14</Value>
      <Value>7</Value>
      <Value>5</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Biodiversity</TermName>
          <TermId xmlns="http://schemas.microsoft.com/office/infopath/2007/PartnerControls">a369ff78-9705-4b66-a29c-499bde0c7988</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Arthur Rylah Institute</TermName>
          <TermId xmlns="http://schemas.microsoft.com/office/infopath/2007/PartnerControls">40bc2e25-0176-4bcf-8522-e378037ace7d</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kd1afe63598044c081c46c46ce9365fb xmlns="c40bc579-a0d0-479f-9f6f-801f45bc7acb">
      <Terms xmlns="http://schemas.microsoft.com/office/infopath/2007/PartnerControls"/>
    </kd1afe63598044c081c46c46ce9365fb>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Environment and Climate Change</TermName>
          <TermId xmlns="http://schemas.microsoft.com/office/infopath/2007/PartnerControls">b90772f5-2afa-408f-b8b8-93ad6baba774</TermId>
        </TermInfo>
      </Terms>
    </ic50d0a05a8e4d9791dac67f8a1e716c>
    <aba7e269cb3b4758a62d8023824283f8 xmlns="c40bc579-a0d0-479f-9f6f-801f45bc7acb">
      <Terms xmlns="http://schemas.microsoft.com/office/infopath/2007/PartnerControls"/>
    </aba7e269cb3b4758a62d8023824283f8>
    <_dlc_DocId xmlns="a5f32de4-e402-4188-b034-e71ca7d22e54">DOCID95-808209665-1373</_dlc_DocId>
    <_dlc_DocIdUrl xmlns="a5f32de4-e402-4188-b034-e71ca7d22e54">
      <Url>https://delwpvicgovau.sharepoint.com/sites/ecm_95/_layouts/15/DocIdRedir.aspx?ID=DOCID95-808209665-1373</Url>
      <Description>DOCID95-808209665-1373</Description>
    </_dlc_DocIdUrl>
  </documentManagement>
</p:properties>
</file>

<file path=customXml/item2.xml><?xml version="1.0" encoding="utf-8"?>
<?mso-contentType ?>
<customXsn xmlns="http://schemas.microsoft.com/office/2006/metadata/customXsn">
  <xsnLocation/>
  <cached>True</cached>
  <openByDefault>True</openByDefault>
  <xsnScope>/sites/contentTypeHub</xsnScope>
</customXsn>
</file>

<file path=customXml/item3.xml><?xml version="1.0" encoding="utf-8"?>
<ct:contentTypeSchema xmlns:ct="http://schemas.microsoft.com/office/2006/metadata/contentType" xmlns:ma="http://schemas.microsoft.com/office/2006/metadata/properties/metaAttributes" ct:_="" ma:_="" ma:contentTypeName="File Note" ma:contentTypeID="0x0101002517F445A0F35E449C98AAD631F2B0384F00D992CF815FA016429B835B8112AAEC45" ma:contentTypeVersion="13" ma:contentTypeDescription="An informal note describing something to be remembered or acted upon in the future - DEPI" ma:contentTypeScope="" ma:versionID="6cf9ffc713810e9b05f0bb03a256f08d">
  <xsd:schema xmlns:xsd="http://www.w3.org/2001/XMLSchema" xmlns:xs="http://www.w3.org/2001/XMLSchema" xmlns:p="http://schemas.microsoft.com/office/2006/metadata/properties" xmlns:ns1="http://schemas.microsoft.com/sharepoint/v3" xmlns:ns2="a5f32de4-e402-4188-b034-e71ca7d22e54" xmlns:ns3="c40bc579-a0d0-479f-9f6f-801f45bc7acb" xmlns:ns4="9fd47c19-1c4a-4d7d-b342-c10cef269344" targetNamespace="http://schemas.microsoft.com/office/2006/metadata/properties" ma:root="true" ma:fieldsID="ed24cd9a910d6a11dcc892c15dd241fa" ns1:_="" ns2:_="" ns3:_="" ns4:_="">
    <xsd:import namespace="http://schemas.microsoft.com/sharepoint/v3"/>
    <xsd:import namespace="a5f32de4-e402-4188-b034-e71ca7d22e54"/>
    <xsd:import namespace="c40bc579-a0d0-479f-9f6f-801f45bc7acb"/>
    <xsd:import namespace="9fd47c19-1c4a-4d7d-b342-c10cef26934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4:k1bd994a94c2413797db3bab8f123f6f" minOccurs="0"/>
                <xsd:element ref="ns4:a25c4e3633654d669cbaa09ae6b70789" minOccurs="0"/>
                <xsd:element ref="ns4:mfe9accc5a0b4653a7b513b67ffd122d" minOccurs="0"/>
                <xsd:element ref="ns2:_dlc_DocIdPersistId" minOccurs="0"/>
                <xsd:element ref="ns4:pd01c257034b4e86b1f58279a3bd54c6" minOccurs="0"/>
                <xsd:element ref="ns4:fb3179c379644f499d7166d0c985669b" minOccurs="0"/>
                <xsd:element ref="ns4:TaxCatchAll" minOccurs="0"/>
                <xsd:element ref="ns4:TaxCatchAllLabel" minOccurs="0"/>
                <xsd:element ref="ns4:ece32f50ba964e1fbf627a9d83fe6c01" minOccurs="0"/>
                <xsd:element ref="ns4:ic50d0a05a8e4d9791dac67f8a1e716c" minOccurs="0"/>
                <xsd:element ref="ns4:n771d69a070c4babbf278c67c8a2b859" minOccurs="0"/>
                <xsd:element ref="ns3:kd1afe63598044c081c46c46ce9365fb" minOccurs="0"/>
                <xsd:element ref="ns3:aba7e269cb3b4758a62d8023824283f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40bc579-a0d0-479f-9f6f-801f45bc7acb" elementFormDefault="qualified">
    <xsd:import namespace="http://schemas.microsoft.com/office/2006/documentManagement/types"/>
    <xsd:import namespace="http://schemas.microsoft.com/office/infopath/2007/PartnerControls"/>
    <xsd:element name="kd1afe63598044c081c46c46ce9365fb" ma:index="31" nillable="true" ma:taxonomy="true" ma:internalName="kd1afe63598044c081c46c46ce9365fb" ma:taxonomyFieldName="Records_x0020_Classification" ma:displayName="Records Classification" ma:readOnly="false" ma:fieldId="{4d1afe63-5980-44c0-81c4-6c46ce9365fb}" ma:sspId="797aeec6-0273-40f2-ab3e-beee73212332" ma:termSetId="e9250fa0-fa79-4fcf-8f5d-771e4975765c" ma:anchorId="00000000-0000-0000-0000-000000000000" ma:open="true" ma:isKeyword="false">
      <xsd:complexType>
        <xsd:sequence>
          <xsd:element ref="pc:Terms" minOccurs="0" maxOccurs="1"/>
        </xsd:sequence>
      </xsd:complexType>
    </xsd:element>
    <xsd:element name="aba7e269cb3b4758a62d8023824283f8" ma:index="32" nillable="true" ma:taxonomy="true" ma:internalName="aba7e269cb3b4758a62d8023824283f8" ma:taxonomyFieldName="Document_x0020_type" ma:displayName="Document type" ma:default="" ma:fieldId="{aba7e269-cb3b-4758-a62d-8023824283f8}" ma:sspId="797aeec6-0273-40f2-ab3e-beee73212332" ma:termSetId="643b7721-8011-4cab-82df-76711fd74e42"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readOnly="false"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7;#Arthur Rylah Institute|40bc2e25-0176-4bcf-8522-e378037ace7d"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06b4f4e-4854-4ef7-b346-40545d976024}" ma:internalName="TaxCatchAll" ma:showField="CatchAllData" ma:web="71fe923a-761e-4c29-b684-c70d59a7e13a">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406b4f4e-4854-4ef7-b346-40545d976024}" ma:internalName="TaxCatchAllLabel" ma:readOnly="true" ma:showField="CatchAllDataLabel" ma:web="71fe923a-761e-4c29-b684-c70d59a7e13a">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readOnly="false"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14;#Environment and Climate Change|b90772f5-2afa-408f-b8b8-93ad6baba774"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Biodiversity|a369ff78-9705-4b66-a29c-499bde0c798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haredContentType xmlns="Microsoft.SharePoint.Taxonomy.ContentTypeSync" SourceId="797aeec6-0273-40f2-ab3e-beee73212332" ContentTypeId="0x0101002517F445A0F35E449C98AAD631F2B0384F"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92834-FF79-4202-97D7-8DFCE6350DBA}">
  <ds:schemaRefs>
    <ds:schemaRef ds:uri="http://schemas.microsoft.com/office/2006/metadata/properties"/>
    <ds:schemaRef ds:uri="http://schemas.microsoft.com/office/infopath/2007/PartnerControls"/>
    <ds:schemaRef ds:uri="http://schemas.microsoft.com/sharepoint/v3"/>
    <ds:schemaRef ds:uri="9fd47c19-1c4a-4d7d-b342-c10cef269344"/>
    <ds:schemaRef ds:uri="c40bc579-a0d0-479f-9f6f-801f45bc7acb"/>
    <ds:schemaRef ds:uri="a5f32de4-e402-4188-b034-e71ca7d22e54"/>
  </ds:schemaRefs>
</ds:datastoreItem>
</file>

<file path=customXml/itemProps2.xml><?xml version="1.0" encoding="utf-8"?>
<ds:datastoreItem xmlns:ds="http://schemas.openxmlformats.org/officeDocument/2006/customXml" ds:itemID="{44BAABEA-6542-4A5F-A141-FE4DD1784F3C}">
  <ds:schemaRefs>
    <ds:schemaRef ds:uri="http://schemas.microsoft.com/office/2006/metadata/customXsn"/>
  </ds:schemaRefs>
</ds:datastoreItem>
</file>

<file path=customXml/itemProps3.xml><?xml version="1.0" encoding="utf-8"?>
<ds:datastoreItem xmlns:ds="http://schemas.openxmlformats.org/officeDocument/2006/customXml" ds:itemID="{04641A78-8AA0-4E22-8013-9414CC357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c40bc579-a0d0-479f-9f6f-801f45bc7acb"/>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9A3FD6-5667-41E4-AFD0-9DDDCAFA4E76}">
  <ds:schemaRefs>
    <ds:schemaRef ds:uri="http://schemas.microsoft.com/sharepoint/v3/contenttype/forms"/>
  </ds:schemaRefs>
</ds:datastoreItem>
</file>

<file path=customXml/itemProps5.xml><?xml version="1.0" encoding="utf-8"?>
<ds:datastoreItem xmlns:ds="http://schemas.openxmlformats.org/officeDocument/2006/customXml" ds:itemID="{CBD9E926-9417-467F-BFB9-97323DD813BD}">
  <ds:schemaRefs>
    <ds:schemaRef ds:uri="http://schemas.openxmlformats.org/officeDocument/2006/bibliography"/>
  </ds:schemaRefs>
</ds:datastoreItem>
</file>

<file path=customXml/itemProps6.xml><?xml version="1.0" encoding="utf-8"?>
<ds:datastoreItem xmlns:ds="http://schemas.openxmlformats.org/officeDocument/2006/customXml" ds:itemID="{C9E0D341-F200-4A3D-B064-D8BB0F41F92B}">
  <ds:schemaRefs>
    <ds:schemaRef ds:uri="Microsoft.SharePoint.Taxonomy.ContentTypeSync"/>
  </ds:schemaRefs>
</ds:datastoreItem>
</file>

<file path=customXml/itemProps7.xml><?xml version="1.0" encoding="utf-8"?>
<ds:datastoreItem xmlns:ds="http://schemas.openxmlformats.org/officeDocument/2006/customXml" ds:itemID="{EECBBDB8-545C-4ABE-84A0-CE7886CAF8F7}">
  <ds:schemaRefs>
    <ds:schemaRef ds:uri="http://schemas.microsoft.com/sharepoint/events"/>
  </ds:schemaRefs>
</ds:datastoreItem>
</file>

<file path=customXml/itemProps8.xml><?xml version="1.0" encoding="utf-8"?>
<ds:datastoreItem xmlns:ds="http://schemas.openxmlformats.org/officeDocument/2006/customXml" ds:itemID="{316A6F8B-A802-494E-A1BF-8CDBD17F4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ARI Technical Report Template 2019.dotx</Template>
  <TotalTime>55</TotalTime>
  <Pages>43</Pages>
  <Words>13605</Words>
  <Characters>77550</Characters>
  <Application>Microsoft Office Word</Application>
  <DocSecurity>8</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90974</CharactersWithSpaces>
  <SharedDoc>false</SharedDoc>
  <HLinks>
    <vt:vector size="36" baseType="variant">
      <vt:variant>
        <vt:i4>1703997</vt:i4>
      </vt:variant>
      <vt:variant>
        <vt:i4>20</vt:i4>
      </vt:variant>
      <vt:variant>
        <vt:i4>0</vt:i4>
      </vt:variant>
      <vt:variant>
        <vt:i4>5</vt:i4>
      </vt:variant>
      <vt:variant>
        <vt:lpwstr/>
      </vt:variant>
      <vt:variant>
        <vt:lpwstr>_Toc358825452</vt:lpwstr>
      </vt:variant>
      <vt:variant>
        <vt:i4>1703997</vt:i4>
      </vt:variant>
      <vt:variant>
        <vt:i4>14</vt:i4>
      </vt:variant>
      <vt:variant>
        <vt:i4>0</vt:i4>
      </vt:variant>
      <vt:variant>
        <vt:i4>5</vt:i4>
      </vt:variant>
      <vt:variant>
        <vt:lpwstr/>
      </vt:variant>
      <vt:variant>
        <vt:lpwstr>_Toc358825451</vt:lpwstr>
      </vt:variant>
      <vt:variant>
        <vt:i4>1638431</vt:i4>
      </vt:variant>
      <vt:variant>
        <vt:i4>9</vt:i4>
      </vt:variant>
      <vt:variant>
        <vt:i4>0</vt:i4>
      </vt:variant>
      <vt:variant>
        <vt:i4>5</vt:i4>
      </vt:variant>
      <vt:variant>
        <vt:lpwstr>http://www.delwp.vic.gov.au/</vt:lpwstr>
      </vt:variant>
      <vt:variant>
        <vt:lpwstr/>
      </vt:variant>
      <vt:variant>
        <vt:i4>2490422</vt:i4>
      </vt:variant>
      <vt:variant>
        <vt:i4>6</vt:i4>
      </vt:variant>
      <vt:variant>
        <vt:i4>0</vt:i4>
      </vt:variant>
      <vt:variant>
        <vt:i4>5</vt:i4>
      </vt:variant>
      <vt:variant>
        <vt:lpwstr>http://www.relayservice.com.au/</vt:lpwstr>
      </vt:variant>
      <vt:variant>
        <vt:lpwstr/>
      </vt:variant>
      <vt:variant>
        <vt:i4>2687044</vt:i4>
      </vt:variant>
      <vt:variant>
        <vt:i4>3</vt:i4>
      </vt:variant>
      <vt:variant>
        <vt:i4>0</vt:i4>
      </vt:variant>
      <vt:variant>
        <vt:i4>5</vt:i4>
      </vt:variant>
      <vt:variant>
        <vt:lpwstr>mailto:customer.service@delwp.vic.gov.au</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Robley (DELWP)</dc:creator>
  <cp:keywords/>
  <dc:description/>
  <cp:lastModifiedBy>Gabriel L Cornell (DELWP)</cp:lastModifiedBy>
  <cp:revision>6</cp:revision>
  <cp:lastPrinted>2022-08-05T03:47:00Z</cp:lastPrinted>
  <dcterms:created xsi:type="dcterms:W3CDTF">2022-08-05T02:59:00Z</dcterms:created>
  <dcterms:modified xsi:type="dcterms:W3CDTF">2022-08-30T06:06:00Z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0x0101002517F445A0F35E449C98AAD631F2B0384F00D992CF815FA016429B835B8112AAEC45</vt:lpwstr>
  </property>
  <property fmtid="{D5CDD505-2E9C-101B-9397-08002B2CF9AE}" pid="3" name="Section">
    <vt:lpwstr/>
  </property>
  <property fmtid="{D5CDD505-2E9C-101B-9397-08002B2CF9AE}" pid="4" name="Sub-Section">
    <vt:lpwstr/>
  </property>
  <property fmtid="{D5CDD505-2E9C-101B-9397-08002B2CF9AE}" pid="5" name="Agency">
    <vt:lpwstr>1;#Department of Environment, Land, Water and Planning|607a3f87-1228-4cd9-82a5-076aa8776274</vt:lpwstr>
  </property>
  <property fmtid="{D5CDD505-2E9C-101B-9397-08002B2CF9AE}" pid="6" name="Branch">
    <vt:lpwstr>7;#Arthur Rylah Institute|40bc2e25-0176-4bcf-8522-e378037ace7d</vt:lpwstr>
  </property>
  <property fmtid="{D5CDD505-2E9C-101B-9397-08002B2CF9AE}" pid="7" name="Division">
    <vt:lpwstr>5;#Biodiversity|a369ff78-9705-4b66-a29c-499bde0c7988</vt:lpwstr>
  </property>
  <property fmtid="{D5CDD505-2E9C-101B-9397-08002B2CF9AE}" pid="8" name="Document type">
    <vt:lpwstr/>
  </property>
  <property fmtid="{D5CDD505-2E9C-101B-9397-08002B2CF9AE}" pid="9" name="Records Classification">
    <vt:lpwstr/>
  </property>
  <property fmtid="{D5CDD505-2E9C-101B-9397-08002B2CF9AE}" pid="10" name="Dissemination Limiting Marker">
    <vt:lpwstr>2;#FOUO|955eb6fc-b35a-4808-8aa5-31e514fa3f26</vt:lpwstr>
  </property>
  <property fmtid="{D5CDD505-2E9C-101B-9397-08002B2CF9AE}" pid="11" name="Group1">
    <vt:lpwstr>14;#Environment and Climate Change|b90772f5-2afa-408f-b8b8-93ad6baba774</vt:lpwstr>
  </property>
  <property fmtid="{D5CDD505-2E9C-101B-9397-08002B2CF9AE}" pid="12" name="Security Classification">
    <vt:lpwstr>3;#Unclassified|7fa379f4-4aba-4692-ab80-7d39d3a23cf4</vt:lpwstr>
  </property>
  <property fmtid="{D5CDD505-2E9C-101B-9397-08002B2CF9AE}" pid="13" name="_dlc_DocIdItemGuid">
    <vt:lpwstr>5babec3b-f839-4854-bfcb-35536a5561af</vt:lpwstr>
  </property>
  <property fmtid="{D5CDD505-2E9C-101B-9397-08002B2CF9AE}" pid="14" name="o85941e134754762b9719660a258a6e6">
    <vt:lpwstr/>
  </property>
  <property fmtid="{D5CDD505-2E9C-101B-9397-08002B2CF9AE}" pid="15" name="Location_x0020_Type">
    <vt:lpwstr/>
  </property>
  <property fmtid="{D5CDD505-2E9C-101B-9397-08002B2CF9AE}" pid="16" name="Copyright_x0020_Licence_x0020_Name">
    <vt:lpwstr/>
  </property>
  <property fmtid="{D5CDD505-2E9C-101B-9397-08002B2CF9AE}" pid="17" name="df723ab3fe1c4eb7a0b151674e7ac40d">
    <vt:lpwstr/>
  </property>
  <property fmtid="{D5CDD505-2E9C-101B-9397-08002B2CF9AE}" pid="18" name="Copyright_x0020_License_x0020_Type">
    <vt:lpwstr/>
  </property>
  <property fmtid="{D5CDD505-2E9C-101B-9397-08002B2CF9AE}" pid="19" name="o2e611f6ba3e4c8f9a895dfb7980639e">
    <vt:lpwstr/>
  </property>
  <property fmtid="{D5CDD505-2E9C-101B-9397-08002B2CF9AE}" pid="20" name="Copyright Licence Name">
    <vt:lpwstr/>
  </property>
  <property fmtid="{D5CDD505-2E9C-101B-9397-08002B2CF9AE}" pid="21" name="Location Type">
    <vt:lpwstr/>
  </property>
  <property fmtid="{D5CDD505-2E9C-101B-9397-08002B2CF9AE}" pid="22" name="Copyright License Type">
    <vt:lpwstr/>
  </property>
  <property fmtid="{D5CDD505-2E9C-101B-9397-08002B2CF9AE}" pid="23" name="MSIP_Label_4257e2ab-f512-40e2-9c9a-c64247360765_Enabled">
    <vt:lpwstr>true</vt:lpwstr>
  </property>
  <property fmtid="{D5CDD505-2E9C-101B-9397-08002B2CF9AE}" pid="24" name="MSIP_Label_4257e2ab-f512-40e2-9c9a-c64247360765_SetDate">
    <vt:lpwstr>2022-08-05T03:48:39Z</vt:lpwstr>
  </property>
  <property fmtid="{D5CDD505-2E9C-101B-9397-08002B2CF9AE}" pid="25" name="MSIP_Label_4257e2ab-f512-40e2-9c9a-c64247360765_Method">
    <vt:lpwstr>Privileged</vt:lpwstr>
  </property>
  <property fmtid="{D5CDD505-2E9C-101B-9397-08002B2CF9AE}" pid="26" name="MSIP_Label_4257e2ab-f512-40e2-9c9a-c64247360765_Name">
    <vt:lpwstr>OFFICIAL</vt:lpwstr>
  </property>
  <property fmtid="{D5CDD505-2E9C-101B-9397-08002B2CF9AE}" pid="27" name="MSIP_Label_4257e2ab-f512-40e2-9c9a-c64247360765_SiteId">
    <vt:lpwstr>e8bdd6f7-fc18-4e48-a554-7f547927223b</vt:lpwstr>
  </property>
  <property fmtid="{D5CDD505-2E9C-101B-9397-08002B2CF9AE}" pid="28" name="MSIP_Label_4257e2ab-f512-40e2-9c9a-c64247360765_ActionId">
    <vt:lpwstr>53737fcb-d878-4971-9edd-998d15d26a4f</vt:lpwstr>
  </property>
  <property fmtid="{D5CDD505-2E9C-101B-9397-08002B2CF9AE}" pid="29" name="MSIP_Label_4257e2ab-f512-40e2-9c9a-c64247360765_ContentBits">
    <vt:lpwstr>2</vt:lpwstr>
  </property>
</Properties>
</file>