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1.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388"/>
        <w:tblW w:w="0" w:type="auto"/>
        <w:tblLook w:val="01E0" w:firstRow="1" w:lastRow="1" w:firstColumn="1" w:lastColumn="1" w:noHBand="0" w:noVBand="0"/>
      </w:tblPr>
      <w:tblGrid>
        <w:gridCol w:w="9639"/>
      </w:tblGrid>
      <w:tr w:rsidR="00BB6A87" w:rsidRPr="00243764" w14:paraId="55036564" w14:textId="77777777" w:rsidTr="00962035">
        <w:trPr>
          <w:trHeight w:val="2273"/>
        </w:trPr>
        <w:tc>
          <w:tcPr>
            <w:tcW w:w="9639" w:type="dxa"/>
            <w:vAlign w:val="center"/>
          </w:tcPr>
          <w:p w14:paraId="6EDF2E95" w14:textId="621754B0" w:rsidR="00491210" w:rsidRPr="00001630" w:rsidRDefault="005217C6" w:rsidP="00962035">
            <w:pPr>
              <w:pStyle w:val="Title"/>
              <w:ind w:left="1701"/>
            </w:pPr>
            <w:bookmarkStart w:id="0" w:name="_MacBuGuideStaticData_80H"/>
            <w:bookmarkStart w:id="1" w:name="_MacBuGuideStaticData_16450H"/>
            <w:bookmarkStart w:id="2" w:name="_MacBuGuideStaticData_620V"/>
            <w:r>
              <w:t>P</w:t>
            </w:r>
            <w:r w:rsidRPr="00001630">
              <w:t xml:space="preserve">opulation modelling </w:t>
            </w:r>
            <w:r>
              <w:t>of</w:t>
            </w:r>
            <w:r w:rsidRPr="00001630">
              <w:t xml:space="preserve"> native fish outcomes</w:t>
            </w:r>
            <w:r>
              <w:t xml:space="preserve"> for the Reconnecting River Country Program</w:t>
            </w:r>
            <w:r w:rsidRPr="00001630">
              <w:t>: Golden Perch</w:t>
            </w:r>
            <w:r>
              <w:t xml:space="preserve"> and </w:t>
            </w:r>
            <w:r w:rsidRPr="00001630">
              <w:t>Murray Cod</w:t>
            </w:r>
          </w:p>
          <w:p w14:paraId="030AEBC4" w14:textId="3C29C407" w:rsidR="00491210" w:rsidRPr="00001630" w:rsidRDefault="00EE200C" w:rsidP="00962035">
            <w:pPr>
              <w:pStyle w:val="Subtitle"/>
              <w:ind w:left="1701"/>
              <w:rPr>
                <w:b w:val="0"/>
                <w:bCs w:val="0"/>
              </w:rPr>
            </w:pPr>
            <w:r>
              <w:rPr>
                <w:b w:val="0"/>
                <w:bCs w:val="0"/>
              </w:rPr>
              <w:t>Final</w:t>
            </w:r>
            <w:r w:rsidRPr="00001630">
              <w:rPr>
                <w:b w:val="0"/>
                <w:bCs w:val="0"/>
              </w:rPr>
              <w:t xml:space="preserve"> report for the NSW Department of Planning and Environment, Reconnecting River Country Program</w:t>
            </w:r>
          </w:p>
        </w:tc>
      </w:tr>
      <w:tr w:rsidR="006A54EF" w:rsidRPr="00243764" w14:paraId="322C856D" w14:textId="77777777" w:rsidTr="00962035">
        <w:trPr>
          <w:trHeight w:val="1641"/>
        </w:trPr>
        <w:tc>
          <w:tcPr>
            <w:tcW w:w="9639" w:type="dxa"/>
            <w:vAlign w:val="center"/>
          </w:tcPr>
          <w:p w14:paraId="0FEEA295" w14:textId="09E9B585" w:rsidR="00491210" w:rsidRDefault="00EE200C" w:rsidP="00962035">
            <w:pPr>
              <w:pStyle w:val="Authorscover"/>
              <w:rPr>
                <w:sz w:val="24"/>
                <w:szCs w:val="24"/>
              </w:rPr>
            </w:pPr>
            <w:bookmarkStart w:id="3" w:name="_Hlk111197843"/>
            <w:bookmarkEnd w:id="3"/>
            <w:r w:rsidRPr="00001630">
              <w:rPr>
                <w:sz w:val="24"/>
                <w:szCs w:val="24"/>
              </w:rPr>
              <w:t>Charles Todd, Henry Wootton, John Koehn, Ivor Stuart,</w:t>
            </w:r>
          </w:p>
          <w:p w14:paraId="01FBB367" w14:textId="190AB1FF" w:rsidR="00491210" w:rsidRPr="00001630" w:rsidRDefault="00EE200C" w:rsidP="00962035">
            <w:pPr>
              <w:pStyle w:val="Authorscover"/>
              <w:rPr>
                <w:sz w:val="24"/>
                <w:szCs w:val="24"/>
              </w:rPr>
            </w:pPr>
            <w:r w:rsidRPr="00001630">
              <w:rPr>
                <w:sz w:val="24"/>
                <w:szCs w:val="24"/>
              </w:rPr>
              <w:t>Robin Hale, Ben Fanson, Clayton Sharpe and Jason Thiem</w:t>
            </w:r>
          </w:p>
          <w:p w14:paraId="7E558717" w14:textId="0E0F3E7B" w:rsidR="00491210" w:rsidRPr="00687A59" w:rsidRDefault="00EE200C" w:rsidP="00962035">
            <w:pPr>
              <w:pStyle w:val="Authorscover"/>
              <w:rPr>
                <w:sz w:val="24"/>
                <w:szCs w:val="24"/>
              </w:rPr>
            </w:pPr>
            <w:r>
              <w:rPr>
                <w:sz w:val="24"/>
                <w:szCs w:val="24"/>
              </w:rPr>
              <w:t>October</w:t>
            </w:r>
            <w:r w:rsidRPr="00001630">
              <w:rPr>
                <w:sz w:val="24"/>
                <w:szCs w:val="24"/>
              </w:rPr>
              <w:t xml:space="preserve"> 2022</w:t>
            </w:r>
          </w:p>
        </w:tc>
      </w:tr>
    </w:tbl>
    <w:p w14:paraId="16896EEF" w14:textId="740C88B3" w:rsidR="00491210" w:rsidRPr="00243764" w:rsidRDefault="00CE1BF8" w:rsidP="4476BA9F">
      <w:pPr>
        <w:sectPr w:rsidR="00491210" w:rsidRPr="00243764" w:rsidSect="00BB6A87">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1701" w:right="1134" w:bottom="568" w:left="1134" w:header="709" w:footer="709" w:gutter="0"/>
          <w:cols w:space="708"/>
          <w:docGrid w:linePitch="360"/>
        </w:sectPr>
      </w:pPr>
      <w:r>
        <w:rPr>
          <w:noProof/>
          <w:lang w:eastAsia="en-AU"/>
        </w:rPr>
        <w:drawing>
          <wp:anchor distT="0" distB="0" distL="114300" distR="114300" simplePos="0" relativeHeight="251658240" behindDoc="0" locked="0" layoutInCell="1" allowOverlap="1" wp14:anchorId="0165ECAE" wp14:editId="1610C381">
            <wp:simplePos x="0" y="0"/>
            <wp:positionH relativeFrom="column">
              <wp:posOffset>-2398395</wp:posOffset>
            </wp:positionH>
            <wp:positionV relativeFrom="paragraph">
              <wp:posOffset>3246120</wp:posOffset>
            </wp:positionV>
            <wp:extent cx="5533200" cy="4590000"/>
            <wp:effectExtent l="0" t="0" r="0" b="1270"/>
            <wp:wrapNone/>
            <wp:docPr id="47" name="Picture 47" descr="Picture of a Golden Perch&#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Picture of a Golden Perch&#10;&#10;"/>
                    <pic:cNvPicPr>
                      <a:picLocks noChangeAspect="1" noChangeArrowheads="1"/>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5533200" cy="459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D70C7">
        <w:rPr>
          <w:noProof/>
          <w:lang w:eastAsia="en-AU"/>
        </w:rPr>
        <w:drawing>
          <wp:anchor distT="0" distB="0" distL="114300" distR="114300" simplePos="0" relativeHeight="251658247" behindDoc="1" locked="0" layoutInCell="1" allowOverlap="1" wp14:anchorId="35CA6B79" wp14:editId="1C3771AD">
            <wp:simplePos x="0" y="0"/>
            <wp:positionH relativeFrom="column">
              <wp:posOffset>3062320</wp:posOffset>
            </wp:positionH>
            <wp:positionV relativeFrom="paragraph">
              <wp:posOffset>3244215</wp:posOffset>
            </wp:positionV>
            <wp:extent cx="3464528" cy="4599866"/>
            <wp:effectExtent l="38100" t="38100" r="41275" b="48895"/>
            <wp:wrapNone/>
            <wp:docPr id="7" name="Picture 6" descr="Picture of a Murray Cod">
              <a:extLst xmlns:a="http://schemas.openxmlformats.org/drawingml/2006/main">
                <a:ext uri="{FF2B5EF4-FFF2-40B4-BE49-F238E27FC236}">
                  <a16:creationId xmlns:a16="http://schemas.microsoft.com/office/drawing/2014/main" id="{7470722D-906C-49DD-AC90-CEB06B78CA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Picture of a Murray Cod">
                      <a:extLst>
                        <a:ext uri="{FF2B5EF4-FFF2-40B4-BE49-F238E27FC236}">
                          <a16:creationId xmlns:a16="http://schemas.microsoft.com/office/drawing/2014/main" id="{7470722D-906C-49DD-AC90-CEB06B78CA35}"/>
                        </a:ext>
                      </a:extLst>
                    </pic:cNvPr>
                    <pic:cNvPicPr>
                      <a:picLocks noChangeAspect="1"/>
                    </pic:cNvPicPr>
                  </pic:nvPicPr>
                  <pic:blipFill rotWithShape="1">
                    <a:blip r:embed="rId21" cstate="email">
                      <a:extLst>
                        <a:ext uri="{28A0092B-C50C-407E-A947-70E740481C1C}">
                          <a14:useLocalDpi xmlns:a14="http://schemas.microsoft.com/office/drawing/2010/main"/>
                        </a:ext>
                      </a:extLst>
                    </a:blip>
                    <a:srcRect/>
                    <a:stretch/>
                  </pic:blipFill>
                  <pic:spPr bwMode="auto">
                    <a:xfrm>
                      <a:off x="0" y="0"/>
                      <a:ext cx="3475350" cy="4614234"/>
                    </a:xfrm>
                    <a:prstGeom prst="rect">
                      <a:avLst/>
                    </a:prstGeom>
                    <a:ln>
                      <a:noFill/>
                    </a:ln>
                    <a:scene3d>
                      <a:camera prst="orthographicFront">
                        <a:rot lat="0" lon="10800000" rev="0"/>
                      </a:camera>
                      <a:lightRig rig="threePt" dir="t"/>
                    </a:scene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1658245" behindDoc="0" locked="0" layoutInCell="1" allowOverlap="1" wp14:anchorId="7BDA86C7" wp14:editId="2456CF8A">
                <wp:simplePos x="0" y="0"/>
                <wp:positionH relativeFrom="page">
                  <wp:posOffset>348615</wp:posOffset>
                </wp:positionH>
                <wp:positionV relativeFrom="page">
                  <wp:posOffset>360045</wp:posOffset>
                </wp:positionV>
                <wp:extent cx="1864360" cy="3963035"/>
                <wp:effectExtent l="19050" t="0" r="2540" b="0"/>
                <wp:wrapNone/>
                <wp:docPr id="1381410442" name="Freeform: Shape 1381410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864360" cy="3963035"/>
                        </a:xfrm>
                        <a:custGeom>
                          <a:avLst/>
                          <a:gdLst>
                            <a:gd name="T0" fmla="*/ 0 w 2939"/>
                            <a:gd name="T1" fmla="*/ 0 h 3114"/>
                            <a:gd name="T2" fmla="*/ 1469 w 2939"/>
                            <a:gd name="T3" fmla="*/ 3114 h 3114"/>
                            <a:gd name="T4" fmla="*/ 2939 w 2939"/>
                            <a:gd name="T5" fmla="*/ 0 h 3114"/>
                            <a:gd name="T6" fmla="*/ 0 w 2939"/>
                            <a:gd name="T7" fmla="*/ 0 h 3114"/>
                            <a:gd name="connsiteX0" fmla="*/ 16 w 5002"/>
                            <a:gd name="connsiteY0" fmla="*/ 0 h 10000"/>
                            <a:gd name="connsiteX1" fmla="*/ 0 w 5002"/>
                            <a:gd name="connsiteY1" fmla="*/ 10000 h 10000"/>
                            <a:gd name="connsiteX2" fmla="*/ 5002 w 5002"/>
                            <a:gd name="connsiteY2" fmla="*/ 0 h 10000"/>
                            <a:gd name="connsiteX3" fmla="*/ 16 w 5002"/>
                            <a:gd name="connsiteY3" fmla="*/ 0 h 10000"/>
                            <a:gd name="connsiteX0" fmla="*/ 0 w 10078"/>
                            <a:gd name="connsiteY0" fmla="*/ 0 h 10000"/>
                            <a:gd name="connsiteX1" fmla="*/ 78 w 10078"/>
                            <a:gd name="connsiteY1" fmla="*/ 10000 h 10000"/>
                            <a:gd name="connsiteX2" fmla="*/ 10078 w 10078"/>
                            <a:gd name="connsiteY2" fmla="*/ 0 h 10000"/>
                            <a:gd name="connsiteX3" fmla="*/ 0 w 10078"/>
                            <a:gd name="connsiteY3" fmla="*/ 0 h 10000"/>
                            <a:gd name="connsiteX0" fmla="*/ 2 w 10043"/>
                            <a:gd name="connsiteY0" fmla="*/ 9 h 10000"/>
                            <a:gd name="connsiteX1" fmla="*/ 43 w 10043"/>
                            <a:gd name="connsiteY1" fmla="*/ 10000 h 10000"/>
                            <a:gd name="connsiteX2" fmla="*/ 10043 w 10043"/>
                            <a:gd name="connsiteY2" fmla="*/ 0 h 10000"/>
                            <a:gd name="connsiteX3" fmla="*/ 2 w 10043"/>
                            <a:gd name="connsiteY3" fmla="*/ 9 h 10000"/>
                            <a:gd name="connsiteX0" fmla="*/ 3 w 10007"/>
                            <a:gd name="connsiteY0" fmla="*/ 9 h 10000"/>
                            <a:gd name="connsiteX1" fmla="*/ 7 w 10007"/>
                            <a:gd name="connsiteY1" fmla="*/ 10000 h 10000"/>
                            <a:gd name="connsiteX2" fmla="*/ 10007 w 10007"/>
                            <a:gd name="connsiteY2" fmla="*/ 0 h 10000"/>
                            <a:gd name="connsiteX3" fmla="*/ 3 w 10007"/>
                            <a:gd name="connsiteY3" fmla="*/ 9 h 10000"/>
                            <a:gd name="connsiteX0" fmla="*/ 2 w 10009"/>
                            <a:gd name="connsiteY0" fmla="*/ 0 h 10004"/>
                            <a:gd name="connsiteX1" fmla="*/ 9 w 10009"/>
                            <a:gd name="connsiteY1" fmla="*/ 10004 h 10004"/>
                            <a:gd name="connsiteX2" fmla="*/ 10009 w 10009"/>
                            <a:gd name="connsiteY2" fmla="*/ 4 h 10004"/>
                            <a:gd name="connsiteX3" fmla="*/ 2 w 10009"/>
                            <a:gd name="connsiteY3" fmla="*/ 0 h 10004"/>
                          </a:gdLst>
                          <a:ahLst/>
                          <a:cxnLst>
                            <a:cxn ang="0">
                              <a:pos x="connsiteX0" y="connsiteY0"/>
                            </a:cxn>
                            <a:cxn ang="0">
                              <a:pos x="connsiteX1" y="connsiteY1"/>
                            </a:cxn>
                            <a:cxn ang="0">
                              <a:pos x="connsiteX2" y="connsiteY2"/>
                            </a:cxn>
                            <a:cxn ang="0">
                              <a:pos x="connsiteX3" y="connsiteY3"/>
                            </a:cxn>
                          </a:cxnLst>
                          <a:rect l="l" t="t" r="r" b="b"/>
                          <a:pathLst>
                            <a:path w="10009" h="10004">
                              <a:moveTo>
                                <a:pt x="2" y="0"/>
                              </a:moveTo>
                              <a:cubicBezTo>
                                <a:pt x="-8" y="3333"/>
                                <a:pt x="19" y="6671"/>
                                <a:pt x="9" y="10004"/>
                              </a:cubicBezTo>
                              <a:lnTo>
                                <a:pt x="10009" y="4"/>
                              </a:lnTo>
                              <a:lnTo>
                                <a:pt x="2" y="0"/>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490472" id="Freeform: Shape 1381410442" o:spid="_x0000_s1026" style="position:absolute;margin-left:27.45pt;margin-top:28.35pt;width:146.8pt;height:312.05pt;flip:y;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009,10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" path="m2,c-8,3333,19,6671,9,10004l10009,4,2,xe" fillcolor="#201547 [3206]" stroked="f" strokeweight="2pt">
                <v:path arrowok="t" o:connecttype="custom" o:connectlocs="373,0;1676,3963035;1864360,1585;373,0" o:connectangles="0,0,0,0"/>
                <w10:wrap anchorx="page" anchory="page"/>
              </v:shape>
            </w:pict>
          </mc:Fallback>
        </mc:AlternateContent>
      </w:r>
      <w:r>
        <w:rPr>
          <w:noProof/>
          <w:lang w:eastAsia="en-AU"/>
        </w:rPr>
        <mc:AlternateContent>
          <mc:Choice Requires="wps">
            <w:drawing>
              <wp:anchor distT="0" distB="0" distL="114300" distR="114300" simplePos="0" relativeHeight="251658251" behindDoc="0" locked="0" layoutInCell="1" allowOverlap="1" wp14:anchorId="5CC2F2FB" wp14:editId="79E6CC62">
                <wp:simplePos x="0" y="0"/>
                <wp:positionH relativeFrom="column">
                  <wp:posOffset>-720090</wp:posOffset>
                </wp:positionH>
                <wp:positionV relativeFrom="paragraph">
                  <wp:posOffset>-1041676</wp:posOffset>
                </wp:positionV>
                <wp:extent cx="353060" cy="9538970"/>
                <wp:effectExtent l="0" t="0" r="8890" b="5080"/>
                <wp:wrapNone/>
                <wp:docPr id="77755014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060" cy="9538970"/>
                        </a:xfrm>
                        <a:prstGeom prst="rect">
                          <a:avLst/>
                        </a:prstGeom>
                        <a:solidFill>
                          <a:schemeClr val="bg1">
                            <a:lumMod val="100000"/>
                            <a:lumOff val="0"/>
                          </a:schemeClr>
                        </a:solidFill>
                        <a:ln>
                          <a:noFill/>
                        </a:ln>
                        <a:effectLst/>
                        <a:extLst>
                          <a:ext uri="{91240B29-F687-4F45-9708-019B960494DF}">
                            <a14:hiddenLine xmlns:a14="http://schemas.microsoft.com/office/drawing/2010/main" w="3175">
                              <a:solidFill>
                                <a:srgbClr val="FF0000"/>
                              </a:solidFill>
                              <a:miter lim="800000"/>
                              <a:headEnd/>
                              <a:tailEnd/>
                            </a14:hiddenLine>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99E1B" id="Rectangle 20" o:spid="_x0000_s1026" style="position:absolute;margin-left:-56.7pt;margin-top:-82pt;width:27.8pt;height:751.1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" fillcolor="white [3212]" stroked="f" strokecolor="red" strokeweight=".25pt">
                <v:shadow color="#7f7f7f [1601]" opacity=".5" offset="1pt"/>
              </v:rect>
            </w:pict>
          </mc:Fallback>
        </mc:AlternateContent>
      </w:r>
      <w:r>
        <w:rPr>
          <w:noProof/>
          <w:lang w:eastAsia="en-AU"/>
        </w:rPr>
        <mc:AlternateContent>
          <mc:Choice Requires="wpg">
            <w:drawing>
              <wp:anchor distT="0" distB="0" distL="114300" distR="114300" simplePos="0" relativeHeight="251658249" behindDoc="1" locked="0" layoutInCell="1" allowOverlap="1" wp14:anchorId="0E57C51F" wp14:editId="4A1422C2">
                <wp:simplePos x="0" y="0"/>
                <wp:positionH relativeFrom="page">
                  <wp:posOffset>-580445</wp:posOffset>
                </wp:positionH>
                <wp:positionV relativeFrom="page">
                  <wp:posOffset>-87464</wp:posOffset>
                </wp:positionV>
                <wp:extent cx="8158022" cy="11039475"/>
                <wp:effectExtent l="0" t="0" r="0" b="9525"/>
                <wp:wrapNone/>
                <wp:docPr id="777550143" name="Group 777550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8022" cy="11039475"/>
                          <a:chOff x="-5527" y="-1143"/>
                          <a:chExt cx="81586" cy="110412"/>
                        </a:xfrm>
                      </wpg:grpSpPr>
                      <wpg:grpSp>
                        <wpg:cNvPr id="1381410433" name="Group 12"/>
                        <wpg:cNvGrpSpPr>
                          <a:grpSpLocks/>
                        </wpg:cNvGrpSpPr>
                        <wpg:grpSpPr bwMode="auto">
                          <a:xfrm>
                            <a:off x="-5527" y="-1143"/>
                            <a:ext cx="81586" cy="107820"/>
                            <a:chOff x="-5527" y="-1143"/>
                            <a:chExt cx="81588" cy="107823"/>
                          </a:xfrm>
                        </wpg:grpSpPr>
                        <wps:wsp>
                          <wps:cNvPr id="1381410434" name="CoverRectangle"/>
                          <wps:cNvSpPr>
                            <a:spLocks noChangeArrowheads="1"/>
                          </wps:cNvSpPr>
                          <wps:spPr bwMode="auto">
                            <a:xfrm>
                              <a:off x="3959" y="3143"/>
                              <a:ext cx="67982" cy="396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381410435" name="TriangleTop"/>
                          <wps:cNvSpPr>
                            <a:spLocks/>
                          </wps:cNvSpPr>
                          <wps:spPr bwMode="auto">
                            <a:xfrm>
                              <a:off x="3600" y="3600"/>
                              <a:ext cx="18648" cy="19765"/>
                            </a:xfrm>
                            <a:custGeom>
                              <a:avLst/>
                              <a:gdLst>
                                <a:gd name="T0" fmla="*/ 0 w 2939"/>
                                <a:gd name="T1" fmla="*/ 0 h 3114"/>
                                <a:gd name="T2" fmla="*/ 932101 w 2939"/>
                                <a:gd name="T3" fmla="*/ 1976455 h 3114"/>
                                <a:gd name="T4" fmla="*/ 1864837 w 2939"/>
                                <a:gd name="T5" fmla="*/ 0 h 3114"/>
                                <a:gd name="T6" fmla="*/ 0 w 2939"/>
                                <a:gd name="T7" fmla="*/ 0 h 311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939" h="3114">
                                  <a:moveTo>
                                    <a:pt x="0" y="0"/>
                                  </a:moveTo>
                                  <a:lnTo>
                                    <a:pt x="1469" y="3114"/>
                                  </a:lnTo>
                                  <a:lnTo>
                                    <a:pt x="2939" y="0"/>
                                  </a:lnTo>
                                  <a:lnTo>
                                    <a:pt x="0" y="0"/>
                                  </a:lnTo>
                                  <a:close/>
                                </a:path>
                              </a:pathLst>
                            </a:custGeom>
                            <a:solidFill>
                              <a:srgbClr val="CDDC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1410436" name="CoverProjectBar"/>
                          <wps:cNvSpPr txBox="1">
                            <a:spLocks noChangeArrowheads="1"/>
                          </wps:cNvSpPr>
                          <wps:spPr bwMode="auto">
                            <a:xfrm>
                              <a:off x="3600" y="88973"/>
                              <a:ext cx="68401" cy="6075"/>
                            </a:xfrm>
                            <a:prstGeom prst="rect">
                              <a:avLst/>
                            </a:prstGeom>
                            <a:solidFill>
                              <a:srgbClr val="CDDC2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D073BC3" w14:textId="77052863" w:rsidR="00491210" w:rsidRPr="00510D2F" w:rsidRDefault="00EE200C" w:rsidP="00FA50E8">
                                <w:pPr>
                                  <w:pStyle w:val="Reportdetails"/>
                                  <w:rPr>
                                    <w:color w:val="auto"/>
                                  </w:rPr>
                                </w:pPr>
                                <w:r w:rsidRPr="00510D2F">
                                  <w:rPr>
                                    <w:b w:val="0"/>
                                    <w:color w:val="auto"/>
                                  </w:rPr>
                                  <w:t xml:space="preserve">Arthur Rylah Institute for Environmental Research </w:t>
                                </w:r>
                                <w:r w:rsidRPr="00510D2F">
                                  <w:rPr>
                                    <w:b w:val="0"/>
                                    <w:color w:val="auto"/>
                                  </w:rPr>
                                  <w:br/>
                                </w:r>
                                <w:r w:rsidRPr="00793825">
                                  <w:rPr>
                                    <w:color w:val="auto"/>
                                  </w:rPr>
                                  <w:t>Technical Report Series No. 341</w:t>
                                </w:r>
                              </w:p>
                            </w:txbxContent>
                          </wps:txbx>
                          <wps:bodyPr rot="0" vert="horz" wrap="square" lIns="360000" tIns="0" rIns="360000" bIns="0" anchor="ctr" anchorCtr="0" upright="1">
                            <a:noAutofit/>
                          </wps:bodyPr>
                        </wps:wsp>
                        <wps:wsp>
                          <wps:cNvPr id="1381410438" name="Rectangle 241"/>
                          <wps:cNvSpPr>
                            <a:spLocks noChangeArrowheads="1"/>
                          </wps:cNvSpPr>
                          <wps:spPr bwMode="auto">
                            <a:xfrm>
                              <a:off x="-5527" y="-272"/>
                              <a:ext cx="3593" cy="106952"/>
                            </a:xfrm>
                            <a:prstGeom prst="rect">
                              <a:avLst/>
                            </a:prstGeom>
                            <a:solidFill>
                              <a:schemeClr val="bg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381410439" name="CoverRectangle"/>
                          <wps:cNvSpPr>
                            <a:spLocks noChangeArrowheads="1"/>
                          </wps:cNvSpPr>
                          <wps:spPr bwMode="auto">
                            <a:xfrm>
                              <a:off x="3730" y="3345"/>
                              <a:ext cx="68263" cy="39603"/>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381410437" name="Rectangle 240"/>
                          <wps:cNvSpPr>
                            <a:spLocks noChangeArrowheads="1"/>
                          </wps:cNvSpPr>
                          <wps:spPr bwMode="auto">
                            <a:xfrm>
                              <a:off x="71941" y="-1143"/>
                              <a:ext cx="4120" cy="106955"/>
                            </a:xfrm>
                            <a:prstGeom prst="rect">
                              <a:avLst/>
                            </a:prstGeom>
                            <a:solidFill>
                              <a:schemeClr val="bg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s:wsp>
                        <wps:cNvPr id="1381410440" name="Rectangle 1"/>
                        <wps:cNvSpPr>
                          <a:spLocks noChangeArrowheads="1"/>
                        </wps:cNvSpPr>
                        <wps:spPr bwMode="auto">
                          <a:xfrm>
                            <a:off x="0" y="94869"/>
                            <a:ext cx="75600" cy="14400"/>
                          </a:xfrm>
                          <a:prstGeom prst="rect">
                            <a:avLst/>
                          </a:prstGeom>
                          <a:solidFill>
                            <a:schemeClr val="bg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E57C51F" id="Group 777550128" o:spid="_x0000_s1026" style="position:absolute;margin-left:-45.7pt;margin-top:-6.9pt;width:642.35pt;height:869.25pt;z-index:-251658231;mso-position-horizontal-relative:page;mso-position-vertical-relative:page;mso-width-relative:margin;mso-height-relative:margin" coordorigin="-5527,-1143" coordsize="81586,110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">
                <v:group id="Group 12" o:spid="_x0000_s1027" style="position:absolute;left:-5527;top:-1143;width:81586;height:107820" coordorigin="-5527,-1143" coordsize="81588,10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">
                  <v:rect id="CoverRectangle" o:spid="_x0000_s1028" style="position:absolute;left:3959;top:3143;width:67982;height:3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" fillcolor="#00b2a9 [3204]" stroked="f" strokeweight="2pt"/>
                  <v:shape id="TriangleTop" o:spid="_x0000_s1029" style="position:absolute;left:3600;top:3600;width:18648;height:19765;visibility:visible;mso-wrap-style:square;v-text-anchor:top" coordsize="2939,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" path="m,l1469,3114,2939,,,xe" fillcolor="#cddc29" stroked="f">
                    <v:path arrowok="t" o:connecttype="custom" o:connectlocs="0,0;5914195,12544840;11832419,0;0,0" o:connectangles="0,0,0,0"/>
                  </v:shape>
                  <v:shapetype id="_x0000_t202" coordsize="21600,21600" o:spt="202" path="m,l,21600r21600,l21600,xe">
                    <v:stroke joinstyle="miter"/>
                    <v:path gradientshapeok="t" o:connecttype="rect"/>
                  </v:shapetype>
                  <v:shape id="CoverProjectBar" o:spid="_x0000_s1030" type="#_x0000_t202" style="position:absolute;left:3600;top:88973;width:68401;height:6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" fillcolor="#cddc29" stroked="f" strokeweight=".5pt">
                    <v:textbox inset="10mm,0,10mm,0">
                      <w:txbxContent>
                        <w:p w14:paraId="1D073BC3" w14:textId="77052863" w:rsidR="00491210" w:rsidRPr="00510D2F" w:rsidRDefault="00EE200C" w:rsidP="00FA50E8">
                          <w:pPr>
                            <w:pStyle w:val="Reportdetails"/>
                            <w:rPr>
                              <w:color w:val="auto"/>
                            </w:rPr>
                          </w:pPr>
                          <w:r w:rsidRPr="00510D2F">
                            <w:rPr>
                              <w:b w:val="0"/>
                              <w:color w:val="auto"/>
                            </w:rPr>
                            <w:t xml:space="preserve">Arthur Rylah Institute for Environmental Research </w:t>
                          </w:r>
                          <w:r w:rsidRPr="00510D2F">
                            <w:rPr>
                              <w:b w:val="0"/>
                              <w:color w:val="auto"/>
                            </w:rPr>
                            <w:br/>
                          </w:r>
                          <w:r w:rsidRPr="00793825">
                            <w:rPr>
                              <w:color w:val="auto"/>
                            </w:rPr>
                            <w:t>Technical Report Series No. 341</w:t>
                          </w:r>
                        </w:p>
                      </w:txbxContent>
                    </v:textbox>
                  </v:shape>
                  <v:rect id="Rectangle 241" o:spid="_x0000_s1031" style="position:absolute;left:-5527;top:-272;width:3593;height:106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" fillcolor="white [3212]" stroked="f" strokeweight="2pt"/>
                  <v:rect id="CoverRectangle" o:spid="_x0000_s1032" style="position:absolute;left:3730;top:3345;width:68263;height:39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" fillcolor="#00b2a9 [3204]" stroked="f" strokeweight="2pt"/>
                  <v:rect id="Rectangle 240" o:spid="_x0000_s1033" style="position:absolute;left:71941;top:-1143;width:4120;height:106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" fillcolor="white [3212]" stroked="f" strokeweight="2pt"/>
                </v:group>
                <v:rect id="Rectangle 1" o:spid="_x0000_s1034" style="position:absolute;top:94869;width:75600;height:14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" fillcolor="white [3212]" stroked="f" strokeweight="2pt"/>
                <w10:wrap anchorx="page" anchory="page"/>
              </v:group>
            </w:pict>
          </mc:Fallback>
        </mc:AlternateContent>
      </w:r>
      <w:r>
        <w:rPr>
          <w:noProof/>
          <w:lang w:eastAsia="en-AU"/>
        </w:rPr>
        <mc:AlternateContent>
          <mc:Choice Requires="wps">
            <w:drawing>
              <wp:anchor distT="0" distB="0" distL="114300" distR="114300" simplePos="0" relativeHeight="251658246" behindDoc="0" locked="1" layoutInCell="1" allowOverlap="1" wp14:anchorId="15D8D3F9" wp14:editId="3685E53B">
                <wp:simplePos x="0" y="0"/>
                <wp:positionH relativeFrom="page">
                  <wp:posOffset>339725</wp:posOffset>
                </wp:positionH>
                <wp:positionV relativeFrom="page">
                  <wp:posOffset>342900</wp:posOffset>
                </wp:positionV>
                <wp:extent cx="1894205" cy="2007870"/>
                <wp:effectExtent l="0" t="0" r="0" b="0"/>
                <wp:wrapNone/>
                <wp:docPr id="777550140" name="TriangleTop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4205" cy="2007870"/>
                        </a:xfrm>
                        <a:custGeom>
                          <a:avLst/>
                          <a:gdLst>
                            <a:gd name="T0" fmla="*/ 2147483646 w 3496"/>
                            <a:gd name="T1" fmla="*/ 2147483646 h 3697"/>
                            <a:gd name="T2" fmla="*/ 0 w 3496"/>
                            <a:gd name="T3" fmla="*/ 0 h 3697"/>
                            <a:gd name="T4" fmla="*/ 2147483646 w 3496"/>
                            <a:gd name="T5" fmla="*/ 0 h 3697"/>
                            <a:gd name="T6" fmla="*/ 2147483646 w 3496"/>
                            <a:gd name="T7" fmla="*/ 2147483646 h 369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496" h="3697">
                              <a:moveTo>
                                <a:pt x="1745" y="3697"/>
                              </a:moveTo>
                              <a:lnTo>
                                <a:pt x="0" y="0"/>
                              </a:lnTo>
                              <a:lnTo>
                                <a:pt x="3496" y="0"/>
                              </a:lnTo>
                              <a:lnTo>
                                <a:pt x="1745" y="3697"/>
                              </a:lnTo>
                              <a:close/>
                            </a:path>
                          </a:pathLst>
                        </a:custGeom>
                        <a:blipFill dpi="0" rotWithShape="1">
                          <a:blip r:embed="rId22" cstate="email">
                            <a:extLst>
                              <a:ext uri="{28A0092B-C50C-407E-A947-70E740481C1C}">
                                <a14:useLocalDpi xmlns:a14="http://schemas.microsoft.com/office/drawing/2010/main"/>
                              </a:ext>
                            </a:extLst>
                          </a:blip>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0B09F3" id="TriangleTopACI" o:spid="_x0000_s1026" style="position:absolute;margin-left:26.75pt;margin-top:27pt;width:149.15pt;height:158.1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" path="m1745,3697l,,3496,,1745,3697xe" stroked="f">
                <v:fill r:id="rId23" o:title="" recolor="t" rotate="t" type="frame"/>
                <v:path arrowok="t" o:connecttype="custom" o:connectlocs="2147483646,2147483646;0,0;2147483646,0;2147483646,2147483646" o:connectangles="0,0,0,0"/>
                <w10:wrap anchorx="page" anchory="page"/>
                <w10:anchorlock/>
              </v:shape>
            </w:pict>
          </mc:Fallback>
        </mc:AlternateContent>
      </w:r>
    </w:p>
    <w:p w14:paraId="31717B5A" w14:textId="0D821B65" w:rsidR="00491210" w:rsidRPr="00933BDA" w:rsidRDefault="00554E3D" w:rsidP="00DC3852">
      <w:pPr>
        <w:sectPr w:rsidR="00491210" w:rsidRPr="00933BDA" w:rsidSect="00A74AEE">
          <w:headerReference w:type="even" r:id="rId24"/>
          <w:headerReference w:type="default" r:id="rId25"/>
          <w:footerReference w:type="default" r:id="rId26"/>
          <w:headerReference w:type="first" r:id="rId27"/>
          <w:type w:val="continuous"/>
          <w:pgSz w:w="11907" w:h="16840" w:code="9"/>
          <w:pgMar w:top="1134" w:right="1134" w:bottom="425" w:left="1134" w:header="709" w:footer="567" w:gutter="0"/>
          <w:pgNumType w:start="1"/>
          <w:cols w:space="708"/>
          <w:formProt w:val="0"/>
          <w:titlePg/>
          <w:docGrid w:linePitch="360"/>
        </w:sectPr>
      </w:pPr>
      <w:r w:rsidRPr="00243764">
        <w:rPr>
          <w:noProof/>
          <w:lang w:eastAsia="en-AU"/>
        </w:rPr>
        <w:drawing>
          <wp:anchor distT="0" distB="0" distL="114300" distR="114300" simplePos="0" relativeHeight="251658243" behindDoc="0" locked="0" layoutInCell="1" allowOverlap="1" wp14:anchorId="6B4CFD93" wp14:editId="771585C8">
            <wp:simplePos x="0" y="0"/>
            <wp:positionH relativeFrom="page">
              <wp:posOffset>2742322</wp:posOffset>
            </wp:positionH>
            <wp:positionV relativeFrom="page">
              <wp:posOffset>9826625</wp:posOffset>
            </wp:positionV>
            <wp:extent cx="1040400" cy="540000"/>
            <wp:effectExtent l="0" t="0" r="762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RIlogo_colour_rgb.JPG"/>
                    <pic:cNvPicPr/>
                  </pic:nvPicPr>
                  <pic:blipFill>
                    <a:blip r:embed="rId28" cstate="email">
                      <a:extLst>
                        <a:ext uri="{28A0092B-C50C-407E-A947-70E740481C1C}">
                          <a14:useLocalDpi xmlns:a14="http://schemas.microsoft.com/office/drawing/2010/main"/>
                        </a:ext>
                      </a:extLst>
                    </a:blip>
                    <a:stretch>
                      <a:fillRect/>
                    </a:stretch>
                  </pic:blipFill>
                  <pic:spPr>
                    <a:xfrm>
                      <a:off x="0" y="0"/>
                      <a:ext cx="1040400" cy="540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26" behindDoc="0" locked="0" layoutInCell="1" allowOverlap="1" wp14:anchorId="0BD7DD6D" wp14:editId="5A688725">
            <wp:simplePos x="0" y="0"/>
            <wp:positionH relativeFrom="column">
              <wp:posOffset>-349745</wp:posOffset>
            </wp:positionH>
            <wp:positionV relativeFrom="paragraph">
              <wp:posOffset>5253497</wp:posOffset>
            </wp:positionV>
            <wp:extent cx="601200" cy="651600"/>
            <wp:effectExtent l="0" t="0" r="8890" b="0"/>
            <wp:wrapNone/>
            <wp:docPr id="32" name="Picture 3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Logo, company name&#10;&#10;Description automatically generated"/>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6012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70C7">
        <w:t xml:space="preserve"> </w:t>
      </w:r>
      <w:r w:rsidRPr="00243764">
        <w:rPr>
          <w:noProof/>
          <w:lang w:eastAsia="en-AU"/>
        </w:rPr>
        <w:drawing>
          <wp:anchor distT="0" distB="0" distL="114300" distR="114300" simplePos="0" relativeHeight="251658241" behindDoc="0" locked="0" layoutInCell="1" allowOverlap="1" wp14:anchorId="7D71B051" wp14:editId="47C7E351">
            <wp:simplePos x="0" y="0"/>
            <wp:positionH relativeFrom="column">
              <wp:posOffset>4611369</wp:posOffset>
            </wp:positionH>
            <wp:positionV relativeFrom="page">
              <wp:posOffset>9792970</wp:posOffset>
            </wp:positionV>
            <wp:extent cx="1861200" cy="540000"/>
            <wp:effectExtent l="0" t="0" r="571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GOV_ENVIRONMENT_LOGO_GOV_BLUE_PMS2145.jpg"/>
                    <pic:cNvPicPr/>
                  </pic:nvPicPr>
                  <pic:blipFill>
                    <a:blip r:embed="rId30" cstate="email">
                      <a:extLst>
                        <a:ext uri="{28A0092B-C50C-407E-A947-70E740481C1C}">
                          <a14:useLocalDpi xmlns:a14="http://schemas.microsoft.com/office/drawing/2010/main"/>
                        </a:ext>
                      </a:extLst>
                    </a:blip>
                    <a:stretch>
                      <a:fillRect/>
                    </a:stretch>
                  </pic:blipFill>
                  <pic:spPr>
                    <a:xfrm>
                      <a:off x="0" y="0"/>
                      <a:ext cx="1861200" cy="540000"/>
                    </a:xfrm>
                    <a:prstGeom prst="rect">
                      <a:avLst/>
                    </a:prstGeom>
                  </pic:spPr>
                </pic:pic>
              </a:graphicData>
            </a:graphic>
            <wp14:sizeRelH relativeFrom="margin">
              <wp14:pctWidth>0</wp14:pctWidth>
            </wp14:sizeRelH>
            <wp14:sizeRelV relativeFrom="margin">
              <wp14:pctHeight>0</wp14:pctHeight>
            </wp14:sizeRelV>
          </wp:anchor>
        </w:drawing>
      </w:r>
    </w:p>
    <w:bookmarkEnd w:id="0"/>
    <w:bookmarkEnd w:id="1"/>
    <w:bookmarkEnd w:id="2"/>
    <w:p w14:paraId="6995EBD5" w14:textId="6D8441BD" w:rsidR="00491210" w:rsidRDefault="00491210" w:rsidP="00DC3852"/>
    <w:tbl>
      <w:tblPr>
        <w:tblStyle w:val="TableAsPlaceholder"/>
        <w:tblpPr w:leftFromText="181" w:rightFromText="181" w:vertAnchor="page" w:horzAnchor="margin" w:tblpY="2154"/>
        <w:tblOverlap w:val="never"/>
        <w:tblW w:w="9450" w:type="dxa"/>
        <w:tblCellMar>
          <w:right w:w="57" w:type="dxa"/>
        </w:tblCellMar>
        <w:tblLook w:val="0600" w:firstRow="0" w:lastRow="0" w:firstColumn="0" w:lastColumn="0" w:noHBand="1" w:noVBand="1"/>
      </w:tblPr>
      <w:tblGrid>
        <w:gridCol w:w="9450"/>
      </w:tblGrid>
      <w:tr w:rsidR="00E419E9" w14:paraId="6F656C7A" w14:textId="77777777" w:rsidTr="00E419E9">
        <w:trPr>
          <w:trHeight w:val="1298"/>
        </w:trPr>
        <w:tc>
          <w:tcPr>
            <w:tcW w:w="5000" w:type="pct"/>
            <w:shd w:val="clear" w:color="auto" w:fill="E5F7F6"/>
            <w:tcMar>
              <w:right w:w="0" w:type="dxa"/>
            </w:tcMar>
          </w:tcPr>
          <w:p w14:paraId="063DB16B" w14:textId="68EEBC20" w:rsidR="00491210" w:rsidRPr="00035BAD" w:rsidRDefault="00EE200C" w:rsidP="00E419E9">
            <w:pPr>
              <w:pStyle w:val="xDisclaimertext6"/>
              <w:framePr w:hSpace="0" w:wrap="auto" w:hAnchor="text" w:yAlign="inline"/>
              <w:suppressOverlap w:val="0"/>
            </w:pPr>
            <w:r w:rsidRPr="00035BAD">
              <w:rPr>
                <w:noProof/>
              </w:rPr>
              <w:drawing>
                <wp:anchor distT="0" distB="0" distL="114300" distR="114300" simplePos="0" relativeHeight="251658254" behindDoc="0" locked="1" layoutInCell="1" allowOverlap="1" wp14:anchorId="20FF7F5B" wp14:editId="0A35C0CF">
                  <wp:simplePos x="0" y="0"/>
                  <wp:positionH relativeFrom="margin">
                    <wp:align>right</wp:align>
                  </wp:positionH>
                  <wp:positionV relativeFrom="margin">
                    <wp:align>bottom</wp:align>
                  </wp:positionV>
                  <wp:extent cx="2408400" cy="1602000"/>
                  <wp:effectExtent l="0" t="0" r="0" b="0"/>
                  <wp:wrapNone/>
                  <wp:docPr id="51" name="AboriginalAcknowledgement" descr="A map of the worl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AboriginalAcknowledgement" descr="A map of the world&#10;&#10;Description automatically generated with low confidence"/>
                          <pic:cNvPicPr/>
                        </pic:nvPicPr>
                        <pic:blipFill>
                          <a:blip r:embed="rId31" cstate="email">
                            <a:extLst>
                              <a:ext uri="{28A0092B-C50C-407E-A947-70E740481C1C}">
                                <a14:useLocalDpi xmlns:a14="http://schemas.microsoft.com/office/drawing/2010/main"/>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00035BAD">
              <w:t>Acknowledg</w:t>
            </w:r>
            <w:r>
              <w:t>e</w:t>
            </w:r>
            <w:r w:rsidRPr="00035BAD">
              <w:t>ment</w:t>
            </w:r>
          </w:p>
          <w:p w14:paraId="07CC19FC" w14:textId="0C644114" w:rsidR="00491210" w:rsidRPr="001A3E14" w:rsidRDefault="00EE200C" w:rsidP="00E419E9">
            <w:pPr>
              <w:pStyle w:val="xDisclaimertext4"/>
              <w:framePr w:hSpace="0" w:wrap="auto" w:hAnchor="text" w:yAlign="inline"/>
              <w:suppressOverlap w:val="0"/>
              <w:rPr>
                <w:color w:val="auto"/>
              </w:rPr>
            </w:pPr>
            <w:r w:rsidRPr="001A3E14">
              <w:rPr>
                <w:color w:val="auto"/>
              </w:rPr>
              <w:t>We acknowledge and respect Victorian Traditional Owners as the original custodians of Victoria</w:t>
            </w:r>
            <w:r>
              <w:rPr>
                <w:color w:val="auto"/>
              </w:rPr>
              <w:t>’</w:t>
            </w:r>
            <w:r w:rsidRPr="001A3E14">
              <w:rPr>
                <w:color w:val="auto"/>
              </w:rPr>
              <w:t xml:space="preserve">s land and waters, their unique ability to care for Country and deep spiritual connection to it. We honour Elders past and present whose knowledge and wisdom has ensured the continuation of culture and traditional practices. </w:t>
            </w:r>
          </w:p>
          <w:p w14:paraId="3C0D904B" w14:textId="2A1A82D8" w:rsidR="00491210" w:rsidRDefault="00EE200C" w:rsidP="00E2785E">
            <w:pPr>
              <w:pStyle w:val="xDisclaimertext5"/>
              <w:framePr w:hSpace="0" w:wrap="auto" w:hAnchor="text" w:yAlign="inline"/>
              <w:suppressOverlap w:val="0"/>
            </w:pPr>
            <w:r w:rsidRPr="001A3E14">
              <w:rPr>
                <w:color w:val="auto"/>
              </w:rP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bl>
    <w:tbl>
      <w:tblPr>
        <w:tblStyle w:val="TableGrid"/>
        <w:tblpPr w:leftFromText="180" w:rightFromText="180" w:vertAnchor="text" w:horzAnchor="margin" w:tblpY="363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419E9" w14:paraId="1D5D236F" w14:textId="77777777" w:rsidTr="00E419E9">
        <w:tc>
          <w:tcPr>
            <w:tcW w:w="9638" w:type="dxa"/>
          </w:tcPr>
          <w:p w14:paraId="5383EE2E" w14:textId="77777777" w:rsidR="00491210" w:rsidRDefault="00EE200C" w:rsidP="00E419E9">
            <w:pPr>
              <w:autoSpaceDE w:val="0"/>
              <w:autoSpaceDN w:val="0"/>
              <w:adjustRightInd w:val="0"/>
              <w:spacing w:after="0"/>
              <w:rPr>
                <w:rStyle w:val="Imprint0"/>
              </w:rPr>
            </w:pPr>
            <w:r w:rsidRPr="00E3679A">
              <w:rPr>
                <w:rStyle w:val="Imprint0"/>
              </w:rPr>
              <w:t>Arthur Rylah Institute for Environmental Research</w:t>
            </w:r>
          </w:p>
          <w:p w14:paraId="07554F61" w14:textId="77777777" w:rsidR="00491210" w:rsidRDefault="00EE200C" w:rsidP="00E419E9">
            <w:pPr>
              <w:autoSpaceDE w:val="0"/>
              <w:autoSpaceDN w:val="0"/>
              <w:adjustRightInd w:val="0"/>
              <w:spacing w:after="0"/>
              <w:rPr>
                <w:rStyle w:val="Imprint0"/>
              </w:rPr>
            </w:pPr>
            <w:r w:rsidRPr="00E3679A">
              <w:rPr>
                <w:rStyle w:val="Imprint0"/>
              </w:rPr>
              <w:t>Department of Environment, Land, Water and Planning</w:t>
            </w:r>
          </w:p>
          <w:p w14:paraId="6ED2E898" w14:textId="77777777" w:rsidR="00491210" w:rsidRDefault="00EE200C" w:rsidP="00E419E9">
            <w:pPr>
              <w:autoSpaceDE w:val="0"/>
              <w:autoSpaceDN w:val="0"/>
              <w:adjustRightInd w:val="0"/>
              <w:spacing w:after="0"/>
              <w:rPr>
                <w:rStyle w:val="Imprint0"/>
              </w:rPr>
            </w:pPr>
            <w:r w:rsidRPr="00E3679A">
              <w:rPr>
                <w:rStyle w:val="Imprint0"/>
              </w:rPr>
              <w:t>PO Box 137</w:t>
            </w:r>
          </w:p>
          <w:p w14:paraId="2C31FD71" w14:textId="77777777" w:rsidR="00491210" w:rsidRDefault="00EE200C" w:rsidP="00E419E9">
            <w:pPr>
              <w:autoSpaceDE w:val="0"/>
              <w:autoSpaceDN w:val="0"/>
              <w:adjustRightInd w:val="0"/>
              <w:spacing w:after="0"/>
              <w:rPr>
                <w:rStyle w:val="Imprint0"/>
              </w:rPr>
            </w:pPr>
            <w:r w:rsidRPr="00E3679A">
              <w:rPr>
                <w:rStyle w:val="Imprint0"/>
              </w:rPr>
              <w:t>Heidelberg, Victoria 3084</w:t>
            </w:r>
          </w:p>
          <w:p w14:paraId="14D49306" w14:textId="77777777" w:rsidR="00491210" w:rsidRDefault="00EE200C" w:rsidP="00E419E9">
            <w:pPr>
              <w:autoSpaceDE w:val="0"/>
              <w:autoSpaceDN w:val="0"/>
              <w:adjustRightInd w:val="0"/>
              <w:spacing w:after="0"/>
              <w:rPr>
                <w:rStyle w:val="Imprint0"/>
              </w:rPr>
            </w:pPr>
            <w:r w:rsidRPr="00E3679A">
              <w:rPr>
                <w:rStyle w:val="Imprint0"/>
              </w:rPr>
              <w:t>Phone (03) 9450 8600</w:t>
            </w:r>
          </w:p>
          <w:p w14:paraId="3A18FEC8" w14:textId="77777777" w:rsidR="00491210" w:rsidRPr="00E3679A" w:rsidRDefault="00EE200C" w:rsidP="00E419E9">
            <w:pPr>
              <w:autoSpaceDE w:val="0"/>
              <w:autoSpaceDN w:val="0"/>
              <w:adjustRightInd w:val="0"/>
              <w:spacing w:after="320"/>
              <w:rPr>
                <w:rStyle w:val="Imprint0"/>
              </w:rPr>
            </w:pPr>
            <w:r w:rsidRPr="00E3679A">
              <w:rPr>
                <w:rStyle w:val="Imprint0"/>
              </w:rPr>
              <w:t xml:space="preserve">Website: </w:t>
            </w:r>
            <w:hyperlink r:id="rId32" w:history="1">
              <w:r w:rsidRPr="007020A6">
                <w:rPr>
                  <w:rStyle w:val="Hyperlink"/>
                  <w:rFonts w:eastAsia="Calibri"/>
                  <w:sz w:val="16"/>
                  <w:szCs w:val="16"/>
                </w:rPr>
                <w:t>www.ari.vic.gov.au</w:t>
              </w:r>
            </w:hyperlink>
          </w:p>
          <w:p w14:paraId="6BF321EF" w14:textId="15025A2D" w:rsidR="00491210" w:rsidRDefault="00EE200C" w:rsidP="00E419E9">
            <w:r w:rsidRPr="2C4978F2">
              <w:rPr>
                <w:rStyle w:val="Imprint0"/>
                <w:b/>
                <w:bCs/>
              </w:rPr>
              <w:t>Citation</w:t>
            </w:r>
            <w:r w:rsidRPr="2C4978F2">
              <w:rPr>
                <w:rStyle w:val="Imprint0"/>
              </w:rPr>
              <w:t>:</w:t>
            </w:r>
            <w:r>
              <w:rPr>
                <w:rStyle w:val="Imprint0"/>
              </w:rPr>
              <w:t xml:space="preserve"> </w:t>
            </w:r>
            <w:r w:rsidRPr="2C4978F2">
              <w:rPr>
                <w:sz w:val="16"/>
                <w:szCs w:val="16"/>
              </w:rPr>
              <w:t>Todd, C.</w:t>
            </w:r>
            <w:r>
              <w:rPr>
                <w:sz w:val="16"/>
                <w:szCs w:val="16"/>
              </w:rPr>
              <w:t>,</w:t>
            </w:r>
            <w:r w:rsidRPr="2C4978F2">
              <w:rPr>
                <w:sz w:val="16"/>
                <w:szCs w:val="16"/>
              </w:rPr>
              <w:t xml:space="preserve"> Wootton, H., Koehn, J.</w:t>
            </w:r>
            <w:r>
              <w:rPr>
                <w:sz w:val="16"/>
                <w:szCs w:val="16"/>
              </w:rPr>
              <w:t>,</w:t>
            </w:r>
            <w:r w:rsidRPr="2C4978F2">
              <w:rPr>
                <w:sz w:val="16"/>
                <w:szCs w:val="16"/>
              </w:rPr>
              <w:t xml:space="preserve"> Stuart, I., Hale, R.</w:t>
            </w:r>
            <w:r>
              <w:rPr>
                <w:sz w:val="16"/>
                <w:szCs w:val="16"/>
              </w:rPr>
              <w:t>,</w:t>
            </w:r>
            <w:r w:rsidRPr="2C4978F2">
              <w:rPr>
                <w:sz w:val="16"/>
                <w:szCs w:val="16"/>
              </w:rPr>
              <w:t xml:space="preserve"> Fanson, B., Sharpe, C. and Thiem, J. (2022). Population modelling </w:t>
            </w:r>
            <w:r>
              <w:rPr>
                <w:sz w:val="16"/>
                <w:szCs w:val="16"/>
              </w:rPr>
              <w:t>of</w:t>
            </w:r>
            <w:r w:rsidRPr="2C4978F2">
              <w:rPr>
                <w:sz w:val="16"/>
                <w:szCs w:val="16"/>
              </w:rPr>
              <w:t xml:space="preserve"> native fish outcomes</w:t>
            </w:r>
            <w:r>
              <w:rPr>
                <w:sz w:val="16"/>
                <w:szCs w:val="16"/>
              </w:rPr>
              <w:t xml:space="preserve"> </w:t>
            </w:r>
            <w:r w:rsidRPr="00E419E9">
              <w:rPr>
                <w:sz w:val="16"/>
                <w:szCs w:val="16"/>
              </w:rPr>
              <w:t>for the Reconnecting River Country Program</w:t>
            </w:r>
            <w:r w:rsidRPr="2C4978F2">
              <w:rPr>
                <w:sz w:val="16"/>
                <w:szCs w:val="16"/>
              </w:rPr>
              <w:t>: Golden Perch</w:t>
            </w:r>
            <w:r>
              <w:rPr>
                <w:sz w:val="16"/>
                <w:szCs w:val="16"/>
              </w:rPr>
              <w:t xml:space="preserve"> and </w:t>
            </w:r>
            <w:r w:rsidRPr="2C4978F2">
              <w:rPr>
                <w:sz w:val="16"/>
                <w:szCs w:val="16"/>
              </w:rPr>
              <w:t xml:space="preserve">Murray Cod. </w:t>
            </w:r>
            <w:r>
              <w:rPr>
                <w:sz w:val="16"/>
                <w:szCs w:val="16"/>
              </w:rPr>
              <w:t>Final r</w:t>
            </w:r>
            <w:r w:rsidRPr="2C4978F2">
              <w:rPr>
                <w:sz w:val="16"/>
                <w:szCs w:val="16"/>
              </w:rPr>
              <w:t>eport for the NSW Department of Planning and Environment Reconnecting River Country Program. Arthur Rylah Institute for Environmental</w:t>
            </w:r>
            <w:r>
              <w:rPr>
                <w:sz w:val="16"/>
                <w:szCs w:val="16"/>
              </w:rPr>
              <w:t xml:space="preserve"> Research</w:t>
            </w:r>
            <w:r w:rsidRPr="2C4978F2">
              <w:rPr>
                <w:sz w:val="16"/>
                <w:szCs w:val="16"/>
              </w:rPr>
              <w:t xml:space="preserve">, </w:t>
            </w:r>
            <w:r w:rsidRPr="00184D5C">
              <w:rPr>
                <w:sz w:val="16"/>
                <w:szCs w:val="16"/>
              </w:rPr>
              <w:t>Technical Report Series</w:t>
            </w:r>
            <w:r>
              <w:rPr>
                <w:sz w:val="16"/>
                <w:szCs w:val="16"/>
              </w:rPr>
              <w:t xml:space="preserve"> No. 341.</w:t>
            </w:r>
            <w:r w:rsidRPr="00C177A1">
              <w:t xml:space="preserve"> </w:t>
            </w:r>
            <w:r w:rsidRPr="00C177A1">
              <w:rPr>
                <w:rStyle w:val="Imprint0"/>
              </w:rPr>
              <w:t>Department of Environment, Land, Water and Planning, Heidelberg, Victoria.</w:t>
            </w:r>
          </w:p>
          <w:p w14:paraId="6969C183" w14:textId="0E54E985" w:rsidR="00491210" w:rsidRDefault="00491210" w:rsidP="00E419E9">
            <w:pPr>
              <w:autoSpaceDE w:val="0"/>
              <w:autoSpaceDN w:val="0"/>
              <w:adjustRightInd w:val="0"/>
              <w:spacing w:after="320"/>
              <w:rPr>
                <w:rStyle w:val="Imprint0"/>
                <w:highlight w:val="yellow"/>
              </w:rPr>
            </w:pPr>
          </w:p>
          <w:p w14:paraId="1931A9D1" w14:textId="6715D238" w:rsidR="00491210" w:rsidRPr="001653FA" w:rsidRDefault="00EE200C" w:rsidP="00E419E9">
            <w:pPr>
              <w:autoSpaceDE w:val="0"/>
              <w:autoSpaceDN w:val="0"/>
              <w:adjustRightInd w:val="0"/>
              <w:spacing w:after="320"/>
              <w:rPr>
                <w:rStyle w:val="Imprint0"/>
              </w:rPr>
            </w:pPr>
            <w:r w:rsidRPr="001653FA">
              <w:rPr>
                <w:rStyle w:val="Imprint0"/>
                <w:b/>
              </w:rPr>
              <w:t>Front cover photo</w:t>
            </w:r>
            <w:r>
              <w:rPr>
                <w:rStyle w:val="Imprint0"/>
                <w:b/>
              </w:rPr>
              <w:t>s</w:t>
            </w:r>
            <w:r w:rsidRPr="001653FA">
              <w:rPr>
                <w:rStyle w:val="Imprint0"/>
              </w:rPr>
              <w:t xml:space="preserve">: </w:t>
            </w:r>
            <w:r>
              <w:rPr>
                <w:rStyle w:val="Imprint0"/>
              </w:rPr>
              <w:t>Arthur Rylah Institute for Environmental Research</w:t>
            </w:r>
          </w:p>
          <w:p w14:paraId="214C67A2" w14:textId="77777777" w:rsidR="00491210" w:rsidRDefault="00EE200C" w:rsidP="00E419E9">
            <w:pPr>
              <w:autoSpaceDE w:val="0"/>
              <w:autoSpaceDN w:val="0"/>
              <w:adjustRightInd w:val="0"/>
              <w:spacing w:after="320"/>
              <w:rPr>
                <w:rStyle w:val="Imprint0"/>
              </w:rPr>
            </w:pPr>
            <w:r w:rsidRPr="358D0A8B">
              <w:rPr>
                <w:rStyle w:val="Imprint0"/>
              </w:rPr>
              <w:t>© The State of Victoria Department of Environment, Land, Water and Planning 2022</w:t>
            </w:r>
            <w:bookmarkStart w:id="4" w:name="_CreativeCommonsMarker"/>
            <w:bookmarkEnd w:id="4"/>
          </w:p>
          <w:p w14:paraId="0B3067E1" w14:textId="3C6C3F39" w:rsidR="00491210" w:rsidRDefault="003E1401" w:rsidP="00E419E9">
            <w:pPr>
              <w:autoSpaceDE w:val="0"/>
              <w:autoSpaceDN w:val="0"/>
              <w:adjustRightInd w:val="0"/>
              <w:rPr>
                <w:rStyle w:val="Imprint0"/>
              </w:rPr>
            </w:pPr>
            <w:r>
              <w:rPr>
                <w:noProof/>
                <w:lang w:eastAsia="en-AU"/>
              </w:rPr>
              <w:t xml:space="preserve"> </w:t>
            </w:r>
          </w:p>
          <w:p w14:paraId="5B0DD4CA" w14:textId="77777777" w:rsidR="00491210" w:rsidRPr="009A4750" w:rsidRDefault="00EE200C" w:rsidP="00E419E9">
            <w:pPr>
              <w:autoSpaceDE w:val="0"/>
              <w:autoSpaceDN w:val="0"/>
              <w:adjustRightInd w:val="0"/>
              <w:spacing w:after="320"/>
              <w:rPr>
                <w:rStyle w:val="Imprint0"/>
                <w:szCs w:val="16"/>
              </w:rPr>
            </w:pPr>
            <w:r w:rsidRPr="009A4750">
              <w:rPr>
                <w:rStyle w:val="markedcontent"/>
                <w:sz w:val="16"/>
                <w:szCs w:val="16"/>
              </w:rPr>
              <w:t>This work is licensed under a Creative Commons Attribution 3.0 Australia licence. You are free to re-use the work under that licence, on the condition that you credit the State of Victoria as author. The licence does not apply to any images, photographs or branding, including the Victorian Coat of Arms, the Victorian Government logo, the Department of Environment, Land, Water and Planning logo and the Arthur Rylah Institute logo. To view a copy of this licence, visit http://creativecommons.org/licenses/by/3.0/au/deed.en</w:t>
            </w:r>
          </w:p>
          <w:p w14:paraId="3B7F8CD6" w14:textId="74C2F598" w:rsidR="00491210" w:rsidRDefault="00EE200C" w:rsidP="00D65F7B">
            <w:pPr>
              <w:autoSpaceDE w:val="0"/>
              <w:autoSpaceDN w:val="0"/>
              <w:adjustRightInd w:val="0"/>
              <w:spacing w:after="0"/>
              <w:rPr>
                <w:sz w:val="16"/>
                <w:szCs w:val="16"/>
              </w:rPr>
            </w:pPr>
            <w:r w:rsidRPr="006E23EB">
              <w:rPr>
                <w:rStyle w:val="Imprint0"/>
              </w:rPr>
              <w:t xml:space="preserve">Edited by </w:t>
            </w:r>
            <w:r w:rsidRPr="007672D8">
              <w:rPr>
                <w:rStyle w:val="Imprint0"/>
              </w:rPr>
              <w:t>Jeanette Birtles, Organic Editing</w:t>
            </w:r>
          </w:p>
          <w:p w14:paraId="41A77D23" w14:textId="77777777" w:rsidR="00491210" w:rsidRDefault="00491210" w:rsidP="00E419E9">
            <w:pPr>
              <w:autoSpaceDE w:val="0"/>
              <w:autoSpaceDN w:val="0"/>
              <w:adjustRightInd w:val="0"/>
              <w:spacing w:after="0"/>
              <w:rPr>
                <w:sz w:val="16"/>
                <w:szCs w:val="16"/>
              </w:rPr>
            </w:pPr>
          </w:p>
          <w:p w14:paraId="51786ED2" w14:textId="77777777" w:rsidR="00491210" w:rsidRPr="00793825" w:rsidRDefault="00EE200C" w:rsidP="00E419E9">
            <w:pPr>
              <w:autoSpaceDE w:val="0"/>
              <w:autoSpaceDN w:val="0"/>
              <w:adjustRightInd w:val="0"/>
              <w:spacing w:after="320"/>
              <w:rPr>
                <w:rStyle w:val="Imprint0"/>
                <w:szCs w:val="16"/>
              </w:rPr>
            </w:pPr>
            <w:r w:rsidRPr="00793825">
              <w:rPr>
                <w:sz w:val="16"/>
                <w:szCs w:val="16"/>
              </w:rPr>
              <w:t xml:space="preserve">ISBN </w:t>
            </w:r>
            <w:r w:rsidRPr="00793825">
              <w:rPr>
                <w:color w:val="000000"/>
                <w:sz w:val="16"/>
                <w:szCs w:val="16"/>
                <w:shd w:val="clear" w:color="auto" w:fill="FFFFFF"/>
              </w:rPr>
              <w:t>978-1-76136-016-9</w:t>
            </w:r>
            <w:r w:rsidRPr="00793825">
              <w:rPr>
                <w:sz w:val="16"/>
                <w:szCs w:val="16"/>
              </w:rPr>
              <w:t xml:space="preserve"> </w:t>
            </w:r>
            <w:r w:rsidRPr="00793825">
              <w:rPr>
                <w:rStyle w:val="markedcontent"/>
                <w:sz w:val="16"/>
                <w:szCs w:val="16"/>
              </w:rPr>
              <w:t>(pdf/online/MS Word)</w:t>
            </w:r>
          </w:p>
          <w:p w14:paraId="14405698" w14:textId="77777777" w:rsidR="00491210" w:rsidRDefault="00EE200C" w:rsidP="00E419E9">
            <w:pPr>
              <w:spacing w:after="0"/>
            </w:pPr>
            <w:r w:rsidRPr="744A8970">
              <w:rPr>
                <w:rStyle w:val="Imprint0"/>
                <w:b/>
                <w:bCs/>
              </w:rPr>
              <w:t>Disclaimer</w:t>
            </w:r>
          </w:p>
          <w:p w14:paraId="194CE87D" w14:textId="77777777" w:rsidR="00491210" w:rsidRDefault="00EE200C" w:rsidP="00E419E9">
            <w:pPr>
              <w:rPr>
                <w:rStyle w:val="Imprint0"/>
              </w:rPr>
            </w:pPr>
            <w:r w:rsidRPr="744A8970">
              <w:rPr>
                <w:rStyle w:val="Imprint0"/>
              </w:rPr>
              <w:t>This publication may be of assistance to you, but the State of Victoria and its employees do not guarantee that the publication is without flaw of any kind or is wholly appropriate for your particular purpose and therefore disclaims all liability for any error, loss or other consequence which may arise from you relying on any information in this publication.</w:t>
            </w:r>
          </w:p>
          <w:p w14:paraId="2A5B9ADC" w14:textId="77777777" w:rsidR="00491210" w:rsidRPr="002A2CA5" w:rsidRDefault="00EE200C" w:rsidP="00D65F7B">
            <w:pPr>
              <w:autoSpaceDE w:val="0"/>
              <w:autoSpaceDN w:val="0"/>
              <w:adjustRightInd w:val="0"/>
              <w:spacing w:after="0"/>
              <w:rPr>
                <w:rFonts w:eastAsia="Calibri"/>
                <w:sz w:val="28"/>
                <w:szCs w:val="36"/>
              </w:rPr>
            </w:pPr>
            <w:r w:rsidRPr="002A2CA5">
              <w:rPr>
                <w:rFonts w:eastAsia="Calibri"/>
                <w:sz w:val="28"/>
                <w:szCs w:val="36"/>
              </w:rPr>
              <w:t>Accessibility</w:t>
            </w:r>
          </w:p>
          <w:p w14:paraId="58A06C07" w14:textId="1750A857" w:rsidR="00491210" w:rsidRDefault="00EE200C" w:rsidP="00D65F7B">
            <w:r w:rsidRPr="002A2CA5">
              <w:t xml:space="preserve">If you would like to receive this publication in an alternative format, please telephone the DELWP Customer Service Centre on 136 186, email </w:t>
            </w:r>
            <w:hyperlink r:id="rId33" w:history="1">
              <w:r w:rsidRPr="002A2CA5">
                <w:t>customer.service@delwp.vic.gov.au</w:t>
              </w:r>
            </w:hyperlink>
            <w:r w:rsidRPr="002A2CA5">
              <w:t xml:space="preserve"> or contact us via the National Relay</w:t>
            </w:r>
            <w:r>
              <w:t xml:space="preserve"> </w:t>
            </w:r>
            <w:r w:rsidRPr="002A2CA5">
              <w:t xml:space="preserve">Service on 133 677 or </w:t>
            </w:r>
            <w:hyperlink r:id="rId34" w:history="1">
              <w:r w:rsidRPr="002A2CA5">
                <w:t>www.relayservice.com.au</w:t>
              </w:r>
            </w:hyperlink>
            <w:r w:rsidRPr="002A2CA5">
              <w:t xml:space="preserve">. This document is also available on the internet at </w:t>
            </w:r>
            <w:hyperlink r:id="rId35" w:history="1">
              <w:r w:rsidRPr="002A2CA5">
                <w:t>www.delwp.vic.gov.au</w:t>
              </w:r>
            </w:hyperlink>
          </w:p>
        </w:tc>
      </w:tr>
    </w:tbl>
    <w:p w14:paraId="5DFC78EC" w14:textId="072B33BB" w:rsidR="00491210" w:rsidRDefault="00491210" w:rsidP="00787349">
      <w:pPr>
        <w:sectPr w:rsidR="00491210" w:rsidSect="006A33F1">
          <w:headerReference w:type="even" r:id="rId36"/>
          <w:headerReference w:type="default" r:id="rId37"/>
          <w:footerReference w:type="default" r:id="rId38"/>
          <w:headerReference w:type="first" r:id="rId39"/>
          <w:footerReference w:type="first" r:id="rId40"/>
          <w:pgSz w:w="11906" w:h="16838" w:code="9"/>
          <w:pgMar w:top="1134" w:right="1134" w:bottom="1134" w:left="1134" w:header="709" w:footer="709" w:gutter="0"/>
          <w:pgNumType w:fmt="lowerRoman"/>
          <w:cols w:space="708"/>
          <w:titlePg/>
          <w:docGrid w:linePitch="360"/>
        </w:sectPr>
      </w:pPr>
    </w:p>
    <w:p w14:paraId="1C0508E7" w14:textId="571ADF9B" w:rsidR="00491210" w:rsidRPr="00D01B22" w:rsidRDefault="00EE200C" w:rsidP="0015103C">
      <w:pPr>
        <w:pStyle w:val="StyleTitlepagesubtitle24ptBlackLinespacingsingle"/>
      </w:pPr>
      <w:r w:rsidRPr="00D01B22">
        <w:lastRenderedPageBreak/>
        <w:t xml:space="preserve">Population modelling </w:t>
      </w:r>
      <w:r>
        <w:t>of</w:t>
      </w:r>
      <w:r w:rsidRPr="00D01B22">
        <w:t xml:space="preserve"> native fish outcomes</w:t>
      </w:r>
      <w:r>
        <w:t xml:space="preserve"> for the Reconnecting River Country Program</w:t>
      </w:r>
      <w:r w:rsidRPr="00D01B22">
        <w:t xml:space="preserve">: </w:t>
      </w:r>
      <w:r>
        <w:t>Golden Perch and Murray Cod</w:t>
      </w:r>
    </w:p>
    <w:p w14:paraId="674FC365" w14:textId="77777777" w:rsidR="00491210" w:rsidRDefault="00491210" w:rsidP="00787349"/>
    <w:p w14:paraId="2F63E447" w14:textId="2378B302" w:rsidR="00491210" w:rsidRPr="00A76608" w:rsidRDefault="00EE200C" w:rsidP="0015103C">
      <w:pPr>
        <w:pStyle w:val="Titlepagesubtitle"/>
        <w:rPr>
          <w:b/>
        </w:rPr>
      </w:pPr>
      <w:r>
        <w:t>F</w:t>
      </w:r>
      <w:r w:rsidRPr="00A76608">
        <w:t>inal report for the NSW Department of Planning and Environment Reconnecting River Country Program</w:t>
      </w:r>
    </w:p>
    <w:p w14:paraId="263953E2" w14:textId="1399B399" w:rsidR="00491210" w:rsidRDefault="00491210" w:rsidP="00787349"/>
    <w:p w14:paraId="059535D1" w14:textId="02EBC334" w:rsidR="00491210" w:rsidRPr="00A76608" w:rsidRDefault="00EE200C" w:rsidP="11D6FEB3">
      <w:pPr>
        <w:spacing w:before="120" w:after="0" w:afterAutospacing="1"/>
        <w:rPr>
          <w:rFonts w:ascii="Times New Roman" w:hAnsi="Times New Roman" w:cs="Times New Roman"/>
          <w:sz w:val="32"/>
          <w:szCs w:val="32"/>
          <w:lang w:eastAsia="en-AU"/>
        </w:rPr>
      </w:pPr>
      <w:r w:rsidRPr="11D6FEB3">
        <w:rPr>
          <w:b/>
          <w:bCs/>
          <w:color w:val="000000"/>
          <w:sz w:val="32"/>
          <w:szCs w:val="32"/>
          <w:lang w:eastAsia="en-AU"/>
        </w:rPr>
        <w:t>Charles Todd</w:t>
      </w:r>
      <w:r w:rsidRPr="11D6FEB3">
        <w:rPr>
          <w:b/>
          <w:bCs/>
          <w:color w:val="000000"/>
          <w:sz w:val="32"/>
          <w:szCs w:val="32"/>
          <w:vertAlign w:val="superscript"/>
          <w:lang w:eastAsia="en-AU"/>
        </w:rPr>
        <w:t>1</w:t>
      </w:r>
      <w:r w:rsidRPr="11D6FEB3">
        <w:rPr>
          <w:b/>
          <w:bCs/>
          <w:color w:val="000000"/>
          <w:sz w:val="32"/>
          <w:szCs w:val="32"/>
          <w:lang w:eastAsia="en-AU"/>
        </w:rPr>
        <w:t>, Henry Wootton</w:t>
      </w:r>
      <w:r w:rsidRPr="11D6FEB3">
        <w:rPr>
          <w:b/>
          <w:bCs/>
          <w:color w:val="000000"/>
          <w:sz w:val="32"/>
          <w:szCs w:val="32"/>
          <w:vertAlign w:val="superscript"/>
          <w:lang w:eastAsia="en-AU"/>
        </w:rPr>
        <w:t>1</w:t>
      </w:r>
      <w:r w:rsidRPr="11D6FEB3">
        <w:rPr>
          <w:b/>
          <w:bCs/>
          <w:color w:val="000000"/>
          <w:sz w:val="32"/>
          <w:szCs w:val="32"/>
          <w:lang w:eastAsia="en-AU"/>
        </w:rPr>
        <w:t>, John Koehn</w:t>
      </w:r>
      <w:r w:rsidRPr="11D6FEB3">
        <w:rPr>
          <w:b/>
          <w:bCs/>
          <w:color w:val="000000"/>
          <w:sz w:val="32"/>
          <w:szCs w:val="32"/>
          <w:vertAlign w:val="superscript"/>
          <w:lang w:eastAsia="en-AU"/>
        </w:rPr>
        <w:t>1</w:t>
      </w:r>
      <w:r w:rsidRPr="11D6FEB3">
        <w:rPr>
          <w:b/>
          <w:bCs/>
          <w:color w:val="000000"/>
          <w:sz w:val="32"/>
          <w:szCs w:val="32"/>
          <w:lang w:eastAsia="en-AU"/>
        </w:rPr>
        <w:t>, Ivor Stuart</w:t>
      </w:r>
      <w:r w:rsidRPr="11D6FEB3">
        <w:rPr>
          <w:b/>
          <w:bCs/>
          <w:color w:val="000000"/>
          <w:sz w:val="32"/>
          <w:szCs w:val="32"/>
          <w:vertAlign w:val="superscript"/>
          <w:lang w:eastAsia="en-AU"/>
        </w:rPr>
        <w:t>1</w:t>
      </w:r>
      <w:r w:rsidRPr="11D6FEB3">
        <w:rPr>
          <w:b/>
          <w:bCs/>
          <w:color w:val="000000"/>
          <w:sz w:val="32"/>
          <w:szCs w:val="32"/>
          <w:lang w:eastAsia="en-AU"/>
        </w:rPr>
        <w:t>, Robin Hale</w:t>
      </w:r>
      <w:r w:rsidRPr="11D6FEB3">
        <w:rPr>
          <w:b/>
          <w:bCs/>
          <w:color w:val="000000"/>
          <w:sz w:val="32"/>
          <w:szCs w:val="32"/>
          <w:vertAlign w:val="superscript"/>
          <w:lang w:eastAsia="en-AU"/>
        </w:rPr>
        <w:t>1</w:t>
      </w:r>
      <w:r w:rsidRPr="11D6FEB3">
        <w:rPr>
          <w:b/>
          <w:bCs/>
          <w:color w:val="000000"/>
          <w:sz w:val="32"/>
          <w:szCs w:val="32"/>
          <w:lang w:eastAsia="en-AU"/>
        </w:rPr>
        <w:t>, Ben Fanson</w:t>
      </w:r>
      <w:r w:rsidRPr="11D6FEB3">
        <w:rPr>
          <w:b/>
          <w:bCs/>
          <w:color w:val="000000"/>
          <w:sz w:val="32"/>
          <w:szCs w:val="32"/>
          <w:vertAlign w:val="superscript"/>
          <w:lang w:eastAsia="en-AU"/>
        </w:rPr>
        <w:t>1</w:t>
      </w:r>
      <w:r w:rsidRPr="11D6FEB3">
        <w:rPr>
          <w:b/>
          <w:bCs/>
          <w:color w:val="000000"/>
          <w:sz w:val="32"/>
          <w:szCs w:val="32"/>
          <w:lang w:eastAsia="en-AU"/>
        </w:rPr>
        <w:t>, Clayton Sharpe</w:t>
      </w:r>
      <w:r w:rsidRPr="11D6FEB3">
        <w:rPr>
          <w:b/>
          <w:bCs/>
          <w:color w:val="000000"/>
          <w:sz w:val="32"/>
          <w:szCs w:val="32"/>
          <w:vertAlign w:val="superscript"/>
          <w:lang w:eastAsia="en-AU"/>
        </w:rPr>
        <w:t>2</w:t>
      </w:r>
      <w:r w:rsidRPr="11D6FEB3">
        <w:rPr>
          <w:b/>
          <w:bCs/>
          <w:color w:val="000000"/>
          <w:sz w:val="32"/>
          <w:szCs w:val="32"/>
          <w:lang w:eastAsia="en-AU"/>
        </w:rPr>
        <w:t xml:space="preserve"> and Jason Thiem</w:t>
      </w:r>
      <w:r w:rsidRPr="11D6FEB3">
        <w:rPr>
          <w:b/>
          <w:bCs/>
          <w:color w:val="000000"/>
          <w:sz w:val="32"/>
          <w:szCs w:val="32"/>
          <w:vertAlign w:val="superscript"/>
          <w:lang w:eastAsia="en-AU"/>
        </w:rPr>
        <w:t>3</w:t>
      </w:r>
    </w:p>
    <w:p w14:paraId="7B20463E" w14:textId="77777777" w:rsidR="00491210" w:rsidRDefault="00491210" w:rsidP="002F4E30">
      <w:pPr>
        <w:spacing w:after="0"/>
        <w:rPr>
          <w:rFonts w:ascii="Times New Roman" w:hAnsi="Times New Roman" w:cs="Times New Roman"/>
          <w:sz w:val="24"/>
          <w:lang w:eastAsia="en-AU"/>
        </w:rPr>
      </w:pPr>
    </w:p>
    <w:p w14:paraId="483E3AF0" w14:textId="3428309A" w:rsidR="00491210" w:rsidRDefault="00491210" w:rsidP="002F4E30">
      <w:pPr>
        <w:spacing w:after="0"/>
        <w:rPr>
          <w:rFonts w:ascii="Times New Roman" w:hAnsi="Times New Roman" w:cs="Times New Roman"/>
          <w:sz w:val="24"/>
          <w:lang w:eastAsia="en-AU"/>
        </w:rPr>
      </w:pPr>
    </w:p>
    <w:p w14:paraId="66A8016A" w14:textId="6D363A9D" w:rsidR="00491210" w:rsidRDefault="00491210" w:rsidP="002F4E30">
      <w:pPr>
        <w:spacing w:after="0"/>
        <w:rPr>
          <w:rFonts w:ascii="Times New Roman" w:hAnsi="Times New Roman" w:cs="Times New Roman"/>
          <w:sz w:val="24"/>
          <w:lang w:eastAsia="en-AU"/>
        </w:rPr>
      </w:pPr>
    </w:p>
    <w:p w14:paraId="54739291" w14:textId="77777777" w:rsidR="00491210" w:rsidRPr="002F4E30" w:rsidRDefault="00491210" w:rsidP="002F4E30">
      <w:pPr>
        <w:spacing w:after="0"/>
        <w:rPr>
          <w:rFonts w:ascii="Times New Roman" w:hAnsi="Times New Roman" w:cs="Times New Roman"/>
          <w:sz w:val="24"/>
          <w:lang w:eastAsia="en-AU"/>
        </w:rPr>
      </w:pPr>
    </w:p>
    <w:p w14:paraId="1667E2E1" w14:textId="12F43559" w:rsidR="00491210" w:rsidRPr="002F4E30" w:rsidRDefault="00EE200C" w:rsidP="002F4E30">
      <w:r w:rsidRPr="65E7FA9B">
        <w:rPr>
          <w:color w:val="000000"/>
          <w:szCs w:val="20"/>
          <w:vertAlign w:val="superscript"/>
          <w:lang w:eastAsia="en-AU"/>
        </w:rPr>
        <w:t>1</w:t>
      </w:r>
      <w:r w:rsidRPr="65E7FA9B">
        <w:rPr>
          <w:color w:val="000000"/>
          <w:szCs w:val="20"/>
          <w:lang w:eastAsia="en-AU"/>
        </w:rPr>
        <w:t xml:space="preserve">Applied Aquatic Ecology, Arthur Rylah Institute for Environmental Research, </w:t>
      </w:r>
      <w:r w:rsidRPr="00DD09BE">
        <w:t>123 Brown Street, Heidelberg, Victoria 3084</w:t>
      </w:r>
      <w:r w:rsidRPr="4C8BD955">
        <w:rPr>
          <w:szCs w:val="20"/>
        </w:rPr>
        <w:t>, Australia</w:t>
      </w:r>
    </w:p>
    <w:p w14:paraId="2A77957A" w14:textId="6F4B0C64" w:rsidR="00491210" w:rsidRPr="002F4E30" w:rsidRDefault="00EE200C" w:rsidP="002F4E30">
      <w:pPr>
        <w:spacing w:before="240" w:after="240"/>
        <w:rPr>
          <w:rFonts w:ascii="Times New Roman" w:hAnsi="Times New Roman" w:cs="Times New Roman"/>
          <w:szCs w:val="20"/>
          <w:lang w:eastAsia="en-AU"/>
        </w:rPr>
      </w:pPr>
      <w:r w:rsidRPr="4D01078A">
        <w:rPr>
          <w:color w:val="000000"/>
          <w:szCs w:val="20"/>
          <w:vertAlign w:val="superscript"/>
          <w:lang w:eastAsia="en-AU"/>
        </w:rPr>
        <w:t>2</w:t>
      </w:r>
      <w:r w:rsidRPr="002F4E30">
        <w:rPr>
          <w:color w:val="231F20"/>
          <w:szCs w:val="20"/>
          <w:lang w:eastAsia="en-AU"/>
        </w:rPr>
        <w:t>Water and Wetlands, Conservation Branch</w:t>
      </w:r>
      <w:r>
        <w:rPr>
          <w:color w:val="231F20"/>
          <w:szCs w:val="20"/>
          <w:lang w:eastAsia="en-AU"/>
        </w:rPr>
        <w:t>,</w:t>
      </w:r>
      <w:r w:rsidRPr="002F4E30">
        <w:rPr>
          <w:color w:val="231F20"/>
          <w:szCs w:val="20"/>
          <w:lang w:eastAsia="en-AU"/>
        </w:rPr>
        <w:t xml:space="preserve"> </w:t>
      </w:r>
      <w:r w:rsidRPr="4D01078A">
        <w:rPr>
          <w:color w:val="000000"/>
          <w:szCs w:val="20"/>
          <w:lang w:eastAsia="en-AU"/>
        </w:rPr>
        <w:t>National Parks and Wildlife Service, PO Box 363, Buronga</w:t>
      </w:r>
      <w:r w:rsidRPr="4C8BD955">
        <w:rPr>
          <w:color w:val="000000"/>
          <w:szCs w:val="20"/>
          <w:lang w:eastAsia="en-AU"/>
        </w:rPr>
        <w:t>, NSW 273</w:t>
      </w:r>
      <w:r>
        <w:rPr>
          <w:color w:val="000000"/>
          <w:szCs w:val="20"/>
          <w:lang w:eastAsia="en-AU"/>
        </w:rPr>
        <w:t>9</w:t>
      </w:r>
      <w:r w:rsidRPr="4C8BD955">
        <w:rPr>
          <w:color w:val="000000"/>
          <w:szCs w:val="20"/>
          <w:lang w:eastAsia="en-AU"/>
        </w:rPr>
        <w:t>,</w:t>
      </w:r>
      <w:r w:rsidRPr="4D01078A">
        <w:rPr>
          <w:color w:val="000000"/>
          <w:szCs w:val="20"/>
          <w:lang w:eastAsia="en-AU"/>
        </w:rPr>
        <w:t xml:space="preserve"> Australia</w:t>
      </w:r>
    </w:p>
    <w:p w14:paraId="48AE2497" w14:textId="0D9B1349" w:rsidR="00491210" w:rsidRPr="002F4E30" w:rsidRDefault="00EE200C" w:rsidP="002F4E30">
      <w:pPr>
        <w:spacing w:before="240" w:after="240"/>
        <w:rPr>
          <w:rFonts w:ascii="Times New Roman" w:hAnsi="Times New Roman" w:cs="Times New Roman"/>
          <w:szCs w:val="20"/>
          <w:lang w:eastAsia="en-AU"/>
        </w:rPr>
      </w:pPr>
      <w:r w:rsidRPr="4D01078A">
        <w:rPr>
          <w:color w:val="000000"/>
          <w:szCs w:val="20"/>
          <w:vertAlign w:val="superscript"/>
          <w:lang w:eastAsia="en-AU"/>
        </w:rPr>
        <w:t>3</w:t>
      </w:r>
      <w:r w:rsidRPr="4D01078A">
        <w:rPr>
          <w:color w:val="000000"/>
          <w:szCs w:val="20"/>
          <w:lang w:eastAsia="en-AU"/>
        </w:rPr>
        <w:t>NSW Department of Primary Industries, Fisheries, Narrandera Fisheries Centre, PO Box 182, Narrandera, NSW</w:t>
      </w:r>
      <w:r w:rsidRPr="4C8BD955">
        <w:rPr>
          <w:color w:val="000000"/>
          <w:szCs w:val="20"/>
          <w:lang w:eastAsia="en-AU"/>
        </w:rPr>
        <w:t xml:space="preserve"> 2700,</w:t>
      </w:r>
      <w:r w:rsidRPr="4D01078A">
        <w:rPr>
          <w:color w:val="000000"/>
          <w:szCs w:val="20"/>
          <w:lang w:eastAsia="en-AU"/>
        </w:rPr>
        <w:t xml:space="preserve"> Australia</w:t>
      </w:r>
    </w:p>
    <w:p w14:paraId="1FF496AB" w14:textId="32885A4E" w:rsidR="00491210" w:rsidRDefault="00491210" w:rsidP="00787349"/>
    <w:p w14:paraId="33FD28D8" w14:textId="4CC549E0" w:rsidR="00491210" w:rsidRDefault="00491210" w:rsidP="00787349"/>
    <w:p w14:paraId="47B00665" w14:textId="77777777" w:rsidR="00491210" w:rsidRDefault="00491210" w:rsidP="00787349"/>
    <w:p w14:paraId="6EA4F4E1" w14:textId="77777777" w:rsidR="00491210" w:rsidRPr="00493F64" w:rsidRDefault="00491210" w:rsidP="00787349"/>
    <w:p w14:paraId="4A3C6411" w14:textId="77777777" w:rsidR="00491210" w:rsidRPr="002826A4" w:rsidRDefault="00EE200C" w:rsidP="007D1482">
      <w:pPr>
        <w:pStyle w:val="Titlepagesubtitle"/>
        <w:rPr>
          <w:rStyle w:val="markedcontent"/>
          <w:sz w:val="36"/>
          <w:szCs w:val="36"/>
        </w:rPr>
      </w:pPr>
      <w:r w:rsidRPr="002826A4">
        <w:rPr>
          <w:rStyle w:val="markedcontent"/>
          <w:sz w:val="36"/>
          <w:szCs w:val="36"/>
        </w:rPr>
        <w:t>Arthur Rylah Institute for Environmental Research</w:t>
      </w:r>
      <w:r w:rsidRPr="002826A4">
        <w:rPr>
          <w:sz w:val="36"/>
          <w:szCs w:val="36"/>
        </w:rPr>
        <w:br/>
      </w:r>
      <w:r w:rsidRPr="002826A4">
        <w:rPr>
          <w:rStyle w:val="markedcontent"/>
          <w:b/>
          <w:bCs w:val="0"/>
          <w:sz w:val="36"/>
          <w:szCs w:val="36"/>
        </w:rPr>
        <w:t>Technical Report Series No. 3</w:t>
      </w:r>
      <w:r>
        <w:rPr>
          <w:rStyle w:val="markedcontent"/>
          <w:b/>
          <w:bCs w:val="0"/>
          <w:sz w:val="36"/>
          <w:szCs w:val="36"/>
        </w:rPr>
        <w:t>41</w:t>
      </w:r>
    </w:p>
    <w:p w14:paraId="6CE0B59E" w14:textId="149B175A" w:rsidR="00491210" w:rsidRDefault="00491210" w:rsidP="00823788">
      <w:pPr>
        <w:pStyle w:val="Titlepagesubtitle"/>
        <w:outlineLvl w:val="9"/>
      </w:pPr>
    </w:p>
    <w:p w14:paraId="07E08BC6" w14:textId="1989A979" w:rsidR="00491210" w:rsidRDefault="00491210" w:rsidP="00823788">
      <w:pPr>
        <w:pStyle w:val="Titlepagesubtitle"/>
        <w:outlineLvl w:val="9"/>
      </w:pPr>
    </w:p>
    <w:p w14:paraId="51374E83" w14:textId="77777777" w:rsidR="00491210" w:rsidRPr="00B2382F" w:rsidRDefault="00491210" w:rsidP="00823788">
      <w:pPr>
        <w:pStyle w:val="Titlepagesubtitle"/>
        <w:outlineLvl w:val="9"/>
      </w:pPr>
    </w:p>
    <w:p w14:paraId="51A1F041" w14:textId="15AE4683" w:rsidR="00491210" w:rsidRPr="00243764" w:rsidRDefault="00554E3D" w:rsidP="744A8970">
      <w:pPr>
        <w:sectPr w:rsidR="00491210" w:rsidRPr="00243764" w:rsidSect="006A33F1">
          <w:pgSz w:w="11906" w:h="16838" w:code="9"/>
          <w:pgMar w:top="1134" w:right="1134" w:bottom="1134" w:left="1134" w:header="709" w:footer="709" w:gutter="0"/>
          <w:pgNumType w:fmt="lowerRoman"/>
          <w:cols w:space="708"/>
          <w:titlePg/>
          <w:docGrid w:linePitch="360"/>
        </w:sectPr>
      </w:pPr>
      <w:r w:rsidRPr="00243764">
        <w:rPr>
          <w:noProof/>
          <w:lang w:eastAsia="en-AU"/>
        </w:rPr>
        <w:drawing>
          <wp:anchor distT="0" distB="0" distL="114300" distR="114300" simplePos="0" relativeHeight="251663374" behindDoc="0" locked="0" layoutInCell="1" allowOverlap="1" wp14:anchorId="1CCFD703" wp14:editId="63ACD376">
            <wp:simplePos x="0" y="0"/>
            <wp:positionH relativeFrom="page">
              <wp:posOffset>2909096</wp:posOffset>
            </wp:positionH>
            <wp:positionV relativeFrom="page">
              <wp:posOffset>9293225</wp:posOffset>
            </wp:positionV>
            <wp:extent cx="1040130" cy="539750"/>
            <wp:effectExtent l="0" t="0" r="7620" b="0"/>
            <wp:wrapNone/>
            <wp:docPr id="41" name="Picture 4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Text&#10;&#10;Description automatically generated with medium confidence"/>
                    <pic:cNvPicPr/>
                  </pic:nvPicPr>
                  <pic:blipFill>
                    <a:blip r:embed="rId28" cstate="email">
                      <a:extLst>
                        <a:ext uri="{28A0092B-C50C-407E-A947-70E740481C1C}">
                          <a14:useLocalDpi xmlns:a14="http://schemas.microsoft.com/office/drawing/2010/main"/>
                        </a:ext>
                      </a:extLst>
                    </a:blip>
                    <a:stretch>
                      <a:fillRect/>
                    </a:stretch>
                  </pic:blipFill>
                  <pic:spPr>
                    <a:xfrm>
                      <a:off x="0" y="0"/>
                      <a:ext cx="1040130" cy="5397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98" behindDoc="0" locked="0" layoutInCell="1" allowOverlap="1" wp14:anchorId="5ED98DEE" wp14:editId="3023ACE6">
            <wp:simplePos x="0" y="0"/>
            <wp:positionH relativeFrom="column">
              <wp:posOffset>0</wp:posOffset>
            </wp:positionH>
            <wp:positionV relativeFrom="paragraph">
              <wp:posOffset>1029970</wp:posOffset>
            </wp:positionV>
            <wp:extent cx="600710" cy="651510"/>
            <wp:effectExtent l="0" t="0" r="8890" b="0"/>
            <wp:wrapNone/>
            <wp:docPr id="44" name="Picture 4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Logo, company name&#10;&#10;Description automatically generated"/>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600710" cy="651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3764">
        <w:rPr>
          <w:noProof/>
          <w:lang w:eastAsia="en-AU"/>
        </w:rPr>
        <w:drawing>
          <wp:anchor distT="0" distB="0" distL="114300" distR="114300" simplePos="0" relativeHeight="251656190" behindDoc="0" locked="0" layoutInCell="1" allowOverlap="1" wp14:anchorId="6D7DA05E" wp14:editId="595BC1B9">
            <wp:simplePos x="0" y="0"/>
            <wp:positionH relativeFrom="column">
              <wp:posOffset>4678045</wp:posOffset>
            </wp:positionH>
            <wp:positionV relativeFrom="page">
              <wp:posOffset>9274336</wp:posOffset>
            </wp:positionV>
            <wp:extent cx="1861185" cy="539750"/>
            <wp:effectExtent l="0" t="0" r="5715" b="0"/>
            <wp:wrapNone/>
            <wp:docPr id="36" name="Picture 3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ext&#10;&#10;Description automatically generated"/>
                    <pic:cNvPicPr/>
                  </pic:nvPicPr>
                  <pic:blipFill>
                    <a:blip r:embed="rId30" cstate="email">
                      <a:extLst>
                        <a:ext uri="{28A0092B-C50C-407E-A947-70E740481C1C}">
                          <a14:useLocalDpi xmlns:a14="http://schemas.microsoft.com/office/drawing/2010/main"/>
                        </a:ext>
                      </a:extLst>
                    </a:blip>
                    <a:stretch>
                      <a:fillRect/>
                    </a:stretch>
                  </pic:blipFill>
                  <pic:spPr>
                    <a:xfrm>
                      <a:off x="0" y="0"/>
                      <a:ext cx="1861185" cy="539750"/>
                    </a:xfrm>
                    <a:prstGeom prst="rect">
                      <a:avLst/>
                    </a:prstGeom>
                  </pic:spPr>
                </pic:pic>
              </a:graphicData>
            </a:graphic>
            <wp14:sizeRelH relativeFrom="margin">
              <wp14:pctWidth>0</wp14:pctWidth>
            </wp14:sizeRelH>
            <wp14:sizeRelV relativeFrom="margin">
              <wp14:pctHeight>0</wp14:pctHeight>
            </wp14:sizeRelV>
          </wp:anchor>
        </w:drawing>
      </w:r>
      <w:r>
        <w:t xml:space="preserve">Arthur </w:t>
      </w:r>
      <w:r w:rsidRPr="00793825">
        <w:rPr>
          <w:rStyle w:val="markedcontent"/>
          <w:sz w:val="22"/>
          <w:szCs w:val="22"/>
        </w:rPr>
        <w:t>Rylah Institute for Environmental Research</w:t>
      </w:r>
      <w:r w:rsidRPr="00793825">
        <w:rPr>
          <w:sz w:val="22"/>
          <w:szCs w:val="22"/>
        </w:rPr>
        <w:br/>
      </w:r>
      <w:r w:rsidRPr="00793825">
        <w:rPr>
          <w:rStyle w:val="markedcontent"/>
          <w:sz w:val="22"/>
          <w:szCs w:val="22"/>
        </w:rPr>
        <w:t>Department of Environment, Land, Water and Planning</w:t>
      </w:r>
      <w:r w:rsidRPr="00793825">
        <w:rPr>
          <w:sz w:val="22"/>
          <w:szCs w:val="22"/>
        </w:rPr>
        <w:br/>
      </w:r>
      <w:r w:rsidRPr="00793825">
        <w:rPr>
          <w:rStyle w:val="markedcontent"/>
          <w:sz w:val="22"/>
          <w:szCs w:val="22"/>
        </w:rPr>
        <w:t>Heidelberg, Victoria</w:t>
      </w:r>
      <w:r w:rsidRPr="00DB6A72">
        <w:rPr>
          <w:noProof/>
        </w:rPr>
        <w:t xml:space="preserve"> </w:t>
      </w:r>
    </w:p>
    <w:p w14:paraId="518DD5F2" w14:textId="6C72C993" w:rsidR="00491210" w:rsidRDefault="00EE200C" w:rsidP="00787349">
      <w:pPr>
        <w:pStyle w:val="Heading1"/>
      </w:pPr>
      <w:bookmarkStart w:id="5" w:name="_Toc409798395"/>
      <w:bookmarkStart w:id="6" w:name="_Toc286018758"/>
      <w:bookmarkStart w:id="7" w:name="_Toc116994869"/>
      <w:r>
        <w:lastRenderedPageBreak/>
        <w:t>Acknowledgements</w:t>
      </w:r>
      <w:bookmarkEnd w:id="5"/>
      <w:bookmarkEnd w:id="6"/>
      <w:bookmarkEnd w:id="7"/>
    </w:p>
    <w:p w14:paraId="4D8E314C" w14:textId="5370C90A" w:rsidR="00491210" w:rsidRDefault="00EE200C" w:rsidP="007672D8">
      <w:pPr>
        <w:jc w:val="both"/>
      </w:pPr>
      <w:r w:rsidRPr="13609C11">
        <w:rPr>
          <w:color w:val="000000"/>
          <w:sz w:val="22"/>
          <w:szCs w:val="22"/>
        </w:rPr>
        <w:t xml:space="preserve">We thank Iwona Conlan and Ian Burns </w:t>
      </w:r>
      <w:r>
        <w:rPr>
          <w:color w:val="000000"/>
          <w:sz w:val="22"/>
          <w:szCs w:val="22"/>
        </w:rPr>
        <w:t xml:space="preserve">(Department of Planning and Environment – Biodiversity, Conservation and Science: </w:t>
      </w:r>
      <w:r w:rsidRPr="13609C11">
        <w:rPr>
          <w:color w:val="000000"/>
          <w:sz w:val="22"/>
          <w:szCs w:val="22"/>
        </w:rPr>
        <w:t>DPE-B</w:t>
      </w:r>
      <w:r>
        <w:rPr>
          <w:color w:val="000000"/>
          <w:sz w:val="22"/>
          <w:szCs w:val="22"/>
        </w:rPr>
        <w:t>CS</w:t>
      </w:r>
      <w:r w:rsidRPr="13609C11">
        <w:rPr>
          <w:color w:val="000000"/>
          <w:sz w:val="22"/>
          <w:szCs w:val="22"/>
        </w:rPr>
        <w:t>) for project management</w:t>
      </w:r>
      <w:r>
        <w:rPr>
          <w:color w:val="000000"/>
          <w:sz w:val="22"/>
          <w:szCs w:val="22"/>
        </w:rPr>
        <w:t xml:space="preserve"> and</w:t>
      </w:r>
      <w:r w:rsidRPr="13609C11">
        <w:rPr>
          <w:color w:val="000000"/>
          <w:sz w:val="22"/>
          <w:szCs w:val="22"/>
        </w:rPr>
        <w:t xml:space="preserve"> development</w:t>
      </w:r>
      <w:r>
        <w:rPr>
          <w:color w:val="000000"/>
          <w:sz w:val="22"/>
          <w:szCs w:val="22"/>
        </w:rPr>
        <w:t>,</w:t>
      </w:r>
      <w:r w:rsidRPr="13609C11">
        <w:rPr>
          <w:color w:val="000000"/>
          <w:sz w:val="22"/>
          <w:szCs w:val="22"/>
        </w:rPr>
        <w:t xml:space="preserve"> and insightful direction. Thanks also to all those who contributed during the project meetings and workshops</w:t>
      </w:r>
      <w:r>
        <w:rPr>
          <w:color w:val="000000"/>
          <w:sz w:val="22"/>
          <w:szCs w:val="22"/>
        </w:rPr>
        <w:t>,</w:t>
      </w:r>
      <w:r w:rsidRPr="13609C11">
        <w:rPr>
          <w:color w:val="000000"/>
          <w:sz w:val="22"/>
          <w:szCs w:val="22"/>
        </w:rPr>
        <w:t xml:space="preserve"> including: Paul Childs, Anthony Conallin, Sam Dawson, Paul Doyle, Deborah Furst, </w:t>
      </w:r>
      <w:r>
        <w:rPr>
          <w:color w:val="000000"/>
          <w:sz w:val="22"/>
          <w:szCs w:val="22"/>
        </w:rPr>
        <w:t xml:space="preserve">Thomas Job, </w:t>
      </w:r>
      <w:r w:rsidRPr="0058399D">
        <w:rPr>
          <w:color w:val="000000"/>
          <w:sz w:val="22"/>
          <w:szCs w:val="22"/>
        </w:rPr>
        <w:t>James Maguire</w:t>
      </w:r>
      <w:r>
        <w:t xml:space="preserve">, </w:t>
      </w:r>
      <w:r w:rsidRPr="13609C11">
        <w:rPr>
          <w:color w:val="000000"/>
          <w:sz w:val="22"/>
          <w:szCs w:val="22"/>
        </w:rPr>
        <w:t xml:space="preserve">Ben Wolfenden </w:t>
      </w:r>
      <w:r w:rsidRPr="0077325B">
        <w:rPr>
          <w:color w:val="000000"/>
          <w:sz w:val="22"/>
          <w:szCs w:val="22"/>
        </w:rPr>
        <w:t>(all DPE-B</w:t>
      </w:r>
      <w:r>
        <w:rPr>
          <w:color w:val="000000"/>
          <w:sz w:val="22"/>
          <w:szCs w:val="22"/>
        </w:rPr>
        <w:t>CS</w:t>
      </w:r>
      <w:r w:rsidRPr="0077325B">
        <w:rPr>
          <w:color w:val="000000"/>
          <w:sz w:val="22"/>
          <w:szCs w:val="22"/>
        </w:rPr>
        <w:t>),</w:t>
      </w:r>
      <w:r w:rsidRPr="13609C11">
        <w:rPr>
          <w:color w:val="000000"/>
          <w:sz w:val="22"/>
          <w:szCs w:val="22"/>
        </w:rPr>
        <w:t xml:space="preserve"> Iain Ellis, David Hohnberg (both </w:t>
      </w:r>
      <w:r w:rsidRPr="00B90921">
        <w:rPr>
          <w:color w:val="000000"/>
          <w:sz w:val="22"/>
          <w:szCs w:val="22"/>
        </w:rPr>
        <w:t xml:space="preserve">Department of Primary Industries – </w:t>
      </w:r>
      <w:r w:rsidRPr="007672D8">
        <w:rPr>
          <w:color w:val="000000"/>
          <w:sz w:val="22"/>
          <w:szCs w:val="22"/>
        </w:rPr>
        <w:t xml:space="preserve">Narrandera </w:t>
      </w:r>
      <w:r w:rsidRPr="00B90921">
        <w:rPr>
          <w:color w:val="000000"/>
          <w:sz w:val="22"/>
          <w:szCs w:val="22"/>
        </w:rPr>
        <w:t>Fisheries</w:t>
      </w:r>
      <w:r>
        <w:rPr>
          <w:color w:val="000000"/>
          <w:sz w:val="22"/>
          <w:szCs w:val="22"/>
        </w:rPr>
        <w:t xml:space="preserve"> Centre</w:t>
      </w:r>
      <w:r w:rsidRPr="13609C11">
        <w:rPr>
          <w:color w:val="000000"/>
          <w:sz w:val="22"/>
          <w:szCs w:val="22"/>
        </w:rPr>
        <w:t>), Darren Baldwin</w:t>
      </w:r>
      <w:r>
        <w:rPr>
          <w:color w:val="000000"/>
          <w:sz w:val="22"/>
          <w:szCs w:val="22"/>
        </w:rPr>
        <w:t>, Mick McCarthy (University of Melbourne)</w:t>
      </w:r>
      <w:r w:rsidRPr="13609C11">
        <w:rPr>
          <w:color w:val="000000"/>
          <w:sz w:val="22"/>
          <w:szCs w:val="22"/>
        </w:rPr>
        <w:t xml:space="preserve"> and Andre Siebers (LaTrobe University). Grateful thanks to Jarod Lyon</w:t>
      </w:r>
      <w:r>
        <w:rPr>
          <w:color w:val="000000"/>
          <w:sz w:val="22"/>
          <w:szCs w:val="22"/>
        </w:rPr>
        <w:t>,</w:t>
      </w:r>
      <w:r w:rsidRPr="13609C11">
        <w:rPr>
          <w:color w:val="000000"/>
          <w:sz w:val="22"/>
          <w:szCs w:val="22"/>
        </w:rPr>
        <w:t xml:space="preserve"> Zeb Tonkin</w:t>
      </w:r>
      <w:r>
        <w:rPr>
          <w:color w:val="000000"/>
          <w:sz w:val="22"/>
          <w:szCs w:val="22"/>
        </w:rPr>
        <w:t xml:space="preserve"> and</w:t>
      </w:r>
      <w:r w:rsidRPr="13609C11">
        <w:rPr>
          <w:color w:val="000000"/>
          <w:sz w:val="22"/>
          <w:szCs w:val="22"/>
        </w:rPr>
        <w:t xml:space="preserve"> Jian Yen</w:t>
      </w:r>
      <w:r>
        <w:rPr>
          <w:color w:val="000000"/>
          <w:sz w:val="22"/>
          <w:szCs w:val="22"/>
        </w:rPr>
        <w:t xml:space="preserve"> (</w:t>
      </w:r>
      <w:r w:rsidRPr="13609C11">
        <w:rPr>
          <w:color w:val="000000"/>
          <w:sz w:val="22"/>
          <w:szCs w:val="22"/>
        </w:rPr>
        <w:t>Arthur Rylah Institute</w:t>
      </w:r>
      <w:r>
        <w:rPr>
          <w:color w:val="000000"/>
          <w:sz w:val="22"/>
          <w:szCs w:val="22"/>
        </w:rPr>
        <w:t xml:space="preserve"> for Environmental Research)</w:t>
      </w:r>
      <w:r w:rsidRPr="13609C11">
        <w:rPr>
          <w:color w:val="000000"/>
          <w:sz w:val="22"/>
          <w:szCs w:val="22"/>
        </w:rPr>
        <w:t xml:space="preserve"> for helpful comments on an earlier version of the report</w:t>
      </w:r>
      <w:r>
        <w:rPr>
          <w:color w:val="000000"/>
          <w:sz w:val="22"/>
          <w:szCs w:val="22"/>
        </w:rPr>
        <w:t xml:space="preserve"> and to Jeanette Birtles, </w:t>
      </w:r>
      <w:r w:rsidRPr="00DC171F">
        <w:rPr>
          <w:color w:val="000000"/>
          <w:sz w:val="22"/>
          <w:szCs w:val="22"/>
        </w:rPr>
        <w:t>Organic Editing</w:t>
      </w:r>
      <w:r>
        <w:rPr>
          <w:color w:val="000000"/>
          <w:sz w:val="22"/>
          <w:szCs w:val="22"/>
        </w:rPr>
        <w:t>.</w:t>
      </w:r>
    </w:p>
    <w:p w14:paraId="29E712A8" w14:textId="77777777" w:rsidR="00491210" w:rsidRPr="00243764" w:rsidRDefault="00491210" w:rsidP="00DC3852"/>
    <w:p w14:paraId="20C381E3" w14:textId="77777777" w:rsidR="00491210" w:rsidRPr="00243764" w:rsidRDefault="00491210" w:rsidP="00843C86">
      <w:pPr>
        <w:pStyle w:val="TOCtitle"/>
        <w:sectPr w:rsidR="00491210" w:rsidRPr="00243764" w:rsidSect="00DC304D">
          <w:headerReference w:type="even" r:id="rId41"/>
          <w:headerReference w:type="default" r:id="rId42"/>
          <w:headerReference w:type="first" r:id="rId43"/>
          <w:footerReference w:type="first" r:id="rId44"/>
          <w:pgSz w:w="11907" w:h="16840" w:code="9"/>
          <w:pgMar w:top="1134" w:right="1134" w:bottom="1134" w:left="1134" w:header="709" w:footer="567" w:gutter="0"/>
          <w:pgNumType w:fmt="lowerRoman" w:start="2"/>
          <w:cols w:space="708"/>
          <w:formProt w:val="0"/>
          <w:titlePg/>
          <w:docGrid w:linePitch="360"/>
        </w:sectPr>
      </w:pPr>
    </w:p>
    <w:p w14:paraId="075AA68D" w14:textId="77777777" w:rsidR="00491210" w:rsidRPr="00243764" w:rsidRDefault="00EE200C" w:rsidP="00B2382F">
      <w:pPr>
        <w:pStyle w:val="TOCtitle"/>
      </w:pPr>
      <w:r>
        <w:lastRenderedPageBreak/>
        <w:t>Contents</w:t>
      </w:r>
    </w:p>
    <w:p w14:paraId="3F95F111" w14:textId="4C3DBDCD" w:rsidR="00491210" w:rsidRDefault="00EE200C">
      <w:pPr>
        <w:pStyle w:val="TOC1"/>
        <w:rPr>
          <w:rFonts w:asciiTheme="minorHAnsi" w:eastAsiaTheme="minorEastAsia" w:hAnsiTheme="minorHAnsi" w:cstheme="minorBidi"/>
          <w:b w:val="0"/>
          <w:color w:val="auto"/>
          <w:sz w:val="22"/>
          <w:szCs w:val="22"/>
          <w:lang w:val="en-AU" w:eastAsia="en-AU"/>
        </w:rPr>
      </w:pPr>
      <w:r w:rsidRPr="00FB3005">
        <w:rPr>
          <w:b w:val="0"/>
          <w:sz w:val="22"/>
          <w:szCs w:val="22"/>
        </w:rPr>
        <w:fldChar w:fldCharType="begin"/>
      </w:r>
      <w:r w:rsidRPr="00FB3005">
        <w:rPr>
          <w:b w:val="0"/>
          <w:sz w:val="22"/>
          <w:szCs w:val="22"/>
        </w:rPr>
        <w:instrText xml:space="preserve"> TOC \h \z \t "Heading 1,1,Heading 2,2,Heading 3,3,Heading 3 - Numbered,3,Heading 2 - Numbered,2,Heading 1 - Numbered,1,TOC_title,1" </w:instrText>
      </w:r>
      <w:r w:rsidRPr="00FB3005">
        <w:rPr>
          <w:b w:val="0"/>
          <w:sz w:val="22"/>
          <w:szCs w:val="22"/>
        </w:rPr>
        <w:fldChar w:fldCharType="separate"/>
      </w:r>
      <w:hyperlink w:anchor="_Toc116994869" w:history="1">
        <w:r w:rsidRPr="000D5332">
          <w:rPr>
            <w:rStyle w:val="Hyperlink"/>
          </w:rPr>
          <w:t>Acknowledgements</w:t>
        </w:r>
        <w:r>
          <w:rPr>
            <w:webHidden/>
          </w:rPr>
          <w:tab/>
        </w:r>
        <w:r>
          <w:rPr>
            <w:webHidden/>
          </w:rPr>
          <w:fldChar w:fldCharType="begin"/>
        </w:r>
        <w:r>
          <w:rPr>
            <w:webHidden/>
          </w:rPr>
          <w:instrText xml:space="preserve"> PAGEREF _Toc116994869 \h </w:instrText>
        </w:r>
        <w:r>
          <w:rPr>
            <w:webHidden/>
          </w:rPr>
        </w:r>
        <w:r>
          <w:rPr>
            <w:webHidden/>
          </w:rPr>
          <w:fldChar w:fldCharType="separate"/>
        </w:r>
        <w:r w:rsidR="005B672A">
          <w:rPr>
            <w:webHidden/>
          </w:rPr>
          <w:t>ii</w:t>
        </w:r>
        <w:r>
          <w:rPr>
            <w:webHidden/>
          </w:rPr>
          <w:fldChar w:fldCharType="end"/>
        </w:r>
      </w:hyperlink>
    </w:p>
    <w:p w14:paraId="764DFDF4" w14:textId="70C7AFDA" w:rsidR="00491210" w:rsidRDefault="00EE200C">
      <w:pPr>
        <w:pStyle w:val="TOC1"/>
        <w:rPr>
          <w:rFonts w:asciiTheme="minorHAnsi" w:eastAsiaTheme="minorEastAsia" w:hAnsiTheme="minorHAnsi" w:cstheme="minorBidi"/>
          <w:b w:val="0"/>
          <w:color w:val="auto"/>
          <w:sz w:val="22"/>
          <w:szCs w:val="22"/>
          <w:lang w:val="en-AU" w:eastAsia="en-AU"/>
        </w:rPr>
      </w:pPr>
      <w:hyperlink w:anchor="_Toc116994870" w:history="1">
        <w:r w:rsidRPr="000D5332">
          <w:rPr>
            <w:rStyle w:val="Hyperlink"/>
          </w:rPr>
          <w:t>Summary</w:t>
        </w:r>
        <w:r>
          <w:rPr>
            <w:webHidden/>
          </w:rPr>
          <w:tab/>
        </w:r>
        <w:r>
          <w:rPr>
            <w:webHidden/>
          </w:rPr>
          <w:fldChar w:fldCharType="begin"/>
        </w:r>
        <w:r>
          <w:rPr>
            <w:webHidden/>
          </w:rPr>
          <w:instrText xml:space="preserve"> PAGEREF _Toc116994870 \h </w:instrText>
        </w:r>
        <w:r>
          <w:rPr>
            <w:webHidden/>
          </w:rPr>
        </w:r>
        <w:r>
          <w:rPr>
            <w:webHidden/>
          </w:rPr>
          <w:fldChar w:fldCharType="separate"/>
        </w:r>
        <w:r w:rsidR="005B672A">
          <w:rPr>
            <w:webHidden/>
          </w:rPr>
          <w:t>xi</w:t>
        </w:r>
        <w:r>
          <w:rPr>
            <w:webHidden/>
          </w:rPr>
          <w:fldChar w:fldCharType="end"/>
        </w:r>
      </w:hyperlink>
    </w:p>
    <w:p w14:paraId="29145F3F" w14:textId="4C3E9EBB"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871" w:history="1">
        <w:r w:rsidRPr="000D5332">
          <w:rPr>
            <w:rStyle w:val="Hyperlink"/>
          </w:rPr>
          <w:t>Context</w:t>
        </w:r>
        <w:r>
          <w:rPr>
            <w:webHidden/>
          </w:rPr>
          <w:tab/>
        </w:r>
        <w:r>
          <w:rPr>
            <w:webHidden/>
          </w:rPr>
          <w:fldChar w:fldCharType="begin"/>
        </w:r>
        <w:r>
          <w:rPr>
            <w:webHidden/>
          </w:rPr>
          <w:instrText xml:space="preserve"> PAGEREF _Toc116994871 \h </w:instrText>
        </w:r>
        <w:r>
          <w:rPr>
            <w:webHidden/>
          </w:rPr>
        </w:r>
        <w:r>
          <w:rPr>
            <w:webHidden/>
          </w:rPr>
          <w:fldChar w:fldCharType="separate"/>
        </w:r>
        <w:r w:rsidR="005B672A">
          <w:rPr>
            <w:webHidden/>
          </w:rPr>
          <w:t>xi</w:t>
        </w:r>
        <w:r>
          <w:rPr>
            <w:webHidden/>
          </w:rPr>
          <w:fldChar w:fldCharType="end"/>
        </w:r>
      </w:hyperlink>
    </w:p>
    <w:p w14:paraId="0D96B30E" w14:textId="068590BB"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872" w:history="1">
        <w:r w:rsidRPr="000D5332">
          <w:rPr>
            <w:rStyle w:val="Hyperlink"/>
          </w:rPr>
          <w:t>Methods</w:t>
        </w:r>
        <w:r>
          <w:rPr>
            <w:webHidden/>
          </w:rPr>
          <w:tab/>
        </w:r>
        <w:r>
          <w:rPr>
            <w:webHidden/>
          </w:rPr>
          <w:fldChar w:fldCharType="begin"/>
        </w:r>
        <w:r>
          <w:rPr>
            <w:webHidden/>
          </w:rPr>
          <w:instrText xml:space="preserve"> PAGEREF _Toc116994872 \h </w:instrText>
        </w:r>
        <w:r>
          <w:rPr>
            <w:webHidden/>
          </w:rPr>
        </w:r>
        <w:r>
          <w:rPr>
            <w:webHidden/>
          </w:rPr>
          <w:fldChar w:fldCharType="separate"/>
        </w:r>
        <w:r w:rsidR="005B672A">
          <w:rPr>
            <w:webHidden/>
          </w:rPr>
          <w:t>xii</w:t>
        </w:r>
        <w:r>
          <w:rPr>
            <w:webHidden/>
          </w:rPr>
          <w:fldChar w:fldCharType="end"/>
        </w:r>
      </w:hyperlink>
    </w:p>
    <w:p w14:paraId="695FD848" w14:textId="2F8BA74F"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873" w:history="1">
        <w:r w:rsidRPr="000D5332">
          <w:rPr>
            <w:rStyle w:val="Hyperlink"/>
          </w:rPr>
          <w:t>Synthesis</w:t>
        </w:r>
        <w:r>
          <w:rPr>
            <w:webHidden/>
          </w:rPr>
          <w:tab/>
        </w:r>
        <w:r>
          <w:rPr>
            <w:webHidden/>
          </w:rPr>
          <w:fldChar w:fldCharType="begin"/>
        </w:r>
        <w:r>
          <w:rPr>
            <w:webHidden/>
          </w:rPr>
          <w:instrText xml:space="preserve"> PAGEREF _Toc116994873 \h </w:instrText>
        </w:r>
        <w:r>
          <w:rPr>
            <w:webHidden/>
          </w:rPr>
        </w:r>
        <w:r>
          <w:rPr>
            <w:webHidden/>
          </w:rPr>
          <w:fldChar w:fldCharType="separate"/>
        </w:r>
        <w:r w:rsidR="005B672A">
          <w:rPr>
            <w:webHidden/>
          </w:rPr>
          <w:t>xvii</w:t>
        </w:r>
        <w:r>
          <w:rPr>
            <w:webHidden/>
          </w:rPr>
          <w:fldChar w:fldCharType="end"/>
        </w:r>
      </w:hyperlink>
    </w:p>
    <w:p w14:paraId="1CF924D7" w14:textId="21E054B3"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874" w:history="1">
        <w:r w:rsidRPr="000D5332">
          <w:rPr>
            <w:rStyle w:val="Hyperlink"/>
          </w:rPr>
          <w:t>Model validation</w:t>
        </w:r>
        <w:r>
          <w:rPr>
            <w:webHidden/>
          </w:rPr>
          <w:tab/>
        </w:r>
        <w:r>
          <w:rPr>
            <w:webHidden/>
          </w:rPr>
          <w:fldChar w:fldCharType="begin"/>
        </w:r>
        <w:r>
          <w:rPr>
            <w:webHidden/>
          </w:rPr>
          <w:instrText xml:space="preserve"> PAGEREF _Toc116994874 \h </w:instrText>
        </w:r>
        <w:r>
          <w:rPr>
            <w:webHidden/>
          </w:rPr>
        </w:r>
        <w:r>
          <w:rPr>
            <w:webHidden/>
          </w:rPr>
          <w:fldChar w:fldCharType="separate"/>
        </w:r>
        <w:r w:rsidR="005B672A">
          <w:rPr>
            <w:webHidden/>
          </w:rPr>
          <w:t>xvii</w:t>
        </w:r>
        <w:r>
          <w:rPr>
            <w:webHidden/>
          </w:rPr>
          <w:fldChar w:fldCharType="end"/>
        </w:r>
      </w:hyperlink>
    </w:p>
    <w:p w14:paraId="1D07080D" w14:textId="3C2F09E3"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875" w:history="1">
        <w:r w:rsidRPr="000D5332">
          <w:rPr>
            <w:rStyle w:val="Hyperlink"/>
          </w:rPr>
          <w:t>Recommendations</w:t>
        </w:r>
        <w:r>
          <w:rPr>
            <w:webHidden/>
          </w:rPr>
          <w:tab/>
        </w:r>
        <w:r>
          <w:rPr>
            <w:webHidden/>
          </w:rPr>
          <w:fldChar w:fldCharType="begin"/>
        </w:r>
        <w:r>
          <w:rPr>
            <w:webHidden/>
          </w:rPr>
          <w:instrText xml:space="preserve"> PAGEREF _Toc116994875 \h </w:instrText>
        </w:r>
        <w:r>
          <w:rPr>
            <w:webHidden/>
          </w:rPr>
        </w:r>
        <w:r>
          <w:rPr>
            <w:webHidden/>
          </w:rPr>
          <w:fldChar w:fldCharType="separate"/>
        </w:r>
        <w:r w:rsidR="005B672A">
          <w:rPr>
            <w:webHidden/>
          </w:rPr>
          <w:t>xviii</w:t>
        </w:r>
        <w:r>
          <w:rPr>
            <w:webHidden/>
          </w:rPr>
          <w:fldChar w:fldCharType="end"/>
        </w:r>
      </w:hyperlink>
    </w:p>
    <w:p w14:paraId="31CC9A30" w14:textId="1EF1782D"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876" w:history="1">
        <w:r w:rsidRPr="000D5332">
          <w:rPr>
            <w:rStyle w:val="Hyperlink"/>
          </w:rPr>
          <w:t>Supporting recommendations</w:t>
        </w:r>
        <w:r>
          <w:rPr>
            <w:webHidden/>
          </w:rPr>
          <w:tab/>
        </w:r>
        <w:r>
          <w:rPr>
            <w:webHidden/>
          </w:rPr>
          <w:fldChar w:fldCharType="begin"/>
        </w:r>
        <w:r>
          <w:rPr>
            <w:webHidden/>
          </w:rPr>
          <w:instrText xml:space="preserve"> PAGEREF _Toc116994876 \h </w:instrText>
        </w:r>
        <w:r>
          <w:rPr>
            <w:webHidden/>
          </w:rPr>
        </w:r>
        <w:r>
          <w:rPr>
            <w:webHidden/>
          </w:rPr>
          <w:fldChar w:fldCharType="separate"/>
        </w:r>
        <w:r w:rsidR="005B672A">
          <w:rPr>
            <w:webHidden/>
          </w:rPr>
          <w:t>xviii</w:t>
        </w:r>
        <w:r>
          <w:rPr>
            <w:webHidden/>
          </w:rPr>
          <w:fldChar w:fldCharType="end"/>
        </w:r>
      </w:hyperlink>
    </w:p>
    <w:p w14:paraId="1143F783" w14:textId="723F3B20" w:rsidR="00491210" w:rsidRDefault="00EE200C">
      <w:pPr>
        <w:pStyle w:val="TOC1"/>
        <w:rPr>
          <w:rFonts w:asciiTheme="minorHAnsi" w:eastAsiaTheme="minorEastAsia" w:hAnsiTheme="minorHAnsi" w:cstheme="minorBidi"/>
          <w:b w:val="0"/>
          <w:color w:val="auto"/>
          <w:sz w:val="22"/>
          <w:szCs w:val="22"/>
          <w:lang w:val="en-AU" w:eastAsia="en-AU"/>
        </w:rPr>
      </w:pPr>
      <w:hyperlink w:anchor="_Toc116994877" w:history="1">
        <w:r w:rsidRPr="000D5332">
          <w:rPr>
            <w:rStyle w:val="Hyperlink"/>
          </w:rPr>
          <w:t>1.</w:t>
        </w:r>
        <w:r>
          <w:rPr>
            <w:rFonts w:asciiTheme="minorHAnsi" w:eastAsiaTheme="minorEastAsia" w:hAnsiTheme="minorHAnsi" w:cstheme="minorBidi"/>
            <w:b w:val="0"/>
            <w:color w:val="auto"/>
            <w:sz w:val="22"/>
            <w:szCs w:val="22"/>
            <w:lang w:val="en-AU" w:eastAsia="en-AU"/>
          </w:rPr>
          <w:tab/>
        </w:r>
        <w:r w:rsidRPr="000D5332">
          <w:rPr>
            <w:rStyle w:val="Hyperlink"/>
          </w:rPr>
          <w:t>Introduction</w:t>
        </w:r>
        <w:r>
          <w:rPr>
            <w:webHidden/>
          </w:rPr>
          <w:tab/>
        </w:r>
        <w:r>
          <w:rPr>
            <w:webHidden/>
          </w:rPr>
          <w:fldChar w:fldCharType="begin"/>
        </w:r>
        <w:r>
          <w:rPr>
            <w:webHidden/>
          </w:rPr>
          <w:instrText xml:space="preserve"> PAGEREF _Toc116994877 \h </w:instrText>
        </w:r>
        <w:r>
          <w:rPr>
            <w:webHidden/>
          </w:rPr>
        </w:r>
        <w:r>
          <w:rPr>
            <w:webHidden/>
          </w:rPr>
          <w:fldChar w:fldCharType="separate"/>
        </w:r>
        <w:r w:rsidR="005B672A">
          <w:rPr>
            <w:webHidden/>
          </w:rPr>
          <w:t>1</w:t>
        </w:r>
        <w:r>
          <w:rPr>
            <w:webHidden/>
          </w:rPr>
          <w:fldChar w:fldCharType="end"/>
        </w:r>
      </w:hyperlink>
    </w:p>
    <w:p w14:paraId="777B086B" w14:textId="79F4400A" w:rsidR="00491210" w:rsidRDefault="00EE200C">
      <w:pPr>
        <w:pStyle w:val="TOC2"/>
        <w:rPr>
          <w:rFonts w:asciiTheme="minorHAnsi" w:eastAsiaTheme="minorEastAsia" w:hAnsiTheme="minorHAnsi" w:cstheme="minorBidi"/>
          <w:b w:val="0"/>
          <w:bCs w:val="0"/>
          <w:color w:val="auto"/>
          <w:sz w:val="22"/>
          <w:szCs w:val="22"/>
        </w:rPr>
      </w:pPr>
      <w:hyperlink w:anchor="_Toc116994878" w:history="1">
        <w:r w:rsidRPr="000D5332">
          <w:rPr>
            <w:rStyle w:val="Hyperlink"/>
          </w:rPr>
          <w:t>1.1.</w:t>
        </w:r>
        <w:r>
          <w:rPr>
            <w:rFonts w:asciiTheme="minorHAnsi" w:eastAsiaTheme="minorEastAsia" w:hAnsiTheme="minorHAnsi" w:cstheme="minorBidi"/>
            <w:b w:val="0"/>
            <w:bCs w:val="0"/>
            <w:color w:val="auto"/>
            <w:sz w:val="22"/>
            <w:szCs w:val="22"/>
          </w:rPr>
          <w:tab/>
        </w:r>
        <w:r w:rsidRPr="000D5332">
          <w:rPr>
            <w:rStyle w:val="Hyperlink"/>
          </w:rPr>
          <w:t>Background to population models and model outputs</w:t>
        </w:r>
        <w:r>
          <w:rPr>
            <w:webHidden/>
          </w:rPr>
          <w:tab/>
        </w:r>
        <w:r>
          <w:rPr>
            <w:webHidden/>
          </w:rPr>
          <w:fldChar w:fldCharType="begin"/>
        </w:r>
        <w:r>
          <w:rPr>
            <w:webHidden/>
          </w:rPr>
          <w:instrText xml:space="preserve"> PAGEREF _Toc116994878 \h </w:instrText>
        </w:r>
        <w:r>
          <w:rPr>
            <w:webHidden/>
          </w:rPr>
        </w:r>
        <w:r>
          <w:rPr>
            <w:webHidden/>
          </w:rPr>
          <w:fldChar w:fldCharType="separate"/>
        </w:r>
        <w:r w:rsidR="005B672A">
          <w:rPr>
            <w:webHidden/>
          </w:rPr>
          <w:t>2</w:t>
        </w:r>
        <w:r>
          <w:rPr>
            <w:webHidden/>
          </w:rPr>
          <w:fldChar w:fldCharType="end"/>
        </w:r>
      </w:hyperlink>
    </w:p>
    <w:p w14:paraId="45FEFB0A" w14:textId="677CE714" w:rsidR="00491210" w:rsidRDefault="00EE200C">
      <w:pPr>
        <w:pStyle w:val="TOC2"/>
        <w:rPr>
          <w:rFonts w:asciiTheme="minorHAnsi" w:eastAsiaTheme="minorEastAsia" w:hAnsiTheme="minorHAnsi" w:cstheme="minorBidi"/>
          <w:b w:val="0"/>
          <w:bCs w:val="0"/>
          <w:color w:val="auto"/>
          <w:sz w:val="22"/>
          <w:szCs w:val="22"/>
        </w:rPr>
      </w:pPr>
      <w:hyperlink w:anchor="_Toc116994879" w:history="1">
        <w:r w:rsidRPr="000D5332">
          <w:rPr>
            <w:rStyle w:val="Hyperlink"/>
          </w:rPr>
          <w:t>1.2.</w:t>
        </w:r>
        <w:r>
          <w:rPr>
            <w:rFonts w:asciiTheme="minorHAnsi" w:eastAsiaTheme="minorEastAsia" w:hAnsiTheme="minorHAnsi" w:cstheme="minorBidi"/>
            <w:b w:val="0"/>
            <w:bCs w:val="0"/>
            <w:color w:val="auto"/>
            <w:sz w:val="22"/>
            <w:szCs w:val="22"/>
          </w:rPr>
          <w:tab/>
        </w:r>
        <w:r w:rsidRPr="000D5332">
          <w:rPr>
            <w:rStyle w:val="Hyperlink"/>
          </w:rPr>
          <w:t>Validation</w:t>
        </w:r>
        <w:r>
          <w:rPr>
            <w:webHidden/>
          </w:rPr>
          <w:tab/>
        </w:r>
        <w:r>
          <w:rPr>
            <w:webHidden/>
          </w:rPr>
          <w:fldChar w:fldCharType="begin"/>
        </w:r>
        <w:r>
          <w:rPr>
            <w:webHidden/>
          </w:rPr>
          <w:instrText xml:space="preserve"> PAGEREF _Toc116994879 \h </w:instrText>
        </w:r>
        <w:r>
          <w:rPr>
            <w:webHidden/>
          </w:rPr>
        </w:r>
        <w:r>
          <w:rPr>
            <w:webHidden/>
          </w:rPr>
          <w:fldChar w:fldCharType="separate"/>
        </w:r>
        <w:r w:rsidR="005B672A">
          <w:rPr>
            <w:webHidden/>
          </w:rPr>
          <w:t>9</w:t>
        </w:r>
        <w:r>
          <w:rPr>
            <w:webHidden/>
          </w:rPr>
          <w:fldChar w:fldCharType="end"/>
        </w:r>
      </w:hyperlink>
    </w:p>
    <w:p w14:paraId="61F1865F" w14:textId="1C06A193" w:rsidR="00491210" w:rsidRDefault="00EE200C">
      <w:pPr>
        <w:pStyle w:val="TOC1"/>
        <w:rPr>
          <w:rFonts w:asciiTheme="minorHAnsi" w:eastAsiaTheme="minorEastAsia" w:hAnsiTheme="minorHAnsi" w:cstheme="minorBidi"/>
          <w:b w:val="0"/>
          <w:color w:val="auto"/>
          <w:sz w:val="22"/>
          <w:szCs w:val="22"/>
          <w:lang w:val="en-AU" w:eastAsia="en-AU"/>
        </w:rPr>
      </w:pPr>
      <w:hyperlink w:anchor="_Toc116994880" w:history="1">
        <w:r w:rsidRPr="000D5332">
          <w:rPr>
            <w:rStyle w:val="Hyperlink"/>
          </w:rPr>
          <w:t>2.</w:t>
        </w:r>
        <w:r>
          <w:rPr>
            <w:rFonts w:asciiTheme="minorHAnsi" w:eastAsiaTheme="minorEastAsia" w:hAnsiTheme="minorHAnsi" w:cstheme="minorBidi"/>
            <w:b w:val="0"/>
            <w:color w:val="auto"/>
            <w:sz w:val="22"/>
            <w:szCs w:val="22"/>
            <w:lang w:val="en-AU" w:eastAsia="en-AU"/>
          </w:rPr>
          <w:tab/>
        </w:r>
        <w:r w:rsidRPr="000D5332">
          <w:rPr>
            <w:rStyle w:val="Hyperlink"/>
          </w:rPr>
          <w:t>Methods</w:t>
        </w:r>
        <w:r>
          <w:rPr>
            <w:webHidden/>
          </w:rPr>
          <w:tab/>
        </w:r>
        <w:r>
          <w:rPr>
            <w:webHidden/>
          </w:rPr>
          <w:fldChar w:fldCharType="begin"/>
        </w:r>
        <w:r>
          <w:rPr>
            <w:webHidden/>
          </w:rPr>
          <w:instrText xml:space="preserve"> PAGEREF _Toc116994880 \h </w:instrText>
        </w:r>
        <w:r>
          <w:rPr>
            <w:webHidden/>
          </w:rPr>
        </w:r>
        <w:r>
          <w:rPr>
            <w:webHidden/>
          </w:rPr>
          <w:fldChar w:fldCharType="separate"/>
        </w:r>
        <w:r w:rsidR="005B672A">
          <w:rPr>
            <w:webHidden/>
          </w:rPr>
          <w:t>11</w:t>
        </w:r>
        <w:r>
          <w:rPr>
            <w:webHidden/>
          </w:rPr>
          <w:fldChar w:fldCharType="end"/>
        </w:r>
      </w:hyperlink>
    </w:p>
    <w:p w14:paraId="09BCDF41" w14:textId="27EEB112" w:rsidR="00491210" w:rsidRDefault="00EE200C">
      <w:pPr>
        <w:pStyle w:val="TOC2"/>
        <w:rPr>
          <w:rFonts w:asciiTheme="minorHAnsi" w:eastAsiaTheme="minorEastAsia" w:hAnsiTheme="minorHAnsi" w:cstheme="minorBidi"/>
          <w:b w:val="0"/>
          <w:bCs w:val="0"/>
          <w:color w:val="auto"/>
          <w:sz w:val="22"/>
          <w:szCs w:val="22"/>
        </w:rPr>
      </w:pPr>
      <w:hyperlink w:anchor="_Toc116994881" w:history="1">
        <w:r w:rsidRPr="000D5332">
          <w:rPr>
            <w:rStyle w:val="Hyperlink"/>
          </w:rPr>
          <w:t>2.1.</w:t>
        </w:r>
        <w:r>
          <w:rPr>
            <w:rFonts w:asciiTheme="minorHAnsi" w:eastAsiaTheme="minorEastAsia" w:hAnsiTheme="minorHAnsi" w:cstheme="minorBidi"/>
            <w:b w:val="0"/>
            <w:bCs w:val="0"/>
            <w:color w:val="auto"/>
            <w:sz w:val="22"/>
            <w:szCs w:val="22"/>
          </w:rPr>
          <w:tab/>
        </w:r>
        <w:r w:rsidRPr="000D5332">
          <w:rPr>
            <w:rStyle w:val="Hyperlink"/>
          </w:rPr>
          <w:t>Program logic</w:t>
        </w:r>
        <w:r>
          <w:rPr>
            <w:webHidden/>
          </w:rPr>
          <w:tab/>
        </w:r>
        <w:r>
          <w:rPr>
            <w:webHidden/>
          </w:rPr>
          <w:fldChar w:fldCharType="begin"/>
        </w:r>
        <w:r>
          <w:rPr>
            <w:webHidden/>
          </w:rPr>
          <w:instrText xml:space="preserve"> PAGEREF _Toc116994881 \h </w:instrText>
        </w:r>
        <w:r>
          <w:rPr>
            <w:webHidden/>
          </w:rPr>
        </w:r>
        <w:r>
          <w:rPr>
            <w:webHidden/>
          </w:rPr>
          <w:fldChar w:fldCharType="separate"/>
        </w:r>
        <w:r w:rsidR="005B672A">
          <w:rPr>
            <w:webHidden/>
          </w:rPr>
          <w:t>11</w:t>
        </w:r>
        <w:r>
          <w:rPr>
            <w:webHidden/>
          </w:rPr>
          <w:fldChar w:fldCharType="end"/>
        </w:r>
      </w:hyperlink>
    </w:p>
    <w:p w14:paraId="2DCD73F1" w14:textId="5CD67B7E" w:rsidR="00491210" w:rsidRDefault="00EE200C">
      <w:pPr>
        <w:pStyle w:val="TOC2"/>
        <w:rPr>
          <w:rFonts w:asciiTheme="minorHAnsi" w:eastAsiaTheme="minorEastAsia" w:hAnsiTheme="minorHAnsi" w:cstheme="minorBidi"/>
          <w:b w:val="0"/>
          <w:bCs w:val="0"/>
          <w:color w:val="auto"/>
          <w:sz w:val="22"/>
          <w:szCs w:val="22"/>
        </w:rPr>
      </w:pPr>
      <w:hyperlink w:anchor="_Toc116994882" w:history="1">
        <w:r w:rsidRPr="000D5332">
          <w:rPr>
            <w:rStyle w:val="Hyperlink"/>
          </w:rPr>
          <w:t>2.2.</w:t>
        </w:r>
        <w:r>
          <w:rPr>
            <w:rFonts w:asciiTheme="minorHAnsi" w:eastAsiaTheme="minorEastAsia" w:hAnsiTheme="minorHAnsi" w:cstheme="minorBidi"/>
            <w:b w:val="0"/>
            <w:bCs w:val="0"/>
            <w:color w:val="auto"/>
            <w:sz w:val="22"/>
            <w:szCs w:val="22"/>
          </w:rPr>
          <w:tab/>
        </w:r>
        <w:r w:rsidRPr="000D5332">
          <w:rPr>
            <w:rStyle w:val="Hyperlink"/>
          </w:rPr>
          <w:t>Fish species</w:t>
        </w:r>
        <w:r>
          <w:rPr>
            <w:webHidden/>
          </w:rPr>
          <w:tab/>
        </w:r>
        <w:r>
          <w:rPr>
            <w:webHidden/>
          </w:rPr>
          <w:fldChar w:fldCharType="begin"/>
        </w:r>
        <w:r>
          <w:rPr>
            <w:webHidden/>
          </w:rPr>
          <w:instrText xml:space="preserve"> PAGEREF _Toc116994882 \h </w:instrText>
        </w:r>
        <w:r>
          <w:rPr>
            <w:webHidden/>
          </w:rPr>
        </w:r>
        <w:r>
          <w:rPr>
            <w:webHidden/>
          </w:rPr>
          <w:fldChar w:fldCharType="separate"/>
        </w:r>
        <w:r w:rsidR="005B672A">
          <w:rPr>
            <w:webHidden/>
          </w:rPr>
          <w:t>11</w:t>
        </w:r>
        <w:r>
          <w:rPr>
            <w:webHidden/>
          </w:rPr>
          <w:fldChar w:fldCharType="end"/>
        </w:r>
      </w:hyperlink>
    </w:p>
    <w:p w14:paraId="3DE5A849" w14:textId="2EB9AE2A" w:rsidR="00491210" w:rsidRDefault="00EE200C">
      <w:pPr>
        <w:pStyle w:val="TOC2"/>
        <w:rPr>
          <w:rFonts w:asciiTheme="minorHAnsi" w:eastAsiaTheme="minorEastAsia" w:hAnsiTheme="minorHAnsi" w:cstheme="minorBidi"/>
          <w:b w:val="0"/>
          <w:bCs w:val="0"/>
          <w:color w:val="auto"/>
          <w:sz w:val="22"/>
          <w:szCs w:val="22"/>
        </w:rPr>
      </w:pPr>
      <w:hyperlink w:anchor="_Toc116994883" w:history="1">
        <w:r w:rsidRPr="000D5332">
          <w:rPr>
            <w:rStyle w:val="Hyperlink"/>
          </w:rPr>
          <w:t>2.3.</w:t>
        </w:r>
        <w:r>
          <w:rPr>
            <w:rFonts w:asciiTheme="minorHAnsi" w:eastAsiaTheme="minorEastAsia" w:hAnsiTheme="minorHAnsi" w:cstheme="minorBidi"/>
            <w:b w:val="0"/>
            <w:bCs w:val="0"/>
            <w:color w:val="auto"/>
            <w:sz w:val="22"/>
            <w:szCs w:val="22"/>
          </w:rPr>
          <w:tab/>
        </w:r>
        <w:r w:rsidRPr="000D5332">
          <w:rPr>
            <w:rStyle w:val="Hyperlink"/>
          </w:rPr>
          <w:t>Spatial area and population units</w:t>
        </w:r>
        <w:r>
          <w:rPr>
            <w:webHidden/>
          </w:rPr>
          <w:tab/>
        </w:r>
        <w:r>
          <w:rPr>
            <w:webHidden/>
          </w:rPr>
          <w:fldChar w:fldCharType="begin"/>
        </w:r>
        <w:r>
          <w:rPr>
            <w:webHidden/>
          </w:rPr>
          <w:instrText xml:space="preserve"> PAGEREF _Toc116994883 \h </w:instrText>
        </w:r>
        <w:r>
          <w:rPr>
            <w:webHidden/>
          </w:rPr>
        </w:r>
        <w:r>
          <w:rPr>
            <w:webHidden/>
          </w:rPr>
          <w:fldChar w:fldCharType="separate"/>
        </w:r>
        <w:r w:rsidR="005B672A">
          <w:rPr>
            <w:webHidden/>
          </w:rPr>
          <w:t>11</w:t>
        </w:r>
        <w:r>
          <w:rPr>
            <w:webHidden/>
          </w:rPr>
          <w:fldChar w:fldCharType="end"/>
        </w:r>
      </w:hyperlink>
    </w:p>
    <w:p w14:paraId="2E75DA27" w14:textId="5D475C55" w:rsidR="00491210" w:rsidRDefault="00EE200C">
      <w:pPr>
        <w:pStyle w:val="TOC2"/>
        <w:rPr>
          <w:rFonts w:asciiTheme="minorHAnsi" w:eastAsiaTheme="minorEastAsia" w:hAnsiTheme="minorHAnsi" w:cstheme="minorBidi"/>
          <w:b w:val="0"/>
          <w:bCs w:val="0"/>
          <w:color w:val="auto"/>
          <w:sz w:val="22"/>
          <w:szCs w:val="22"/>
        </w:rPr>
      </w:pPr>
      <w:hyperlink w:anchor="_Toc116994884" w:history="1">
        <w:r w:rsidRPr="000D5332">
          <w:rPr>
            <w:rStyle w:val="Hyperlink"/>
          </w:rPr>
          <w:t>2.4.</w:t>
        </w:r>
        <w:r>
          <w:rPr>
            <w:rFonts w:asciiTheme="minorHAnsi" w:eastAsiaTheme="minorEastAsia" w:hAnsiTheme="minorHAnsi" w:cstheme="minorBidi"/>
            <w:b w:val="0"/>
            <w:bCs w:val="0"/>
            <w:color w:val="auto"/>
            <w:sz w:val="22"/>
            <w:szCs w:val="22"/>
          </w:rPr>
          <w:tab/>
        </w:r>
        <w:r w:rsidRPr="000D5332">
          <w:rPr>
            <w:rStyle w:val="Hyperlink"/>
          </w:rPr>
          <w:t>Conceptual models</w:t>
        </w:r>
        <w:r>
          <w:rPr>
            <w:webHidden/>
          </w:rPr>
          <w:tab/>
        </w:r>
        <w:r>
          <w:rPr>
            <w:webHidden/>
          </w:rPr>
          <w:fldChar w:fldCharType="begin"/>
        </w:r>
        <w:r>
          <w:rPr>
            <w:webHidden/>
          </w:rPr>
          <w:instrText xml:space="preserve"> PAGEREF _Toc116994884 \h </w:instrText>
        </w:r>
        <w:r>
          <w:rPr>
            <w:webHidden/>
          </w:rPr>
        </w:r>
        <w:r>
          <w:rPr>
            <w:webHidden/>
          </w:rPr>
          <w:fldChar w:fldCharType="separate"/>
        </w:r>
        <w:r w:rsidR="005B672A">
          <w:rPr>
            <w:webHidden/>
          </w:rPr>
          <w:t>12</w:t>
        </w:r>
        <w:r>
          <w:rPr>
            <w:webHidden/>
          </w:rPr>
          <w:fldChar w:fldCharType="end"/>
        </w:r>
      </w:hyperlink>
    </w:p>
    <w:p w14:paraId="7A3ED7A4" w14:textId="53DB4E47"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885" w:history="1">
        <w:r w:rsidRPr="000D5332">
          <w:rPr>
            <w:rStyle w:val="Hyperlink"/>
          </w:rPr>
          <w:t>2.4.1.</w:t>
        </w:r>
        <w:r>
          <w:rPr>
            <w:rFonts w:asciiTheme="minorHAnsi" w:eastAsiaTheme="minorEastAsia" w:hAnsiTheme="minorHAnsi" w:cstheme="minorBidi"/>
            <w:b w:val="0"/>
            <w:bCs w:val="0"/>
            <w:color w:val="auto"/>
            <w:sz w:val="22"/>
            <w:szCs w:val="22"/>
            <w:lang w:eastAsia="en-AU"/>
          </w:rPr>
          <w:tab/>
        </w:r>
        <w:r w:rsidRPr="000D5332">
          <w:rPr>
            <w:rStyle w:val="Hyperlink"/>
          </w:rPr>
          <w:t>Golden Perch conceptual model</w:t>
        </w:r>
        <w:r>
          <w:rPr>
            <w:webHidden/>
          </w:rPr>
          <w:tab/>
        </w:r>
        <w:r>
          <w:rPr>
            <w:webHidden/>
          </w:rPr>
          <w:fldChar w:fldCharType="begin"/>
        </w:r>
        <w:r>
          <w:rPr>
            <w:webHidden/>
          </w:rPr>
          <w:instrText xml:space="preserve"> PAGEREF _Toc116994885 \h </w:instrText>
        </w:r>
        <w:r>
          <w:rPr>
            <w:webHidden/>
          </w:rPr>
        </w:r>
        <w:r>
          <w:rPr>
            <w:webHidden/>
          </w:rPr>
          <w:fldChar w:fldCharType="separate"/>
        </w:r>
        <w:r w:rsidR="005B672A">
          <w:rPr>
            <w:webHidden/>
          </w:rPr>
          <w:t>12</w:t>
        </w:r>
        <w:r>
          <w:rPr>
            <w:webHidden/>
          </w:rPr>
          <w:fldChar w:fldCharType="end"/>
        </w:r>
      </w:hyperlink>
    </w:p>
    <w:p w14:paraId="57E3A7BC" w14:textId="608BE4D3"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886" w:history="1">
        <w:r w:rsidRPr="000D5332">
          <w:rPr>
            <w:rStyle w:val="Hyperlink"/>
          </w:rPr>
          <w:t>2.4.2.</w:t>
        </w:r>
        <w:r>
          <w:rPr>
            <w:rFonts w:asciiTheme="minorHAnsi" w:eastAsiaTheme="minorEastAsia" w:hAnsiTheme="minorHAnsi" w:cstheme="minorBidi"/>
            <w:b w:val="0"/>
            <w:bCs w:val="0"/>
            <w:color w:val="auto"/>
            <w:sz w:val="22"/>
            <w:szCs w:val="22"/>
            <w:lang w:eastAsia="en-AU"/>
          </w:rPr>
          <w:tab/>
        </w:r>
        <w:r w:rsidRPr="000D5332">
          <w:rPr>
            <w:rStyle w:val="Hyperlink"/>
          </w:rPr>
          <w:t>Murray Cod conceptual model</w:t>
        </w:r>
        <w:r>
          <w:rPr>
            <w:webHidden/>
          </w:rPr>
          <w:tab/>
        </w:r>
        <w:r>
          <w:rPr>
            <w:webHidden/>
          </w:rPr>
          <w:fldChar w:fldCharType="begin"/>
        </w:r>
        <w:r>
          <w:rPr>
            <w:webHidden/>
          </w:rPr>
          <w:instrText xml:space="preserve"> PAGEREF _Toc116994886 \h </w:instrText>
        </w:r>
        <w:r>
          <w:rPr>
            <w:webHidden/>
          </w:rPr>
        </w:r>
        <w:r>
          <w:rPr>
            <w:webHidden/>
          </w:rPr>
          <w:fldChar w:fldCharType="separate"/>
        </w:r>
        <w:r w:rsidR="005B672A">
          <w:rPr>
            <w:webHidden/>
          </w:rPr>
          <w:t>13</w:t>
        </w:r>
        <w:r>
          <w:rPr>
            <w:webHidden/>
          </w:rPr>
          <w:fldChar w:fldCharType="end"/>
        </w:r>
      </w:hyperlink>
    </w:p>
    <w:p w14:paraId="53A6CC8F" w14:textId="47831573" w:rsidR="00491210" w:rsidRDefault="00EE200C">
      <w:pPr>
        <w:pStyle w:val="TOC2"/>
        <w:rPr>
          <w:rFonts w:asciiTheme="minorHAnsi" w:eastAsiaTheme="minorEastAsia" w:hAnsiTheme="minorHAnsi" w:cstheme="minorBidi"/>
          <w:b w:val="0"/>
          <w:bCs w:val="0"/>
          <w:color w:val="auto"/>
          <w:sz w:val="22"/>
          <w:szCs w:val="22"/>
        </w:rPr>
      </w:pPr>
      <w:hyperlink w:anchor="_Toc116994887" w:history="1">
        <w:r w:rsidRPr="000D5332">
          <w:rPr>
            <w:rStyle w:val="Hyperlink"/>
          </w:rPr>
          <w:t>2.5.</w:t>
        </w:r>
        <w:r>
          <w:rPr>
            <w:rFonts w:asciiTheme="minorHAnsi" w:eastAsiaTheme="minorEastAsia" w:hAnsiTheme="minorHAnsi" w:cstheme="minorBidi"/>
            <w:b w:val="0"/>
            <w:bCs w:val="0"/>
            <w:color w:val="auto"/>
            <w:sz w:val="22"/>
            <w:szCs w:val="22"/>
          </w:rPr>
          <w:tab/>
        </w:r>
        <w:r w:rsidRPr="000D5332">
          <w:rPr>
            <w:rStyle w:val="Hyperlink"/>
          </w:rPr>
          <w:t>Ecological and operational workshops</w:t>
        </w:r>
        <w:r>
          <w:rPr>
            <w:webHidden/>
          </w:rPr>
          <w:tab/>
        </w:r>
        <w:r>
          <w:rPr>
            <w:webHidden/>
          </w:rPr>
          <w:fldChar w:fldCharType="begin"/>
        </w:r>
        <w:r>
          <w:rPr>
            <w:webHidden/>
          </w:rPr>
          <w:instrText xml:space="preserve"> PAGEREF _Toc116994887 \h </w:instrText>
        </w:r>
        <w:r>
          <w:rPr>
            <w:webHidden/>
          </w:rPr>
        </w:r>
        <w:r>
          <w:rPr>
            <w:webHidden/>
          </w:rPr>
          <w:fldChar w:fldCharType="separate"/>
        </w:r>
        <w:r w:rsidR="005B672A">
          <w:rPr>
            <w:webHidden/>
          </w:rPr>
          <w:t>14</w:t>
        </w:r>
        <w:r>
          <w:rPr>
            <w:webHidden/>
          </w:rPr>
          <w:fldChar w:fldCharType="end"/>
        </w:r>
      </w:hyperlink>
    </w:p>
    <w:p w14:paraId="41026E0E" w14:textId="05E702B1" w:rsidR="00491210" w:rsidRDefault="00EE200C">
      <w:pPr>
        <w:pStyle w:val="TOC2"/>
        <w:rPr>
          <w:rFonts w:asciiTheme="minorHAnsi" w:eastAsiaTheme="minorEastAsia" w:hAnsiTheme="minorHAnsi" w:cstheme="minorBidi"/>
          <w:b w:val="0"/>
          <w:bCs w:val="0"/>
          <w:color w:val="auto"/>
          <w:sz w:val="22"/>
          <w:szCs w:val="22"/>
        </w:rPr>
      </w:pPr>
      <w:hyperlink w:anchor="_Toc116994888" w:history="1">
        <w:r w:rsidRPr="000D5332">
          <w:rPr>
            <w:rStyle w:val="Hyperlink"/>
          </w:rPr>
          <w:t>2.6.</w:t>
        </w:r>
        <w:r>
          <w:rPr>
            <w:rFonts w:asciiTheme="minorHAnsi" w:eastAsiaTheme="minorEastAsia" w:hAnsiTheme="minorHAnsi" w:cstheme="minorBidi"/>
            <w:b w:val="0"/>
            <w:bCs w:val="0"/>
            <w:color w:val="auto"/>
            <w:sz w:val="22"/>
            <w:szCs w:val="22"/>
          </w:rPr>
          <w:tab/>
        </w:r>
        <w:r w:rsidRPr="000D5332">
          <w:rPr>
            <w:rStyle w:val="Hyperlink"/>
          </w:rPr>
          <w:t>Model spatial zones and hydrological scenarios</w:t>
        </w:r>
        <w:r>
          <w:rPr>
            <w:webHidden/>
          </w:rPr>
          <w:tab/>
        </w:r>
        <w:r>
          <w:rPr>
            <w:webHidden/>
          </w:rPr>
          <w:fldChar w:fldCharType="begin"/>
        </w:r>
        <w:r>
          <w:rPr>
            <w:webHidden/>
          </w:rPr>
          <w:instrText xml:space="preserve"> PAGEREF _Toc116994888 \h </w:instrText>
        </w:r>
        <w:r>
          <w:rPr>
            <w:webHidden/>
          </w:rPr>
        </w:r>
        <w:r>
          <w:rPr>
            <w:webHidden/>
          </w:rPr>
          <w:fldChar w:fldCharType="separate"/>
        </w:r>
        <w:r w:rsidR="005B672A">
          <w:rPr>
            <w:webHidden/>
          </w:rPr>
          <w:t>14</w:t>
        </w:r>
        <w:r>
          <w:rPr>
            <w:webHidden/>
          </w:rPr>
          <w:fldChar w:fldCharType="end"/>
        </w:r>
      </w:hyperlink>
    </w:p>
    <w:p w14:paraId="1544DC57" w14:textId="7828260C" w:rsidR="00491210" w:rsidRDefault="00EE200C">
      <w:pPr>
        <w:pStyle w:val="TOC2"/>
        <w:rPr>
          <w:rFonts w:asciiTheme="minorHAnsi" w:eastAsiaTheme="minorEastAsia" w:hAnsiTheme="minorHAnsi" w:cstheme="minorBidi"/>
          <w:b w:val="0"/>
          <w:bCs w:val="0"/>
          <w:color w:val="auto"/>
          <w:sz w:val="22"/>
          <w:szCs w:val="22"/>
        </w:rPr>
      </w:pPr>
      <w:hyperlink w:anchor="_Toc116994889" w:history="1">
        <w:r w:rsidRPr="000D5332">
          <w:rPr>
            <w:rStyle w:val="Hyperlink"/>
          </w:rPr>
          <w:t>2.7.</w:t>
        </w:r>
        <w:r>
          <w:rPr>
            <w:rFonts w:asciiTheme="minorHAnsi" w:eastAsiaTheme="minorEastAsia" w:hAnsiTheme="minorHAnsi" w:cstheme="minorBidi"/>
            <w:b w:val="0"/>
            <w:bCs w:val="0"/>
            <w:color w:val="auto"/>
            <w:sz w:val="22"/>
            <w:szCs w:val="22"/>
          </w:rPr>
          <w:tab/>
        </w:r>
        <w:r w:rsidRPr="000D5332">
          <w:rPr>
            <w:rStyle w:val="Hyperlink"/>
          </w:rPr>
          <w:t>Model descriptions</w:t>
        </w:r>
        <w:r>
          <w:rPr>
            <w:webHidden/>
          </w:rPr>
          <w:tab/>
        </w:r>
        <w:r>
          <w:rPr>
            <w:webHidden/>
          </w:rPr>
          <w:fldChar w:fldCharType="begin"/>
        </w:r>
        <w:r>
          <w:rPr>
            <w:webHidden/>
          </w:rPr>
          <w:instrText xml:space="preserve"> PAGEREF _Toc116994889 \h </w:instrText>
        </w:r>
        <w:r>
          <w:rPr>
            <w:webHidden/>
          </w:rPr>
        </w:r>
        <w:r>
          <w:rPr>
            <w:webHidden/>
          </w:rPr>
          <w:fldChar w:fldCharType="separate"/>
        </w:r>
        <w:r w:rsidR="005B672A">
          <w:rPr>
            <w:webHidden/>
          </w:rPr>
          <w:t>17</w:t>
        </w:r>
        <w:r>
          <w:rPr>
            <w:webHidden/>
          </w:rPr>
          <w:fldChar w:fldCharType="end"/>
        </w:r>
      </w:hyperlink>
    </w:p>
    <w:p w14:paraId="0DC5B380" w14:textId="76D45E44" w:rsidR="00491210" w:rsidRDefault="00EE200C">
      <w:pPr>
        <w:pStyle w:val="TOC2"/>
        <w:rPr>
          <w:rFonts w:asciiTheme="minorHAnsi" w:eastAsiaTheme="minorEastAsia" w:hAnsiTheme="minorHAnsi" w:cstheme="minorBidi"/>
          <w:b w:val="0"/>
          <w:bCs w:val="0"/>
          <w:color w:val="auto"/>
          <w:sz w:val="22"/>
          <w:szCs w:val="22"/>
        </w:rPr>
      </w:pPr>
      <w:hyperlink w:anchor="_Toc116994890" w:history="1">
        <w:r w:rsidRPr="000D5332">
          <w:rPr>
            <w:rStyle w:val="Hyperlink"/>
          </w:rPr>
          <w:t>2.8.</w:t>
        </w:r>
        <w:r>
          <w:rPr>
            <w:rFonts w:asciiTheme="minorHAnsi" w:eastAsiaTheme="minorEastAsia" w:hAnsiTheme="minorHAnsi" w:cstheme="minorBidi"/>
            <w:b w:val="0"/>
            <w:bCs w:val="0"/>
            <w:color w:val="auto"/>
            <w:sz w:val="22"/>
            <w:szCs w:val="22"/>
          </w:rPr>
          <w:tab/>
        </w:r>
        <w:r w:rsidRPr="000D5332">
          <w:rPr>
            <w:rStyle w:val="Hyperlink"/>
          </w:rPr>
          <w:t>Model rules</w:t>
        </w:r>
        <w:r>
          <w:rPr>
            <w:webHidden/>
          </w:rPr>
          <w:tab/>
        </w:r>
        <w:r>
          <w:rPr>
            <w:webHidden/>
          </w:rPr>
          <w:fldChar w:fldCharType="begin"/>
        </w:r>
        <w:r>
          <w:rPr>
            <w:webHidden/>
          </w:rPr>
          <w:instrText xml:space="preserve"> PAGEREF _Toc116994890 \h </w:instrText>
        </w:r>
        <w:r>
          <w:rPr>
            <w:webHidden/>
          </w:rPr>
        </w:r>
        <w:r>
          <w:rPr>
            <w:webHidden/>
          </w:rPr>
          <w:fldChar w:fldCharType="separate"/>
        </w:r>
        <w:r w:rsidR="005B672A">
          <w:rPr>
            <w:webHidden/>
          </w:rPr>
          <w:t>18</w:t>
        </w:r>
        <w:r>
          <w:rPr>
            <w:webHidden/>
          </w:rPr>
          <w:fldChar w:fldCharType="end"/>
        </w:r>
      </w:hyperlink>
    </w:p>
    <w:p w14:paraId="7483EA52" w14:textId="180020B9" w:rsidR="00491210" w:rsidRDefault="00EE200C">
      <w:pPr>
        <w:pStyle w:val="TOC2"/>
        <w:rPr>
          <w:rFonts w:asciiTheme="minorHAnsi" w:eastAsiaTheme="minorEastAsia" w:hAnsiTheme="minorHAnsi" w:cstheme="minorBidi"/>
          <w:b w:val="0"/>
          <w:bCs w:val="0"/>
          <w:color w:val="auto"/>
          <w:sz w:val="22"/>
          <w:szCs w:val="22"/>
        </w:rPr>
      </w:pPr>
      <w:hyperlink w:anchor="_Toc116994891" w:history="1">
        <w:r w:rsidRPr="000D5332">
          <w:rPr>
            <w:rStyle w:val="Hyperlink"/>
          </w:rPr>
          <w:t>2.9.</w:t>
        </w:r>
        <w:r>
          <w:rPr>
            <w:rFonts w:asciiTheme="minorHAnsi" w:eastAsiaTheme="minorEastAsia" w:hAnsiTheme="minorHAnsi" w:cstheme="minorBidi"/>
            <w:b w:val="0"/>
            <w:bCs w:val="0"/>
            <w:color w:val="auto"/>
            <w:sz w:val="22"/>
            <w:szCs w:val="22"/>
          </w:rPr>
          <w:tab/>
        </w:r>
        <w:r w:rsidRPr="000D5332">
          <w:rPr>
            <w:rStyle w:val="Hyperlink"/>
          </w:rPr>
          <w:t>Data</w:t>
        </w:r>
        <w:r>
          <w:rPr>
            <w:webHidden/>
          </w:rPr>
          <w:tab/>
        </w:r>
        <w:r>
          <w:rPr>
            <w:webHidden/>
          </w:rPr>
          <w:fldChar w:fldCharType="begin"/>
        </w:r>
        <w:r>
          <w:rPr>
            <w:webHidden/>
          </w:rPr>
          <w:instrText xml:space="preserve"> PAGEREF _Toc116994891 \h </w:instrText>
        </w:r>
        <w:r>
          <w:rPr>
            <w:webHidden/>
          </w:rPr>
        </w:r>
        <w:r>
          <w:rPr>
            <w:webHidden/>
          </w:rPr>
          <w:fldChar w:fldCharType="separate"/>
        </w:r>
        <w:r w:rsidR="005B672A">
          <w:rPr>
            <w:webHidden/>
          </w:rPr>
          <w:t>19</w:t>
        </w:r>
        <w:r>
          <w:rPr>
            <w:webHidden/>
          </w:rPr>
          <w:fldChar w:fldCharType="end"/>
        </w:r>
      </w:hyperlink>
    </w:p>
    <w:p w14:paraId="03C14E2B" w14:textId="4AF5EBF5" w:rsidR="00491210" w:rsidRDefault="00EE200C">
      <w:pPr>
        <w:pStyle w:val="TOC2"/>
        <w:rPr>
          <w:rFonts w:asciiTheme="minorHAnsi" w:eastAsiaTheme="minorEastAsia" w:hAnsiTheme="minorHAnsi" w:cstheme="minorBidi"/>
          <w:b w:val="0"/>
          <w:bCs w:val="0"/>
          <w:color w:val="auto"/>
          <w:sz w:val="22"/>
          <w:szCs w:val="22"/>
        </w:rPr>
      </w:pPr>
      <w:hyperlink w:anchor="_Toc116994892" w:history="1">
        <w:r w:rsidRPr="000D5332">
          <w:rPr>
            <w:rStyle w:val="Hyperlink"/>
          </w:rPr>
          <w:t>2.10.</w:t>
        </w:r>
        <w:r>
          <w:rPr>
            <w:rFonts w:asciiTheme="minorHAnsi" w:eastAsiaTheme="minorEastAsia" w:hAnsiTheme="minorHAnsi" w:cstheme="minorBidi"/>
            <w:b w:val="0"/>
            <w:bCs w:val="0"/>
            <w:color w:val="auto"/>
            <w:sz w:val="22"/>
            <w:szCs w:val="22"/>
          </w:rPr>
          <w:tab/>
        </w:r>
        <w:r w:rsidRPr="000D5332">
          <w:rPr>
            <w:rStyle w:val="Hyperlink"/>
          </w:rPr>
          <w:t>Hypoxic blackwater</w:t>
        </w:r>
        <w:r>
          <w:rPr>
            <w:webHidden/>
          </w:rPr>
          <w:tab/>
        </w:r>
        <w:r>
          <w:rPr>
            <w:webHidden/>
          </w:rPr>
          <w:fldChar w:fldCharType="begin"/>
        </w:r>
        <w:r>
          <w:rPr>
            <w:webHidden/>
          </w:rPr>
          <w:instrText xml:space="preserve"> PAGEREF _Toc116994892 \h </w:instrText>
        </w:r>
        <w:r>
          <w:rPr>
            <w:webHidden/>
          </w:rPr>
        </w:r>
        <w:r>
          <w:rPr>
            <w:webHidden/>
          </w:rPr>
          <w:fldChar w:fldCharType="separate"/>
        </w:r>
        <w:r w:rsidR="005B672A">
          <w:rPr>
            <w:webHidden/>
          </w:rPr>
          <w:t>20</w:t>
        </w:r>
        <w:r>
          <w:rPr>
            <w:webHidden/>
          </w:rPr>
          <w:fldChar w:fldCharType="end"/>
        </w:r>
      </w:hyperlink>
    </w:p>
    <w:p w14:paraId="29E07D32" w14:textId="17FD4DCE" w:rsidR="00491210" w:rsidRDefault="00EE200C">
      <w:pPr>
        <w:pStyle w:val="TOC2"/>
        <w:rPr>
          <w:rFonts w:asciiTheme="minorHAnsi" w:eastAsiaTheme="minorEastAsia" w:hAnsiTheme="minorHAnsi" w:cstheme="minorBidi"/>
          <w:b w:val="0"/>
          <w:bCs w:val="0"/>
          <w:color w:val="auto"/>
          <w:sz w:val="22"/>
          <w:szCs w:val="22"/>
        </w:rPr>
      </w:pPr>
      <w:hyperlink w:anchor="_Toc116994893" w:history="1">
        <w:r w:rsidRPr="000D5332">
          <w:rPr>
            <w:rStyle w:val="Hyperlink"/>
          </w:rPr>
          <w:t>2.11.</w:t>
        </w:r>
        <w:r>
          <w:rPr>
            <w:rFonts w:asciiTheme="minorHAnsi" w:eastAsiaTheme="minorEastAsia" w:hAnsiTheme="minorHAnsi" w:cstheme="minorBidi"/>
            <w:b w:val="0"/>
            <w:bCs w:val="0"/>
            <w:color w:val="auto"/>
            <w:sz w:val="22"/>
            <w:szCs w:val="22"/>
          </w:rPr>
          <w:tab/>
        </w:r>
        <w:r w:rsidRPr="000D5332">
          <w:rPr>
            <w:rStyle w:val="Hyperlink"/>
          </w:rPr>
          <w:t>Productivity</w:t>
        </w:r>
        <w:r>
          <w:rPr>
            <w:webHidden/>
          </w:rPr>
          <w:tab/>
        </w:r>
        <w:r>
          <w:rPr>
            <w:webHidden/>
          </w:rPr>
          <w:fldChar w:fldCharType="begin"/>
        </w:r>
        <w:r>
          <w:rPr>
            <w:webHidden/>
          </w:rPr>
          <w:instrText xml:space="preserve"> PAGEREF _Toc116994893 \h </w:instrText>
        </w:r>
        <w:r>
          <w:rPr>
            <w:webHidden/>
          </w:rPr>
        </w:r>
        <w:r>
          <w:rPr>
            <w:webHidden/>
          </w:rPr>
          <w:fldChar w:fldCharType="separate"/>
        </w:r>
        <w:r w:rsidR="005B672A">
          <w:rPr>
            <w:webHidden/>
          </w:rPr>
          <w:t>20</w:t>
        </w:r>
        <w:r>
          <w:rPr>
            <w:webHidden/>
          </w:rPr>
          <w:fldChar w:fldCharType="end"/>
        </w:r>
      </w:hyperlink>
    </w:p>
    <w:p w14:paraId="242FBC23" w14:textId="3DD75C47" w:rsidR="00491210" w:rsidRDefault="00EE200C">
      <w:pPr>
        <w:pStyle w:val="TOC2"/>
        <w:rPr>
          <w:rFonts w:asciiTheme="minorHAnsi" w:eastAsiaTheme="minorEastAsia" w:hAnsiTheme="minorHAnsi" w:cstheme="minorBidi"/>
          <w:b w:val="0"/>
          <w:bCs w:val="0"/>
          <w:color w:val="auto"/>
          <w:sz w:val="22"/>
          <w:szCs w:val="22"/>
        </w:rPr>
      </w:pPr>
      <w:hyperlink w:anchor="_Toc116994894" w:history="1">
        <w:r w:rsidRPr="000D5332">
          <w:rPr>
            <w:rStyle w:val="Hyperlink"/>
          </w:rPr>
          <w:t>2.12.</w:t>
        </w:r>
        <w:r>
          <w:rPr>
            <w:rFonts w:asciiTheme="minorHAnsi" w:eastAsiaTheme="minorEastAsia" w:hAnsiTheme="minorHAnsi" w:cstheme="minorBidi"/>
            <w:b w:val="0"/>
            <w:bCs w:val="0"/>
            <w:color w:val="auto"/>
            <w:sz w:val="22"/>
            <w:szCs w:val="22"/>
          </w:rPr>
          <w:tab/>
        </w:r>
        <w:r w:rsidRPr="000D5332">
          <w:rPr>
            <w:rStyle w:val="Hyperlink"/>
          </w:rPr>
          <w:t>Commercial and recreational harvest</w:t>
        </w:r>
        <w:r>
          <w:rPr>
            <w:webHidden/>
          </w:rPr>
          <w:tab/>
        </w:r>
        <w:r>
          <w:rPr>
            <w:webHidden/>
          </w:rPr>
          <w:fldChar w:fldCharType="begin"/>
        </w:r>
        <w:r>
          <w:rPr>
            <w:webHidden/>
          </w:rPr>
          <w:instrText xml:space="preserve"> PAGEREF _Toc116994894 \h </w:instrText>
        </w:r>
        <w:r>
          <w:rPr>
            <w:webHidden/>
          </w:rPr>
        </w:r>
        <w:r>
          <w:rPr>
            <w:webHidden/>
          </w:rPr>
          <w:fldChar w:fldCharType="separate"/>
        </w:r>
        <w:r w:rsidR="005B672A">
          <w:rPr>
            <w:webHidden/>
          </w:rPr>
          <w:t>20</w:t>
        </w:r>
        <w:r>
          <w:rPr>
            <w:webHidden/>
          </w:rPr>
          <w:fldChar w:fldCharType="end"/>
        </w:r>
      </w:hyperlink>
    </w:p>
    <w:p w14:paraId="56513D71" w14:textId="1D4D9F69" w:rsidR="00491210" w:rsidRDefault="00EE200C">
      <w:pPr>
        <w:pStyle w:val="TOC2"/>
        <w:rPr>
          <w:rFonts w:asciiTheme="minorHAnsi" w:eastAsiaTheme="minorEastAsia" w:hAnsiTheme="minorHAnsi" w:cstheme="minorBidi"/>
          <w:b w:val="0"/>
          <w:bCs w:val="0"/>
          <w:color w:val="auto"/>
          <w:sz w:val="22"/>
          <w:szCs w:val="22"/>
        </w:rPr>
      </w:pPr>
      <w:hyperlink w:anchor="_Toc116994895" w:history="1">
        <w:r w:rsidRPr="000D5332">
          <w:rPr>
            <w:rStyle w:val="Hyperlink"/>
          </w:rPr>
          <w:t>2.13.</w:t>
        </w:r>
        <w:r>
          <w:rPr>
            <w:rFonts w:asciiTheme="minorHAnsi" w:eastAsiaTheme="minorEastAsia" w:hAnsiTheme="minorHAnsi" w:cstheme="minorBidi"/>
            <w:b w:val="0"/>
            <w:bCs w:val="0"/>
            <w:color w:val="auto"/>
            <w:sz w:val="22"/>
            <w:szCs w:val="22"/>
          </w:rPr>
          <w:tab/>
        </w:r>
        <w:r w:rsidRPr="000D5332">
          <w:rPr>
            <w:rStyle w:val="Hyperlink"/>
          </w:rPr>
          <w:t>Model runs</w:t>
        </w:r>
        <w:r>
          <w:rPr>
            <w:webHidden/>
          </w:rPr>
          <w:tab/>
        </w:r>
        <w:r>
          <w:rPr>
            <w:webHidden/>
          </w:rPr>
          <w:fldChar w:fldCharType="begin"/>
        </w:r>
        <w:r>
          <w:rPr>
            <w:webHidden/>
          </w:rPr>
          <w:instrText xml:space="preserve"> PAGEREF _Toc116994895 \h </w:instrText>
        </w:r>
        <w:r>
          <w:rPr>
            <w:webHidden/>
          </w:rPr>
        </w:r>
        <w:r>
          <w:rPr>
            <w:webHidden/>
          </w:rPr>
          <w:fldChar w:fldCharType="separate"/>
        </w:r>
        <w:r w:rsidR="005B672A">
          <w:rPr>
            <w:webHidden/>
          </w:rPr>
          <w:t>21</w:t>
        </w:r>
        <w:r>
          <w:rPr>
            <w:webHidden/>
          </w:rPr>
          <w:fldChar w:fldCharType="end"/>
        </w:r>
      </w:hyperlink>
    </w:p>
    <w:p w14:paraId="05AEF0C5" w14:textId="1F0B46A4" w:rsidR="00491210" w:rsidRDefault="00EE200C">
      <w:pPr>
        <w:pStyle w:val="TOC2"/>
        <w:rPr>
          <w:rFonts w:asciiTheme="minorHAnsi" w:eastAsiaTheme="minorEastAsia" w:hAnsiTheme="minorHAnsi" w:cstheme="minorBidi"/>
          <w:b w:val="0"/>
          <w:bCs w:val="0"/>
          <w:color w:val="auto"/>
          <w:sz w:val="22"/>
          <w:szCs w:val="22"/>
        </w:rPr>
      </w:pPr>
      <w:hyperlink w:anchor="_Toc116994896" w:history="1">
        <w:r w:rsidRPr="000D5332">
          <w:rPr>
            <w:rStyle w:val="Hyperlink"/>
            <w:rFonts w:eastAsia="Arial"/>
          </w:rPr>
          <w:t>2.14.</w:t>
        </w:r>
        <w:r>
          <w:rPr>
            <w:rFonts w:asciiTheme="minorHAnsi" w:eastAsiaTheme="minorEastAsia" w:hAnsiTheme="minorHAnsi" w:cstheme="minorBidi"/>
            <w:b w:val="0"/>
            <w:bCs w:val="0"/>
            <w:color w:val="auto"/>
            <w:sz w:val="22"/>
            <w:szCs w:val="22"/>
          </w:rPr>
          <w:tab/>
        </w:r>
        <w:r w:rsidRPr="000D5332">
          <w:rPr>
            <w:rStyle w:val="Hyperlink"/>
          </w:rPr>
          <w:t>Model assumptions and limitations</w:t>
        </w:r>
        <w:r>
          <w:rPr>
            <w:webHidden/>
          </w:rPr>
          <w:tab/>
        </w:r>
        <w:r>
          <w:rPr>
            <w:webHidden/>
          </w:rPr>
          <w:fldChar w:fldCharType="begin"/>
        </w:r>
        <w:r>
          <w:rPr>
            <w:webHidden/>
          </w:rPr>
          <w:instrText xml:space="preserve"> PAGEREF _Toc116994896 \h </w:instrText>
        </w:r>
        <w:r>
          <w:rPr>
            <w:webHidden/>
          </w:rPr>
        </w:r>
        <w:r>
          <w:rPr>
            <w:webHidden/>
          </w:rPr>
          <w:fldChar w:fldCharType="separate"/>
        </w:r>
        <w:r w:rsidR="005B672A">
          <w:rPr>
            <w:webHidden/>
          </w:rPr>
          <w:t>21</w:t>
        </w:r>
        <w:r>
          <w:rPr>
            <w:webHidden/>
          </w:rPr>
          <w:fldChar w:fldCharType="end"/>
        </w:r>
      </w:hyperlink>
    </w:p>
    <w:p w14:paraId="23576B71" w14:textId="7099BE7E" w:rsidR="00491210" w:rsidRDefault="00EE200C">
      <w:pPr>
        <w:pStyle w:val="TOC2"/>
        <w:rPr>
          <w:rFonts w:asciiTheme="minorHAnsi" w:eastAsiaTheme="minorEastAsia" w:hAnsiTheme="minorHAnsi" w:cstheme="minorBidi"/>
          <w:b w:val="0"/>
          <w:bCs w:val="0"/>
          <w:color w:val="auto"/>
          <w:sz w:val="22"/>
          <w:szCs w:val="22"/>
        </w:rPr>
      </w:pPr>
      <w:hyperlink w:anchor="_Toc116994897" w:history="1">
        <w:r w:rsidRPr="000D5332">
          <w:rPr>
            <w:rStyle w:val="Hyperlink"/>
            <w:rFonts w:eastAsia="Arial"/>
          </w:rPr>
          <w:t>2.15.</w:t>
        </w:r>
        <w:r>
          <w:rPr>
            <w:rFonts w:asciiTheme="minorHAnsi" w:eastAsiaTheme="minorEastAsia" w:hAnsiTheme="minorHAnsi" w:cstheme="minorBidi"/>
            <w:b w:val="0"/>
            <w:bCs w:val="0"/>
            <w:color w:val="auto"/>
            <w:sz w:val="22"/>
            <w:szCs w:val="22"/>
          </w:rPr>
          <w:tab/>
        </w:r>
        <w:r w:rsidRPr="000D5332">
          <w:rPr>
            <w:rStyle w:val="Hyperlink"/>
          </w:rPr>
          <w:t>Sensitivity analyses</w:t>
        </w:r>
        <w:r>
          <w:rPr>
            <w:webHidden/>
          </w:rPr>
          <w:tab/>
        </w:r>
        <w:r>
          <w:rPr>
            <w:webHidden/>
          </w:rPr>
          <w:fldChar w:fldCharType="begin"/>
        </w:r>
        <w:r>
          <w:rPr>
            <w:webHidden/>
          </w:rPr>
          <w:instrText xml:space="preserve"> PAGEREF _Toc116994897 \h </w:instrText>
        </w:r>
        <w:r>
          <w:rPr>
            <w:webHidden/>
          </w:rPr>
        </w:r>
        <w:r>
          <w:rPr>
            <w:webHidden/>
          </w:rPr>
          <w:fldChar w:fldCharType="separate"/>
        </w:r>
        <w:r w:rsidR="005B672A">
          <w:rPr>
            <w:webHidden/>
          </w:rPr>
          <w:t>22</w:t>
        </w:r>
        <w:r>
          <w:rPr>
            <w:webHidden/>
          </w:rPr>
          <w:fldChar w:fldCharType="end"/>
        </w:r>
      </w:hyperlink>
    </w:p>
    <w:p w14:paraId="6BC19887" w14:textId="59A85BEA" w:rsidR="00491210" w:rsidRDefault="00EE200C">
      <w:pPr>
        <w:pStyle w:val="TOC1"/>
        <w:rPr>
          <w:rFonts w:asciiTheme="minorHAnsi" w:eastAsiaTheme="minorEastAsia" w:hAnsiTheme="minorHAnsi" w:cstheme="minorBidi"/>
          <w:b w:val="0"/>
          <w:color w:val="auto"/>
          <w:sz w:val="22"/>
          <w:szCs w:val="22"/>
          <w:lang w:val="en-AU" w:eastAsia="en-AU"/>
        </w:rPr>
      </w:pPr>
      <w:hyperlink w:anchor="_Toc116994898" w:history="1">
        <w:r w:rsidRPr="000D5332">
          <w:rPr>
            <w:rStyle w:val="Hyperlink"/>
          </w:rPr>
          <w:t>3.</w:t>
        </w:r>
        <w:r>
          <w:rPr>
            <w:rFonts w:asciiTheme="minorHAnsi" w:eastAsiaTheme="minorEastAsia" w:hAnsiTheme="minorHAnsi" w:cstheme="minorBidi"/>
            <w:b w:val="0"/>
            <w:color w:val="auto"/>
            <w:sz w:val="22"/>
            <w:szCs w:val="22"/>
            <w:lang w:val="en-AU" w:eastAsia="en-AU"/>
          </w:rPr>
          <w:tab/>
        </w:r>
        <w:r w:rsidRPr="000D5332">
          <w:rPr>
            <w:rStyle w:val="Hyperlink"/>
          </w:rPr>
          <w:t>Results</w:t>
        </w:r>
        <w:r>
          <w:rPr>
            <w:webHidden/>
          </w:rPr>
          <w:tab/>
        </w:r>
        <w:r>
          <w:rPr>
            <w:webHidden/>
          </w:rPr>
          <w:fldChar w:fldCharType="begin"/>
        </w:r>
        <w:r>
          <w:rPr>
            <w:webHidden/>
          </w:rPr>
          <w:instrText xml:space="preserve"> PAGEREF _Toc116994898 \h </w:instrText>
        </w:r>
        <w:r>
          <w:rPr>
            <w:webHidden/>
          </w:rPr>
        </w:r>
        <w:r>
          <w:rPr>
            <w:webHidden/>
          </w:rPr>
          <w:fldChar w:fldCharType="separate"/>
        </w:r>
        <w:r w:rsidR="005B672A">
          <w:rPr>
            <w:webHidden/>
          </w:rPr>
          <w:t>23</w:t>
        </w:r>
        <w:r>
          <w:rPr>
            <w:webHidden/>
          </w:rPr>
          <w:fldChar w:fldCharType="end"/>
        </w:r>
      </w:hyperlink>
    </w:p>
    <w:p w14:paraId="7D056202" w14:textId="31A0BE1D" w:rsidR="00491210" w:rsidRDefault="00EE200C">
      <w:pPr>
        <w:pStyle w:val="TOC2"/>
        <w:rPr>
          <w:rFonts w:asciiTheme="minorHAnsi" w:eastAsiaTheme="minorEastAsia" w:hAnsiTheme="minorHAnsi" w:cstheme="minorBidi"/>
          <w:b w:val="0"/>
          <w:bCs w:val="0"/>
          <w:color w:val="auto"/>
          <w:sz w:val="22"/>
          <w:szCs w:val="22"/>
        </w:rPr>
      </w:pPr>
      <w:hyperlink w:anchor="_Toc116994899" w:history="1">
        <w:r w:rsidRPr="000D5332">
          <w:rPr>
            <w:rStyle w:val="Hyperlink"/>
          </w:rPr>
          <w:t>3.1.</w:t>
        </w:r>
        <w:r>
          <w:rPr>
            <w:rFonts w:asciiTheme="minorHAnsi" w:eastAsiaTheme="minorEastAsia" w:hAnsiTheme="minorHAnsi" w:cstheme="minorBidi"/>
            <w:b w:val="0"/>
            <w:bCs w:val="0"/>
            <w:color w:val="auto"/>
            <w:sz w:val="22"/>
            <w:szCs w:val="22"/>
          </w:rPr>
          <w:tab/>
        </w:r>
        <w:r w:rsidRPr="000D5332">
          <w:rPr>
            <w:rStyle w:val="Hyperlink"/>
          </w:rPr>
          <w:t>Population model responses to the relaxed-flow-constraints scenarios</w:t>
        </w:r>
        <w:r>
          <w:rPr>
            <w:webHidden/>
          </w:rPr>
          <w:tab/>
        </w:r>
        <w:r>
          <w:rPr>
            <w:webHidden/>
          </w:rPr>
          <w:fldChar w:fldCharType="begin"/>
        </w:r>
        <w:r>
          <w:rPr>
            <w:webHidden/>
          </w:rPr>
          <w:instrText xml:space="preserve"> PAGEREF _Toc116994899 \h </w:instrText>
        </w:r>
        <w:r>
          <w:rPr>
            <w:webHidden/>
          </w:rPr>
        </w:r>
        <w:r>
          <w:rPr>
            <w:webHidden/>
          </w:rPr>
          <w:fldChar w:fldCharType="separate"/>
        </w:r>
        <w:r w:rsidR="005B672A">
          <w:rPr>
            <w:webHidden/>
          </w:rPr>
          <w:t>23</w:t>
        </w:r>
        <w:r>
          <w:rPr>
            <w:webHidden/>
          </w:rPr>
          <w:fldChar w:fldCharType="end"/>
        </w:r>
      </w:hyperlink>
    </w:p>
    <w:p w14:paraId="528DE761" w14:textId="5F229C02"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00" w:history="1">
        <w:r w:rsidRPr="000D5332">
          <w:rPr>
            <w:rStyle w:val="Hyperlink"/>
          </w:rPr>
          <w:t>3.1.1.</w:t>
        </w:r>
        <w:r>
          <w:rPr>
            <w:rFonts w:asciiTheme="minorHAnsi" w:eastAsiaTheme="minorEastAsia" w:hAnsiTheme="minorHAnsi" w:cstheme="minorBidi"/>
            <w:b w:val="0"/>
            <w:bCs w:val="0"/>
            <w:color w:val="auto"/>
            <w:sz w:val="22"/>
            <w:szCs w:val="22"/>
            <w:lang w:eastAsia="en-AU"/>
          </w:rPr>
          <w:tab/>
        </w:r>
        <w:r w:rsidRPr="000D5332">
          <w:rPr>
            <w:rStyle w:val="Hyperlink"/>
          </w:rPr>
          <w:t>Golden Perch</w:t>
        </w:r>
        <w:r>
          <w:rPr>
            <w:webHidden/>
          </w:rPr>
          <w:tab/>
        </w:r>
        <w:r>
          <w:rPr>
            <w:webHidden/>
          </w:rPr>
          <w:fldChar w:fldCharType="begin"/>
        </w:r>
        <w:r>
          <w:rPr>
            <w:webHidden/>
          </w:rPr>
          <w:instrText xml:space="preserve"> PAGEREF _Toc116994900 \h </w:instrText>
        </w:r>
        <w:r>
          <w:rPr>
            <w:webHidden/>
          </w:rPr>
        </w:r>
        <w:r>
          <w:rPr>
            <w:webHidden/>
          </w:rPr>
          <w:fldChar w:fldCharType="separate"/>
        </w:r>
        <w:r w:rsidR="005B672A">
          <w:rPr>
            <w:webHidden/>
          </w:rPr>
          <w:t>23</w:t>
        </w:r>
        <w:r>
          <w:rPr>
            <w:webHidden/>
          </w:rPr>
          <w:fldChar w:fldCharType="end"/>
        </w:r>
      </w:hyperlink>
    </w:p>
    <w:p w14:paraId="28F2496F" w14:textId="08473AEF"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01" w:history="1">
        <w:r w:rsidRPr="000D5332">
          <w:rPr>
            <w:rStyle w:val="Hyperlink"/>
          </w:rPr>
          <w:t>3.1.2.</w:t>
        </w:r>
        <w:r>
          <w:rPr>
            <w:rFonts w:asciiTheme="minorHAnsi" w:eastAsiaTheme="minorEastAsia" w:hAnsiTheme="minorHAnsi" w:cstheme="minorBidi"/>
            <w:b w:val="0"/>
            <w:bCs w:val="0"/>
            <w:color w:val="auto"/>
            <w:sz w:val="22"/>
            <w:szCs w:val="22"/>
            <w:lang w:eastAsia="en-AU"/>
          </w:rPr>
          <w:tab/>
        </w:r>
        <w:r w:rsidRPr="000D5332">
          <w:rPr>
            <w:rStyle w:val="Hyperlink"/>
          </w:rPr>
          <w:t>Murray Cod</w:t>
        </w:r>
        <w:r>
          <w:rPr>
            <w:webHidden/>
          </w:rPr>
          <w:tab/>
        </w:r>
        <w:r>
          <w:rPr>
            <w:webHidden/>
          </w:rPr>
          <w:fldChar w:fldCharType="begin"/>
        </w:r>
        <w:r>
          <w:rPr>
            <w:webHidden/>
          </w:rPr>
          <w:instrText xml:space="preserve"> PAGEREF _Toc116994901 \h </w:instrText>
        </w:r>
        <w:r>
          <w:rPr>
            <w:webHidden/>
          </w:rPr>
        </w:r>
        <w:r>
          <w:rPr>
            <w:webHidden/>
          </w:rPr>
          <w:fldChar w:fldCharType="separate"/>
        </w:r>
        <w:r w:rsidR="005B672A">
          <w:rPr>
            <w:webHidden/>
          </w:rPr>
          <w:t>35</w:t>
        </w:r>
        <w:r>
          <w:rPr>
            <w:webHidden/>
          </w:rPr>
          <w:fldChar w:fldCharType="end"/>
        </w:r>
      </w:hyperlink>
    </w:p>
    <w:p w14:paraId="71F7EEF4" w14:textId="0C4B0B6C" w:rsidR="00491210" w:rsidRDefault="00EE200C">
      <w:pPr>
        <w:pStyle w:val="TOC2"/>
        <w:rPr>
          <w:rFonts w:asciiTheme="minorHAnsi" w:eastAsiaTheme="minorEastAsia" w:hAnsiTheme="minorHAnsi" w:cstheme="minorBidi"/>
          <w:b w:val="0"/>
          <w:bCs w:val="0"/>
          <w:color w:val="auto"/>
          <w:sz w:val="22"/>
          <w:szCs w:val="22"/>
        </w:rPr>
      </w:pPr>
      <w:hyperlink w:anchor="_Toc116994902" w:history="1">
        <w:r w:rsidRPr="000D5332">
          <w:rPr>
            <w:rStyle w:val="Hyperlink"/>
          </w:rPr>
          <w:t>3.2.</w:t>
        </w:r>
        <w:r>
          <w:rPr>
            <w:rFonts w:asciiTheme="minorHAnsi" w:eastAsiaTheme="minorEastAsia" w:hAnsiTheme="minorHAnsi" w:cstheme="minorBidi"/>
            <w:b w:val="0"/>
            <w:bCs w:val="0"/>
            <w:color w:val="auto"/>
            <w:sz w:val="22"/>
            <w:szCs w:val="22"/>
          </w:rPr>
          <w:tab/>
        </w:r>
        <w:r w:rsidRPr="000D5332">
          <w:rPr>
            <w:rStyle w:val="Hyperlink"/>
          </w:rPr>
          <w:t>Model validation</w:t>
        </w:r>
        <w:r>
          <w:rPr>
            <w:webHidden/>
          </w:rPr>
          <w:tab/>
        </w:r>
        <w:r>
          <w:rPr>
            <w:webHidden/>
          </w:rPr>
          <w:fldChar w:fldCharType="begin"/>
        </w:r>
        <w:r>
          <w:rPr>
            <w:webHidden/>
          </w:rPr>
          <w:instrText xml:space="preserve"> PAGEREF _Toc116994902 \h </w:instrText>
        </w:r>
        <w:r>
          <w:rPr>
            <w:webHidden/>
          </w:rPr>
        </w:r>
        <w:r>
          <w:rPr>
            <w:webHidden/>
          </w:rPr>
          <w:fldChar w:fldCharType="separate"/>
        </w:r>
        <w:r w:rsidR="005B672A">
          <w:rPr>
            <w:webHidden/>
          </w:rPr>
          <w:t>53</w:t>
        </w:r>
        <w:r>
          <w:rPr>
            <w:webHidden/>
          </w:rPr>
          <w:fldChar w:fldCharType="end"/>
        </w:r>
      </w:hyperlink>
    </w:p>
    <w:p w14:paraId="4F96F95B" w14:textId="0239C96A"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03" w:history="1">
        <w:r w:rsidRPr="000D5332">
          <w:rPr>
            <w:rStyle w:val="Hyperlink"/>
          </w:rPr>
          <w:t>3.2.1.</w:t>
        </w:r>
        <w:r>
          <w:rPr>
            <w:rFonts w:asciiTheme="minorHAnsi" w:eastAsiaTheme="minorEastAsia" w:hAnsiTheme="minorHAnsi" w:cstheme="minorBidi"/>
            <w:b w:val="0"/>
            <w:bCs w:val="0"/>
            <w:color w:val="auto"/>
            <w:sz w:val="22"/>
            <w:szCs w:val="22"/>
            <w:lang w:eastAsia="en-AU"/>
          </w:rPr>
          <w:tab/>
        </w:r>
        <w:r w:rsidRPr="000D5332">
          <w:rPr>
            <w:rStyle w:val="Hyperlink"/>
          </w:rPr>
          <w:t>Overview of validation approach</w:t>
        </w:r>
        <w:r>
          <w:rPr>
            <w:webHidden/>
          </w:rPr>
          <w:tab/>
        </w:r>
        <w:r>
          <w:rPr>
            <w:webHidden/>
          </w:rPr>
          <w:fldChar w:fldCharType="begin"/>
        </w:r>
        <w:r>
          <w:rPr>
            <w:webHidden/>
          </w:rPr>
          <w:instrText xml:space="preserve"> PAGEREF _Toc116994903 \h </w:instrText>
        </w:r>
        <w:r>
          <w:rPr>
            <w:webHidden/>
          </w:rPr>
        </w:r>
        <w:r>
          <w:rPr>
            <w:webHidden/>
          </w:rPr>
          <w:fldChar w:fldCharType="separate"/>
        </w:r>
        <w:r w:rsidR="005B672A">
          <w:rPr>
            <w:webHidden/>
          </w:rPr>
          <w:t>53</w:t>
        </w:r>
        <w:r>
          <w:rPr>
            <w:webHidden/>
          </w:rPr>
          <w:fldChar w:fldCharType="end"/>
        </w:r>
      </w:hyperlink>
    </w:p>
    <w:p w14:paraId="6DE8F57E" w14:textId="0FCA6601"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04" w:history="1">
        <w:r w:rsidRPr="000D5332">
          <w:rPr>
            <w:rStyle w:val="Hyperlink"/>
          </w:rPr>
          <w:t>3.2.2.</w:t>
        </w:r>
        <w:r>
          <w:rPr>
            <w:rFonts w:asciiTheme="minorHAnsi" w:eastAsiaTheme="minorEastAsia" w:hAnsiTheme="minorHAnsi" w:cstheme="minorBidi"/>
            <w:b w:val="0"/>
            <w:bCs w:val="0"/>
            <w:color w:val="auto"/>
            <w:sz w:val="22"/>
            <w:szCs w:val="22"/>
            <w:lang w:eastAsia="en-AU"/>
          </w:rPr>
          <w:tab/>
        </w:r>
        <w:r w:rsidRPr="000D5332">
          <w:rPr>
            <w:rStyle w:val="Hyperlink"/>
          </w:rPr>
          <w:t>Validation results</w:t>
        </w:r>
        <w:r>
          <w:rPr>
            <w:webHidden/>
          </w:rPr>
          <w:tab/>
        </w:r>
        <w:r>
          <w:rPr>
            <w:webHidden/>
          </w:rPr>
          <w:fldChar w:fldCharType="begin"/>
        </w:r>
        <w:r>
          <w:rPr>
            <w:webHidden/>
          </w:rPr>
          <w:instrText xml:space="preserve"> PAGEREF _Toc116994904 \h </w:instrText>
        </w:r>
        <w:r>
          <w:rPr>
            <w:webHidden/>
          </w:rPr>
        </w:r>
        <w:r>
          <w:rPr>
            <w:webHidden/>
          </w:rPr>
          <w:fldChar w:fldCharType="separate"/>
        </w:r>
        <w:r w:rsidR="005B672A">
          <w:rPr>
            <w:webHidden/>
          </w:rPr>
          <w:t>58</w:t>
        </w:r>
        <w:r>
          <w:rPr>
            <w:webHidden/>
          </w:rPr>
          <w:fldChar w:fldCharType="end"/>
        </w:r>
      </w:hyperlink>
    </w:p>
    <w:p w14:paraId="1D1ED005" w14:textId="452BEA6E" w:rsidR="00491210" w:rsidRDefault="00EE200C">
      <w:pPr>
        <w:pStyle w:val="TOC1"/>
        <w:rPr>
          <w:rFonts w:asciiTheme="minorHAnsi" w:eastAsiaTheme="minorEastAsia" w:hAnsiTheme="minorHAnsi" w:cstheme="minorBidi"/>
          <w:b w:val="0"/>
          <w:color w:val="auto"/>
          <w:sz w:val="22"/>
          <w:szCs w:val="22"/>
          <w:lang w:val="en-AU" w:eastAsia="en-AU"/>
        </w:rPr>
      </w:pPr>
      <w:hyperlink w:anchor="_Toc116994905" w:history="1">
        <w:r w:rsidRPr="000D5332">
          <w:rPr>
            <w:rStyle w:val="Hyperlink"/>
          </w:rPr>
          <w:t>4.</w:t>
        </w:r>
        <w:r>
          <w:rPr>
            <w:rFonts w:asciiTheme="minorHAnsi" w:eastAsiaTheme="minorEastAsia" w:hAnsiTheme="minorHAnsi" w:cstheme="minorBidi"/>
            <w:b w:val="0"/>
            <w:color w:val="auto"/>
            <w:sz w:val="22"/>
            <w:szCs w:val="22"/>
            <w:lang w:val="en-AU" w:eastAsia="en-AU"/>
          </w:rPr>
          <w:tab/>
        </w:r>
        <w:r w:rsidRPr="000D5332">
          <w:rPr>
            <w:rStyle w:val="Hyperlink"/>
          </w:rPr>
          <w:t>Discussion</w:t>
        </w:r>
        <w:r>
          <w:rPr>
            <w:webHidden/>
          </w:rPr>
          <w:tab/>
        </w:r>
        <w:r>
          <w:rPr>
            <w:webHidden/>
          </w:rPr>
          <w:fldChar w:fldCharType="begin"/>
        </w:r>
        <w:r>
          <w:rPr>
            <w:webHidden/>
          </w:rPr>
          <w:instrText xml:space="preserve"> PAGEREF _Toc116994905 \h </w:instrText>
        </w:r>
        <w:r>
          <w:rPr>
            <w:webHidden/>
          </w:rPr>
        </w:r>
        <w:r>
          <w:rPr>
            <w:webHidden/>
          </w:rPr>
          <w:fldChar w:fldCharType="separate"/>
        </w:r>
        <w:r w:rsidR="005B672A">
          <w:rPr>
            <w:webHidden/>
          </w:rPr>
          <w:t>68</w:t>
        </w:r>
        <w:r>
          <w:rPr>
            <w:webHidden/>
          </w:rPr>
          <w:fldChar w:fldCharType="end"/>
        </w:r>
      </w:hyperlink>
    </w:p>
    <w:p w14:paraId="421F235D" w14:textId="22F2CB06"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06" w:history="1">
        <w:r w:rsidRPr="000D5332">
          <w:rPr>
            <w:rStyle w:val="Hyperlink"/>
          </w:rPr>
          <w:t>Key findings</w:t>
        </w:r>
        <w:r>
          <w:rPr>
            <w:webHidden/>
          </w:rPr>
          <w:tab/>
        </w:r>
        <w:r>
          <w:rPr>
            <w:webHidden/>
          </w:rPr>
          <w:fldChar w:fldCharType="begin"/>
        </w:r>
        <w:r>
          <w:rPr>
            <w:webHidden/>
          </w:rPr>
          <w:instrText xml:space="preserve"> PAGEREF _Toc116994906 \h </w:instrText>
        </w:r>
        <w:r>
          <w:rPr>
            <w:webHidden/>
          </w:rPr>
        </w:r>
        <w:r>
          <w:rPr>
            <w:webHidden/>
          </w:rPr>
          <w:fldChar w:fldCharType="separate"/>
        </w:r>
        <w:r w:rsidR="005B672A">
          <w:rPr>
            <w:webHidden/>
          </w:rPr>
          <w:t>68</w:t>
        </w:r>
        <w:r>
          <w:rPr>
            <w:webHidden/>
          </w:rPr>
          <w:fldChar w:fldCharType="end"/>
        </w:r>
      </w:hyperlink>
    </w:p>
    <w:p w14:paraId="3F9C6E91" w14:textId="1AF66391"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07" w:history="1">
        <w:r w:rsidRPr="000D5332">
          <w:rPr>
            <w:rStyle w:val="Hyperlink"/>
          </w:rPr>
          <w:t>Model validation</w:t>
        </w:r>
        <w:r>
          <w:rPr>
            <w:webHidden/>
          </w:rPr>
          <w:tab/>
        </w:r>
        <w:r>
          <w:rPr>
            <w:webHidden/>
          </w:rPr>
          <w:fldChar w:fldCharType="begin"/>
        </w:r>
        <w:r>
          <w:rPr>
            <w:webHidden/>
          </w:rPr>
          <w:instrText xml:space="preserve"> PAGEREF _Toc116994907 \h </w:instrText>
        </w:r>
        <w:r>
          <w:rPr>
            <w:webHidden/>
          </w:rPr>
        </w:r>
        <w:r>
          <w:rPr>
            <w:webHidden/>
          </w:rPr>
          <w:fldChar w:fldCharType="separate"/>
        </w:r>
        <w:r w:rsidR="005B672A">
          <w:rPr>
            <w:webHidden/>
          </w:rPr>
          <w:t>69</w:t>
        </w:r>
        <w:r>
          <w:rPr>
            <w:webHidden/>
          </w:rPr>
          <w:fldChar w:fldCharType="end"/>
        </w:r>
      </w:hyperlink>
    </w:p>
    <w:p w14:paraId="6F4A8AF6" w14:textId="02F794E5"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08" w:history="1">
        <w:r w:rsidRPr="000D5332">
          <w:rPr>
            <w:rStyle w:val="Hyperlink"/>
          </w:rPr>
          <w:t>Opportunities for model refinement</w:t>
        </w:r>
        <w:r>
          <w:rPr>
            <w:webHidden/>
          </w:rPr>
          <w:tab/>
        </w:r>
        <w:r>
          <w:rPr>
            <w:webHidden/>
          </w:rPr>
          <w:fldChar w:fldCharType="begin"/>
        </w:r>
        <w:r>
          <w:rPr>
            <w:webHidden/>
          </w:rPr>
          <w:instrText xml:space="preserve"> PAGEREF _Toc116994908 \h </w:instrText>
        </w:r>
        <w:r>
          <w:rPr>
            <w:webHidden/>
          </w:rPr>
        </w:r>
        <w:r>
          <w:rPr>
            <w:webHidden/>
          </w:rPr>
          <w:fldChar w:fldCharType="separate"/>
        </w:r>
        <w:r w:rsidR="005B672A">
          <w:rPr>
            <w:webHidden/>
          </w:rPr>
          <w:t>71</w:t>
        </w:r>
        <w:r>
          <w:rPr>
            <w:webHidden/>
          </w:rPr>
          <w:fldChar w:fldCharType="end"/>
        </w:r>
      </w:hyperlink>
    </w:p>
    <w:p w14:paraId="19C1FADA" w14:textId="7EBF16B0"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09" w:history="1">
        <w:r w:rsidRPr="000D5332">
          <w:rPr>
            <w:rStyle w:val="Hyperlink"/>
          </w:rPr>
          <w:t>Conclusion</w:t>
        </w:r>
        <w:r>
          <w:rPr>
            <w:webHidden/>
          </w:rPr>
          <w:tab/>
        </w:r>
        <w:r>
          <w:rPr>
            <w:webHidden/>
          </w:rPr>
          <w:fldChar w:fldCharType="begin"/>
        </w:r>
        <w:r>
          <w:rPr>
            <w:webHidden/>
          </w:rPr>
          <w:instrText xml:space="preserve"> PAGEREF _Toc116994909 \h </w:instrText>
        </w:r>
        <w:r>
          <w:rPr>
            <w:webHidden/>
          </w:rPr>
        </w:r>
        <w:r>
          <w:rPr>
            <w:webHidden/>
          </w:rPr>
          <w:fldChar w:fldCharType="separate"/>
        </w:r>
        <w:r w:rsidR="005B672A">
          <w:rPr>
            <w:webHidden/>
          </w:rPr>
          <w:t>71</w:t>
        </w:r>
        <w:r>
          <w:rPr>
            <w:webHidden/>
          </w:rPr>
          <w:fldChar w:fldCharType="end"/>
        </w:r>
      </w:hyperlink>
    </w:p>
    <w:p w14:paraId="41C13DDC" w14:textId="51F79C0C"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10" w:history="1">
        <w:r w:rsidRPr="000D5332">
          <w:rPr>
            <w:rStyle w:val="Hyperlink"/>
          </w:rPr>
          <w:t>Recommendations</w:t>
        </w:r>
        <w:r>
          <w:rPr>
            <w:webHidden/>
          </w:rPr>
          <w:tab/>
        </w:r>
        <w:r>
          <w:rPr>
            <w:webHidden/>
          </w:rPr>
          <w:fldChar w:fldCharType="begin"/>
        </w:r>
        <w:r>
          <w:rPr>
            <w:webHidden/>
          </w:rPr>
          <w:instrText xml:space="preserve"> PAGEREF _Toc116994910 \h </w:instrText>
        </w:r>
        <w:r>
          <w:rPr>
            <w:webHidden/>
          </w:rPr>
        </w:r>
        <w:r>
          <w:rPr>
            <w:webHidden/>
          </w:rPr>
          <w:fldChar w:fldCharType="separate"/>
        </w:r>
        <w:r w:rsidR="005B672A">
          <w:rPr>
            <w:webHidden/>
          </w:rPr>
          <w:t>72</w:t>
        </w:r>
        <w:r>
          <w:rPr>
            <w:webHidden/>
          </w:rPr>
          <w:fldChar w:fldCharType="end"/>
        </w:r>
      </w:hyperlink>
    </w:p>
    <w:p w14:paraId="2D6EF165" w14:textId="2CA57D69" w:rsidR="00491210" w:rsidRDefault="00EE200C">
      <w:pPr>
        <w:pStyle w:val="TOC1"/>
        <w:rPr>
          <w:rFonts w:asciiTheme="minorHAnsi" w:eastAsiaTheme="minorEastAsia" w:hAnsiTheme="minorHAnsi" w:cstheme="minorBidi"/>
          <w:b w:val="0"/>
          <w:color w:val="auto"/>
          <w:sz w:val="22"/>
          <w:szCs w:val="22"/>
          <w:lang w:val="en-AU" w:eastAsia="en-AU"/>
        </w:rPr>
      </w:pPr>
      <w:hyperlink w:anchor="_Toc116994911" w:history="1">
        <w:r w:rsidRPr="000D5332">
          <w:rPr>
            <w:rStyle w:val="Hyperlink"/>
          </w:rPr>
          <w:t>5.</w:t>
        </w:r>
        <w:r>
          <w:rPr>
            <w:rFonts w:asciiTheme="minorHAnsi" w:eastAsiaTheme="minorEastAsia" w:hAnsiTheme="minorHAnsi" w:cstheme="minorBidi"/>
            <w:b w:val="0"/>
            <w:color w:val="auto"/>
            <w:sz w:val="22"/>
            <w:szCs w:val="22"/>
            <w:lang w:val="en-AU" w:eastAsia="en-AU"/>
          </w:rPr>
          <w:tab/>
        </w:r>
        <w:r w:rsidRPr="000D5332">
          <w:rPr>
            <w:rStyle w:val="Hyperlink"/>
          </w:rPr>
          <w:t>References</w:t>
        </w:r>
        <w:r>
          <w:rPr>
            <w:webHidden/>
          </w:rPr>
          <w:tab/>
        </w:r>
        <w:r>
          <w:rPr>
            <w:webHidden/>
          </w:rPr>
          <w:fldChar w:fldCharType="begin"/>
        </w:r>
        <w:r>
          <w:rPr>
            <w:webHidden/>
          </w:rPr>
          <w:instrText xml:space="preserve"> PAGEREF _Toc116994911 \h </w:instrText>
        </w:r>
        <w:r>
          <w:rPr>
            <w:webHidden/>
          </w:rPr>
        </w:r>
        <w:r>
          <w:rPr>
            <w:webHidden/>
          </w:rPr>
          <w:fldChar w:fldCharType="separate"/>
        </w:r>
        <w:r w:rsidR="005B672A">
          <w:rPr>
            <w:webHidden/>
          </w:rPr>
          <w:t>73</w:t>
        </w:r>
        <w:r>
          <w:rPr>
            <w:webHidden/>
          </w:rPr>
          <w:fldChar w:fldCharType="end"/>
        </w:r>
      </w:hyperlink>
    </w:p>
    <w:p w14:paraId="142F8CAE" w14:textId="3171F524" w:rsidR="00491210" w:rsidRDefault="00EE200C">
      <w:pPr>
        <w:pStyle w:val="TOC1"/>
        <w:rPr>
          <w:rFonts w:asciiTheme="minorHAnsi" w:eastAsiaTheme="minorEastAsia" w:hAnsiTheme="minorHAnsi" w:cstheme="minorBidi"/>
          <w:b w:val="0"/>
          <w:color w:val="auto"/>
          <w:sz w:val="22"/>
          <w:szCs w:val="22"/>
          <w:lang w:val="en-AU" w:eastAsia="en-AU"/>
        </w:rPr>
      </w:pPr>
      <w:hyperlink w:anchor="_Toc116994912" w:history="1">
        <w:r w:rsidRPr="000D5332">
          <w:rPr>
            <w:rStyle w:val="Hyperlink"/>
          </w:rPr>
          <w:t>6.</w:t>
        </w:r>
        <w:r>
          <w:rPr>
            <w:rFonts w:asciiTheme="minorHAnsi" w:eastAsiaTheme="minorEastAsia" w:hAnsiTheme="minorHAnsi" w:cstheme="minorBidi"/>
            <w:b w:val="0"/>
            <w:color w:val="auto"/>
            <w:sz w:val="22"/>
            <w:szCs w:val="22"/>
            <w:lang w:val="en-AU" w:eastAsia="en-AU"/>
          </w:rPr>
          <w:tab/>
        </w:r>
        <w:r w:rsidRPr="000D5332">
          <w:rPr>
            <w:rStyle w:val="Hyperlink"/>
          </w:rPr>
          <w:t>Appendices</w:t>
        </w:r>
        <w:r>
          <w:rPr>
            <w:webHidden/>
          </w:rPr>
          <w:tab/>
        </w:r>
        <w:r>
          <w:rPr>
            <w:webHidden/>
          </w:rPr>
          <w:fldChar w:fldCharType="begin"/>
        </w:r>
        <w:r>
          <w:rPr>
            <w:webHidden/>
          </w:rPr>
          <w:instrText xml:space="preserve"> PAGEREF _Toc116994912 \h </w:instrText>
        </w:r>
        <w:r>
          <w:rPr>
            <w:webHidden/>
          </w:rPr>
        </w:r>
        <w:r>
          <w:rPr>
            <w:webHidden/>
          </w:rPr>
          <w:fldChar w:fldCharType="separate"/>
        </w:r>
        <w:r w:rsidR="005B672A">
          <w:rPr>
            <w:webHidden/>
          </w:rPr>
          <w:t>80</w:t>
        </w:r>
        <w:r>
          <w:rPr>
            <w:webHidden/>
          </w:rPr>
          <w:fldChar w:fldCharType="end"/>
        </w:r>
      </w:hyperlink>
    </w:p>
    <w:p w14:paraId="7F34B2A5" w14:textId="6505D00D" w:rsidR="00491210" w:rsidRDefault="00EE200C">
      <w:pPr>
        <w:pStyle w:val="TOC2"/>
        <w:rPr>
          <w:rFonts w:asciiTheme="minorHAnsi" w:eastAsiaTheme="minorEastAsia" w:hAnsiTheme="minorHAnsi" w:cstheme="minorBidi"/>
          <w:b w:val="0"/>
          <w:bCs w:val="0"/>
          <w:color w:val="auto"/>
          <w:sz w:val="22"/>
          <w:szCs w:val="22"/>
        </w:rPr>
      </w:pPr>
      <w:hyperlink w:anchor="_Toc116994913" w:history="1">
        <w:r w:rsidRPr="000D5332">
          <w:rPr>
            <w:rStyle w:val="Hyperlink"/>
          </w:rPr>
          <w:t>Appendix 1. ARI Project Team</w:t>
        </w:r>
        <w:r>
          <w:rPr>
            <w:webHidden/>
          </w:rPr>
          <w:tab/>
        </w:r>
        <w:r>
          <w:rPr>
            <w:webHidden/>
          </w:rPr>
          <w:fldChar w:fldCharType="begin"/>
        </w:r>
        <w:r>
          <w:rPr>
            <w:webHidden/>
          </w:rPr>
          <w:instrText xml:space="preserve"> PAGEREF _Toc116994913 \h </w:instrText>
        </w:r>
        <w:r>
          <w:rPr>
            <w:webHidden/>
          </w:rPr>
        </w:r>
        <w:r>
          <w:rPr>
            <w:webHidden/>
          </w:rPr>
          <w:fldChar w:fldCharType="separate"/>
        </w:r>
        <w:r w:rsidR="005B672A">
          <w:rPr>
            <w:webHidden/>
          </w:rPr>
          <w:t>80</w:t>
        </w:r>
        <w:r>
          <w:rPr>
            <w:webHidden/>
          </w:rPr>
          <w:fldChar w:fldCharType="end"/>
        </w:r>
      </w:hyperlink>
    </w:p>
    <w:p w14:paraId="23B65011" w14:textId="6FC23CC6" w:rsidR="00491210" w:rsidRDefault="00EE200C">
      <w:pPr>
        <w:pStyle w:val="TOC2"/>
        <w:rPr>
          <w:rFonts w:asciiTheme="minorHAnsi" w:eastAsiaTheme="minorEastAsia" w:hAnsiTheme="minorHAnsi" w:cstheme="minorBidi"/>
          <w:b w:val="0"/>
          <w:bCs w:val="0"/>
          <w:color w:val="auto"/>
          <w:sz w:val="22"/>
          <w:szCs w:val="22"/>
        </w:rPr>
      </w:pPr>
      <w:hyperlink w:anchor="_Toc116994914" w:history="1">
        <w:r w:rsidRPr="000D5332">
          <w:rPr>
            <w:rStyle w:val="Hyperlink"/>
          </w:rPr>
          <w:t>Appendix 2. Full population model descriptions</w:t>
        </w:r>
        <w:r>
          <w:rPr>
            <w:webHidden/>
          </w:rPr>
          <w:tab/>
        </w:r>
        <w:r>
          <w:rPr>
            <w:webHidden/>
          </w:rPr>
          <w:fldChar w:fldCharType="begin"/>
        </w:r>
        <w:r>
          <w:rPr>
            <w:webHidden/>
          </w:rPr>
          <w:instrText xml:space="preserve"> PAGEREF _Toc116994914 \h </w:instrText>
        </w:r>
        <w:r>
          <w:rPr>
            <w:webHidden/>
          </w:rPr>
        </w:r>
        <w:r>
          <w:rPr>
            <w:webHidden/>
          </w:rPr>
          <w:fldChar w:fldCharType="separate"/>
        </w:r>
        <w:r w:rsidR="005B672A">
          <w:rPr>
            <w:webHidden/>
          </w:rPr>
          <w:t>93</w:t>
        </w:r>
        <w:r>
          <w:rPr>
            <w:webHidden/>
          </w:rPr>
          <w:fldChar w:fldCharType="end"/>
        </w:r>
      </w:hyperlink>
    </w:p>
    <w:p w14:paraId="242A53D9" w14:textId="3549EBBE"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15" w:history="1">
        <w:r w:rsidRPr="000D5332">
          <w:rPr>
            <w:rStyle w:val="Hyperlink"/>
            <w:smallCaps/>
          </w:rPr>
          <w:t>Essential</w:t>
        </w:r>
        <w:r w:rsidRPr="000D5332">
          <w:rPr>
            <w:rStyle w:val="Hyperlink"/>
          </w:rPr>
          <w:t xml:space="preserve"> population modelling software</w:t>
        </w:r>
        <w:r>
          <w:rPr>
            <w:webHidden/>
          </w:rPr>
          <w:tab/>
        </w:r>
        <w:r>
          <w:rPr>
            <w:webHidden/>
          </w:rPr>
          <w:fldChar w:fldCharType="begin"/>
        </w:r>
        <w:r>
          <w:rPr>
            <w:webHidden/>
          </w:rPr>
          <w:instrText xml:space="preserve"> PAGEREF _Toc116994915 \h </w:instrText>
        </w:r>
        <w:r>
          <w:rPr>
            <w:webHidden/>
          </w:rPr>
        </w:r>
        <w:r>
          <w:rPr>
            <w:webHidden/>
          </w:rPr>
          <w:fldChar w:fldCharType="separate"/>
        </w:r>
        <w:r w:rsidR="005B672A">
          <w:rPr>
            <w:webHidden/>
          </w:rPr>
          <w:t>93</w:t>
        </w:r>
        <w:r>
          <w:rPr>
            <w:webHidden/>
          </w:rPr>
          <w:fldChar w:fldCharType="end"/>
        </w:r>
      </w:hyperlink>
    </w:p>
    <w:p w14:paraId="06DF841A" w14:textId="5883ACDD"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16" w:history="1">
        <w:r w:rsidRPr="000D5332">
          <w:rPr>
            <w:rStyle w:val="Hyperlink"/>
          </w:rPr>
          <w:t>Murray Cod single population construct</w:t>
        </w:r>
        <w:r>
          <w:rPr>
            <w:webHidden/>
          </w:rPr>
          <w:tab/>
        </w:r>
        <w:r>
          <w:rPr>
            <w:webHidden/>
          </w:rPr>
          <w:fldChar w:fldCharType="begin"/>
        </w:r>
        <w:r>
          <w:rPr>
            <w:webHidden/>
          </w:rPr>
          <w:instrText xml:space="preserve"> PAGEREF _Toc116994916 \h </w:instrText>
        </w:r>
        <w:r>
          <w:rPr>
            <w:webHidden/>
          </w:rPr>
        </w:r>
        <w:r>
          <w:rPr>
            <w:webHidden/>
          </w:rPr>
          <w:fldChar w:fldCharType="separate"/>
        </w:r>
        <w:r w:rsidR="005B672A">
          <w:rPr>
            <w:webHidden/>
          </w:rPr>
          <w:t>93</w:t>
        </w:r>
        <w:r>
          <w:rPr>
            <w:webHidden/>
          </w:rPr>
          <w:fldChar w:fldCharType="end"/>
        </w:r>
      </w:hyperlink>
    </w:p>
    <w:p w14:paraId="47DB8BDF" w14:textId="581DB3D9"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17" w:history="1">
        <w:r w:rsidRPr="000D5332">
          <w:rPr>
            <w:rStyle w:val="Hyperlink"/>
          </w:rPr>
          <w:t>Golden Perch metapopulation construct</w:t>
        </w:r>
        <w:r>
          <w:rPr>
            <w:webHidden/>
          </w:rPr>
          <w:tab/>
        </w:r>
        <w:r>
          <w:rPr>
            <w:webHidden/>
          </w:rPr>
          <w:fldChar w:fldCharType="begin"/>
        </w:r>
        <w:r>
          <w:rPr>
            <w:webHidden/>
          </w:rPr>
          <w:instrText xml:space="preserve"> PAGEREF _Toc116994917 \h </w:instrText>
        </w:r>
        <w:r>
          <w:rPr>
            <w:webHidden/>
          </w:rPr>
        </w:r>
        <w:r>
          <w:rPr>
            <w:webHidden/>
          </w:rPr>
          <w:fldChar w:fldCharType="separate"/>
        </w:r>
        <w:r w:rsidR="005B672A">
          <w:rPr>
            <w:webHidden/>
          </w:rPr>
          <w:t>97</w:t>
        </w:r>
        <w:r>
          <w:rPr>
            <w:webHidden/>
          </w:rPr>
          <w:fldChar w:fldCharType="end"/>
        </w:r>
      </w:hyperlink>
    </w:p>
    <w:p w14:paraId="4C91CD37" w14:textId="5F001550"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18" w:history="1">
        <w:r w:rsidRPr="000D5332">
          <w:rPr>
            <w:rStyle w:val="Hyperlink"/>
          </w:rPr>
          <w:t>Model rules documentation</w:t>
        </w:r>
        <w:r>
          <w:rPr>
            <w:webHidden/>
          </w:rPr>
          <w:tab/>
        </w:r>
        <w:r>
          <w:rPr>
            <w:webHidden/>
          </w:rPr>
          <w:fldChar w:fldCharType="begin"/>
        </w:r>
        <w:r>
          <w:rPr>
            <w:webHidden/>
          </w:rPr>
          <w:instrText xml:space="preserve"> PAGEREF _Toc116994918 \h </w:instrText>
        </w:r>
        <w:r>
          <w:rPr>
            <w:webHidden/>
          </w:rPr>
        </w:r>
        <w:r>
          <w:rPr>
            <w:webHidden/>
          </w:rPr>
          <w:fldChar w:fldCharType="separate"/>
        </w:r>
        <w:r w:rsidR="005B672A">
          <w:rPr>
            <w:webHidden/>
          </w:rPr>
          <w:t>101</w:t>
        </w:r>
        <w:r>
          <w:rPr>
            <w:webHidden/>
          </w:rPr>
          <w:fldChar w:fldCharType="end"/>
        </w:r>
      </w:hyperlink>
    </w:p>
    <w:p w14:paraId="107AA3B4" w14:textId="750924E6" w:rsidR="00491210" w:rsidRDefault="00EE200C">
      <w:pPr>
        <w:pStyle w:val="TOC2"/>
        <w:rPr>
          <w:rFonts w:asciiTheme="minorHAnsi" w:eastAsiaTheme="minorEastAsia" w:hAnsiTheme="minorHAnsi" w:cstheme="minorBidi"/>
          <w:b w:val="0"/>
          <w:bCs w:val="0"/>
          <w:color w:val="auto"/>
          <w:sz w:val="22"/>
          <w:szCs w:val="22"/>
        </w:rPr>
      </w:pPr>
      <w:hyperlink w:anchor="_Toc116994919" w:history="1">
        <w:r w:rsidRPr="000D5332">
          <w:rPr>
            <w:rStyle w:val="Hyperlink"/>
          </w:rPr>
          <w:t>Appendix 3. All outputs from the modelling scenarios</w:t>
        </w:r>
        <w:r>
          <w:rPr>
            <w:webHidden/>
          </w:rPr>
          <w:tab/>
        </w:r>
        <w:r>
          <w:rPr>
            <w:webHidden/>
          </w:rPr>
          <w:fldChar w:fldCharType="begin"/>
        </w:r>
        <w:r>
          <w:rPr>
            <w:webHidden/>
          </w:rPr>
          <w:instrText xml:space="preserve"> PAGEREF _Toc116994919 \h </w:instrText>
        </w:r>
        <w:r>
          <w:rPr>
            <w:webHidden/>
          </w:rPr>
        </w:r>
        <w:r>
          <w:rPr>
            <w:webHidden/>
          </w:rPr>
          <w:fldChar w:fldCharType="separate"/>
        </w:r>
        <w:r w:rsidR="005B672A">
          <w:rPr>
            <w:webHidden/>
          </w:rPr>
          <w:t>109</w:t>
        </w:r>
        <w:r>
          <w:rPr>
            <w:webHidden/>
          </w:rPr>
          <w:fldChar w:fldCharType="end"/>
        </w:r>
      </w:hyperlink>
    </w:p>
    <w:p w14:paraId="4BE6F95F" w14:textId="0294D41D"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20" w:history="1">
        <w:r w:rsidRPr="000D5332">
          <w:rPr>
            <w:rStyle w:val="Hyperlink"/>
            <w:lang w:eastAsia="en-AU"/>
          </w:rPr>
          <w:t>Golden Perch adult populations</w:t>
        </w:r>
        <w:r>
          <w:rPr>
            <w:webHidden/>
          </w:rPr>
          <w:tab/>
        </w:r>
        <w:r>
          <w:rPr>
            <w:webHidden/>
          </w:rPr>
          <w:fldChar w:fldCharType="begin"/>
        </w:r>
        <w:r>
          <w:rPr>
            <w:webHidden/>
          </w:rPr>
          <w:instrText xml:space="preserve"> PAGEREF _Toc116994920 \h </w:instrText>
        </w:r>
        <w:r>
          <w:rPr>
            <w:webHidden/>
          </w:rPr>
        </w:r>
        <w:r>
          <w:rPr>
            <w:webHidden/>
          </w:rPr>
          <w:fldChar w:fldCharType="separate"/>
        </w:r>
        <w:r w:rsidR="005B672A">
          <w:rPr>
            <w:webHidden/>
          </w:rPr>
          <w:t>111</w:t>
        </w:r>
        <w:r>
          <w:rPr>
            <w:webHidden/>
          </w:rPr>
          <w:fldChar w:fldCharType="end"/>
        </w:r>
      </w:hyperlink>
    </w:p>
    <w:p w14:paraId="76F98833" w14:textId="0A1D6383"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21" w:history="1">
        <w:r w:rsidRPr="000D5332">
          <w:rPr>
            <w:rStyle w:val="Hyperlink"/>
            <w:lang w:eastAsia="en-AU"/>
          </w:rPr>
          <w:t>Golden Perch – Total populations</w:t>
        </w:r>
        <w:r>
          <w:rPr>
            <w:webHidden/>
          </w:rPr>
          <w:tab/>
        </w:r>
        <w:r>
          <w:rPr>
            <w:webHidden/>
          </w:rPr>
          <w:fldChar w:fldCharType="begin"/>
        </w:r>
        <w:r>
          <w:rPr>
            <w:webHidden/>
          </w:rPr>
          <w:instrText xml:space="preserve"> PAGEREF _Toc116994921 \h </w:instrText>
        </w:r>
        <w:r>
          <w:rPr>
            <w:webHidden/>
          </w:rPr>
        </w:r>
        <w:r>
          <w:rPr>
            <w:webHidden/>
          </w:rPr>
          <w:fldChar w:fldCharType="separate"/>
        </w:r>
        <w:r w:rsidR="005B672A">
          <w:rPr>
            <w:webHidden/>
          </w:rPr>
          <w:t>111</w:t>
        </w:r>
        <w:r>
          <w:rPr>
            <w:webHidden/>
          </w:rPr>
          <w:fldChar w:fldCharType="end"/>
        </w:r>
      </w:hyperlink>
    </w:p>
    <w:p w14:paraId="5DEB12CC" w14:textId="41A1A4D7"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22" w:history="1">
        <w:r w:rsidRPr="000D5332">
          <w:rPr>
            <w:rStyle w:val="Hyperlink"/>
            <w:lang w:eastAsia="en-AU"/>
          </w:rPr>
          <w:t>Golden Perch – Total RRCP populations inclusive to Wentworth</w:t>
        </w:r>
        <w:r>
          <w:rPr>
            <w:webHidden/>
          </w:rPr>
          <w:tab/>
        </w:r>
        <w:r>
          <w:rPr>
            <w:webHidden/>
          </w:rPr>
          <w:fldChar w:fldCharType="begin"/>
        </w:r>
        <w:r>
          <w:rPr>
            <w:webHidden/>
          </w:rPr>
          <w:instrText xml:space="preserve"> PAGEREF _Toc116994922 \h </w:instrText>
        </w:r>
        <w:r>
          <w:rPr>
            <w:webHidden/>
          </w:rPr>
        </w:r>
        <w:r>
          <w:rPr>
            <w:webHidden/>
          </w:rPr>
          <w:fldChar w:fldCharType="separate"/>
        </w:r>
        <w:r w:rsidR="005B672A">
          <w:rPr>
            <w:webHidden/>
          </w:rPr>
          <w:t>116</w:t>
        </w:r>
        <w:r>
          <w:rPr>
            <w:webHidden/>
          </w:rPr>
          <w:fldChar w:fldCharType="end"/>
        </w:r>
      </w:hyperlink>
    </w:p>
    <w:p w14:paraId="1E3D0922" w14:textId="65C35EB2"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23" w:history="1">
        <w:r w:rsidRPr="000D5332">
          <w:rPr>
            <w:rStyle w:val="Hyperlink"/>
            <w:lang w:eastAsia="en-AU"/>
          </w:rPr>
          <w:t>Golden Perch – Total Murray River populations inclusive to Wentworth</w:t>
        </w:r>
        <w:r>
          <w:rPr>
            <w:webHidden/>
          </w:rPr>
          <w:tab/>
        </w:r>
        <w:r>
          <w:rPr>
            <w:webHidden/>
          </w:rPr>
          <w:fldChar w:fldCharType="begin"/>
        </w:r>
        <w:r>
          <w:rPr>
            <w:webHidden/>
          </w:rPr>
          <w:instrText xml:space="preserve"> PAGEREF _Toc116994923 \h </w:instrText>
        </w:r>
        <w:r>
          <w:rPr>
            <w:webHidden/>
          </w:rPr>
        </w:r>
        <w:r>
          <w:rPr>
            <w:webHidden/>
          </w:rPr>
          <w:fldChar w:fldCharType="separate"/>
        </w:r>
        <w:r w:rsidR="005B672A">
          <w:rPr>
            <w:webHidden/>
          </w:rPr>
          <w:t>121</w:t>
        </w:r>
        <w:r>
          <w:rPr>
            <w:webHidden/>
          </w:rPr>
          <w:fldChar w:fldCharType="end"/>
        </w:r>
      </w:hyperlink>
    </w:p>
    <w:p w14:paraId="26941BD8" w14:textId="1DAE8592"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24" w:history="1">
        <w:r w:rsidRPr="000D5332">
          <w:rPr>
            <w:rStyle w:val="Hyperlink"/>
            <w:lang w:eastAsia="en-AU"/>
          </w:rPr>
          <w:t>Golden Perch – Total Murrumbidgee River populations</w:t>
        </w:r>
        <w:r>
          <w:rPr>
            <w:webHidden/>
          </w:rPr>
          <w:tab/>
        </w:r>
        <w:r>
          <w:rPr>
            <w:webHidden/>
          </w:rPr>
          <w:fldChar w:fldCharType="begin"/>
        </w:r>
        <w:r>
          <w:rPr>
            <w:webHidden/>
          </w:rPr>
          <w:instrText xml:space="preserve"> PAGEREF _Toc116994924 \h </w:instrText>
        </w:r>
        <w:r>
          <w:rPr>
            <w:webHidden/>
          </w:rPr>
        </w:r>
        <w:r>
          <w:rPr>
            <w:webHidden/>
          </w:rPr>
          <w:fldChar w:fldCharType="separate"/>
        </w:r>
        <w:r w:rsidR="005B672A">
          <w:rPr>
            <w:webHidden/>
          </w:rPr>
          <w:t>126</w:t>
        </w:r>
        <w:r>
          <w:rPr>
            <w:webHidden/>
          </w:rPr>
          <w:fldChar w:fldCharType="end"/>
        </w:r>
      </w:hyperlink>
    </w:p>
    <w:p w14:paraId="1AFCF3AE" w14:textId="79728F89"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25" w:history="1">
        <w:r w:rsidRPr="000D5332">
          <w:rPr>
            <w:rStyle w:val="Hyperlink"/>
            <w:lang w:eastAsia="en-AU"/>
          </w:rPr>
          <w:t>Golden Perch – Torrumbarry to Wentworth</w:t>
        </w:r>
        <w:r>
          <w:rPr>
            <w:webHidden/>
          </w:rPr>
          <w:tab/>
        </w:r>
        <w:r>
          <w:rPr>
            <w:webHidden/>
          </w:rPr>
          <w:fldChar w:fldCharType="begin"/>
        </w:r>
        <w:r>
          <w:rPr>
            <w:webHidden/>
          </w:rPr>
          <w:instrText xml:space="preserve"> PAGEREF _Toc116994925 \h </w:instrText>
        </w:r>
        <w:r>
          <w:rPr>
            <w:webHidden/>
          </w:rPr>
        </w:r>
        <w:r>
          <w:rPr>
            <w:webHidden/>
          </w:rPr>
          <w:fldChar w:fldCharType="separate"/>
        </w:r>
        <w:r w:rsidR="005B672A">
          <w:rPr>
            <w:webHidden/>
          </w:rPr>
          <w:t>131</w:t>
        </w:r>
        <w:r>
          <w:rPr>
            <w:webHidden/>
          </w:rPr>
          <w:fldChar w:fldCharType="end"/>
        </w:r>
      </w:hyperlink>
    </w:p>
    <w:p w14:paraId="751D1540" w14:textId="1056EF8D"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26" w:history="1">
        <w:r w:rsidRPr="000D5332">
          <w:rPr>
            <w:rStyle w:val="Hyperlink"/>
            <w:lang w:eastAsia="en-AU"/>
          </w:rPr>
          <w:t>Golden Perch – Yarrawonga to Torrumbarry</w:t>
        </w:r>
        <w:r>
          <w:rPr>
            <w:webHidden/>
          </w:rPr>
          <w:tab/>
        </w:r>
        <w:r>
          <w:rPr>
            <w:webHidden/>
          </w:rPr>
          <w:fldChar w:fldCharType="begin"/>
        </w:r>
        <w:r>
          <w:rPr>
            <w:webHidden/>
          </w:rPr>
          <w:instrText xml:space="preserve"> PAGEREF _Toc116994926 \h </w:instrText>
        </w:r>
        <w:r>
          <w:rPr>
            <w:webHidden/>
          </w:rPr>
        </w:r>
        <w:r>
          <w:rPr>
            <w:webHidden/>
          </w:rPr>
          <w:fldChar w:fldCharType="separate"/>
        </w:r>
        <w:r w:rsidR="005B672A">
          <w:rPr>
            <w:webHidden/>
          </w:rPr>
          <w:t>136</w:t>
        </w:r>
        <w:r>
          <w:rPr>
            <w:webHidden/>
          </w:rPr>
          <w:fldChar w:fldCharType="end"/>
        </w:r>
      </w:hyperlink>
    </w:p>
    <w:p w14:paraId="77C53D8B" w14:textId="515BDBA7"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27" w:history="1">
        <w:r w:rsidRPr="000D5332">
          <w:rPr>
            <w:rStyle w:val="Hyperlink"/>
            <w:lang w:eastAsia="en-AU"/>
          </w:rPr>
          <w:t>Golden Perch – Hume to Yarrawonga</w:t>
        </w:r>
        <w:r>
          <w:rPr>
            <w:webHidden/>
          </w:rPr>
          <w:tab/>
        </w:r>
        <w:r>
          <w:rPr>
            <w:webHidden/>
          </w:rPr>
          <w:fldChar w:fldCharType="begin"/>
        </w:r>
        <w:r>
          <w:rPr>
            <w:webHidden/>
          </w:rPr>
          <w:instrText xml:space="preserve"> PAGEREF _Toc116994927 \h </w:instrText>
        </w:r>
        <w:r>
          <w:rPr>
            <w:webHidden/>
          </w:rPr>
        </w:r>
        <w:r>
          <w:rPr>
            <w:webHidden/>
          </w:rPr>
          <w:fldChar w:fldCharType="separate"/>
        </w:r>
        <w:r w:rsidR="005B672A">
          <w:rPr>
            <w:webHidden/>
          </w:rPr>
          <w:t>141</w:t>
        </w:r>
        <w:r>
          <w:rPr>
            <w:webHidden/>
          </w:rPr>
          <w:fldChar w:fldCharType="end"/>
        </w:r>
      </w:hyperlink>
    </w:p>
    <w:p w14:paraId="64D70317" w14:textId="2FE4C966"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28" w:history="1">
        <w:r w:rsidRPr="000D5332">
          <w:rPr>
            <w:rStyle w:val="Hyperlink"/>
            <w:lang w:eastAsia="en-AU"/>
          </w:rPr>
          <w:t>Golden Perch – Edward River</w:t>
        </w:r>
        <w:r>
          <w:rPr>
            <w:webHidden/>
          </w:rPr>
          <w:tab/>
        </w:r>
        <w:r>
          <w:rPr>
            <w:webHidden/>
          </w:rPr>
          <w:fldChar w:fldCharType="begin"/>
        </w:r>
        <w:r>
          <w:rPr>
            <w:webHidden/>
          </w:rPr>
          <w:instrText xml:space="preserve"> PAGEREF _Toc116994928 \h </w:instrText>
        </w:r>
        <w:r>
          <w:rPr>
            <w:webHidden/>
          </w:rPr>
        </w:r>
        <w:r>
          <w:rPr>
            <w:webHidden/>
          </w:rPr>
          <w:fldChar w:fldCharType="separate"/>
        </w:r>
        <w:r w:rsidR="005B672A">
          <w:rPr>
            <w:webHidden/>
          </w:rPr>
          <w:t>146</w:t>
        </w:r>
        <w:r>
          <w:rPr>
            <w:webHidden/>
          </w:rPr>
          <w:fldChar w:fldCharType="end"/>
        </w:r>
      </w:hyperlink>
    </w:p>
    <w:p w14:paraId="279E8477" w14:textId="176F7C6C"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29" w:history="1">
        <w:r w:rsidRPr="000D5332">
          <w:rPr>
            <w:rStyle w:val="Hyperlink"/>
            <w:lang w:eastAsia="en-AU"/>
          </w:rPr>
          <w:t>Golden Perch – Hay to Balranald</w:t>
        </w:r>
        <w:r>
          <w:rPr>
            <w:webHidden/>
          </w:rPr>
          <w:tab/>
        </w:r>
        <w:r>
          <w:rPr>
            <w:webHidden/>
          </w:rPr>
          <w:fldChar w:fldCharType="begin"/>
        </w:r>
        <w:r>
          <w:rPr>
            <w:webHidden/>
          </w:rPr>
          <w:instrText xml:space="preserve"> PAGEREF _Toc116994929 \h </w:instrText>
        </w:r>
        <w:r>
          <w:rPr>
            <w:webHidden/>
          </w:rPr>
        </w:r>
        <w:r>
          <w:rPr>
            <w:webHidden/>
          </w:rPr>
          <w:fldChar w:fldCharType="separate"/>
        </w:r>
        <w:r w:rsidR="005B672A">
          <w:rPr>
            <w:webHidden/>
          </w:rPr>
          <w:t>151</w:t>
        </w:r>
        <w:r>
          <w:rPr>
            <w:webHidden/>
          </w:rPr>
          <w:fldChar w:fldCharType="end"/>
        </w:r>
      </w:hyperlink>
    </w:p>
    <w:p w14:paraId="074C8D6B" w14:textId="7B17E1D1"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30" w:history="1">
        <w:r w:rsidRPr="000D5332">
          <w:rPr>
            <w:rStyle w:val="Hyperlink"/>
            <w:lang w:eastAsia="en-AU"/>
          </w:rPr>
          <w:t>Golden Perch – Gundagai to Hay</w:t>
        </w:r>
        <w:r>
          <w:rPr>
            <w:webHidden/>
          </w:rPr>
          <w:tab/>
        </w:r>
        <w:r>
          <w:rPr>
            <w:webHidden/>
          </w:rPr>
          <w:fldChar w:fldCharType="begin"/>
        </w:r>
        <w:r>
          <w:rPr>
            <w:webHidden/>
          </w:rPr>
          <w:instrText xml:space="preserve"> PAGEREF _Toc116994930 \h </w:instrText>
        </w:r>
        <w:r>
          <w:rPr>
            <w:webHidden/>
          </w:rPr>
        </w:r>
        <w:r>
          <w:rPr>
            <w:webHidden/>
          </w:rPr>
          <w:fldChar w:fldCharType="separate"/>
        </w:r>
        <w:r w:rsidR="005B672A">
          <w:rPr>
            <w:webHidden/>
          </w:rPr>
          <w:t>156</w:t>
        </w:r>
        <w:r>
          <w:rPr>
            <w:webHidden/>
          </w:rPr>
          <w:fldChar w:fldCharType="end"/>
        </w:r>
      </w:hyperlink>
    </w:p>
    <w:p w14:paraId="1EDA0097" w14:textId="31209A2C"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31" w:history="1">
        <w:r w:rsidRPr="000D5332">
          <w:rPr>
            <w:rStyle w:val="Hyperlink"/>
            <w:lang w:eastAsia="en-AU"/>
          </w:rPr>
          <w:t>Golden Perch – Lower Murray below Wentworth</w:t>
        </w:r>
        <w:r>
          <w:rPr>
            <w:webHidden/>
          </w:rPr>
          <w:tab/>
        </w:r>
        <w:r>
          <w:rPr>
            <w:webHidden/>
          </w:rPr>
          <w:fldChar w:fldCharType="begin"/>
        </w:r>
        <w:r>
          <w:rPr>
            <w:webHidden/>
          </w:rPr>
          <w:instrText xml:space="preserve"> PAGEREF _Toc116994931 \h </w:instrText>
        </w:r>
        <w:r>
          <w:rPr>
            <w:webHidden/>
          </w:rPr>
        </w:r>
        <w:r>
          <w:rPr>
            <w:webHidden/>
          </w:rPr>
          <w:fldChar w:fldCharType="separate"/>
        </w:r>
        <w:r w:rsidR="005B672A">
          <w:rPr>
            <w:webHidden/>
          </w:rPr>
          <w:t>161</w:t>
        </w:r>
        <w:r>
          <w:rPr>
            <w:webHidden/>
          </w:rPr>
          <w:fldChar w:fldCharType="end"/>
        </w:r>
      </w:hyperlink>
    </w:p>
    <w:p w14:paraId="2C55559B" w14:textId="5C05E193"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32" w:history="1">
        <w:r w:rsidRPr="000D5332">
          <w:rPr>
            <w:rStyle w:val="Hyperlink"/>
            <w:lang w:eastAsia="en-AU"/>
          </w:rPr>
          <w:t>Golden Perch – Lower Darling</w:t>
        </w:r>
        <w:r>
          <w:rPr>
            <w:webHidden/>
          </w:rPr>
          <w:tab/>
        </w:r>
        <w:r>
          <w:rPr>
            <w:webHidden/>
          </w:rPr>
          <w:fldChar w:fldCharType="begin"/>
        </w:r>
        <w:r>
          <w:rPr>
            <w:webHidden/>
          </w:rPr>
          <w:instrText xml:space="preserve"> PAGEREF _Toc116994932 \h </w:instrText>
        </w:r>
        <w:r>
          <w:rPr>
            <w:webHidden/>
          </w:rPr>
        </w:r>
        <w:r>
          <w:rPr>
            <w:webHidden/>
          </w:rPr>
          <w:fldChar w:fldCharType="separate"/>
        </w:r>
        <w:r w:rsidR="005B672A">
          <w:rPr>
            <w:webHidden/>
          </w:rPr>
          <w:t>166</w:t>
        </w:r>
        <w:r>
          <w:rPr>
            <w:webHidden/>
          </w:rPr>
          <w:fldChar w:fldCharType="end"/>
        </w:r>
      </w:hyperlink>
    </w:p>
    <w:p w14:paraId="60C1F05A" w14:textId="1F746D90"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33" w:history="1">
        <w:r w:rsidRPr="000D5332">
          <w:rPr>
            <w:rStyle w:val="Hyperlink"/>
          </w:rPr>
          <w:t>Golden Perch Recruits</w:t>
        </w:r>
        <w:r>
          <w:rPr>
            <w:webHidden/>
          </w:rPr>
          <w:tab/>
        </w:r>
        <w:r>
          <w:rPr>
            <w:webHidden/>
          </w:rPr>
          <w:fldChar w:fldCharType="begin"/>
        </w:r>
        <w:r>
          <w:rPr>
            <w:webHidden/>
          </w:rPr>
          <w:instrText xml:space="preserve"> PAGEREF _Toc116994933 \h </w:instrText>
        </w:r>
        <w:r>
          <w:rPr>
            <w:webHidden/>
          </w:rPr>
        </w:r>
        <w:r>
          <w:rPr>
            <w:webHidden/>
          </w:rPr>
          <w:fldChar w:fldCharType="separate"/>
        </w:r>
        <w:r w:rsidR="005B672A">
          <w:rPr>
            <w:webHidden/>
          </w:rPr>
          <w:t>171</w:t>
        </w:r>
        <w:r>
          <w:rPr>
            <w:webHidden/>
          </w:rPr>
          <w:fldChar w:fldCharType="end"/>
        </w:r>
      </w:hyperlink>
    </w:p>
    <w:p w14:paraId="0B2E8CC2" w14:textId="08954557"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34" w:history="1">
        <w:r w:rsidRPr="000D5332">
          <w:rPr>
            <w:rStyle w:val="Hyperlink"/>
          </w:rPr>
          <w:t>Murray Cod Adults</w:t>
        </w:r>
        <w:r>
          <w:rPr>
            <w:webHidden/>
          </w:rPr>
          <w:tab/>
        </w:r>
        <w:r>
          <w:rPr>
            <w:webHidden/>
          </w:rPr>
          <w:fldChar w:fldCharType="begin"/>
        </w:r>
        <w:r>
          <w:rPr>
            <w:webHidden/>
          </w:rPr>
          <w:instrText xml:space="preserve"> PAGEREF _Toc116994934 \h </w:instrText>
        </w:r>
        <w:r>
          <w:rPr>
            <w:webHidden/>
          </w:rPr>
        </w:r>
        <w:r>
          <w:rPr>
            <w:webHidden/>
          </w:rPr>
          <w:fldChar w:fldCharType="separate"/>
        </w:r>
        <w:r w:rsidR="005B672A">
          <w:rPr>
            <w:webHidden/>
          </w:rPr>
          <w:t>177</w:t>
        </w:r>
        <w:r>
          <w:rPr>
            <w:webHidden/>
          </w:rPr>
          <w:fldChar w:fldCharType="end"/>
        </w:r>
      </w:hyperlink>
    </w:p>
    <w:p w14:paraId="13DA9CB6" w14:textId="332B5B53"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35" w:history="1">
        <w:r w:rsidRPr="000D5332">
          <w:rPr>
            <w:rStyle w:val="Hyperlink"/>
            <w:lang w:eastAsia="en-AU"/>
          </w:rPr>
          <w:t>Murray Cod – Total RRCP populations inclusive to Wentworth</w:t>
        </w:r>
        <w:r>
          <w:rPr>
            <w:webHidden/>
          </w:rPr>
          <w:tab/>
        </w:r>
        <w:r>
          <w:rPr>
            <w:webHidden/>
          </w:rPr>
          <w:fldChar w:fldCharType="begin"/>
        </w:r>
        <w:r>
          <w:rPr>
            <w:webHidden/>
          </w:rPr>
          <w:instrText xml:space="preserve"> PAGEREF _Toc116994935 \h </w:instrText>
        </w:r>
        <w:r>
          <w:rPr>
            <w:webHidden/>
          </w:rPr>
        </w:r>
        <w:r>
          <w:rPr>
            <w:webHidden/>
          </w:rPr>
          <w:fldChar w:fldCharType="separate"/>
        </w:r>
        <w:r w:rsidR="005B672A">
          <w:rPr>
            <w:webHidden/>
          </w:rPr>
          <w:t>177</w:t>
        </w:r>
        <w:r>
          <w:rPr>
            <w:webHidden/>
          </w:rPr>
          <w:fldChar w:fldCharType="end"/>
        </w:r>
      </w:hyperlink>
    </w:p>
    <w:p w14:paraId="44BAA85E" w14:textId="48C53632"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36" w:history="1">
        <w:r w:rsidRPr="000D5332">
          <w:rPr>
            <w:rStyle w:val="Hyperlink"/>
            <w:lang w:eastAsia="en-AU"/>
          </w:rPr>
          <w:t>Murray Cod – Total Murray River populations inclusive to Wentworth</w:t>
        </w:r>
        <w:r>
          <w:rPr>
            <w:webHidden/>
          </w:rPr>
          <w:tab/>
        </w:r>
        <w:r>
          <w:rPr>
            <w:webHidden/>
          </w:rPr>
          <w:fldChar w:fldCharType="begin"/>
        </w:r>
        <w:r>
          <w:rPr>
            <w:webHidden/>
          </w:rPr>
          <w:instrText xml:space="preserve"> PAGEREF _Toc116994936 \h </w:instrText>
        </w:r>
        <w:r>
          <w:rPr>
            <w:webHidden/>
          </w:rPr>
        </w:r>
        <w:r>
          <w:rPr>
            <w:webHidden/>
          </w:rPr>
          <w:fldChar w:fldCharType="separate"/>
        </w:r>
        <w:r w:rsidR="005B672A">
          <w:rPr>
            <w:webHidden/>
          </w:rPr>
          <w:t>182</w:t>
        </w:r>
        <w:r>
          <w:rPr>
            <w:webHidden/>
          </w:rPr>
          <w:fldChar w:fldCharType="end"/>
        </w:r>
      </w:hyperlink>
    </w:p>
    <w:p w14:paraId="47D9E51B" w14:textId="7B7B7E70"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37" w:history="1">
        <w:r w:rsidRPr="000D5332">
          <w:rPr>
            <w:rStyle w:val="Hyperlink"/>
            <w:lang w:eastAsia="en-AU"/>
          </w:rPr>
          <w:t>Murray Cod – Total Murrumbidgee River populations including Yanco Creek</w:t>
        </w:r>
        <w:r>
          <w:rPr>
            <w:webHidden/>
          </w:rPr>
          <w:tab/>
        </w:r>
        <w:r>
          <w:rPr>
            <w:webHidden/>
          </w:rPr>
          <w:fldChar w:fldCharType="begin"/>
        </w:r>
        <w:r>
          <w:rPr>
            <w:webHidden/>
          </w:rPr>
          <w:instrText xml:space="preserve"> PAGEREF _Toc116994937 \h </w:instrText>
        </w:r>
        <w:r>
          <w:rPr>
            <w:webHidden/>
          </w:rPr>
        </w:r>
        <w:r>
          <w:rPr>
            <w:webHidden/>
          </w:rPr>
          <w:fldChar w:fldCharType="separate"/>
        </w:r>
        <w:r w:rsidR="005B672A">
          <w:rPr>
            <w:webHidden/>
          </w:rPr>
          <w:t>187</w:t>
        </w:r>
        <w:r>
          <w:rPr>
            <w:webHidden/>
          </w:rPr>
          <w:fldChar w:fldCharType="end"/>
        </w:r>
      </w:hyperlink>
    </w:p>
    <w:p w14:paraId="0D37172D" w14:textId="02817472"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38" w:history="1">
        <w:r w:rsidRPr="000D5332">
          <w:rPr>
            <w:rStyle w:val="Hyperlink"/>
            <w:lang w:eastAsia="en-AU"/>
          </w:rPr>
          <w:t>Murray Cod – Torrumbarry to Wentworth</w:t>
        </w:r>
        <w:r>
          <w:rPr>
            <w:webHidden/>
          </w:rPr>
          <w:tab/>
        </w:r>
        <w:r>
          <w:rPr>
            <w:webHidden/>
          </w:rPr>
          <w:fldChar w:fldCharType="begin"/>
        </w:r>
        <w:r>
          <w:rPr>
            <w:webHidden/>
          </w:rPr>
          <w:instrText xml:space="preserve"> PAGEREF _Toc116994938 \h </w:instrText>
        </w:r>
        <w:r>
          <w:rPr>
            <w:webHidden/>
          </w:rPr>
        </w:r>
        <w:r>
          <w:rPr>
            <w:webHidden/>
          </w:rPr>
          <w:fldChar w:fldCharType="separate"/>
        </w:r>
        <w:r w:rsidR="005B672A">
          <w:rPr>
            <w:webHidden/>
          </w:rPr>
          <w:t>192</w:t>
        </w:r>
        <w:r>
          <w:rPr>
            <w:webHidden/>
          </w:rPr>
          <w:fldChar w:fldCharType="end"/>
        </w:r>
      </w:hyperlink>
    </w:p>
    <w:p w14:paraId="1580CF13" w14:textId="74AB7303"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39" w:history="1">
        <w:r w:rsidRPr="000D5332">
          <w:rPr>
            <w:rStyle w:val="Hyperlink"/>
            <w:lang w:eastAsia="en-AU"/>
          </w:rPr>
          <w:t>Murray Cod – Yarrawonga to Torrumbarry</w:t>
        </w:r>
        <w:r>
          <w:rPr>
            <w:webHidden/>
          </w:rPr>
          <w:tab/>
        </w:r>
        <w:r>
          <w:rPr>
            <w:webHidden/>
          </w:rPr>
          <w:fldChar w:fldCharType="begin"/>
        </w:r>
        <w:r>
          <w:rPr>
            <w:webHidden/>
          </w:rPr>
          <w:instrText xml:space="preserve"> PAGEREF _Toc116994939 \h </w:instrText>
        </w:r>
        <w:r>
          <w:rPr>
            <w:webHidden/>
          </w:rPr>
        </w:r>
        <w:r>
          <w:rPr>
            <w:webHidden/>
          </w:rPr>
          <w:fldChar w:fldCharType="separate"/>
        </w:r>
        <w:r w:rsidR="005B672A">
          <w:rPr>
            <w:webHidden/>
          </w:rPr>
          <w:t>197</w:t>
        </w:r>
        <w:r>
          <w:rPr>
            <w:webHidden/>
          </w:rPr>
          <w:fldChar w:fldCharType="end"/>
        </w:r>
      </w:hyperlink>
    </w:p>
    <w:p w14:paraId="0994C873" w14:textId="67523ADB"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40" w:history="1">
        <w:r w:rsidRPr="000D5332">
          <w:rPr>
            <w:rStyle w:val="Hyperlink"/>
            <w:lang w:eastAsia="en-AU"/>
          </w:rPr>
          <w:t>Murray Cod – Hume to Yarrawonga</w:t>
        </w:r>
        <w:r>
          <w:rPr>
            <w:webHidden/>
          </w:rPr>
          <w:tab/>
        </w:r>
        <w:r>
          <w:rPr>
            <w:webHidden/>
          </w:rPr>
          <w:fldChar w:fldCharType="begin"/>
        </w:r>
        <w:r>
          <w:rPr>
            <w:webHidden/>
          </w:rPr>
          <w:instrText xml:space="preserve"> PAGEREF _Toc116994940 \h </w:instrText>
        </w:r>
        <w:r>
          <w:rPr>
            <w:webHidden/>
          </w:rPr>
        </w:r>
        <w:r>
          <w:rPr>
            <w:webHidden/>
          </w:rPr>
          <w:fldChar w:fldCharType="separate"/>
        </w:r>
        <w:r w:rsidR="005B672A">
          <w:rPr>
            <w:webHidden/>
          </w:rPr>
          <w:t>202</w:t>
        </w:r>
        <w:r>
          <w:rPr>
            <w:webHidden/>
          </w:rPr>
          <w:fldChar w:fldCharType="end"/>
        </w:r>
      </w:hyperlink>
    </w:p>
    <w:p w14:paraId="2BDA8E43" w14:textId="603C9845"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41" w:history="1">
        <w:r w:rsidRPr="000D5332">
          <w:rPr>
            <w:rStyle w:val="Hyperlink"/>
            <w:lang w:eastAsia="en-AU"/>
          </w:rPr>
          <w:t>Murray Cod – Edward River</w:t>
        </w:r>
        <w:r>
          <w:rPr>
            <w:webHidden/>
          </w:rPr>
          <w:tab/>
        </w:r>
        <w:r>
          <w:rPr>
            <w:webHidden/>
          </w:rPr>
          <w:fldChar w:fldCharType="begin"/>
        </w:r>
        <w:r>
          <w:rPr>
            <w:webHidden/>
          </w:rPr>
          <w:instrText xml:space="preserve"> PAGEREF _Toc116994941 \h </w:instrText>
        </w:r>
        <w:r>
          <w:rPr>
            <w:webHidden/>
          </w:rPr>
        </w:r>
        <w:r>
          <w:rPr>
            <w:webHidden/>
          </w:rPr>
          <w:fldChar w:fldCharType="separate"/>
        </w:r>
        <w:r w:rsidR="005B672A">
          <w:rPr>
            <w:webHidden/>
          </w:rPr>
          <w:t>207</w:t>
        </w:r>
        <w:r>
          <w:rPr>
            <w:webHidden/>
          </w:rPr>
          <w:fldChar w:fldCharType="end"/>
        </w:r>
      </w:hyperlink>
    </w:p>
    <w:p w14:paraId="7A9079CD" w14:textId="1CABE2B9"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42" w:history="1">
        <w:r w:rsidRPr="000D5332">
          <w:rPr>
            <w:rStyle w:val="Hyperlink"/>
            <w:lang w:eastAsia="en-AU"/>
          </w:rPr>
          <w:t>Murray Cod – Hay to Balranald</w:t>
        </w:r>
        <w:r>
          <w:rPr>
            <w:webHidden/>
          </w:rPr>
          <w:tab/>
        </w:r>
        <w:r>
          <w:rPr>
            <w:webHidden/>
          </w:rPr>
          <w:fldChar w:fldCharType="begin"/>
        </w:r>
        <w:r>
          <w:rPr>
            <w:webHidden/>
          </w:rPr>
          <w:instrText xml:space="preserve"> PAGEREF _Toc116994942 \h </w:instrText>
        </w:r>
        <w:r>
          <w:rPr>
            <w:webHidden/>
          </w:rPr>
        </w:r>
        <w:r>
          <w:rPr>
            <w:webHidden/>
          </w:rPr>
          <w:fldChar w:fldCharType="separate"/>
        </w:r>
        <w:r w:rsidR="005B672A">
          <w:rPr>
            <w:webHidden/>
          </w:rPr>
          <w:t>212</w:t>
        </w:r>
        <w:r>
          <w:rPr>
            <w:webHidden/>
          </w:rPr>
          <w:fldChar w:fldCharType="end"/>
        </w:r>
      </w:hyperlink>
    </w:p>
    <w:p w14:paraId="139DA908" w14:textId="04360501"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43" w:history="1">
        <w:r w:rsidRPr="000D5332">
          <w:rPr>
            <w:rStyle w:val="Hyperlink"/>
            <w:lang w:eastAsia="en-AU"/>
          </w:rPr>
          <w:t>Murray Cod – Gogeldrie to Hay</w:t>
        </w:r>
        <w:r>
          <w:rPr>
            <w:webHidden/>
          </w:rPr>
          <w:tab/>
        </w:r>
        <w:r>
          <w:rPr>
            <w:webHidden/>
          </w:rPr>
          <w:fldChar w:fldCharType="begin"/>
        </w:r>
        <w:r>
          <w:rPr>
            <w:webHidden/>
          </w:rPr>
          <w:instrText xml:space="preserve"> PAGEREF _Toc116994943 \h </w:instrText>
        </w:r>
        <w:r>
          <w:rPr>
            <w:webHidden/>
          </w:rPr>
        </w:r>
        <w:r>
          <w:rPr>
            <w:webHidden/>
          </w:rPr>
          <w:fldChar w:fldCharType="separate"/>
        </w:r>
        <w:r w:rsidR="005B672A">
          <w:rPr>
            <w:webHidden/>
          </w:rPr>
          <w:t>217</w:t>
        </w:r>
        <w:r>
          <w:rPr>
            <w:webHidden/>
          </w:rPr>
          <w:fldChar w:fldCharType="end"/>
        </w:r>
      </w:hyperlink>
    </w:p>
    <w:p w14:paraId="226A5F9D" w14:textId="3FCD26F0"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44" w:history="1">
        <w:r w:rsidRPr="000D5332">
          <w:rPr>
            <w:rStyle w:val="Hyperlink"/>
            <w:lang w:eastAsia="en-AU"/>
          </w:rPr>
          <w:t>Murray Cod – Berembed to Gogeldrie</w:t>
        </w:r>
        <w:r>
          <w:rPr>
            <w:webHidden/>
          </w:rPr>
          <w:tab/>
        </w:r>
        <w:r>
          <w:rPr>
            <w:webHidden/>
          </w:rPr>
          <w:fldChar w:fldCharType="begin"/>
        </w:r>
        <w:r>
          <w:rPr>
            <w:webHidden/>
          </w:rPr>
          <w:instrText xml:space="preserve"> PAGEREF _Toc116994944 \h </w:instrText>
        </w:r>
        <w:r>
          <w:rPr>
            <w:webHidden/>
          </w:rPr>
        </w:r>
        <w:r>
          <w:rPr>
            <w:webHidden/>
          </w:rPr>
          <w:fldChar w:fldCharType="separate"/>
        </w:r>
        <w:r w:rsidR="005B672A">
          <w:rPr>
            <w:webHidden/>
          </w:rPr>
          <w:t>222</w:t>
        </w:r>
        <w:r>
          <w:rPr>
            <w:webHidden/>
          </w:rPr>
          <w:fldChar w:fldCharType="end"/>
        </w:r>
      </w:hyperlink>
    </w:p>
    <w:p w14:paraId="65E2DD5A" w14:textId="1F55BF39"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45" w:history="1">
        <w:r w:rsidRPr="000D5332">
          <w:rPr>
            <w:rStyle w:val="Hyperlink"/>
            <w:lang w:eastAsia="en-AU"/>
          </w:rPr>
          <w:t>Murray Cod – Gundagai to Berembed</w:t>
        </w:r>
        <w:r>
          <w:rPr>
            <w:webHidden/>
          </w:rPr>
          <w:tab/>
        </w:r>
        <w:r>
          <w:rPr>
            <w:webHidden/>
          </w:rPr>
          <w:fldChar w:fldCharType="begin"/>
        </w:r>
        <w:r>
          <w:rPr>
            <w:webHidden/>
          </w:rPr>
          <w:instrText xml:space="preserve"> PAGEREF _Toc116994945 \h </w:instrText>
        </w:r>
        <w:r>
          <w:rPr>
            <w:webHidden/>
          </w:rPr>
        </w:r>
        <w:r>
          <w:rPr>
            <w:webHidden/>
          </w:rPr>
          <w:fldChar w:fldCharType="separate"/>
        </w:r>
        <w:r w:rsidR="005B672A">
          <w:rPr>
            <w:webHidden/>
          </w:rPr>
          <w:t>227</w:t>
        </w:r>
        <w:r>
          <w:rPr>
            <w:webHidden/>
          </w:rPr>
          <w:fldChar w:fldCharType="end"/>
        </w:r>
      </w:hyperlink>
    </w:p>
    <w:p w14:paraId="4B52C54C" w14:textId="01D11FB3"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46" w:history="1">
        <w:r w:rsidRPr="000D5332">
          <w:rPr>
            <w:rStyle w:val="Hyperlink"/>
            <w:lang w:eastAsia="en-AU"/>
          </w:rPr>
          <w:t>Murray Cod – Yanco Creek</w:t>
        </w:r>
        <w:r>
          <w:rPr>
            <w:webHidden/>
          </w:rPr>
          <w:tab/>
        </w:r>
        <w:r>
          <w:rPr>
            <w:webHidden/>
          </w:rPr>
          <w:fldChar w:fldCharType="begin"/>
        </w:r>
        <w:r>
          <w:rPr>
            <w:webHidden/>
          </w:rPr>
          <w:instrText xml:space="preserve"> PAGEREF _Toc116994946 \h </w:instrText>
        </w:r>
        <w:r>
          <w:rPr>
            <w:webHidden/>
          </w:rPr>
        </w:r>
        <w:r>
          <w:rPr>
            <w:webHidden/>
          </w:rPr>
          <w:fldChar w:fldCharType="separate"/>
        </w:r>
        <w:r w:rsidR="005B672A">
          <w:rPr>
            <w:webHidden/>
          </w:rPr>
          <w:t>232</w:t>
        </w:r>
        <w:r>
          <w:rPr>
            <w:webHidden/>
          </w:rPr>
          <w:fldChar w:fldCharType="end"/>
        </w:r>
      </w:hyperlink>
    </w:p>
    <w:p w14:paraId="4167DB43" w14:textId="480CB031"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47" w:history="1">
        <w:r w:rsidRPr="000D5332">
          <w:rPr>
            <w:rStyle w:val="Hyperlink"/>
          </w:rPr>
          <w:t>Murray Cod Recruits</w:t>
        </w:r>
        <w:r>
          <w:rPr>
            <w:webHidden/>
          </w:rPr>
          <w:tab/>
        </w:r>
        <w:r>
          <w:rPr>
            <w:webHidden/>
          </w:rPr>
          <w:fldChar w:fldCharType="begin"/>
        </w:r>
        <w:r>
          <w:rPr>
            <w:webHidden/>
          </w:rPr>
          <w:instrText xml:space="preserve"> PAGEREF _Toc116994947 \h </w:instrText>
        </w:r>
        <w:r>
          <w:rPr>
            <w:webHidden/>
          </w:rPr>
        </w:r>
        <w:r>
          <w:rPr>
            <w:webHidden/>
          </w:rPr>
          <w:fldChar w:fldCharType="separate"/>
        </w:r>
        <w:r w:rsidR="005B672A">
          <w:rPr>
            <w:webHidden/>
          </w:rPr>
          <w:t>237</w:t>
        </w:r>
        <w:r>
          <w:rPr>
            <w:webHidden/>
          </w:rPr>
          <w:fldChar w:fldCharType="end"/>
        </w:r>
      </w:hyperlink>
    </w:p>
    <w:p w14:paraId="48536D56" w14:textId="3345241E" w:rsidR="00491210" w:rsidRDefault="00EE200C">
      <w:pPr>
        <w:pStyle w:val="TOC2"/>
        <w:rPr>
          <w:rFonts w:asciiTheme="minorHAnsi" w:eastAsiaTheme="minorEastAsia" w:hAnsiTheme="minorHAnsi" w:cstheme="minorBidi"/>
          <w:b w:val="0"/>
          <w:bCs w:val="0"/>
          <w:color w:val="auto"/>
          <w:sz w:val="22"/>
          <w:szCs w:val="22"/>
        </w:rPr>
      </w:pPr>
      <w:hyperlink w:anchor="_Toc116994948" w:history="1">
        <w:r w:rsidRPr="000D5332">
          <w:rPr>
            <w:rStyle w:val="Hyperlink"/>
            <w:rFonts w:eastAsia="Arial"/>
            <w:lang w:val="en-US"/>
          </w:rPr>
          <w:t>Appendix 4: Sensitivity of the Golden Perch metapopulation model</w:t>
        </w:r>
        <w:r>
          <w:rPr>
            <w:webHidden/>
          </w:rPr>
          <w:tab/>
        </w:r>
        <w:r>
          <w:rPr>
            <w:webHidden/>
          </w:rPr>
          <w:fldChar w:fldCharType="begin"/>
        </w:r>
        <w:r>
          <w:rPr>
            <w:webHidden/>
          </w:rPr>
          <w:instrText xml:space="preserve"> PAGEREF _Toc116994948 \h </w:instrText>
        </w:r>
        <w:r>
          <w:rPr>
            <w:webHidden/>
          </w:rPr>
        </w:r>
        <w:r>
          <w:rPr>
            <w:webHidden/>
          </w:rPr>
          <w:fldChar w:fldCharType="separate"/>
        </w:r>
        <w:r w:rsidR="005B672A">
          <w:rPr>
            <w:webHidden/>
          </w:rPr>
          <w:t>243</w:t>
        </w:r>
        <w:r>
          <w:rPr>
            <w:webHidden/>
          </w:rPr>
          <w:fldChar w:fldCharType="end"/>
        </w:r>
      </w:hyperlink>
    </w:p>
    <w:p w14:paraId="43964778" w14:textId="2C27030D"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49" w:history="1">
        <w:r w:rsidRPr="000D5332">
          <w:rPr>
            <w:rStyle w:val="Hyperlink"/>
          </w:rPr>
          <w:t>First sensitivity analysis</w:t>
        </w:r>
        <w:r>
          <w:rPr>
            <w:webHidden/>
          </w:rPr>
          <w:tab/>
        </w:r>
        <w:r>
          <w:rPr>
            <w:webHidden/>
          </w:rPr>
          <w:fldChar w:fldCharType="begin"/>
        </w:r>
        <w:r>
          <w:rPr>
            <w:webHidden/>
          </w:rPr>
          <w:instrText xml:space="preserve"> PAGEREF _Toc116994949 \h </w:instrText>
        </w:r>
        <w:r>
          <w:rPr>
            <w:webHidden/>
          </w:rPr>
        </w:r>
        <w:r>
          <w:rPr>
            <w:webHidden/>
          </w:rPr>
          <w:fldChar w:fldCharType="separate"/>
        </w:r>
        <w:r w:rsidR="005B672A">
          <w:rPr>
            <w:webHidden/>
          </w:rPr>
          <w:t>244</w:t>
        </w:r>
        <w:r>
          <w:rPr>
            <w:webHidden/>
          </w:rPr>
          <w:fldChar w:fldCharType="end"/>
        </w:r>
      </w:hyperlink>
    </w:p>
    <w:p w14:paraId="7740AE84" w14:textId="524D4EE7"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50" w:history="1">
        <w:r w:rsidRPr="000D5332">
          <w:rPr>
            <w:rStyle w:val="Hyperlink"/>
          </w:rPr>
          <w:t>Second sensitivity analysis</w:t>
        </w:r>
        <w:r>
          <w:rPr>
            <w:webHidden/>
          </w:rPr>
          <w:tab/>
        </w:r>
        <w:r>
          <w:rPr>
            <w:webHidden/>
          </w:rPr>
          <w:fldChar w:fldCharType="begin"/>
        </w:r>
        <w:r>
          <w:rPr>
            <w:webHidden/>
          </w:rPr>
          <w:instrText xml:space="preserve"> PAGEREF _Toc116994950 \h </w:instrText>
        </w:r>
        <w:r>
          <w:rPr>
            <w:webHidden/>
          </w:rPr>
        </w:r>
        <w:r>
          <w:rPr>
            <w:webHidden/>
          </w:rPr>
          <w:fldChar w:fldCharType="separate"/>
        </w:r>
        <w:r w:rsidR="005B672A">
          <w:rPr>
            <w:webHidden/>
          </w:rPr>
          <w:t>280</w:t>
        </w:r>
        <w:r>
          <w:rPr>
            <w:webHidden/>
          </w:rPr>
          <w:fldChar w:fldCharType="end"/>
        </w:r>
      </w:hyperlink>
    </w:p>
    <w:p w14:paraId="0773FBB0" w14:textId="6CF53F24"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51" w:history="1">
        <w:r w:rsidRPr="000D5332">
          <w:rPr>
            <w:rStyle w:val="Hyperlink"/>
          </w:rPr>
          <w:t>Third sensitivity analysis</w:t>
        </w:r>
        <w:r>
          <w:rPr>
            <w:webHidden/>
          </w:rPr>
          <w:tab/>
        </w:r>
        <w:r>
          <w:rPr>
            <w:webHidden/>
          </w:rPr>
          <w:fldChar w:fldCharType="begin"/>
        </w:r>
        <w:r>
          <w:rPr>
            <w:webHidden/>
          </w:rPr>
          <w:instrText xml:space="preserve"> PAGEREF _Toc116994951 \h </w:instrText>
        </w:r>
        <w:r>
          <w:rPr>
            <w:webHidden/>
          </w:rPr>
        </w:r>
        <w:r>
          <w:rPr>
            <w:webHidden/>
          </w:rPr>
          <w:fldChar w:fldCharType="separate"/>
        </w:r>
        <w:r w:rsidR="005B672A">
          <w:rPr>
            <w:webHidden/>
          </w:rPr>
          <w:t>316</w:t>
        </w:r>
        <w:r>
          <w:rPr>
            <w:webHidden/>
          </w:rPr>
          <w:fldChar w:fldCharType="end"/>
        </w:r>
      </w:hyperlink>
    </w:p>
    <w:p w14:paraId="078B3AA0" w14:textId="493D3F3F" w:rsidR="00491210" w:rsidRDefault="00EE200C">
      <w:pPr>
        <w:pStyle w:val="TOC2"/>
        <w:rPr>
          <w:rFonts w:asciiTheme="minorHAnsi" w:eastAsiaTheme="minorEastAsia" w:hAnsiTheme="minorHAnsi" w:cstheme="minorBidi"/>
          <w:b w:val="0"/>
          <w:bCs w:val="0"/>
          <w:color w:val="auto"/>
          <w:sz w:val="22"/>
          <w:szCs w:val="22"/>
        </w:rPr>
      </w:pPr>
      <w:hyperlink w:anchor="_Toc116994952" w:history="1">
        <w:r w:rsidRPr="000D5332">
          <w:rPr>
            <w:rStyle w:val="Hyperlink"/>
            <w:rFonts w:eastAsia="Arial"/>
            <w:lang w:val="en-US"/>
          </w:rPr>
          <w:t>Appendix 5: Golden</w:t>
        </w:r>
        <w:r w:rsidRPr="000D5332">
          <w:rPr>
            <w:rStyle w:val="Hyperlink"/>
          </w:rPr>
          <w:t xml:space="preserve"> Perch model convergence investigation</w:t>
        </w:r>
        <w:r>
          <w:rPr>
            <w:webHidden/>
          </w:rPr>
          <w:tab/>
        </w:r>
        <w:r>
          <w:rPr>
            <w:webHidden/>
          </w:rPr>
          <w:fldChar w:fldCharType="begin"/>
        </w:r>
        <w:r>
          <w:rPr>
            <w:webHidden/>
          </w:rPr>
          <w:instrText xml:space="preserve"> PAGEREF _Toc116994952 \h </w:instrText>
        </w:r>
        <w:r>
          <w:rPr>
            <w:webHidden/>
          </w:rPr>
        </w:r>
        <w:r>
          <w:rPr>
            <w:webHidden/>
          </w:rPr>
          <w:fldChar w:fldCharType="separate"/>
        </w:r>
        <w:r w:rsidR="005B672A">
          <w:rPr>
            <w:webHidden/>
          </w:rPr>
          <w:t>319</w:t>
        </w:r>
        <w:r>
          <w:rPr>
            <w:webHidden/>
          </w:rPr>
          <w:fldChar w:fldCharType="end"/>
        </w:r>
      </w:hyperlink>
    </w:p>
    <w:p w14:paraId="0354BBA2" w14:textId="7C949631"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53" w:history="1">
        <w:r w:rsidRPr="000D5332">
          <w:rPr>
            <w:rStyle w:val="Hyperlink"/>
          </w:rPr>
          <w:t>First investigation</w:t>
        </w:r>
        <w:r>
          <w:rPr>
            <w:webHidden/>
          </w:rPr>
          <w:tab/>
        </w:r>
        <w:r>
          <w:rPr>
            <w:webHidden/>
          </w:rPr>
          <w:fldChar w:fldCharType="begin"/>
        </w:r>
        <w:r>
          <w:rPr>
            <w:webHidden/>
          </w:rPr>
          <w:instrText xml:space="preserve"> PAGEREF _Toc116994953 \h </w:instrText>
        </w:r>
        <w:r>
          <w:rPr>
            <w:webHidden/>
          </w:rPr>
        </w:r>
        <w:r>
          <w:rPr>
            <w:webHidden/>
          </w:rPr>
          <w:fldChar w:fldCharType="separate"/>
        </w:r>
        <w:r w:rsidR="005B672A">
          <w:rPr>
            <w:webHidden/>
          </w:rPr>
          <w:t>319</w:t>
        </w:r>
        <w:r>
          <w:rPr>
            <w:webHidden/>
          </w:rPr>
          <w:fldChar w:fldCharType="end"/>
        </w:r>
      </w:hyperlink>
    </w:p>
    <w:p w14:paraId="64AEEF78" w14:textId="65D9FFA9"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54" w:history="1">
        <w:r w:rsidRPr="000D5332">
          <w:rPr>
            <w:rStyle w:val="Hyperlink"/>
            <w:lang w:eastAsia="en-AU"/>
          </w:rPr>
          <w:t>Second investigation</w:t>
        </w:r>
        <w:r>
          <w:rPr>
            <w:webHidden/>
          </w:rPr>
          <w:tab/>
        </w:r>
        <w:r>
          <w:rPr>
            <w:webHidden/>
          </w:rPr>
          <w:fldChar w:fldCharType="begin"/>
        </w:r>
        <w:r>
          <w:rPr>
            <w:webHidden/>
          </w:rPr>
          <w:instrText xml:space="preserve"> PAGEREF _Toc116994954 \h </w:instrText>
        </w:r>
        <w:r>
          <w:rPr>
            <w:webHidden/>
          </w:rPr>
        </w:r>
        <w:r>
          <w:rPr>
            <w:webHidden/>
          </w:rPr>
          <w:fldChar w:fldCharType="separate"/>
        </w:r>
        <w:r w:rsidR="005B672A">
          <w:rPr>
            <w:webHidden/>
          </w:rPr>
          <w:t>322</w:t>
        </w:r>
        <w:r>
          <w:rPr>
            <w:webHidden/>
          </w:rPr>
          <w:fldChar w:fldCharType="end"/>
        </w:r>
      </w:hyperlink>
    </w:p>
    <w:p w14:paraId="2625C296" w14:textId="4F644491" w:rsidR="00491210" w:rsidRDefault="00EE200C">
      <w:pPr>
        <w:pStyle w:val="TOC2"/>
        <w:rPr>
          <w:rFonts w:asciiTheme="minorHAnsi" w:eastAsiaTheme="minorEastAsia" w:hAnsiTheme="minorHAnsi" w:cstheme="minorBidi"/>
          <w:b w:val="0"/>
          <w:bCs w:val="0"/>
          <w:color w:val="auto"/>
          <w:sz w:val="22"/>
          <w:szCs w:val="22"/>
        </w:rPr>
      </w:pPr>
      <w:hyperlink w:anchor="_Toc116994955" w:history="1">
        <w:r w:rsidRPr="000D5332">
          <w:rPr>
            <w:rStyle w:val="Hyperlink"/>
            <w:rFonts w:eastAsia="Arial"/>
            <w:lang w:val="en-US"/>
          </w:rPr>
          <w:t>Appendix 6: Validation</w:t>
        </w:r>
        <w:r>
          <w:rPr>
            <w:webHidden/>
          </w:rPr>
          <w:tab/>
        </w:r>
        <w:r>
          <w:rPr>
            <w:webHidden/>
          </w:rPr>
          <w:fldChar w:fldCharType="begin"/>
        </w:r>
        <w:r>
          <w:rPr>
            <w:webHidden/>
          </w:rPr>
          <w:instrText xml:space="preserve"> PAGEREF _Toc116994955 \h </w:instrText>
        </w:r>
        <w:r>
          <w:rPr>
            <w:webHidden/>
          </w:rPr>
        </w:r>
        <w:r>
          <w:rPr>
            <w:webHidden/>
          </w:rPr>
          <w:fldChar w:fldCharType="separate"/>
        </w:r>
        <w:r w:rsidR="005B672A">
          <w:rPr>
            <w:webHidden/>
          </w:rPr>
          <w:t>324</w:t>
        </w:r>
        <w:r>
          <w:rPr>
            <w:webHidden/>
          </w:rPr>
          <w:fldChar w:fldCharType="end"/>
        </w:r>
      </w:hyperlink>
    </w:p>
    <w:p w14:paraId="11A6C5DE" w14:textId="345016B1"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56" w:history="1">
        <w:r w:rsidRPr="000D5332">
          <w:rPr>
            <w:rStyle w:val="Hyperlink"/>
          </w:rPr>
          <w:t>Data preparation</w:t>
        </w:r>
        <w:r>
          <w:rPr>
            <w:webHidden/>
          </w:rPr>
          <w:tab/>
        </w:r>
        <w:r>
          <w:rPr>
            <w:webHidden/>
          </w:rPr>
          <w:fldChar w:fldCharType="begin"/>
        </w:r>
        <w:r>
          <w:rPr>
            <w:webHidden/>
          </w:rPr>
          <w:instrText xml:space="preserve"> PAGEREF _Toc116994956 \h </w:instrText>
        </w:r>
        <w:r>
          <w:rPr>
            <w:webHidden/>
          </w:rPr>
        </w:r>
        <w:r>
          <w:rPr>
            <w:webHidden/>
          </w:rPr>
          <w:fldChar w:fldCharType="separate"/>
        </w:r>
        <w:r w:rsidR="005B672A">
          <w:rPr>
            <w:webHidden/>
          </w:rPr>
          <w:t>324</w:t>
        </w:r>
        <w:r>
          <w:rPr>
            <w:webHidden/>
          </w:rPr>
          <w:fldChar w:fldCharType="end"/>
        </w:r>
      </w:hyperlink>
    </w:p>
    <w:p w14:paraId="4601932A" w14:textId="69DCC97F"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57" w:history="1">
        <w:r w:rsidRPr="000D5332">
          <w:rPr>
            <w:rStyle w:val="Hyperlink"/>
          </w:rPr>
          <w:t>Data analysis</w:t>
        </w:r>
        <w:r>
          <w:rPr>
            <w:webHidden/>
          </w:rPr>
          <w:tab/>
        </w:r>
        <w:r>
          <w:rPr>
            <w:webHidden/>
          </w:rPr>
          <w:fldChar w:fldCharType="begin"/>
        </w:r>
        <w:r>
          <w:rPr>
            <w:webHidden/>
          </w:rPr>
          <w:instrText xml:space="preserve"> PAGEREF _Toc116994957 \h </w:instrText>
        </w:r>
        <w:r>
          <w:rPr>
            <w:webHidden/>
          </w:rPr>
        </w:r>
        <w:r>
          <w:rPr>
            <w:webHidden/>
          </w:rPr>
          <w:fldChar w:fldCharType="separate"/>
        </w:r>
        <w:r w:rsidR="005B672A">
          <w:rPr>
            <w:webHidden/>
          </w:rPr>
          <w:t>327</w:t>
        </w:r>
        <w:r>
          <w:rPr>
            <w:webHidden/>
          </w:rPr>
          <w:fldChar w:fldCharType="end"/>
        </w:r>
      </w:hyperlink>
    </w:p>
    <w:p w14:paraId="457790F8" w14:textId="47D1CC25" w:rsidR="00491210" w:rsidRDefault="00EE200C">
      <w:pPr>
        <w:pStyle w:val="TOC3"/>
        <w:rPr>
          <w:rFonts w:asciiTheme="minorHAnsi" w:eastAsiaTheme="minorEastAsia" w:hAnsiTheme="minorHAnsi" w:cstheme="minorBidi"/>
          <w:b w:val="0"/>
          <w:bCs w:val="0"/>
          <w:color w:val="auto"/>
          <w:sz w:val="22"/>
          <w:szCs w:val="22"/>
          <w:lang w:eastAsia="en-AU"/>
        </w:rPr>
      </w:pPr>
      <w:hyperlink w:anchor="_Toc116994958" w:history="1">
        <w:r w:rsidRPr="000D5332">
          <w:rPr>
            <w:rStyle w:val="Hyperlink"/>
          </w:rPr>
          <w:t>Summary of validation results</w:t>
        </w:r>
        <w:r>
          <w:rPr>
            <w:webHidden/>
          </w:rPr>
          <w:tab/>
        </w:r>
        <w:r>
          <w:rPr>
            <w:webHidden/>
          </w:rPr>
          <w:fldChar w:fldCharType="begin"/>
        </w:r>
        <w:r>
          <w:rPr>
            <w:webHidden/>
          </w:rPr>
          <w:instrText xml:space="preserve"> PAGEREF _Toc116994958 \h </w:instrText>
        </w:r>
        <w:r>
          <w:rPr>
            <w:webHidden/>
          </w:rPr>
        </w:r>
        <w:r>
          <w:rPr>
            <w:webHidden/>
          </w:rPr>
          <w:fldChar w:fldCharType="separate"/>
        </w:r>
        <w:r w:rsidR="005B672A">
          <w:rPr>
            <w:webHidden/>
          </w:rPr>
          <w:t>330</w:t>
        </w:r>
        <w:r>
          <w:rPr>
            <w:webHidden/>
          </w:rPr>
          <w:fldChar w:fldCharType="end"/>
        </w:r>
      </w:hyperlink>
    </w:p>
    <w:p w14:paraId="31EB3406" w14:textId="1701445A" w:rsidR="00491210" w:rsidRPr="00FB3005" w:rsidRDefault="00EE200C" w:rsidP="0071429D">
      <w:pPr>
        <w:rPr>
          <w:sz w:val="22"/>
          <w:szCs w:val="22"/>
        </w:rPr>
      </w:pPr>
      <w:r w:rsidRPr="00FB3005">
        <w:rPr>
          <w:b/>
          <w:noProof/>
          <w:color w:val="00B2A9" w:themeColor="accent1"/>
          <w:sz w:val="22"/>
          <w:szCs w:val="22"/>
          <w:lang w:val="en-US"/>
        </w:rPr>
        <w:fldChar w:fldCharType="end"/>
      </w:r>
    </w:p>
    <w:p w14:paraId="27378BAB" w14:textId="5D102204" w:rsidR="00491210" w:rsidRPr="00243764" w:rsidRDefault="00EE200C" w:rsidP="00B2382F">
      <w:pPr>
        <w:pStyle w:val="TOCtitle"/>
      </w:pPr>
      <w:r w:rsidRPr="00243764">
        <w:br w:type="page"/>
      </w:r>
      <w:r w:rsidRPr="00243764">
        <w:lastRenderedPageBreak/>
        <w:t>Tables</w:t>
      </w:r>
    </w:p>
    <w:p w14:paraId="076ABCED" w14:textId="295E1EB5" w:rsidR="00491210" w:rsidRDefault="00EE200C">
      <w:pPr>
        <w:pStyle w:val="TableofFigures"/>
        <w:rPr>
          <w:rFonts w:asciiTheme="minorHAnsi" w:eastAsiaTheme="minorEastAsia" w:hAnsiTheme="minorHAnsi" w:cstheme="minorBidi"/>
          <w:sz w:val="22"/>
          <w:szCs w:val="22"/>
          <w:lang w:eastAsia="en-AU"/>
        </w:rPr>
      </w:pPr>
      <w:r w:rsidRPr="00FB3005">
        <w:rPr>
          <w:sz w:val="22"/>
          <w:szCs w:val="22"/>
        </w:rPr>
        <w:fldChar w:fldCharType="begin"/>
      </w:r>
      <w:r w:rsidRPr="00FB3005">
        <w:rPr>
          <w:sz w:val="22"/>
          <w:szCs w:val="22"/>
        </w:rPr>
        <w:instrText xml:space="preserve"> TOC \t "Caption - Table" \c "Table" </w:instrText>
      </w:r>
      <w:r w:rsidRPr="00FB3005">
        <w:rPr>
          <w:sz w:val="22"/>
          <w:szCs w:val="22"/>
        </w:rPr>
        <w:fldChar w:fldCharType="separate"/>
      </w:r>
      <w:r>
        <w:t>Table S1. Relaxed-flow-constraints scenarios at indicator gauges within two reaches of the Murray River and within the Murrumbidgee River.</w:t>
      </w:r>
      <w:r>
        <w:tab/>
      </w:r>
      <w:r>
        <w:fldChar w:fldCharType="begin"/>
      </w:r>
      <w:r>
        <w:instrText xml:space="preserve"> PAGEREF _Toc116994959 \h </w:instrText>
      </w:r>
      <w:r>
        <w:fldChar w:fldCharType="separate"/>
      </w:r>
      <w:r w:rsidR="005B672A">
        <w:t>xiii</w:t>
      </w:r>
      <w:r>
        <w:fldChar w:fldCharType="end"/>
      </w:r>
    </w:p>
    <w:p w14:paraId="24DE8A78" w14:textId="3C944AF7" w:rsidR="00491210" w:rsidRDefault="00EE200C">
      <w:pPr>
        <w:pStyle w:val="TableofFigures"/>
        <w:rPr>
          <w:rFonts w:asciiTheme="minorHAnsi" w:eastAsiaTheme="minorEastAsia" w:hAnsiTheme="minorHAnsi" w:cstheme="minorBidi"/>
          <w:sz w:val="22"/>
          <w:szCs w:val="22"/>
          <w:lang w:eastAsia="en-AU"/>
        </w:rPr>
      </w:pPr>
      <w:r>
        <w:t>Table S2. Summarised outputs from the mean trajectories of the population modelling for Golden Perch and Murray Cod populations across the Total RRCP Populations (inclusive to Wentworth) under the various relaxed-flow-constraints scenarios, Options 1–4.</w:t>
      </w:r>
      <w:r>
        <w:tab/>
      </w:r>
      <w:r>
        <w:fldChar w:fldCharType="begin"/>
      </w:r>
      <w:r>
        <w:instrText xml:space="preserve"> PAGEREF _Toc116994960 \h </w:instrText>
      </w:r>
      <w:r>
        <w:fldChar w:fldCharType="separate"/>
      </w:r>
      <w:r w:rsidR="005B672A">
        <w:t>xiv</w:t>
      </w:r>
      <w:r>
        <w:fldChar w:fldCharType="end"/>
      </w:r>
    </w:p>
    <w:p w14:paraId="0872E42E" w14:textId="24A24FC4" w:rsidR="00491210" w:rsidRDefault="00EE200C">
      <w:pPr>
        <w:pStyle w:val="TableofFigures"/>
        <w:rPr>
          <w:rFonts w:asciiTheme="minorHAnsi" w:eastAsiaTheme="minorEastAsia" w:hAnsiTheme="minorHAnsi" w:cstheme="minorBidi"/>
          <w:sz w:val="22"/>
          <w:szCs w:val="22"/>
          <w:lang w:eastAsia="en-AU"/>
        </w:rPr>
      </w:pPr>
      <w:r>
        <w:t>Table 1. Reconnecting River Country Program (RRCP) project areas, current flow limit options, and areas for native fish population modelling.</w:t>
      </w:r>
      <w:r>
        <w:tab/>
      </w:r>
      <w:r>
        <w:fldChar w:fldCharType="begin"/>
      </w:r>
      <w:r>
        <w:instrText xml:space="preserve"> PAGEREF _Toc116994961 \h </w:instrText>
      </w:r>
      <w:r>
        <w:fldChar w:fldCharType="separate"/>
      </w:r>
      <w:r w:rsidR="005B672A">
        <w:t>15</w:t>
      </w:r>
      <w:r>
        <w:fldChar w:fldCharType="end"/>
      </w:r>
    </w:p>
    <w:p w14:paraId="3AA8703C" w14:textId="412372C7" w:rsidR="00491210" w:rsidRDefault="00EE200C">
      <w:pPr>
        <w:pStyle w:val="TableofFigures"/>
        <w:rPr>
          <w:rFonts w:asciiTheme="minorHAnsi" w:eastAsiaTheme="minorEastAsia" w:hAnsiTheme="minorHAnsi" w:cstheme="minorBidi"/>
          <w:sz w:val="22"/>
          <w:szCs w:val="22"/>
          <w:lang w:eastAsia="en-AU"/>
        </w:rPr>
      </w:pPr>
      <w:r>
        <w:t>Table 2. Metapopulation sub-units for Golden Perch represented for the modelling reported in this document.</w:t>
      </w:r>
      <w:r>
        <w:tab/>
      </w:r>
      <w:r>
        <w:fldChar w:fldCharType="begin"/>
      </w:r>
      <w:r>
        <w:instrText xml:space="preserve"> PAGEREF _Toc116994962 \h </w:instrText>
      </w:r>
      <w:r>
        <w:fldChar w:fldCharType="separate"/>
      </w:r>
      <w:r w:rsidR="005B672A">
        <w:t>19</w:t>
      </w:r>
      <w:r>
        <w:fldChar w:fldCharType="end"/>
      </w:r>
    </w:p>
    <w:p w14:paraId="6AE67820" w14:textId="2F74A3DF" w:rsidR="00491210" w:rsidRDefault="00EE200C">
      <w:pPr>
        <w:pStyle w:val="TableofFigures"/>
        <w:rPr>
          <w:rFonts w:asciiTheme="minorHAnsi" w:eastAsiaTheme="minorEastAsia" w:hAnsiTheme="minorHAnsi" w:cstheme="minorBidi"/>
          <w:sz w:val="22"/>
          <w:szCs w:val="22"/>
          <w:lang w:eastAsia="en-AU"/>
        </w:rPr>
      </w:pPr>
      <w:r>
        <w:t>Table 3. Population units for Murray Cod represented for the modelling reported in this document.</w:t>
      </w:r>
      <w:r>
        <w:tab/>
      </w:r>
      <w:r>
        <w:fldChar w:fldCharType="begin"/>
      </w:r>
      <w:r>
        <w:instrText xml:space="preserve"> PAGEREF _Toc116994963 \h </w:instrText>
      </w:r>
      <w:r>
        <w:fldChar w:fldCharType="separate"/>
      </w:r>
      <w:r w:rsidR="005B672A">
        <w:t>20</w:t>
      </w:r>
      <w:r>
        <w:fldChar w:fldCharType="end"/>
      </w:r>
    </w:p>
    <w:p w14:paraId="269B44A9" w14:textId="505C0147" w:rsidR="00491210" w:rsidRDefault="00EE200C">
      <w:pPr>
        <w:pStyle w:val="TableofFigures"/>
        <w:rPr>
          <w:rFonts w:asciiTheme="minorHAnsi" w:eastAsiaTheme="minorEastAsia" w:hAnsiTheme="minorHAnsi" w:cstheme="minorBidi"/>
          <w:sz w:val="22"/>
          <w:szCs w:val="22"/>
          <w:lang w:eastAsia="en-AU"/>
        </w:rPr>
      </w:pPr>
      <w:r>
        <w:t>Table 4. RRCP flow scenarios at indicator gauges within two reaches of the Murray River combined with the Murrumbidgee River.</w:t>
      </w:r>
      <w:r>
        <w:tab/>
      </w:r>
      <w:r>
        <w:fldChar w:fldCharType="begin"/>
      </w:r>
      <w:r>
        <w:instrText xml:space="preserve"> PAGEREF _Toc116994964 \h </w:instrText>
      </w:r>
      <w:r>
        <w:fldChar w:fldCharType="separate"/>
      </w:r>
      <w:r w:rsidR="005B672A">
        <w:t>21</w:t>
      </w:r>
      <w:r>
        <w:fldChar w:fldCharType="end"/>
      </w:r>
    </w:p>
    <w:p w14:paraId="2DA5C390" w14:textId="353D931E" w:rsidR="00491210" w:rsidRDefault="00EE200C">
      <w:pPr>
        <w:pStyle w:val="TableofFigures"/>
        <w:rPr>
          <w:rFonts w:asciiTheme="minorHAnsi" w:eastAsiaTheme="minorEastAsia" w:hAnsiTheme="minorHAnsi" w:cstheme="minorBidi"/>
          <w:sz w:val="22"/>
          <w:szCs w:val="22"/>
          <w:lang w:eastAsia="en-AU"/>
        </w:rPr>
      </w:pPr>
      <w:r>
        <w:t>Table 5</w:t>
      </w:r>
      <w:r w:rsidRPr="001519DA">
        <w:rPr>
          <w:rFonts w:eastAsia="Arial"/>
        </w:rPr>
        <w:t>. Description of the main datasets used for the validation component. The ‘ARI’ dataset was collected by scientists from the Arthur Rylah Institute for Environmental Research, which is part of the Department of Environment, Land, Water and Planning. The ‘NSW’ dataset was collected by the New South Wales (NSW) Department of Primary Industries, Fisheries.</w:t>
      </w:r>
      <w:r>
        <w:tab/>
      </w:r>
      <w:r>
        <w:fldChar w:fldCharType="begin"/>
      </w:r>
      <w:r>
        <w:instrText xml:space="preserve"> PAGEREF _Toc116994965 \h </w:instrText>
      </w:r>
      <w:r>
        <w:fldChar w:fldCharType="separate"/>
      </w:r>
      <w:r w:rsidR="005B672A">
        <w:t>53</w:t>
      </w:r>
      <w:r>
        <w:fldChar w:fldCharType="end"/>
      </w:r>
    </w:p>
    <w:p w14:paraId="4B4C3FAE" w14:textId="70CAA555" w:rsidR="00491210" w:rsidRDefault="00EE200C">
      <w:pPr>
        <w:pStyle w:val="TableofFigures"/>
        <w:rPr>
          <w:rFonts w:asciiTheme="minorHAnsi" w:eastAsiaTheme="minorEastAsia" w:hAnsiTheme="minorHAnsi" w:cstheme="minorBidi"/>
          <w:sz w:val="22"/>
          <w:szCs w:val="22"/>
          <w:lang w:eastAsia="en-AU"/>
        </w:rPr>
      </w:pPr>
      <w:r>
        <w:t>Table 6</w:t>
      </w:r>
      <w:r w:rsidRPr="001519DA">
        <w:rPr>
          <w:rFonts w:eastAsia="Arial"/>
        </w:rPr>
        <w:t>. Assessment metrics used for comparing the MODEL output dataset with the OBSERVED output dataset. The criteria clarify how the level of concordance between the MODEL and OBSERVED estimates were deemed ‘weak’ or ‘strong’ supports for the MODEL.</w:t>
      </w:r>
      <w:r>
        <w:tab/>
      </w:r>
      <w:r>
        <w:fldChar w:fldCharType="begin"/>
      </w:r>
      <w:r>
        <w:instrText xml:space="preserve"> PAGEREF _Toc116994966 \h </w:instrText>
      </w:r>
      <w:r>
        <w:fldChar w:fldCharType="separate"/>
      </w:r>
      <w:r w:rsidR="005B672A">
        <w:t>56</w:t>
      </w:r>
      <w:r>
        <w:fldChar w:fldCharType="end"/>
      </w:r>
    </w:p>
    <w:p w14:paraId="4733E448" w14:textId="0ADFF354" w:rsidR="00491210" w:rsidRDefault="00EE200C">
      <w:pPr>
        <w:pStyle w:val="TableofFigures"/>
        <w:rPr>
          <w:rFonts w:asciiTheme="minorHAnsi" w:eastAsiaTheme="minorEastAsia" w:hAnsiTheme="minorHAnsi" w:cstheme="minorBidi"/>
          <w:sz w:val="22"/>
          <w:szCs w:val="22"/>
          <w:lang w:eastAsia="en-AU"/>
        </w:rPr>
      </w:pPr>
      <w:r>
        <w:t xml:space="preserve">Table 7. </w:t>
      </w:r>
      <w:r w:rsidRPr="001519DA">
        <w:rPr>
          <w:rFonts w:eastAsia="Arial"/>
        </w:rPr>
        <w:t xml:space="preserve">Summary of assessment metrics for Golden Perch. Metrics shaded green indicate support for correlation between the MODEL data and the OBSERVED data from the specified study (as defined in </w:t>
      </w:r>
      <w:r>
        <w:t>Table 6</w:t>
      </w:r>
      <w:r w:rsidRPr="001519DA">
        <w:rPr>
          <w:rFonts w:eastAsia="Arial"/>
        </w:rPr>
        <w:t xml:space="preserve">). Weak support is indicated by light green and strong support is indicated by the darker green. Each metric provides different insights (see </w:t>
      </w:r>
      <w:r>
        <w:t>Table 6</w:t>
      </w:r>
      <w:r w:rsidRPr="001519DA">
        <w:rPr>
          <w:rFonts w:eastAsia="Arial"/>
        </w:rPr>
        <w:t xml:space="preserve"> for more details on each metric’s comparative attributes).</w:t>
      </w:r>
      <w:r>
        <w:tab/>
      </w:r>
      <w:r>
        <w:fldChar w:fldCharType="begin"/>
      </w:r>
      <w:r>
        <w:instrText xml:space="preserve"> PAGEREF _Toc116994967 \h </w:instrText>
      </w:r>
      <w:r>
        <w:fldChar w:fldCharType="separate"/>
      </w:r>
      <w:r w:rsidR="005B672A">
        <w:t>64</w:t>
      </w:r>
      <w:r>
        <w:fldChar w:fldCharType="end"/>
      </w:r>
    </w:p>
    <w:p w14:paraId="2CC9717A" w14:textId="62190A92" w:rsidR="00491210" w:rsidRDefault="00EE200C">
      <w:pPr>
        <w:pStyle w:val="TableofFigures"/>
        <w:rPr>
          <w:rFonts w:asciiTheme="minorHAnsi" w:eastAsiaTheme="minorEastAsia" w:hAnsiTheme="minorHAnsi" w:cstheme="minorBidi"/>
          <w:sz w:val="22"/>
          <w:szCs w:val="22"/>
          <w:lang w:eastAsia="en-AU"/>
        </w:rPr>
      </w:pPr>
      <w:r>
        <w:t xml:space="preserve">Table 8. </w:t>
      </w:r>
      <w:r w:rsidRPr="001519DA">
        <w:rPr>
          <w:rFonts w:eastAsia="Arial"/>
        </w:rPr>
        <w:t xml:space="preserve">Summary of assessment metrics for Murray Cod. Metrics shaded green indicate support for correlation between MODEL and specified OBSERVED data (as defined in </w:t>
      </w:r>
      <w:r>
        <w:t>Table 6</w:t>
      </w:r>
      <w:r w:rsidRPr="001519DA">
        <w:rPr>
          <w:rFonts w:eastAsia="Arial"/>
        </w:rPr>
        <w:t xml:space="preserve">). Weak support is indicated by light green and strong support by the darker green. Each metric provides different insights (see </w:t>
      </w:r>
      <w:r>
        <w:t>Table 6</w:t>
      </w:r>
      <w:r w:rsidRPr="001519DA">
        <w:rPr>
          <w:rFonts w:eastAsia="Arial"/>
        </w:rPr>
        <w:t xml:space="preserve"> for more details on each metric’s comparative attributes).</w:t>
      </w:r>
      <w:r>
        <w:tab/>
      </w:r>
      <w:r>
        <w:fldChar w:fldCharType="begin"/>
      </w:r>
      <w:r>
        <w:instrText xml:space="preserve"> PAGEREF _Toc116994968 \h </w:instrText>
      </w:r>
      <w:r>
        <w:fldChar w:fldCharType="separate"/>
      </w:r>
      <w:r w:rsidR="005B672A">
        <w:t>67</w:t>
      </w:r>
      <w:r>
        <w:fldChar w:fldCharType="end"/>
      </w:r>
    </w:p>
    <w:p w14:paraId="5EE5890A" w14:textId="47132E8F" w:rsidR="00491210" w:rsidRPr="00FB3005" w:rsidRDefault="00EE200C" w:rsidP="008B5473">
      <w:pPr>
        <w:pStyle w:val="TableofFigures"/>
        <w:ind w:left="0" w:firstLine="0"/>
        <w:jc w:val="both"/>
        <w:rPr>
          <w:sz w:val="22"/>
          <w:szCs w:val="22"/>
        </w:rPr>
      </w:pPr>
      <w:r w:rsidRPr="00FB3005">
        <w:rPr>
          <w:sz w:val="22"/>
          <w:szCs w:val="22"/>
        </w:rPr>
        <w:fldChar w:fldCharType="end"/>
      </w:r>
    </w:p>
    <w:p w14:paraId="0EECDC5C" w14:textId="77777777" w:rsidR="00491210" w:rsidRDefault="00EE200C">
      <w:pPr>
        <w:spacing w:after="0"/>
        <w:rPr>
          <w:b/>
          <w:color w:val="00B2A9" w:themeColor="accent1"/>
          <w:sz w:val="32"/>
          <w:szCs w:val="32"/>
          <w:lang w:val="en-US"/>
        </w:rPr>
      </w:pPr>
      <w:r>
        <w:br w:type="page"/>
      </w:r>
    </w:p>
    <w:p w14:paraId="1FB66F78" w14:textId="29070F90" w:rsidR="00491210" w:rsidRDefault="00EE200C" w:rsidP="003609D4">
      <w:pPr>
        <w:pStyle w:val="TOCtitle"/>
      </w:pPr>
      <w:r>
        <w:lastRenderedPageBreak/>
        <w:t>Figures</w:t>
      </w:r>
    </w:p>
    <w:p w14:paraId="64DE28EA" w14:textId="1B6C5C1F" w:rsidR="00491210" w:rsidRDefault="00EE200C">
      <w:pPr>
        <w:pStyle w:val="TableofFigures"/>
        <w:rPr>
          <w:rFonts w:asciiTheme="minorHAnsi" w:eastAsiaTheme="minorEastAsia" w:hAnsiTheme="minorHAnsi" w:cstheme="minorBidi"/>
          <w:sz w:val="22"/>
          <w:szCs w:val="22"/>
          <w:lang w:eastAsia="en-AU"/>
        </w:rPr>
      </w:pPr>
      <w:r>
        <w:fldChar w:fldCharType="begin"/>
      </w:r>
      <w:r>
        <w:instrText xml:space="preserve"> TOC \t "Caption - Figure" \c </w:instrText>
      </w:r>
      <w:r>
        <w:fldChar w:fldCharType="separate"/>
      </w:r>
      <w:r>
        <w:t>Figure S1. Summary of the predicted Golden Perch responses to flow scenarios (Base case to Options 1–4) aggregated across all modelled RRCP focal zones, together with the Wakool Junction to Wentworth reach.</w:t>
      </w:r>
      <w:r>
        <w:tab/>
      </w:r>
      <w:r>
        <w:fldChar w:fldCharType="begin"/>
      </w:r>
      <w:r>
        <w:instrText xml:space="preserve"> PAGEREF _Toc116994969 \h </w:instrText>
      </w:r>
      <w:r>
        <w:fldChar w:fldCharType="separate"/>
      </w:r>
      <w:r w:rsidR="005B672A">
        <w:t>xvi</w:t>
      </w:r>
      <w:r>
        <w:fldChar w:fldCharType="end"/>
      </w:r>
    </w:p>
    <w:p w14:paraId="39D49816" w14:textId="31D67DB1" w:rsidR="00491210" w:rsidRDefault="00EE200C">
      <w:pPr>
        <w:pStyle w:val="TableofFigures"/>
        <w:rPr>
          <w:rFonts w:asciiTheme="minorHAnsi" w:eastAsiaTheme="minorEastAsia" w:hAnsiTheme="minorHAnsi" w:cstheme="minorBidi"/>
          <w:sz w:val="22"/>
          <w:szCs w:val="22"/>
          <w:lang w:eastAsia="en-AU"/>
        </w:rPr>
      </w:pPr>
      <w:r>
        <w:t>Figure S2. Summary of predicted Murray Cod responses to flow scenarios (Base case to Options 1–4) aggregated across all modelled RRCP focal zones, together with the Wakool Junction to Wentworth reach.</w:t>
      </w:r>
      <w:r>
        <w:tab/>
      </w:r>
      <w:r>
        <w:fldChar w:fldCharType="begin"/>
      </w:r>
      <w:r>
        <w:instrText xml:space="preserve"> PAGEREF _Toc116994970 \h </w:instrText>
      </w:r>
      <w:r>
        <w:fldChar w:fldCharType="separate"/>
      </w:r>
      <w:r w:rsidR="005B672A">
        <w:t>xvii</w:t>
      </w:r>
      <w:r>
        <w:fldChar w:fldCharType="end"/>
      </w:r>
    </w:p>
    <w:p w14:paraId="2BDB603B" w14:textId="0E824511" w:rsidR="00491210" w:rsidRDefault="00EE200C">
      <w:pPr>
        <w:pStyle w:val="TableofFigures"/>
        <w:rPr>
          <w:rFonts w:asciiTheme="minorHAnsi" w:eastAsiaTheme="minorEastAsia" w:hAnsiTheme="minorHAnsi" w:cstheme="minorBidi"/>
          <w:sz w:val="22"/>
          <w:szCs w:val="22"/>
          <w:lang w:eastAsia="en-AU"/>
        </w:rPr>
      </w:pPr>
      <w:r>
        <w:t>Figure 1. A conceptual example to demonstrate the model outputs of population trajectories for four different management scenarios, with each coloured line representing a different management scenario (or a combination thereof).</w:t>
      </w:r>
      <w:r>
        <w:tab/>
      </w:r>
      <w:r>
        <w:fldChar w:fldCharType="begin"/>
      </w:r>
      <w:r>
        <w:instrText xml:space="preserve"> PAGEREF _Toc116994971 \h </w:instrText>
      </w:r>
      <w:r>
        <w:fldChar w:fldCharType="separate"/>
      </w:r>
      <w:r w:rsidR="005B672A">
        <w:t>3</w:t>
      </w:r>
      <w:r>
        <w:fldChar w:fldCharType="end"/>
      </w:r>
    </w:p>
    <w:p w14:paraId="1A0781EA" w14:textId="3DAABAB4" w:rsidR="00491210" w:rsidRDefault="00EE200C">
      <w:pPr>
        <w:pStyle w:val="TableofFigures"/>
        <w:rPr>
          <w:rFonts w:asciiTheme="minorHAnsi" w:eastAsiaTheme="minorEastAsia" w:hAnsiTheme="minorHAnsi" w:cstheme="minorBidi"/>
          <w:sz w:val="22"/>
          <w:szCs w:val="22"/>
          <w:lang w:eastAsia="en-AU"/>
        </w:rPr>
      </w:pPr>
      <w:r>
        <w:t>Figure 2. Top left: a single trajectory for the Total RRCP Populations of Golden Perch for the Base case scenario; top right: 10 trajectories for the Total RRCP Populations of Golden Perch for the Base case scenario; bottom left: 100 trajectories for the Total RRCP Populations of Golden Perch for the Base case scenario; and bottom right: 1000 trajectories for the Total RRCP Populations of Golden Perch for the Base case scenario, with the mean trajectory across all model iterations indicated in black.</w:t>
      </w:r>
      <w:r>
        <w:tab/>
      </w:r>
      <w:r>
        <w:fldChar w:fldCharType="begin"/>
      </w:r>
      <w:r>
        <w:instrText xml:space="preserve"> PAGEREF _Toc116994972 \h </w:instrText>
      </w:r>
      <w:r>
        <w:fldChar w:fldCharType="separate"/>
      </w:r>
      <w:r w:rsidR="005B672A">
        <w:t>4</w:t>
      </w:r>
      <w:r>
        <w:fldChar w:fldCharType="end"/>
      </w:r>
    </w:p>
    <w:p w14:paraId="2D0FB69D" w14:textId="1FA1CA12" w:rsidR="00491210" w:rsidRDefault="00EE200C">
      <w:pPr>
        <w:pStyle w:val="TableofFigures"/>
        <w:rPr>
          <w:rFonts w:asciiTheme="minorHAnsi" w:eastAsiaTheme="minorEastAsia" w:hAnsiTheme="minorHAnsi" w:cstheme="minorBidi"/>
          <w:sz w:val="22"/>
          <w:szCs w:val="22"/>
          <w:lang w:eastAsia="en-AU"/>
        </w:rPr>
      </w:pPr>
      <w:r>
        <w:t>Figure 3. Summary of 1000 trajectories for the Total RRCP Populations of Golden Perch for the Base case scenario. The black line indicates the mean adult population size through time; blue lines indicate ±1 standard deviation from the mean; and the red dotted lines indicate the maximum and minimum across all trajectories through time.</w:t>
      </w:r>
      <w:r>
        <w:tab/>
      </w:r>
      <w:r>
        <w:fldChar w:fldCharType="begin"/>
      </w:r>
      <w:r>
        <w:instrText xml:space="preserve"> PAGEREF _Toc116994973 \h </w:instrText>
      </w:r>
      <w:r>
        <w:fldChar w:fldCharType="separate"/>
      </w:r>
      <w:r w:rsidR="005B672A">
        <w:t>4</w:t>
      </w:r>
      <w:r>
        <w:fldChar w:fldCharType="end"/>
      </w:r>
    </w:p>
    <w:p w14:paraId="4EDD7F40" w14:textId="3ACA26E5" w:rsidR="00491210" w:rsidRDefault="00EE200C">
      <w:pPr>
        <w:pStyle w:val="TableofFigures"/>
        <w:rPr>
          <w:rFonts w:asciiTheme="minorHAnsi" w:eastAsiaTheme="minorEastAsia" w:hAnsiTheme="minorHAnsi" w:cstheme="minorBidi"/>
          <w:sz w:val="22"/>
          <w:szCs w:val="22"/>
          <w:lang w:eastAsia="en-AU"/>
        </w:rPr>
      </w:pPr>
      <w:r>
        <w:t>Figure 4. An example of the mean adult population trajectories for three hypothetical scenarios. The green line indicates the population outcome with optimised management, the blue line the population outcome with management addressing some threats, and the red line the poorest population outcome.</w:t>
      </w:r>
      <w:r>
        <w:tab/>
      </w:r>
      <w:r>
        <w:fldChar w:fldCharType="begin"/>
      </w:r>
      <w:r>
        <w:instrText xml:space="preserve"> PAGEREF _Toc116994974 \h </w:instrText>
      </w:r>
      <w:r>
        <w:fldChar w:fldCharType="separate"/>
      </w:r>
      <w:r w:rsidR="005B672A">
        <w:t>5</w:t>
      </w:r>
      <w:r>
        <w:fldChar w:fldCharType="end"/>
      </w:r>
    </w:p>
    <w:p w14:paraId="22678867" w14:textId="3DC86906" w:rsidR="00491210" w:rsidRDefault="00EE200C">
      <w:pPr>
        <w:pStyle w:val="TableofFigures"/>
        <w:rPr>
          <w:rFonts w:asciiTheme="minorHAnsi" w:eastAsiaTheme="minorEastAsia" w:hAnsiTheme="minorHAnsi" w:cstheme="minorBidi"/>
          <w:sz w:val="22"/>
          <w:szCs w:val="22"/>
          <w:lang w:eastAsia="en-AU"/>
        </w:rPr>
      </w:pPr>
      <w:r>
        <w:t>Figure 5. An example of the utility of comparing the distributions of the minimum population sizes for the three hypothetical scenarios in Figure 4.</w:t>
      </w:r>
      <w:r>
        <w:tab/>
      </w:r>
      <w:r>
        <w:fldChar w:fldCharType="begin"/>
      </w:r>
      <w:r>
        <w:instrText xml:space="preserve"> PAGEREF _Toc116994975 \h </w:instrText>
      </w:r>
      <w:r>
        <w:fldChar w:fldCharType="separate"/>
      </w:r>
      <w:r w:rsidR="005B672A">
        <w:t>6</w:t>
      </w:r>
      <w:r>
        <w:fldChar w:fldCharType="end"/>
      </w:r>
    </w:p>
    <w:p w14:paraId="78E89C33" w14:textId="49D03274" w:rsidR="00491210" w:rsidRDefault="00EE200C">
      <w:pPr>
        <w:pStyle w:val="TableofFigures"/>
        <w:rPr>
          <w:rFonts w:asciiTheme="minorHAnsi" w:eastAsiaTheme="minorEastAsia" w:hAnsiTheme="minorHAnsi" w:cstheme="minorBidi"/>
          <w:sz w:val="22"/>
          <w:szCs w:val="22"/>
          <w:lang w:eastAsia="en-AU"/>
        </w:rPr>
      </w:pPr>
      <w:r>
        <w:t>Figure 6. Indicative consequences when comparing the cumulative distributions of the minimum population sizes for the three hypothetical scenarios in Figure 4.</w:t>
      </w:r>
      <w:r>
        <w:tab/>
      </w:r>
      <w:r>
        <w:fldChar w:fldCharType="begin"/>
      </w:r>
      <w:r>
        <w:instrText xml:space="preserve"> PAGEREF _Toc116994976 \h </w:instrText>
      </w:r>
      <w:r>
        <w:fldChar w:fldCharType="separate"/>
      </w:r>
      <w:r w:rsidR="005B672A">
        <w:t>6</w:t>
      </w:r>
      <w:r>
        <w:fldChar w:fldCharType="end"/>
      </w:r>
    </w:p>
    <w:p w14:paraId="0EBD46FE" w14:textId="676875D7" w:rsidR="00491210" w:rsidRDefault="00EE200C">
      <w:pPr>
        <w:pStyle w:val="TableofFigures"/>
        <w:rPr>
          <w:rFonts w:asciiTheme="minorHAnsi" w:eastAsiaTheme="minorEastAsia" w:hAnsiTheme="minorHAnsi" w:cstheme="minorBidi"/>
          <w:sz w:val="22"/>
          <w:szCs w:val="22"/>
          <w:lang w:eastAsia="en-AU"/>
        </w:rPr>
      </w:pPr>
      <w:r>
        <w:t>Figure 7. Bar chart of the expected minimum population size (+1 sd) for the three hypothetical scenarios in Figure 4, where the percentage difference is always in reference to the comparator (red) on the left; for model outputs this will be in comparison with the Base case scenario.</w:t>
      </w:r>
      <w:r>
        <w:tab/>
      </w:r>
      <w:r>
        <w:fldChar w:fldCharType="begin"/>
      </w:r>
      <w:r>
        <w:instrText xml:space="preserve"> PAGEREF _Toc116994977 \h </w:instrText>
      </w:r>
      <w:r>
        <w:fldChar w:fldCharType="separate"/>
      </w:r>
      <w:r w:rsidR="005B672A">
        <w:t>7</w:t>
      </w:r>
      <w:r>
        <w:fldChar w:fldCharType="end"/>
      </w:r>
    </w:p>
    <w:p w14:paraId="0E59387F" w14:textId="46EB0F08" w:rsidR="00491210" w:rsidRDefault="00EE200C">
      <w:pPr>
        <w:pStyle w:val="TableofFigures"/>
        <w:rPr>
          <w:rFonts w:asciiTheme="minorHAnsi" w:eastAsiaTheme="minorEastAsia" w:hAnsiTheme="minorHAnsi" w:cstheme="minorBidi"/>
          <w:sz w:val="22"/>
          <w:szCs w:val="22"/>
          <w:lang w:eastAsia="en-AU"/>
        </w:rPr>
      </w:pPr>
      <w:r>
        <w:t>Figure 8. Indicative consequences when comparing the distributions of the mean population sizes for the three hypothetical scenarios in Figure 4.</w:t>
      </w:r>
      <w:r>
        <w:tab/>
      </w:r>
      <w:r>
        <w:fldChar w:fldCharType="begin"/>
      </w:r>
      <w:r>
        <w:instrText xml:space="preserve"> PAGEREF _Toc116994978 \h </w:instrText>
      </w:r>
      <w:r>
        <w:fldChar w:fldCharType="separate"/>
      </w:r>
      <w:r w:rsidR="005B672A">
        <w:t>7</w:t>
      </w:r>
      <w:r>
        <w:fldChar w:fldCharType="end"/>
      </w:r>
    </w:p>
    <w:p w14:paraId="0FD918C9" w14:textId="700C4447" w:rsidR="00491210" w:rsidRDefault="00EE200C">
      <w:pPr>
        <w:pStyle w:val="TableofFigures"/>
        <w:rPr>
          <w:rFonts w:asciiTheme="minorHAnsi" w:eastAsiaTheme="minorEastAsia" w:hAnsiTheme="minorHAnsi" w:cstheme="minorBidi"/>
          <w:sz w:val="22"/>
          <w:szCs w:val="22"/>
          <w:lang w:eastAsia="en-AU"/>
        </w:rPr>
      </w:pPr>
      <w:r>
        <w:t>Figure 9. Bar chart of the expected mean population size (+1 sd) for the three hypothetical scenarios in Figure 4, where the percentage difference is always in reference to the comparator (red) on the left; for model outputs this will be in comparison with the Base case scenario.</w:t>
      </w:r>
      <w:r>
        <w:tab/>
      </w:r>
      <w:r>
        <w:fldChar w:fldCharType="begin"/>
      </w:r>
      <w:r>
        <w:instrText xml:space="preserve"> PAGEREF _Toc116994979 \h </w:instrText>
      </w:r>
      <w:r>
        <w:fldChar w:fldCharType="separate"/>
      </w:r>
      <w:r w:rsidR="005B672A">
        <w:t>8</w:t>
      </w:r>
      <w:r>
        <w:fldChar w:fldCharType="end"/>
      </w:r>
    </w:p>
    <w:p w14:paraId="169896C9" w14:textId="38242B25" w:rsidR="00491210" w:rsidRDefault="00EE200C">
      <w:pPr>
        <w:pStyle w:val="TableofFigures"/>
        <w:rPr>
          <w:rFonts w:asciiTheme="minorHAnsi" w:eastAsiaTheme="minorEastAsia" w:hAnsiTheme="minorHAnsi" w:cstheme="minorBidi"/>
          <w:sz w:val="22"/>
          <w:szCs w:val="22"/>
          <w:lang w:eastAsia="en-AU"/>
        </w:rPr>
      </w:pPr>
      <w:r>
        <w:lastRenderedPageBreak/>
        <w:t>Figure 10. Indicative consequences when comparing the cumulative distributions of the maximum population sizes for the three hypothetical scenarios in Figure 4.</w:t>
      </w:r>
      <w:r>
        <w:tab/>
      </w:r>
      <w:r>
        <w:fldChar w:fldCharType="begin"/>
      </w:r>
      <w:r>
        <w:instrText xml:space="preserve"> PAGEREF _Toc116994980 \h </w:instrText>
      </w:r>
      <w:r>
        <w:fldChar w:fldCharType="separate"/>
      </w:r>
      <w:r w:rsidR="005B672A">
        <w:t>8</w:t>
      </w:r>
      <w:r>
        <w:fldChar w:fldCharType="end"/>
      </w:r>
    </w:p>
    <w:p w14:paraId="76DD6699" w14:textId="06B2C94F" w:rsidR="00491210" w:rsidRDefault="00EE200C">
      <w:pPr>
        <w:pStyle w:val="TableofFigures"/>
        <w:rPr>
          <w:rFonts w:asciiTheme="minorHAnsi" w:eastAsiaTheme="minorEastAsia" w:hAnsiTheme="minorHAnsi" w:cstheme="minorBidi"/>
          <w:sz w:val="22"/>
          <w:szCs w:val="22"/>
          <w:lang w:eastAsia="en-AU"/>
        </w:rPr>
      </w:pPr>
      <w:r>
        <w:t>Figure 12. A conceptual model to demonstrate the ‘source–sink’ population dynamics of Golden Perch in the connected Southern MDB.</w:t>
      </w:r>
      <w:r>
        <w:tab/>
      </w:r>
      <w:r>
        <w:fldChar w:fldCharType="begin"/>
      </w:r>
      <w:r>
        <w:instrText xml:space="preserve"> PAGEREF _Toc116994981 \h </w:instrText>
      </w:r>
      <w:r>
        <w:fldChar w:fldCharType="separate"/>
      </w:r>
      <w:r w:rsidR="005B672A">
        <w:t>13</w:t>
      </w:r>
      <w:r>
        <w:fldChar w:fldCharType="end"/>
      </w:r>
    </w:p>
    <w:p w14:paraId="26B5E3A9" w14:textId="501BD910" w:rsidR="00491210" w:rsidRDefault="00EE200C">
      <w:pPr>
        <w:pStyle w:val="TableofFigures"/>
        <w:rPr>
          <w:rFonts w:asciiTheme="minorHAnsi" w:eastAsiaTheme="minorEastAsia" w:hAnsiTheme="minorHAnsi" w:cstheme="minorBidi"/>
          <w:sz w:val="22"/>
          <w:szCs w:val="22"/>
          <w:lang w:eastAsia="en-AU"/>
        </w:rPr>
      </w:pPr>
      <w:r>
        <w:t>Figure 13. A conceptual model hydrograph for Murray Cod life history. The important elements are: (i) perennial lotic flows, (ii) spring rise and steady peak without major water-level drops, (iii) an attenuated summer recession to (iv) a high winter baseflow.</w:t>
      </w:r>
      <w:r>
        <w:tab/>
      </w:r>
      <w:r>
        <w:fldChar w:fldCharType="begin"/>
      </w:r>
      <w:r>
        <w:instrText xml:space="preserve"> PAGEREF _Toc116994982 \h </w:instrText>
      </w:r>
      <w:r>
        <w:fldChar w:fldCharType="separate"/>
      </w:r>
      <w:r w:rsidR="005B672A">
        <w:t>14</w:t>
      </w:r>
      <w:r>
        <w:fldChar w:fldCharType="end"/>
      </w:r>
    </w:p>
    <w:p w14:paraId="2AEB8969" w14:textId="0D7B4F18" w:rsidR="00491210" w:rsidRDefault="00EE200C">
      <w:pPr>
        <w:pStyle w:val="TableofFigures"/>
        <w:rPr>
          <w:rFonts w:asciiTheme="minorHAnsi" w:eastAsiaTheme="minorEastAsia" w:hAnsiTheme="minorHAnsi" w:cstheme="minorBidi"/>
          <w:sz w:val="22"/>
          <w:szCs w:val="22"/>
          <w:lang w:eastAsia="en-AU"/>
        </w:rPr>
      </w:pPr>
      <w:r>
        <w:t>Figure 14. Spatial structure of the Golden Perch metapopulation modelled in the Southern MDB, with the Murrumbidgee River split into two population units in Figure 15.</w:t>
      </w:r>
      <w:r>
        <w:tab/>
      </w:r>
      <w:r>
        <w:fldChar w:fldCharType="begin"/>
      </w:r>
      <w:r>
        <w:instrText xml:space="preserve"> PAGEREF _Toc116994983 \h </w:instrText>
      </w:r>
      <w:r>
        <w:fldChar w:fldCharType="separate"/>
      </w:r>
      <w:r w:rsidR="005B672A">
        <w:t>16</w:t>
      </w:r>
      <w:r>
        <w:fldChar w:fldCharType="end"/>
      </w:r>
    </w:p>
    <w:p w14:paraId="290351C5" w14:textId="6EAAAD75" w:rsidR="00491210" w:rsidRDefault="00EE200C">
      <w:pPr>
        <w:pStyle w:val="TableofFigures"/>
        <w:rPr>
          <w:rFonts w:asciiTheme="minorHAnsi" w:eastAsiaTheme="minorEastAsia" w:hAnsiTheme="minorHAnsi" w:cstheme="minorBidi"/>
          <w:sz w:val="22"/>
          <w:szCs w:val="22"/>
          <w:lang w:eastAsia="en-AU"/>
        </w:rPr>
      </w:pPr>
      <w:r>
        <w:t>Figure 15. Golden Perch metapopulation spatial structure in the Murrumbidgee River.</w:t>
      </w:r>
      <w:r>
        <w:tab/>
      </w:r>
      <w:r>
        <w:fldChar w:fldCharType="begin"/>
      </w:r>
      <w:r>
        <w:instrText xml:space="preserve"> PAGEREF _Toc116994984 \h </w:instrText>
      </w:r>
      <w:r>
        <w:fldChar w:fldCharType="separate"/>
      </w:r>
      <w:r w:rsidR="005B672A">
        <w:t>16</w:t>
      </w:r>
      <w:r>
        <w:fldChar w:fldCharType="end"/>
      </w:r>
    </w:p>
    <w:p w14:paraId="7F64B71F" w14:textId="75D6D253" w:rsidR="00491210" w:rsidRDefault="00EE200C">
      <w:pPr>
        <w:pStyle w:val="TableofFigures"/>
        <w:rPr>
          <w:rFonts w:asciiTheme="minorHAnsi" w:eastAsiaTheme="minorEastAsia" w:hAnsiTheme="minorHAnsi" w:cstheme="minorBidi"/>
          <w:sz w:val="22"/>
          <w:szCs w:val="22"/>
          <w:lang w:eastAsia="en-AU"/>
        </w:rPr>
      </w:pPr>
      <w:r>
        <w:t>Figure 16. The spatial structure of Murray Cod populations modelled in the Lower MDB, with the Murrumbidgee River split into smaller population units in Figure 17.</w:t>
      </w:r>
      <w:r>
        <w:tab/>
      </w:r>
      <w:r>
        <w:fldChar w:fldCharType="begin"/>
      </w:r>
      <w:r>
        <w:instrText xml:space="preserve"> PAGEREF _Toc116994985 \h </w:instrText>
      </w:r>
      <w:r>
        <w:fldChar w:fldCharType="separate"/>
      </w:r>
      <w:r w:rsidR="005B672A">
        <w:t>17</w:t>
      </w:r>
      <w:r>
        <w:fldChar w:fldCharType="end"/>
      </w:r>
    </w:p>
    <w:p w14:paraId="55D2282E" w14:textId="039C4A31" w:rsidR="00491210" w:rsidRDefault="00EE200C">
      <w:pPr>
        <w:pStyle w:val="TableofFigures"/>
        <w:rPr>
          <w:rFonts w:asciiTheme="minorHAnsi" w:eastAsiaTheme="minorEastAsia" w:hAnsiTheme="minorHAnsi" w:cstheme="minorBidi"/>
          <w:sz w:val="22"/>
          <w:szCs w:val="22"/>
          <w:lang w:eastAsia="en-AU"/>
        </w:rPr>
      </w:pPr>
      <w:r>
        <w:t>Figure 17. The Murray Cod population spatial structure in the Murrumbidgee River is split into and modelled as five populations.</w:t>
      </w:r>
      <w:r>
        <w:tab/>
      </w:r>
      <w:r>
        <w:fldChar w:fldCharType="begin"/>
      </w:r>
      <w:r>
        <w:instrText xml:space="preserve"> PAGEREF _Toc116994986 \h </w:instrText>
      </w:r>
      <w:r>
        <w:fldChar w:fldCharType="separate"/>
      </w:r>
      <w:r w:rsidR="005B672A">
        <w:t>17</w:t>
      </w:r>
      <w:r>
        <w:fldChar w:fldCharType="end"/>
      </w:r>
    </w:p>
    <w:p w14:paraId="7A5C59BA" w14:textId="577F43CD" w:rsidR="00491210" w:rsidRDefault="00EE200C">
      <w:pPr>
        <w:pStyle w:val="TableofFigures"/>
        <w:rPr>
          <w:rFonts w:asciiTheme="minorHAnsi" w:eastAsiaTheme="minorEastAsia" w:hAnsiTheme="minorHAnsi" w:cstheme="minorBidi"/>
          <w:sz w:val="22"/>
          <w:szCs w:val="22"/>
          <w:lang w:eastAsia="en-AU"/>
        </w:rPr>
      </w:pPr>
      <w:r>
        <w:t>Figure 18. Modelled Golden Perch adult populations aggregated across all modelled RRCP focal zones, together with the Wakool Junction to Wentworth reach, for the RRCP flow scenarios Base case – Option 4.</w:t>
      </w:r>
      <w:r>
        <w:tab/>
      </w:r>
      <w:r>
        <w:fldChar w:fldCharType="begin"/>
      </w:r>
      <w:r>
        <w:instrText xml:space="preserve"> PAGEREF _Toc116994987 \h </w:instrText>
      </w:r>
      <w:r>
        <w:fldChar w:fldCharType="separate"/>
      </w:r>
      <w:r w:rsidR="005B672A">
        <w:t>24</w:t>
      </w:r>
      <w:r>
        <w:fldChar w:fldCharType="end"/>
      </w:r>
    </w:p>
    <w:p w14:paraId="43EB3FCA" w14:textId="1A14A488" w:rsidR="00491210" w:rsidRDefault="00EE200C">
      <w:pPr>
        <w:pStyle w:val="TableofFigures"/>
        <w:rPr>
          <w:rFonts w:asciiTheme="minorHAnsi" w:eastAsiaTheme="minorEastAsia" w:hAnsiTheme="minorHAnsi" w:cstheme="minorBidi"/>
          <w:sz w:val="22"/>
          <w:szCs w:val="22"/>
          <w:lang w:eastAsia="en-AU"/>
        </w:rPr>
      </w:pPr>
      <w:r>
        <w:t>Figure 19. Modelled Golden Perch adult populations aggregated across the Murray River RRCP focal zones (including the Edward River), together with the Wakool Junction to Wentworth reach, for the RRCP flow scenarios Base case – Option 4.</w:t>
      </w:r>
      <w:r>
        <w:tab/>
      </w:r>
      <w:r>
        <w:fldChar w:fldCharType="begin"/>
      </w:r>
      <w:r>
        <w:instrText xml:space="preserve"> PAGEREF _Toc116994988 \h </w:instrText>
      </w:r>
      <w:r>
        <w:fldChar w:fldCharType="separate"/>
      </w:r>
      <w:r w:rsidR="005B672A">
        <w:t>25</w:t>
      </w:r>
      <w:r>
        <w:fldChar w:fldCharType="end"/>
      </w:r>
    </w:p>
    <w:p w14:paraId="32FAEEBE" w14:textId="76EEA42B" w:rsidR="00491210" w:rsidRDefault="00EE200C">
      <w:pPr>
        <w:pStyle w:val="TableofFigures"/>
        <w:rPr>
          <w:rFonts w:asciiTheme="minorHAnsi" w:eastAsiaTheme="minorEastAsia" w:hAnsiTheme="minorHAnsi" w:cstheme="minorBidi"/>
          <w:sz w:val="22"/>
          <w:szCs w:val="22"/>
          <w:lang w:eastAsia="en-AU"/>
        </w:rPr>
      </w:pPr>
      <w:r>
        <w:t>Figure 20. Modelled Golden Perch adult populations aggregated across the Murrumbidgee River RRCP focal area for the RRCP flow scenarios Base case – Option 4.</w:t>
      </w:r>
      <w:r>
        <w:tab/>
      </w:r>
      <w:r>
        <w:fldChar w:fldCharType="begin"/>
      </w:r>
      <w:r>
        <w:instrText xml:space="preserve"> PAGEREF _Toc116994989 \h </w:instrText>
      </w:r>
      <w:r>
        <w:fldChar w:fldCharType="separate"/>
      </w:r>
      <w:r w:rsidR="005B672A">
        <w:t>26</w:t>
      </w:r>
      <w:r>
        <w:fldChar w:fldCharType="end"/>
      </w:r>
    </w:p>
    <w:p w14:paraId="5FA5B801" w14:textId="413018EB" w:rsidR="00491210" w:rsidRDefault="00EE200C">
      <w:pPr>
        <w:pStyle w:val="TableofFigures"/>
        <w:rPr>
          <w:rFonts w:asciiTheme="minorHAnsi" w:eastAsiaTheme="minorEastAsia" w:hAnsiTheme="minorHAnsi" w:cstheme="minorBidi"/>
          <w:sz w:val="22"/>
          <w:szCs w:val="22"/>
          <w:lang w:eastAsia="en-AU"/>
        </w:rPr>
      </w:pPr>
      <w:r>
        <w:t>Figure 21. Modelled Golden Perch adult population in the Torrumbarry to Wentworth reach for the RRCP flow scenarios Base case – Option 4.</w:t>
      </w:r>
      <w:r>
        <w:tab/>
      </w:r>
      <w:r>
        <w:fldChar w:fldCharType="begin"/>
      </w:r>
      <w:r>
        <w:instrText xml:space="preserve"> PAGEREF _Toc116994990 \h </w:instrText>
      </w:r>
      <w:r>
        <w:fldChar w:fldCharType="separate"/>
      </w:r>
      <w:r w:rsidR="005B672A">
        <w:t>27</w:t>
      </w:r>
      <w:r>
        <w:fldChar w:fldCharType="end"/>
      </w:r>
    </w:p>
    <w:p w14:paraId="7390D50D" w14:textId="36948DE7" w:rsidR="00491210" w:rsidRDefault="00EE200C">
      <w:pPr>
        <w:pStyle w:val="TableofFigures"/>
        <w:rPr>
          <w:rFonts w:asciiTheme="minorHAnsi" w:eastAsiaTheme="minorEastAsia" w:hAnsiTheme="minorHAnsi" w:cstheme="minorBidi"/>
          <w:sz w:val="22"/>
          <w:szCs w:val="22"/>
          <w:lang w:eastAsia="en-AU"/>
        </w:rPr>
      </w:pPr>
      <w:r>
        <w:t>Figure 22. Modelled Golden Perch adult population in the Yarrawonga to Torrumbarry reach for the RRCP flow scenarios Base case – Option 4.</w:t>
      </w:r>
      <w:r>
        <w:tab/>
      </w:r>
      <w:r>
        <w:fldChar w:fldCharType="begin"/>
      </w:r>
      <w:r>
        <w:instrText xml:space="preserve"> PAGEREF _Toc116994991 \h </w:instrText>
      </w:r>
      <w:r>
        <w:fldChar w:fldCharType="separate"/>
      </w:r>
      <w:r w:rsidR="005B672A">
        <w:t>28</w:t>
      </w:r>
      <w:r>
        <w:fldChar w:fldCharType="end"/>
      </w:r>
    </w:p>
    <w:p w14:paraId="164A59FF" w14:textId="3EE52A22" w:rsidR="00491210" w:rsidRDefault="00EE200C">
      <w:pPr>
        <w:pStyle w:val="TableofFigures"/>
        <w:rPr>
          <w:rFonts w:asciiTheme="minorHAnsi" w:eastAsiaTheme="minorEastAsia" w:hAnsiTheme="minorHAnsi" w:cstheme="minorBidi"/>
          <w:sz w:val="22"/>
          <w:szCs w:val="22"/>
          <w:lang w:eastAsia="en-AU"/>
        </w:rPr>
      </w:pPr>
      <w:r>
        <w:t>Figure 23. Modelled Golden Perch adult population in the Hume to Yarrawonga reach for the RRCP flow scenarios Base case – Option 4.</w:t>
      </w:r>
      <w:r>
        <w:tab/>
      </w:r>
      <w:r>
        <w:fldChar w:fldCharType="begin"/>
      </w:r>
      <w:r>
        <w:instrText xml:space="preserve"> PAGEREF _Toc116994992 \h </w:instrText>
      </w:r>
      <w:r>
        <w:fldChar w:fldCharType="separate"/>
      </w:r>
      <w:r w:rsidR="005B672A">
        <w:t>29</w:t>
      </w:r>
      <w:r>
        <w:fldChar w:fldCharType="end"/>
      </w:r>
    </w:p>
    <w:p w14:paraId="3D6B524B" w14:textId="03E4FCEC" w:rsidR="00491210" w:rsidRDefault="00EE200C">
      <w:pPr>
        <w:pStyle w:val="TableofFigures"/>
        <w:rPr>
          <w:rFonts w:asciiTheme="minorHAnsi" w:eastAsiaTheme="minorEastAsia" w:hAnsiTheme="minorHAnsi" w:cstheme="minorBidi"/>
          <w:sz w:val="22"/>
          <w:szCs w:val="22"/>
          <w:lang w:eastAsia="en-AU"/>
        </w:rPr>
      </w:pPr>
      <w:r>
        <w:t>Figure 24. Modelled Golden Perch adult population in the Edward River for the RRCP flow scenarios Base case – Option 4.</w:t>
      </w:r>
      <w:r>
        <w:tab/>
      </w:r>
      <w:r>
        <w:fldChar w:fldCharType="begin"/>
      </w:r>
      <w:r>
        <w:instrText xml:space="preserve"> PAGEREF _Toc116994993 \h </w:instrText>
      </w:r>
      <w:r>
        <w:fldChar w:fldCharType="separate"/>
      </w:r>
      <w:r w:rsidR="005B672A">
        <w:t>30</w:t>
      </w:r>
      <w:r>
        <w:fldChar w:fldCharType="end"/>
      </w:r>
    </w:p>
    <w:p w14:paraId="5940EC19" w14:textId="404B6241" w:rsidR="00491210" w:rsidRDefault="00EE200C">
      <w:pPr>
        <w:pStyle w:val="TableofFigures"/>
        <w:rPr>
          <w:rFonts w:asciiTheme="minorHAnsi" w:eastAsiaTheme="minorEastAsia" w:hAnsiTheme="minorHAnsi" w:cstheme="minorBidi"/>
          <w:sz w:val="22"/>
          <w:szCs w:val="22"/>
          <w:lang w:eastAsia="en-AU"/>
        </w:rPr>
      </w:pPr>
      <w:r>
        <w:t>Figure 25. Modelled Golden Perch adult population in the Hay to Balranald reach for the RRCP flow scenarios Base case – Option 4.</w:t>
      </w:r>
      <w:r>
        <w:tab/>
      </w:r>
      <w:r>
        <w:fldChar w:fldCharType="begin"/>
      </w:r>
      <w:r>
        <w:instrText xml:space="preserve"> PAGEREF _Toc116994994 \h </w:instrText>
      </w:r>
      <w:r>
        <w:fldChar w:fldCharType="separate"/>
      </w:r>
      <w:r w:rsidR="005B672A">
        <w:t>31</w:t>
      </w:r>
      <w:r>
        <w:fldChar w:fldCharType="end"/>
      </w:r>
    </w:p>
    <w:p w14:paraId="2AAE67A8" w14:textId="0B5E6DCE" w:rsidR="00491210" w:rsidRDefault="00EE200C">
      <w:pPr>
        <w:pStyle w:val="TableofFigures"/>
        <w:rPr>
          <w:rFonts w:asciiTheme="minorHAnsi" w:eastAsiaTheme="minorEastAsia" w:hAnsiTheme="minorHAnsi" w:cstheme="minorBidi"/>
          <w:sz w:val="22"/>
          <w:szCs w:val="22"/>
          <w:lang w:eastAsia="en-AU"/>
        </w:rPr>
      </w:pPr>
      <w:r>
        <w:t>Figure 26. Modelled Golden Perch adult population in the Gundagai to Hay reach for the RRCP flow scenarios Base case – Option 4.</w:t>
      </w:r>
      <w:r>
        <w:tab/>
      </w:r>
      <w:r>
        <w:fldChar w:fldCharType="begin"/>
      </w:r>
      <w:r>
        <w:instrText xml:space="preserve"> PAGEREF _Toc116994995 \h </w:instrText>
      </w:r>
      <w:r>
        <w:fldChar w:fldCharType="separate"/>
      </w:r>
      <w:r w:rsidR="005B672A">
        <w:t>32</w:t>
      </w:r>
      <w:r>
        <w:fldChar w:fldCharType="end"/>
      </w:r>
    </w:p>
    <w:p w14:paraId="7FCB5312" w14:textId="68498CD4" w:rsidR="00491210" w:rsidRDefault="00EE200C">
      <w:pPr>
        <w:pStyle w:val="TableofFigures"/>
        <w:rPr>
          <w:rFonts w:asciiTheme="minorHAnsi" w:eastAsiaTheme="minorEastAsia" w:hAnsiTheme="minorHAnsi" w:cstheme="minorBidi"/>
          <w:sz w:val="22"/>
          <w:szCs w:val="22"/>
          <w:lang w:eastAsia="en-AU"/>
        </w:rPr>
      </w:pPr>
      <w:r>
        <w:t>Figure 27. Modelled Golden Perch mean recruit (1-year-old) population size aggregated across all modelled RRCP focal zones, together with the Wakool Junction to Wentworth reach, for the RRCP flow scenarios Base case – Option 4.</w:t>
      </w:r>
      <w:r>
        <w:tab/>
      </w:r>
      <w:r>
        <w:fldChar w:fldCharType="begin"/>
      </w:r>
      <w:r>
        <w:instrText xml:space="preserve"> PAGEREF _Toc116994996 \h </w:instrText>
      </w:r>
      <w:r>
        <w:fldChar w:fldCharType="separate"/>
      </w:r>
      <w:r w:rsidR="005B672A">
        <w:t>33</w:t>
      </w:r>
      <w:r>
        <w:fldChar w:fldCharType="end"/>
      </w:r>
    </w:p>
    <w:p w14:paraId="363EDED6" w14:textId="3D4DC595" w:rsidR="00491210" w:rsidRDefault="00EE200C">
      <w:pPr>
        <w:pStyle w:val="TableofFigures"/>
        <w:rPr>
          <w:rFonts w:asciiTheme="minorHAnsi" w:eastAsiaTheme="minorEastAsia" w:hAnsiTheme="minorHAnsi" w:cstheme="minorBidi"/>
          <w:sz w:val="22"/>
          <w:szCs w:val="22"/>
          <w:lang w:eastAsia="en-AU"/>
        </w:rPr>
      </w:pPr>
      <w:r>
        <w:lastRenderedPageBreak/>
        <w:t>Figure 28. Modelled Golden Perch mean recruit (1-year-old) population size aggregated across the Murray River RRCP focal zones (including the Edward River), together with the Wakool Junction to Wentworth reach, for the flow scenarios Base case – Option 4.</w:t>
      </w:r>
      <w:r>
        <w:tab/>
      </w:r>
      <w:r>
        <w:fldChar w:fldCharType="begin"/>
      </w:r>
      <w:r>
        <w:instrText xml:space="preserve"> PAGEREF _Toc116994997 \h </w:instrText>
      </w:r>
      <w:r>
        <w:fldChar w:fldCharType="separate"/>
      </w:r>
      <w:r w:rsidR="005B672A">
        <w:t>34</w:t>
      </w:r>
      <w:r>
        <w:fldChar w:fldCharType="end"/>
      </w:r>
    </w:p>
    <w:p w14:paraId="24F796FA" w14:textId="3719A26A" w:rsidR="00491210" w:rsidRDefault="00EE200C">
      <w:pPr>
        <w:pStyle w:val="TableofFigures"/>
        <w:rPr>
          <w:rFonts w:asciiTheme="minorHAnsi" w:eastAsiaTheme="minorEastAsia" w:hAnsiTheme="minorHAnsi" w:cstheme="minorBidi"/>
          <w:sz w:val="22"/>
          <w:szCs w:val="22"/>
          <w:lang w:eastAsia="en-AU"/>
        </w:rPr>
      </w:pPr>
      <w:r>
        <w:t>Figure 29. Modelled Golden Perch mean recruit (1-year-old) population size aggregated across the Murrumbidgee River RRCP focal area for the flow scenarios Base case – Option 4.</w:t>
      </w:r>
      <w:r>
        <w:tab/>
      </w:r>
      <w:r>
        <w:fldChar w:fldCharType="begin"/>
      </w:r>
      <w:r>
        <w:instrText xml:space="preserve"> PAGEREF _Toc116994998 \h </w:instrText>
      </w:r>
      <w:r>
        <w:fldChar w:fldCharType="separate"/>
      </w:r>
      <w:r w:rsidR="005B672A">
        <w:t>34</w:t>
      </w:r>
      <w:r>
        <w:fldChar w:fldCharType="end"/>
      </w:r>
    </w:p>
    <w:p w14:paraId="4967C97D" w14:textId="4375054D" w:rsidR="00491210" w:rsidRDefault="00EE200C">
      <w:pPr>
        <w:pStyle w:val="TableofFigures"/>
        <w:rPr>
          <w:rFonts w:asciiTheme="minorHAnsi" w:eastAsiaTheme="minorEastAsia" w:hAnsiTheme="minorHAnsi" w:cstheme="minorBidi"/>
          <w:sz w:val="22"/>
          <w:szCs w:val="22"/>
          <w:lang w:eastAsia="en-AU"/>
        </w:rPr>
      </w:pPr>
      <w:r>
        <w:t>Figure 30. Modelled Murray Cod adult populations aggregated across all modelled RRCP focal zones, together with the Wakool Junction to Wentworth reach, for the RRCP flow scenarios Base case – Option 4.</w:t>
      </w:r>
      <w:r>
        <w:tab/>
      </w:r>
      <w:r>
        <w:fldChar w:fldCharType="begin"/>
      </w:r>
      <w:r>
        <w:instrText xml:space="preserve"> PAGEREF _Toc116994999 \h </w:instrText>
      </w:r>
      <w:r>
        <w:fldChar w:fldCharType="separate"/>
      </w:r>
      <w:r w:rsidR="005B672A">
        <w:t>36</w:t>
      </w:r>
      <w:r>
        <w:fldChar w:fldCharType="end"/>
      </w:r>
    </w:p>
    <w:p w14:paraId="2DA9A3FE" w14:textId="2834E245" w:rsidR="00491210" w:rsidRDefault="00EE200C">
      <w:pPr>
        <w:pStyle w:val="TableofFigures"/>
        <w:rPr>
          <w:rFonts w:asciiTheme="minorHAnsi" w:eastAsiaTheme="minorEastAsia" w:hAnsiTheme="minorHAnsi" w:cstheme="minorBidi"/>
          <w:sz w:val="22"/>
          <w:szCs w:val="22"/>
          <w:lang w:eastAsia="en-AU"/>
        </w:rPr>
      </w:pPr>
      <w:r>
        <w:t>Figure 31. Modelled Murray Cod adult populations aggregated across the Murray River RRCP focal zones (including the Edward River), together with the Wakool Junction to Wentworth reach, for the RRCP flow scenarios Base case – Option 4.</w:t>
      </w:r>
      <w:r>
        <w:tab/>
      </w:r>
      <w:r>
        <w:fldChar w:fldCharType="begin"/>
      </w:r>
      <w:r>
        <w:instrText xml:space="preserve"> PAGEREF _Toc116995000 \h </w:instrText>
      </w:r>
      <w:r>
        <w:fldChar w:fldCharType="separate"/>
      </w:r>
      <w:r w:rsidR="005B672A">
        <w:t>37</w:t>
      </w:r>
      <w:r>
        <w:fldChar w:fldCharType="end"/>
      </w:r>
    </w:p>
    <w:p w14:paraId="60050A1C" w14:textId="1D4101C9" w:rsidR="00491210" w:rsidRDefault="00EE200C">
      <w:pPr>
        <w:pStyle w:val="TableofFigures"/>
        <w:rPr>
          <w:rFonts w:asciiTheme="minorHAnsi" w:eastAsiaTheme="minorEastAsia" w:hAnsiTheme="minorHAnsi" w:cstheme="minorBidi"/>
          <w:sz w:val="22"/>
          <w:szCs w:val="22"/>
          <w:lang w:eastAsia="en-AU"/>
        </w:rPr>
      </w:pPr>
      <w:r>
        <w:t>Figure 32. Modelled Murray Cod adult populations aggregated across the Murrumbidgee River RRCP focal area for the RRCP flow scenarios Base case – Option 4.</w:t>
      </w:r>
      <w:r>
        <w:tab/>
      </w:r>
      <w:r>
        <w:fldChar w:fldCharType="begin"/>
      </w:r>
      <w:r>
        <w:instrText xml:space="preserve"> PAGEREF _Toc116995001 \h </w:instrText>
      </w:r>
      <w:r>
        <w:fldChar w:fldCharType="separate"/>
      </w:r>
      <w:r w:rsidR="005B672A">
        <w:t>38</w:t>
      </w:r>
      <w:r>
        <w:fldChar w:fldCharType="end"/>
      </w:r>
    </w:p>
    <w:p w14:paraId="3C61AEE9" w14:textId="0A8122BA" w:rsidR="00491210" w:rsidRDefault="00EE200C">
      <w:pPr>
        <w:pStyle w:val="TableofFigures"/>
        <w:rPr>
          <w:rFonts w:asciiTheme="minorHAnsi" w:eastAsiaTheme="minorEastAsia" w:hAnsiTheme="minorHAnsi" w:cstheme="minorBidi"/>
          <w:sz w:val="22"/>
          <w:szCs w:val="22"/>
          <w:lang w:eastAsia="en-AU"/>
        </w:rPr>
      </w:pPr>
      <w:r>
        <w:t>Figure 33. Modelled Murray Cod in the Yarrawonga to Torrumbarry reach for the RRCP flow scenarios Base case – Option 4.</w:t>
      </w:r>
      <w:r>
        <w:tab/>
      </w:r>
      <w:r>
        <w:fldChar w:fldCharType="begin"/>
      </w:r>
      <w:r>
        <w:instrText xml:space="preserve"> PAGEREF _Toc116995002 \h </w:instrText>
      </w:r>
      <w:r>
        <w:fldChar w:fldCharType="separate"/>
      </w:r>
      <w:r w:rsidR="005B672A">
        <w:t>39</w:t>
      </w:r>
      <w:r>
        <w:fldChar w:fldCharType="end"/>
      </w:r>
    </w:p>
    <w:p w14:paraId="0A7FF937" w14:textId="6FDCD0E5" w:rsidR="00491210" w:rsidRDefault="00EE200C">
      <w:pPr>
        <w:pStyle w:val="TableofFigures"/>
        <w:rPr>
          <w:rFonts w:asciiTheme="minorHAnsi" w:eastAsiaTheme="minorEastAsia" w:hAnsiTheme="minorHAnsi" w:cstheme="minorBidi"/>
          <w:sz w:val="22"/>
          <w:szCs w:val="22"/>
          <w:lang w:eastAsia="en-AU"/>
        </w:rPr>
      </w:pPr>
      <w:r>
        <w:t>Figure 34. Modelled Murray Cod adult population in the Edward River for the RRCP flow scenarios Base case – Option 4.</w:t>
      </w:r>
      <w:r>
        <w:tab/>
      </w:r>
      <w:r>
        <w:fldChar w:fldCharType="begin"/>
      </w:r>
      <w:r>
        <w:instrText xml:space="preserve"> PAGEREF _Toc116995003 \h </w:instrText>
      </w:r>
      <w:r>
        <w:fldChar w:fldCharType="separate"/>
      </w:r>
      <w:r w:rsidR="005B672A">
        <w:t>40</w:t>
      </w:r>
      <w:r>
        <w:fldChar w:fldCharType="end"/>
      </w:r>
    </w:p>
    <w:p w14:paraId="6A885AEA" w14:textId="0839945C" w:rsidR="00491210" w:rsidRDefault="00EE200C">
      <w:pPr>
        <w:pStyle w:val="TableofFigures"/>
        <w:rPr>
          <w:rFonts w:asciiTheme="minorHAnsi" w:eastAsiaTheme="minorEastAsia" w:hAnsiTheme="minorHAnsi" w:cstheme="minorBidi"/>
          <w:sz w:val="22"/>
          <w:szCs w:val="22"/>
          <w:lang w:eastAsia="en-AU"/>
        </w:rPr>
      </w:pPr>
      <w:r>
        <w:t>Figure 35. Modelled Murray Cod adult population in the Hume to Yarrawonga reach for the RRCP flow scenarios Base case – Option 4.</w:t>
      </w:r>
      <w:r>
        <w:tab/>
      </w:r>
      <w:r>
        <w:fldChar w:fldCharType="begin"/>
      </w:r>
      <w:r>
        <w:instrText xml:space="preserve"> PAGEREF _Toc116995004 \h </w:instrText>
      </w:r>
      <w:r>
        <w:fldChar w:fldCharType="separate"/>
      </w:r>
      <w:r w:rsidR="005B672A">
        <w:t>41</w:t>
      </w:r>
      <w:r>
        <w:fldChar w:fldCharType="end"/>
      </w:r>
    </w:p>
    <w:p w14:paraId="0C14BC18" w14:textId="46AF5DB7" w:rsidR="00491210" w:rsidRDefault="00EE200C">
      <w:pPr>
        <w:pStyle w:val="TableofFigures"/>
        <w:rPr>
          <w:rFonts w:asciiTheme="minorHAnsi" w:eastAsiaTheme="minorEastAsia" w:hAnsiTheme="minorHAnsi" w:cstheme="minorBidi"/>
          <w:sz w:val="22"/>
          <w:szCs w:val="22"/>
          <w:lang w:eastAsia="en-AU"/>
        </w:rPr>
      </w:pPr>
      <w:r>
        <w:t>Figure 36. Modelled Murray Cod adult population in the Gundagai to Berembed reach for the RRCP flow scenarios Base case – Option 4.</w:t>
      </w:r>
      <w:r>
        <w:tab/>
      </w:r>
      <w:r>
        <w:fldChar w:fldCharType="begin"/>
      </w:r>
      <w:r>
        <w:instrText xml:space="preserve"> PAGEREF _Toc116995005 \h </w:instrText>
      </w:r>
      <w:r>
        <w:fldChar w:fldCharType="separate"/>
      </w:r>
      <w:r w:rsidR="005B672A">
        <w:t>42</w:t>
      </w:r>
      <w:r>
        <w:fldChar w:fldCharType="end"/>
      </w:r>
    </w:p>
    <w:p w14:paraId="1280AC94" w14:textId="4FED1223" w:rsidR="00491210" w:rsidRDefault="00EE200C">
      <w:pPr>
        <w:pStyle w:val="TableofFigures"/>
        <w:rPr>
          <w:rFonts w:asciiTheme="minorHAnsi" w:eastAsiaTheme="minorEastAsia" w:hAnsiTheme="minorHAnsi" w:cstheme="minorBidi"/>
          <w:sz w:val="22"/>
          <w:szCs w:val="22"/>
          <w:lang w:eastAsia="en-AU"/>
        </w:rPr>
      </w:pPr>
      <w:r>
        <w:t>Figure 37. Modelled Murray Cod adult population in Yanco Creek for the RRCP flow scenarios Base case – Option 4.</w:t>
      </w:r>
      <w:r>
        <w:tab/>
      </w:r>
      <w:r>
        <w:fldChar w:fldCharType="begin"/>
      </w:r>
      <w:r>
        <w:instrText xml:space="preserve"> PAGEREF _Toc116995006 \h </w:instrText>
      </w:r>
      <w:r>
        <w:fldChar w:fldCharType="separate"/>
      </w:r>
      <w:r w:rsidR="005B672A">
        <w:t>43</w:t>
      </w:r>
      <w:r>
        <w:fldChar w:fldCharType="end"/>
      </w:r>
    </w:p>
    <w:p w14:paraId="6D6964A8" w14:textId="585B349B" w:rsidR="00491210" w:rsidRDefault="00EE200C">
      <w:pPr>
        <w:pStyle w:val="TableofFigures"/>
        <w:rPr>
          <w:rFonts w:asciiTheme="minorHAnsi" w:eastAsiaTheme="minorEastAsia" w:hAnsiTheme="minorHAnsi" w:cstheme="minorBidi"/>
          <w:sz w:val="22"/>
          <w:szCs w:val="22"/>
          <w:lang w:eastAsia="en-AU"/>
        </w:rPr>
      </w:pPr>
      <w:r>
        <w:t>Figure 38. Modelled Murray Cod mean recruit (1-year-old) populations aggregated across all modelled RRCP focal zones, together with the Wakool Junction to Wentworth reach, for the RRCP flow scenarios Base case – Option 4.</w:t>
      </w:r>
      <w:r>
        <w:tab/>
      </w:r>
      <w:r>
        <w:fldChar w:fldCharType="begin"/>
      </w:r>
      <w:r>
        <w:instrText xml:space="preserve"> PAGEREF _Toc116995007 \h </w:instrText>
      </w:r>
      <w:r>
        <w:fldChar w:fldCharType="separate"/>
      </w:r>
      <w:r w:rsidR="005B672A">
        <w:t>44</w:t>
      </w:r>
      <w:r>
        <w:fldChar w:fldCharType="end"/>
      </w:r>
    </w:p>
    <w:p w14:paraId="7F477863" w14:textId="5630986E" w:rsidR="00491210" w:rsidRDefault="00EE200C">
      <w:pPr>
        <w:pStyle w:val="TableofFigures"/>
        <w:rPr>
          <w:rFonts w:asciiTheme="minorHAnsi" w:eastAsiaTheme="minorEastAsia" w:hAnsiTheme="minorHAnsi" w:cstheme="minorBidi"/>
          <w:sz w:val="22"/>
          <w:szCs w:val="22"/>
          <w:lang w:eastAsia="en-AU"/>
        </w:rPr>
      </w:pPr>
      <w:r>
        <w:t>Figure 39. Modelled Murray Cod mean recruit (1-year-old) populations aggregated across the Murray River RRCP focal zones (including the Edward River), together with the Wakool Junction to Wentworth reach, for the flow scenarios Base case – Option 4.</w:t>
      </w:r>
      <w:r>
        <w:tab/>
      </w:r>
      <w:r>
        <w:fldChar w:fldCharType="begin"/>
      </w:r>
      <w:r>
        <w:instrText xml:space="preserve"> PAGEREF _Toc116995008 \h </w:instrText>
      </w:r>
      <w:r>
        <w:fldChar w:fldCharType="separate"/>
      </w:r>
      <w:r w:rsidR="005B672A">
        <w:t>45</w:t>
      </w:r>
      <w:r>
        <w:fldChar w:fldCharType="end"/>
      </w:r>
    </w:p>
    <w:p w14:paraId="73E27BCD" w14:textId="431BAB4B" w:rsidR="00491210" w:rsidRDefault="00EE200C">
      <w:pPr>
        <w:pStyle w:val="TableofFigures"/>
        <w:rPr>
          <w:rFonts w:asciiTheme="minorHAnsi" w:eastAsiaTheme="minorEastAsia" w:hAnsiTheme="minorHAnsi" w:cstheme="minorBidi"/>
          <w:sz w:val="22"/>
          <w:szCs w:val="22"/>
          <w:lang w:eastAsia="en-AU"/>
        </w:rPr>
      </w:pPr>
      <w:r>
        <w:t>Figure 40. Modelled Murray Cod mean recruit (1-year-old) populations aggregated across the Murrumbidgee River RRCP focal area for the flow scenarios Base case – Option 4.</w:t>
      </w:r>
      <w:r>
        <w:tab/>
      </w:r>
      <w:r>
        <w:fldChar w:fldCharType="begin"/>
      </w:r>
      <w:r>
        <w:instrText xml:space="preserve"> PAGEREF _Toc116995009 \h </w:instrText>
      </w:r>
      <w:r>
        <w:fldChar w:fldCharType="separate"/>
      </w:r>
      <w:r w:rsidR="005B672A">
        <w:t>46</w:t>
      </w:r>
      <w:r>
        <w:fldChar w:fldCharType="end"/>
      </w:r>
    </w:p>
    <w:p w14:paraId="52B461D4" w14:textId="37CB6BD5" w:rsidR="00491210" w:rsidRDefault="00EE200C">
      <w:pPr>
        <w:pStyle w:val="TableofFigures"/>
        <w:rPr>
          <w:rFonts w:asciiTheme="minorHAnsi" w:eastAsiaTheme="minorEastAsia" w:hAnsiTheme="minorHAnsi" w:cstheme="minorBidi"/>
          <w:sz w:val="22"/>
          <w:szCs w:val="22"/>
          <w:lang w:eastAsia="en-AU"/>
        </w:rPr>
      </w:pPr>
      <w:r>
        <w:t>Figure 41. Modelled Murray Cod mean recruit (1-year-old) population in the Yarrawonga to Torrumbarry reach for the RRCP flow scenarios Base case – Option 4..</w:t>
      </w:r>
      <w:r>
        <w:tab/>
      </w:r>
      <w:r>
        <w:fldChar w:fldCharType="begin"/>
      </w:r>
      <w:r>
        <w:instrText xml:space="preserve"> PAGEREF _Toc116995010 \h </w:instrText>
      </w:r>
      <w:r>
        <w:fldChar w:fldCharType="separate"/>
      </w:r>
      <w:r w:rsidR="005B672A">
        <w:t>47</w:t>
      </w:r>
      <w:r>
        <w:fldChar w:fldCharType="end"/>
      </w:r>
    </w:p>
    <w:p w14:paraId="6D19F3AE" w14:textId="6DF150AE" w:rsidR="00491210" w:rsidRDefault="00EE200C">
      <w:pPr>
        <w:pStyle w:val="TableofFigures"/>
        <w:rPr>
          <w:rFonts w:asciiTheme="minorHAnsi" w:eastAsiaTheme="minorEastAsia" w:hAnsiTheme="minorHAnsi" w:cstheme="minorBidi"/>
          <w:sz w:val="22"/>
          <w:szCs w:val="22"/>
          <w:lang w:eastAsia="en-AU"/>
        </w:rPr>
      </w:pPr>
      <w:r>
        <w:t>Figure 42. Modelled Murray Cod mean recruit (1-year-old) population in the Edward River for the RRCP flow scenarios Base case – Option 4.</w:t>
      </w:r>
      <w:r>
        <w:tab/>
      </w:r>
      <w:r>
        <w:fldChar w:fldCharType="begin"/>
      </w:r>
      <w:r>
        <w:instrText xml:space="preserve"> PAGEREF _Toc116995011 \h </w:instrText>
      </w:r>
      <w:r>
        <w:fldChar w:fldCharType="separate"/>
      </w:r>
      <w:r w:rsidR="005B672A">
        <w:t>48</w:t>
      </w:r>
      <w:r>
        <w:fldChar w:fldCharType="end"/>
      </w:r>
    </w:p>
    <w:p w14:paraId="17A6491C" w14:textId="70468437" w:rsidR="00491210" w:rsidRDefault="00EE200C">
      <w:pPr>
        <w:pStyle w:val="TableofFigures"/>
        <w:rPr>
          <w:rFonts w:asciiTheme="minorHAnsi" w:eastAsiaTheme="minorEastAsia" w:hAnsiTheme="minorHAnsi" w:cstheme="minorBidi"/>
          <w:sz w:val="22"/>
          <w:szCs w:val="22"/>
          <w:lang w:eastAsia="en-AU"/>
        </w:rPr>
      </w:pPr>
      <w:r>
        <w:t>Figure 43. Modelled Murray Cod mean recruit (1-year-old) population in the Hume to Yarrawonga reach for the RRCP flow scenarios Base case – Option 4.</w:t>
      </w:r>
      <w:r>
        <w:tab/>
      </w:r>
      <w:r>
        <w:fldChar w:fldCharType="begin"/>
      </w:r>
      <w:r>
        <w:instrText xml:space="preserve"> PAGEREF _Toc116995012 \h </w:instrText>
      </w:r>
      <w:r>
        <w:fldChar w:fldCharType="separate"/>
      </w:r>
      <w:r w:rsidR="005B672A">
        <w:t>49</w:t>
      </w:r>
      <w:r>
        <w:fldChar w:fldCharType="end"/>
      </w:r>
    </w:p>
    <w:p w14:paraId="614F640D" w14:textId="489DCBC1" w:rsidR="00491210" w:rsidRDefault="00EE200C">
      <w:pPr>
        <w:pStyle w:val="TableofFigures"/>
        <w:rPr>
          <w:rFonts w:asciiTheme="minorHAnsi" w:eastAsiaTheme="minorEastAsia" w:hAnsiTheme="minorHAnsi" w:cstheme="minorBidi"/>
          <w:sz w:val="22"/>
          <w:szCs w:val="22"/>
          <w:lang w:eastAsia="en-AU"/>
        </w:rPr>
      </w:pPr>
      <w:r>
        <w:lastRenderedPageBreak/>
        <w:t>Figure 44. Modelled Murray Cod mean recruit (1-year-old) population in the Berembed to Gogeldrie reach for the RRCP flow scenarios Base case – Option 4.</w:t>
      </w:r>
      <w:r>
        <w:tab/>
      </w:r>
      <w:r>
        <w:fldChar w:fldCharType="begin"/>
      </w:r>
      <w:r>
        <w:instrText xml:space="preserve"> PAGEREF _Toc116995013 \h </w:instrText>
      </w:r>
      <w:r>
        <w:fldChar w:fldCharType="separate"/>
      </w:r>
      <w:r w:rsidR="005B672A">
        <w:t>50</w:t>
      </w:r>
      <w:r>
        <w:fldChar w:fldCharType="end"/>
      </w:r>
    </w:p>
    <w:p w14:paraId="3DBE3F5C" w14:textId="242E7883" w:rsidR="00491210" w:rsidRDefault="00EE200C">
      <w:pPr>
        <w:pStyle w:val="TableofFigures"/>
        <w:rPr>
          <w:rFonts w:asciiTheme="minorHAnsi" w:eastAsiaTheme="minorEastAsia" w:hAnsiTheme="minorHAnsi" w:cstheme="minorBidi"/>
          <w:sz w:val="22"/>
          <w:szCs w:val="22"/>
          <w:lang w:eastAsia="en-AU"/>
        </w:rPr>
      </w:pPr>
      <w:r>
        <w:t>Figure 45. Modelled Murray Cod mean recruit (1-year-old) population in the Gundagai to Berembed reach for the RRCP flow scenarios Base case – Option 4.</w:t>
      </w:r>
      <w:r>
        <w:tab/>
      </w:r>
      <w:r>
        <w:fldChar w:fldCharType="begin"/>
      </w:r>
      <w:r>
        <w:instrText xml:space="preserve"> PAGEREF _Toc116995014 \h </w:instrText>
      </w:r>
      <w:r>
        <w:fldChar w:fldCharType="separate"/>
      </w:r>
      <w:r w:rsidR="005B672A">
        <w:t>51</w:t>
      </w:r>
      <w:r>
        <w:fldChar w:fldCharType="end"/>
      </w:r>
    </w:p>
    <w:p w14:paraId="469170D5" w14:textId="062F20EC" w:rsidR="00491210" w:rsidRDefault="00EE200C">
      <w:pPr>
        <w:pStyle w:val="TableofFigures"/>
        <w:rPr>
          <w:rFonts w:asciiTheme="minorHAnsi" w:eastAsiaTheme="minorEastAsia" w:hAnsiTheme="minorHAnsi" w:cstheme="minorBidi"/>
          <w:sz w:val="22"/>
          <w:szCs w:val="22"/>
          <w:lang w:eastAsia="en-AU"/>
        </w:rPr>
      </w:pPr>
      <w:r>
        <w:t>Figure 46. Modelled Murray Cod mean recruit (1-year-old) population in Yanco Creek for the RRCP flow scenarios Base case – Option 4.</w:t>
      </w:r>
      <w:r>
        <w:tab/>
      </w:r>
      <w:r>
        <w:fldChar w:fldCharType="begin"/>
      </w:r>
      <w:r>
        <w:instrText xml:space="preserve"> PAGEREF _Toc116995015 \h </w:instrText>
      </w:r>
      <w:r>
        <w:fldChar w:fldCharType="separate"/>
      </w:r>
      <w:r w:rsidR="005B672A">
        <w:t>52</w:t>
      </w:r>
      <w:r>
        <w:fldChar w:fldCharType="end"/>
      </w:r>
    </w:p>
    <w:p w14:paraId="54A26EFF" w14:textId="24CDC97D" w:rsidR="00491210" w:rsidRDefault="00EE200C">
      <w:pPr>
        <w:pStyle w:val="TableofFigures"/>
        <w:rPr>
          <w:rFonts w:asciiTheme="minorHAnsi" w:eastAsiaTheme="minorEastAsia" w:hAnsiTheme="minorHAnsi" w:cstheme="minorBidi"/>
          <w:sz w:val="22"/>
          <w:szCs w:val="22"/>
          <w:lang w:eastAsia="en-AU"/>
        </w:rPr>
      </w:pPr>
      <w:r>
        <w:t xml:space="preserve">Figure 47. </w:t>
      </w:r>
      <w:r w:rsidRPr="00A54A1E">
        <w:rPr>
          <w:rFonts w:eastAsia="Arial"/>
        </w:rPr>
        <w:t>Maps of the study area, showing the NSW sampling sites for which data was retained for population analysis: A) for Golden Perch and B) for Murray Cod.</w:t>
      </w:r>
      <w:r>
        <w:tab/>
      </w:r>
      <w:r>
        <w:fldChar w:fldCharType="begin"/>
      </w:r>
      <w:r>
        <w:instrText xml:space="preserve"> PAGEREF _Toc116995016 \h </w:instrText>
      </w:r>
      <w:r>
        <w:fldChar w:fldCharType="separate"/>
      </w:r>
      <w:r w:rsidR="005B672A">
        <w:t>54</w:t>
      </w:r>
      <w:r>
        <w:fldChar w:fldCharType="end"/>
      </w:r>
    </w:p>
    <w:p w14:paraId="768921BF" w14:textId="6BEDE5BA" w:rsidR="00491210" w:rsidRDefault="00EE200C">
      <w:pPr>
        <w:pStyle w:val="TableofFigures"/>
        <w:rPr>
          <w:rFonts w:asciiTheme="minorHAnsi" w:eastAsiaTheme="minorEastAsia" w:hAnsiTheme="minorHAnsi" w:cstheme="minorBidi"/>
          <w:sz w:val="22"/>
          <w:szCs w:val="22"/>
          <w:lang w:eastAsia="en-AU"/>
        </w:rPr>
      </w:pPr>
      <w:r>
        <w:t xml:space="preserve">Figure 48. </w:t>
      </w:r>
      <w:r w:rsidRPr="00A54A1E">
        <w:rPr>
          <w:rFonts w:eastAsia="Arial"/>
        </w:rPr>
        <w:t>Relationship between MODEL and ARI estimates for Golden Perch: A) shows monthly average discharge: B) shows the relationship between the scaled population estimates between the MODEL and the OBSERVED data.</w:t>
      </w:r>
      <w:r>
        <w:tab/>
      </w:r>
      <w:r>
        <w:fldChar w:fldCharType="begin"/>
      </w:r>
      <w:r>
        <w:instrText xml:space="preserve"> PAGEREF _Toc116995017 \h </w:instrText>
      </w:r>
      <w:r>
        <w:fldChar w:fldCharType="separate"/>
      </w:r>
      <w:r w:rsidR="005B672A">
        <w:t>60</w:t>
      </w:r>
      <w:r>
        <w:fldChar w:fldCharType="end"/>
      </w:r>
    </w:p>
    <w:p w14:paraId="05E098EC" w14:textId="42598BE2" w:rsidR="00491210" w:rsidRDefault="00EE200C">
      <w:pPr>
        <w:pStyle w:val="TableofFigures"/>
        <w:rPr>
          <w:rFonts w:asciiTheme="minorHAnsi" w:eastAsiaTheme="minorEastAsia" w:hAnsiTheme="minorHAnsi" w:cstheme="minorBidi"/>
          <w:sz w:val="22"/>
          <w:szCs w:val="22"/>
          <w:lang w:eastAsia="en-AU"/>
        </w:rPr>
      </w:pPr>
      <w:r>
        <w:t>Figure 49</w:t>
      </w:r>
      <w:r w:rsidRPr="00A54A1E">
        <w:rPr>
          <w:rFonts w:eastAsia="Arial"/>
        </w:rPr>
        <w:t>. Temporal patterns in NSW OBSERVED data and MODEL estimates for Golden Perch. The top panels show mean monthly discharge..</w:t>
      </w:r>
      <w:r>
        <w:tab/>
      </w:r>
      <w:r>
        <w:fldChar w:fldCharType="begin"/>
      </w:r>
      <w:r>
        <w:instrText xml:space="preserve"> PAGEREF _Toc116995018 \h </w:instrText>
      </w:r>
      <w:r>
        <w:fldChar w:fldCharType="separate"/>
      </w:r>
      <w:r w:rsidR="005B672A">
        <w:t>61</w:t>
      </w:r>
      <w:r>
        <w:fldChar w:fldCharType="end"/>
      </w:r>
    </w:p>
    <w:p w14:paraId="14574504" w14:textId="55711401" w:rsidR="00491210" w:rsidRDefault="00EE200C">
      <w:pPr>
        <w:pStyle w:val="TableofFigures"/>
        <w:rPr>
          <w:rFonts w:asciiTheme="minorHAnsi" w:eastAsiaTheme="minorEastAsia" w:hAnsiTheme="minorHAnsi" w:cstheme="minorBidi"/>
          <w:sz w:val="22"/>
          <w:szCs w:val="22"/>
          <w:lang w:eastAsia="en-AU"/>
        </w:rPr>
      </w:pPr>
      <w:r>
        <w:t>Figure 50</w:t>
      </w:r>
      <w:r w:rsidRPr="00A54A1E">
        <w:rPr>
          <w:rFonts w:eastAsia="Arial"/>
        </w:rPr>
        <w:t>. Golden Perch biplots showing the relationship between NSW OBSERVED data growth rates and predicted MODEL rates. See Figure 6 caption for details on each component.</w:t>
      </w:r>
      <w:r>
        <w:tab/>
      </w:r>
      <w:r>
        <w:fldChar w:fldCharType="begin"/>
      </w:r>
      <w:r>
        <w:instrText xml:space="preserve"> PAGEREF _Toc116995019 \h </w:instrText>
      </w:r>
      <w:r>
        <w:fldChar w:fldCharType="separate"/>
      </w:r>
      <w:r w:rsidR="005B672A">
        <w:t>62</w:t>
      </w:r>
      <w:r>
        <w:fldChar w:fldCharType="end"/>
      </w:r>
    </w:p>
    <w:p w14:paraId="72FF7587" w14:textId="5A96BC3B" w:rsidR="00491210" w:rsidRDefault="00EE200C">
      <w:pPr>
        <w:pStyle w:val="TableofFigures"/>
        <w:rPr>
          <w:rFonts w:asciiTheme="minorHAnsi" w:eastAsiaTheme="minorEastAsia" w:hAnsiTheme="minorHAnsi" w:cstheme="minorBidi"/>
          <w:sz w:val="22"/>
          <w:szCs w:val="22"/>
          <w:lang w:eastAsia="en-AU"/>
        </w:rPr>
      </w:pPr>
      <w:r>
        <w:t xml:space="preserve">Figure 51. </w:t>
      </w:r>
      <w:r w:rsidRPr="00A54A1E">
        <w:rPr>
          <w:rFonts w:eastAsia="Arial"/>
        </w:rPr>
        <w:t>Relationship between MODEL and ARI OBSERVED dataset migration estimates for Golden Perch. Panel A) shows the correlation between MODEL migration estimates and ARI OBSERVED migration estimates (</w:t>
      </w:r>
      <w:r w:rsidRPr="00A54A1E">
        <w:rPr>
          <w:rFonts w:eastAsia="Arial"/>
          <w:i/>
        </w:rPr>
        <w:t>r</w:t>
      </w:r>
      <w:r w:rsidRPr="00A54A1E">
        <w:rPr>
          <w:rFonts w:eastAsia="Arial"/>
        </w:rPr>
        <w:t> = Pearson correlation; ρ = Spearman correlation). Panel B) shows the scaled migration rate for the MODEL and ARI OBSERVED estimates for the adult stage.</w:t>
      </w:r>
      <w:r>
        <w:tab/>
      </w:r>
      <w:r>
        <w:fldChar w:fldCharType="begin"/>
      </w:r>
      <w:r>
        <w:instrText xml:space="preserve"> PAGEREF _Toc116995020 \h </w:instrText>
      </w:r>
      <w:r>
        <w:fldChar w:fldCharType="separate"/>
      </w:r>
      <w:r w:rsidR="005B672A">
        <w:t>62</w:t>
      </w:r>
      <w:r>
        <w:fldChar w:fldCharType="end"/>
      </w:r>
    </w:p>
    <w:p w14:paraId="4D4CBC65" w14:textId="5AE50FC0" w:rsidR="00491210" w:rsidRDefault="00EE200C">
      <w:pPr>
        <w:pStyle w:val="TableofFigures"/>
        <w:rPr>
          <w:rFonts w:asciiTheme="minorHAnsi" w:eastAsiaTheme="minorEastAsia" w:hAnsiTheme="minorHAnsi" w:cstheme="minorBidi"/>
          <w:sz w:val="22"/>
          <w:szCs w:val="22"/>
          <w:lang w:eastAsia="en-AU"/>
        </w:rPr>
      </w:pPr>
      <w:r w:rsidRPr="00A54A1E">
        <w:t>Figure 52</w:t>
      </w:r>
      <w:r w:rsidRPr="00A54A1E">
        <w:rPr>
          <w:rFonts w:eastAsia="Arial"/>
        </w:rPr>
        <w:t xml:space="preserve">. Golden Perch biplot of the relationship between scaled population size as predicted by the MODEL (Scaled </w:t>
      </w:r>
      <w:r w:rsidRPr="00A54A1E">
        <w:rPr>
          <w:rFonts w:eastAsia="Arial"/>
          <w:i/>
        </w:rPr>
        <w:t>N</w:t>
      </w:r>
      <w:r w:rsidRPr="00A54A1E">
        <w:rPr>
          <w:rFonts w:eastAsia="Arial"/>
          <w:iCs/>
        </w:rPr>
        <w:t>:</w:t>
      </w:r>
      <w:r w:rsidRPr="00A54A1E">
        <w:rPr>
          <w:rFonts w:eastAsia="Arial"/>
        </w:rPr>
        <w:t xml:space="preserve"> MODEL) and in independent OBSERVED datasets (Scaled </w:t>
      </w:r>
      <w:r w:rsidRPr="00A54A1E">
        <w:rPr>
          <w:rFonts w:eastAsia="Arial"/>
          <w:i/>
        </w:rPr>
        <w:t>N</w:t>
      </w:r>
      <w:r w:rsidRPr="00A54A1E">
        <w:rPr>
          <w:rFonts w:eastAsia="Arial"/>
        </w:rPr>
        <w:t>: OBSERVED). Colours and shapes indicate observed flow, based on average daily discharge from August to November.</w:t>
      </w:r>
      <w:r>
        <w:tab/>
      </w:r>
      <w:r>
        <w:fldChar w:fldCharType="begin"/>
      </w:r>
      <w:r>
        <w:instrText xml:space="preserve"> PAGEREF _Toc116995021 \h </w:instrText>
      </w:r>
      <w:r>
        <w:fldChar w:fldCharType="separate"/>
      </w:r>
      <w:r w:rsidR="005B672A">
        <w:t>63</w:t>
      </w:r>
      <w:r>
        <w:fldChar w:fldCharType="end"/>
      </w:r>
    </w:p>
    <w:p w14:paraId="13E44E61" w14:textId="547F9D3B" w:rsidR="00491210" w:rsidRDefault="00EE200C">
      <w:pPr>
        <w:pStyle w:val="TableofFigures"/>
        <w:rPr>
          <w:rFonts w:asciiTheme="minorHAnsi" w:eastAsiaTheme="minorEastAsia" w:hAnsiTheme="minorHAnsi" w:cstheme="minorBidi"/>
          <w:sz w:val="22"/>
          <w:szCs w:val="22"/>
          <w:lang w:eastAsia="en-AU"/>
        </w:rPr>
      </w:pPr>
      <w:r w:rsidRPr="00A54A1E">
        <w:t>Figure 53</w:t>
      </w:r>
      <w:r w:rsidRPr="00A54A1E">
        <w:rPr>
          <w:rFonts w:eastAsia="Arial"/>
          <w:i/>
          <w:iCs/>
        </w:rPr>
        <w:t>.</w:t>
      </w:r>
      <w:r w:rsidRPr="00A54A1E">
        <w:rPr>
          <w:rFonts w:eastAsia="Arial"/>
        </w:rPr>
        <w:t xml:space="preserve"> Relationship between MODEL and ARI OBSERVED estimates for Murray Cod. See Figure 6 caption for details.</w:t>
      </w:r>
      <w:r>
        <w:tab/>
      </w:r>
      <w:r>
        <w:fldChar w:fldCharType="begin"/>
      </w:r>
      <w:r>
        <w:instrText xml:space="preserve"> PAGEREF _Toc116995022 \h </w:instrText>
      </w:r>
      <w:r>
        <w:fldChar w:fldCharType="separate"/>
      </w:r>
      <w:r w:rsidR="005B672A">
        <w:t>65</w:t>
      </w:r>
      <w:r>
        <w:fldChar w:fldCharType="end"/>
      </w:r>
    </w:p>
    <w:p w14:paraId="389F90FE" w14:textId="5C4E619E" w:rsidR="00491210" w:rsidRDefault="00EE200C">
      <w:pPr>
        <w:pStyle w:val="TableofFigures"/>
        <w:rPr>
          <w:rFonts w:asciiTheme="minorHAnsi" w:eastAsiaTheme="minorEastAsia" w:hAnsiTheme="minorHAnsi" w:cstheme="minorBidi"/>
          <w:sz w:val="22"/>
          <w:szCs w:val="22"/>
          <w:lang w:eastAsia="en-AU"/>
        </w:rPr>
      </w:pPr>
      <w:r>
        <w:t>Figure 54</w:t>
      </w:r>
      <w:r w:rsidRPr="00A54A1E">
        <w:rPr>
          <w:rFonts w:eastAsia="Segoe UI"/>
        </w:rPr>
        <w:t>. Temporal patterns in NSW OBSERVED data and MODEL estimates for Murray Cod. Each line shows the scaled abundance estimates. The error bars and shaded regions are 95% CIs. The units in the top panels are ML day</w:t>
      </w:r>
      <w:r w:rsidRPr="00A54A1E">
        <w:rPr>
          <w:rFonts w:eastAsia="Segoe UI"/>
          <w:vertAlign w:val="superscript"/>
        </w:rPr>
        <w:t>–1</w:t>
      </w:r>
      <w:r w:rsidRPr="00A54A1E">
        <w:rPr>
          <w:rFonts w:eastAsia="Segoe UI"/>
        </w:rPr>
        <w:t>.</w:t>
      </w:r>
      <w:r>
        <w:tab/>
      </w:r>
      <w:r>
        <w:fldChar w:fldCharType="begin"/>
      </w:r>
      <w:r>
        <w:instrText xml:space="preserve"> PAGEREF _Toc116995023 \h </w:instrText>
      </w:r>
      <w:r>
        <w:fldChar w:fldCharType="separate"/>
      </w:r>
      <w:r w:rsidR="005B672A">
        <w:t>66</w:t>
      </w:r>
      <w:r>
        <w:fldChar w:fldCharType="end"/>
      </w:r>
    </w:p>
    <w:p w14:paraId="5C8A2B20" w14:textId="1BF34E29" w:rsidR="00491210" w:rsidRDefault="00EE200C">
      <w:pPr>
        <w:pStyle w:val="TableofFigures"/>
        <w:rPr>
          <w:rFonts w:asciiTheme="minorHAnsi" w:eastAsiaTheme="minorEastAsia" w:hAnsiTheme="minorHAnsi" w:cstheme="minorBidi"/>
          <w:sz w:val="22"/>
          <w:szCs w:val="22"/>
          <w:lang w:eastAsia="en-AU"/>
        </w:rPr>
      </w:pPr>
      <w:r>
        <w:t>Figure 55</w:t>
      </w:r>
      <w:r w:rsidRPr="00A54A1E">
        <w:rPr>
          <w:rFonts w:eastAsia="Arial"/>
          <w:i/>
          <w:iCs/>
        </w:rPr>
        <w:t>.</w:t>
      </w:r>
      <w:r w:rsidRPr="00A54A1E">
        <w:rPr>
          <w:rFonts w:eastAsia="Arial"/>
        </w:rPr>
        <w:t xml:space="preserve"> Murray Cod biplots showing the relationship between NSW OBSERVED data growth rates and predicted MODEL rates. Note that only growth rates with subsequent years of data are shown. See Figure 5 caption for details on each component.</w:t>
      </w:r>
      <w:r>
        <w:tab/>
      </w:r>
      <w:r>
        <w:fldChar w:fldCharType="begin"/>
      </w:r>
      <w:r>
        <w:instrText xml:space="preserve"> PAGEREF _Toc116995024 \h </w:instrText>
      </w:r>
      <w:r>
        <w:fldChar w:fldCharType="separate"/>
      </w:r>
      <w:r w:rsidR="005B672A">
        <w:t>66</w:t>
      </w:r>
      <w:r>
        <w:fldChar w:fldCharType="end"/>
      </w:r>
    </w:p>
    <w:p w14:paraId="3BA55613" w14:textId="01A1C430" w:rsidR="00491210" w:rsidRDefault="00EE200C">
      <w:pPr>
        <w:pStyle w:val="TableofFigures"/>
        <w:rPr>
          <w:rFonts w:asciiTheme="minorHAnsi" w:eastAsiaTheme="minorEastAsia" w:hAnsiTheme="minorHAnsi" w:cstheme="minorBidi"/>
          <w:sz w:val="22"/>
          <w:szCs w:val="22"/>
          <w:lang w:eastAsia="en-AU"/>
        </w:rPr>
      </w:pPr>
      <w:r w:rsidRPr="00A54A1E">
        <w:t>Figure 56</w:t>
      </w:r>
      <w:r w:rsidRPr="00A54A1E">
        <w:rPr>
          <w:rFonts w:eastAsia="Arial"/>
        </w:rPr>
        <w:t xml:space="preserve">. Murray Cod biplot of the relationship between scaled population size as predicted by the MODEL [Scaled </w:t>
      </w:r>
      <w:r w:rsidRPr="00A54A1E">
        <w:rPr>
          <w:rFonts w:eastAsia="Arial"/>
          <w:i/>
        </w:rPr>
        <w:t>N</w:t>
      </w:r>
      <w:r w:rsidRPr="00A54A1E">
        <w:rPr>
          <w:rFonts w:eastAsia="Arial"/>
        </w:rPr>
        <w:t xml:space="preserve"> (MODEL)] and in independent datasets [Scaled </w:t>
      </w:r>
      <w:r w:rsidRPr="00A54A1E">
        <w:rPr>
          <w:rFonts w:eastAsia="Arial"/>
          <w:i/>
        </w:rPr>
        <w:t>N</w:t>
      </w:r>
      <w:r w:rsidRPr="00A54A1E">
        <w:rPr>
          <w:rFonts w:eastAsia="Arial"/>
        </w:rPr>
        <w:t xml:space="preserve"> (OBSERVED)]. Colours and shapes indicate observed flow, based on the average daily discharge from August to November.</w:t>
      </w:r>
      <w:r>
        <w:tab/>
      </w:r>
      <w:r>
        <w:fldChar w:fldCharType="begin"/>
      </w:r>
      <w:r>
        <w:instrText xml:space="preserve"> PAGEREF _Toc116995025 \h </w:instrText>
      </w:r>
      <w:r>
        <w:fldChar w:fldCharType="separate"/>
      </w:r>
      <w:r w:rsidR="005B672A">
        <w:t>67</w:t>
      </w:r>
      <w:r>
        <w:fldChar w:fldCharType="end"/>
      </w:r>
    </w:p>
    <w:p w14:paraId="0498CC9D" w14:textId="50E3DC83" w:rsidR="00491210" w:rsidRPr="00243764" w:rsidRDefault="00EE200C" w:rsidP="00DC3852">
      <w:pPr>
        <w:pStyle w:val="TableofFigures"/>
        <w:sectPr w:rsidR="00491210" w:rsidRPr="00243764" w:rsidSect="00C657F7">
          <w:headerReference w:type="even" r:id="rId45"/>
          <w:headerReference w:type="default" r:id="rId46"/>
          <w:footerReference w:type="default" r:id="rId47"/>
          <w:headerReference w:type="first" r:id="rId48"/>
          <w:pgSz w:w="11907" w:h="16840" w:code="9"/>
          <w:pgMar w:top="1134" w:right="1134" w:bottom="1134" w:left="1134" w:header="709" w:footer="567" w:gutter="0"/>
          <w:pgNumType w:fmt="lowerRoman"/>
          <w:cols w:space="708"/>
          <w:formProt w:val="0"/>
          <w:docGrid w:linePitch="360"/>
        </w:sectPr>
      </w:pPr>
      <w:r>
        <w:fldChar w:fldCharType="end"/>
      </w:r>
    </w:p>
    <w:p w14:paraId="74EE50E3" w14:textId="6459B7F6" w:rsidR="00491210" w:rsidRPr="00B2382F" w:rsidRDefault="00EE200C" w:rsidP="0071429D">
      <w:pPr>
        <w:pStyle w:val="Heading1"/>
      </w:pPr>
      <w:bookmarkStart w:id="8" w:name="_Toc409798396"/>
      <w:bookmarkStart w:id="9" w:name="_Toc286018759"/>
      <w:bookmarkStart w:id="10" w:name="_Toc90388545"/>
      <w:bookmarkStart w:id="11" w:name="_Toc116994870"/>
      <w:r>
        <w:lastRenderedPageBreak/>
        <w:t>Summary</w:t>
      </w:r>
      <w:bookmarkEnd w:id="8"/>
      <w:bookmarkEnd w:id="9"/>
      <w:bookmarkEnd w:id="10"/>
      <w:bookmarkEnd w:id="11"/>
    </w:p>
    <w:p w14:paraId="0F487727" w14:textId="28E31BB0" w:rsidR="00491210" w:rsidRPr="007672D8" w:rsidRDefault="00EE200C" w:rsidP="003A29BD">
      <w:pPr>
        <w:pStyle w:val="Heading3"/>
      </w:pPr>
      <w:bookmarkStart w:id="12" w:name="_Toc116994871"/>
      <w:bookmarkStart w:id="13" w:name="_Toc409798398"/>
      <w:r w:rsidRPr="007672D8">
        <w:t>Context</w:t>
      </w:r>
      <w:bookmarkEnd w:id="12"/>
    </w:p>
    <w:p w14:paraId="5656BC92" w14:textId="08661135" w:rsidR="00491210" w:rsidRDefault="00EE200C" w:rsidP="003B2369">
      <w:pPr>
        <w:spacing w:after="240" w:line="259" w:lineRule="auto"/>
        <w:jc w:val="both"/>
        <w:rPr>
          <w:rFonts w:eastAsia="Arial"/>
          <w:color w:val="000000"/>
          <w:sz w:val="22"/>
          <w:szCs w:val="22"/>
          <w:lang w:eastAsia="en-AU"/>
        </w:rPr>
      </w:pPr>
      <w:r w:rsidRPr="38AC6F21">
        <w:rPr>
          <w:rFonts w:eastAsia="Arial"/>
          <w:color w:val="000000"/>
          <w:sz w:val="22"/>
          <w:szCs w:val="22"/>
          <w:lang w:eastAsia="en-AU"/>
        </w:rPr>
        <w:t xml:space="preserve">Connectivity between rivers and their adjacent wetlands and floodplains is an important feature of healthy, functioning freshwater ecosystems. These connections support important ecological, hydrological and chemical processes. However, many rivers globally are no longer connected with floodplains </w:t>
      </w:r>
      <w:r>
        <w:rPr>
          <w:rFonts w:eastAsia="Arial"/>
          <w:color w:val="000000"/>
          <w:sz w:val="22"/>
          <w:szCs w:val="22"/>
          <w:lang w:eastAsia="en-AU"/>
        </w:rPr>
        <w:t xml:space="preserve">and wetlands </w:t>
      </w:r>
      <w:r w:rsidRPr="38AC6F21">
        <w:rPr>
          <w:rFonts w:eastAsia="Arial"/>
          <w:color w:val="000000"/>
          <w:sz w:val="22"/>
          <w:szCs w:val="22"/>
          <w:lang w:eastAsia="en-AU"/>
        </w:rPr>
        <w:t xml:space="preserve">for as often or </w:t>
      </w:r>
      <w:r>
        <w:rPr>
          <w:rFonts w:eastAsia="Arial"/>
          <w:color w:val="000000"/>
          <w:sz w:val="22"/>
          <w:szCs w:val="22"/>
          <w:lang w:eastAsia="en-AU"/>
        </w:rPr>
        <w:t xml:space="preserve">as </w:t>
      </w:r>
      <w:r w:rsidRPr="38AC6F21">
        <w:rPr>
          <w:rFonts w:eastAsia="Arial"/>
          <w:color w:val="000000"/>
          <w:sz w:val="22"/>
          <w:szCs w:val="22"/>
          <w:lang w:eastAsia="en-AU"/>
        </w:rPr>
        <w:t>long as they need to</w:t>
      </w:r>
      <w:r>
        <w:rPr>
          <w:rFonts w:eastAsia="Arial"/>
          <w:color w:val="000000"/>
          <w:sz w:val="22"/>
          <w:szCs w:val="22"/>
          <w:lang w:eastAsia="en-AU"/>
        </w:rPr>
        <w:t xml:space="preserve"> be</w:t>
      </w:r>
      <w:r w:rsidRPr="38AC6F21">
        <w:rPr>
          <w:rFonts w:eastAsia="Arial"/>
          <w:color w:val="000000"/>
          <w:sz w:val="22"/>
          <w:szCs w:val="22"/>
          <w:lang w:eastAsia="en-AU"/>
        </w:rPr>
        <w:t xml:space="preserve">, and these </w:t>
      </w:r>
      <w:r>
        <w:rPr>
          <w:rFonts w:eastAsia="Arial"/>
          <w:color w:val="000000"/>
          <w:sz w:val="22"/>
          <w:szCs w:val="22"/>
          <w:lang w:eastAsia="en-AU"/>
        </w:rPr>
        <w:t>important processes</w:t>
      </w:r>
      <w:r w:rsidRPr="38AC6F21">
        <w:rPr>
          <w:rFonts w:eastAsia="Arial"/>
          <w:color w:val="000000"/>
          <w:sz w:val="22"/>
          <w:szCs w:val="22"/>
          <w:lang w:eastAsia="en-AU"/>
        </w:rPr>
        <w:t xml:space="preserve"> are lost or compromised. Also, many rivers are managed in the context of balancing </w:t>
      </w:r>
      <w:r>
        <w:rPr>
          <w:rFonts w:eastAsia="Arial"/>
          <w:color w:val="000000"/>
          <w:sz w:val="22"/>
          <w:szCs w:val="22"/>
          <w:lang w:eastAsia="en-AU"/>
        </w:rPr>
        <w:t xml:space="preserve">competing </w:t>
      </w:r>
      <w:r w:rsidRPr="38AC6F21">
        <w:rPr>
          <w:rFonts w:eastAsia="Arial"/>
          <w:color w:val="000000"/>
          <w:sz w:val="22"/>
          <w:szCs w:val="22"/>
          <w:lang w:eastAsia="en-AU"/>
        </w:rPr>
        <w:t>human and environmental needs for water. Consequently, the health of many river systems has declined.</w:t>
      </w:r>
    </w:p>
    <w:p w14:paraId="17484EE4" w14:textId="23667F69" w:rsidR="00491210" w:rsidRDefault="00EE200C" w:rsidP="003B2369">
      <w:pPr>
        <w:spacing w:after="240" w:line="259" w:lineRule="auto"/>
        <w:jc w:val="both"/>
        <w:rPr>
          <w:rFonts w:eastAsia="Arial"/>
          <w:color w:val="000000"/>
          <w:sz w:val="22"/>
          <w:szCs w:val="22"/>
          <w:lang w:eastAsia="en-AU"/>
        </w:rPr>
      </w:pPr>
      <w:r w:rsidRPr="3FC79A6E">
        <w:rPr>
          <w:rFonts w:eastAsia="Arial"/>
          <w:color w:val="000000"/>
          <w:sz w:val="22"/>
          <w:szCs w:val="22"/>
          <w:lang w:eastAsia="en-AU"/>
        </w:rPr>
        <w:t>To help restore river</w:t>
      </w:r>
      <w:r>
        <w:rPr>
          <w:rFonts w:eastAsia="Arial"/>
          <w:color w:val="000000"/>
          <w:sz w:val="22"/>
          <w:szCs w:val="22"/>
          <w:lang w:eastAsia="en-AU"/>
        </w:rPr>
        <w:t>s in Australia’s Murray–Darling Basin (MDB)</w:t>
      </w:r>
      <w:r w:rsidRPr="3FC79A6E">
        <w:rPr>
          <w:rFonts w:eastAsia="Arial"/>
          <w:color w:val="000000"/>
          <w:sz w:val="22"/>
          <w:szCs w:val="22"/>
          <w:lang w:eastAsia="en-AU"/>
        </w:rPr>
        <w:t xml:space="preserve">, flexibility </w:t>
      </w:r>
      <w:r>
        <w:rPr>
          <w:rFonts w:eastAsia="Arial"/>
          <w:color w:val="000000"/>
          <w:sz w:val="22"/>
          <w:szCs w:val="22"/>
          <w:lang w:eastAsia="en-AU"/>
        </w:rPr>
        <w:t>in</w:t>
      </w:r>
      <w:r w:rsidRPr="3FC79A6E">
        <w:rPr>
          <w:rFonts w:eastAsia="Arial"/>
          <w:color w:val="000000"/>
          <w:sz w:val="22"/>
          <w:szCs w:val="22"/>
          <w:lang w:eastAsia="en-AU"/>
        </w:rPr>
        <w:t xml:space="preserve"> manag</w:t>
      </w:r>
      <w:r>
        <w:rPr>
          <w:rFonts w:eastAsia="Arial"/>
          <w:color w:val="000000"/>
          <w:sz w:val="22"/>
          <w:szCs w:val="22"/>
          <w:lang w:eastAsia="en-AU"/>
        </w:rPr>
        <w:t>ing the</w:t>
      </w:r>
      <w:r w:rsidRPr="3FC79A6E">
        <w:rPr>
          <w:rFonts w:eastAsia="Arial"/>
          <w:color w:val="000000"/>
          <w:sz w:val="22"/>
          <w:szCs w:val="22"/>
          <w:lang w:eastAsia="en-AU"/>
        </w:rPr>
        <w:t xml:space="preserve"> flows to support both human and environmental needs</w:t>
      </w:r>
      <w:r>
        <w:rPr>
          <w:rFonts w:eastAsia="Arial"/>
          <w:color w:val="000000"/>
          <w:sz w:val="22"/>
          <w:szCs w:val="22"/>
          <w:lang w:eastAsia="en-AU"/>
        </w:rPr>
        <w:t xml:space="preserve"> is required</w:t>
      </w:r>
      <w:r w:rsidRPr="3FC79A6E">
        <w:rPr>
          <w:rFonts w:eastAsia="Arial"/>
          <w:color w:val="000000"/>
          <w:sz w:val="22"/>
          <w:szCs w:val="22"/>
          <w:lang w:eastAsia="en-AU"/>
        </w:rPr>
        <w:t xml:space="preserve">. </w:t>
      </w:r>
      <w:r>
        <w:rPr>
          <w:rFonts w:eastAsia="Arial"/>
          <w:color w:val="000000"/>
          <w:sz w:val="22"/>
          <w:szCs w:val="22"/>
          <w:lang w:eastAsia="en-AU"/>
        </w:rPr>
        <w:t>As part of meeting this challenge, t</w:t>
      </w:r>
      <w:r w:rsidRPr="3FC79A6E">
        <w:rPr>
          <w:rFonts w:eastAsia="Arial"/>
          <w:color w:val="000000"/>
          <w:sz w:val="22"/>
          <w:szCs w:val="22"/>
          <w:lang w:eastAsia="en-AU"/>
        </w:rPr>
        <w:t xml:space="preserve">he </w:t>
      </w:r>
      <w:r>
        <w:rPr>
          <w:rFonts w:eastAsia="Arial"/>
          <w:color w:val="000000"/>
          <w:sz w:val="22"/>
          <w:szCs w:val="22"/>
          <w:lang w:eastAsia="en-AU"/>
        </w:rPr>
        <w:t>New South Wales (</w:t>
      </w:r>
      <w:r w:rsidRPr="3FC79A6E">
        <w:rPr>
          <w:rFonts w:eastAsia="Arial"/>
          <w:color w:val="000000"/>
          <w:sz w:val="22"/>
          <w:szCs w:val="22"/>
          <w:lang w:eastAsia="en-AU"/>
        </w:rPr>
        <w:t>NSW</w:t>
      </w:r>
      <w:r>
        <w:rPr>
          <w:rFonts w:eastAsia="Arial"/>
          <w:color w:val="000000"/>
          <w:sz w:val="22"/>
          <w:szCs w:val="22"/>
          <w:lang w:eastAsia="en-AU"/>
        </w:rPr>
        <w:t>)</w:t>
      </w:r>
      <w:r w:rsidRPr="3FC79A6E">
        <w:rPr>
          <w:rFonts w:eastAsia="Arial"/>
          <w:color w:val="000000"/>
          <w:sz w:val="22"/>
          <w:szCs w:val="22"/>
          <w:lang w:eastAsia="en-AU"/>
        </w:rPr>
        <w:t xml:space="preserve"> Reconnecting River Country Program (RRCP) </w:t>
      </w:r>
      <w:r>
        <w:rPr>
          <w:rFonts w:eastAsia="Arial"/>
          <w:color w:val="000000"/>
          <w:sz w:val="22"/>
          <w:szCs w:val="22"/>
          <w:lang w:eastAsia="en-AU"/>
        </w:rPr>
        <w:t xml:space="preserve">is considering </w:t>
      </w:r>
      <w:r w:rsidRPr="3FC79A6E">
        <w:rPr>
          <w:rFonts w:eastAsia="Arial"/>
          <w:color w:val="000000"/>
          <w:sz w:val="22"/>
          <w:szCs w:val="22"/>
          <w:lang w:eastAsia="en-AU"/>
        </w:rPr>
        <w:t xml:space="preserve">physical, policy and operational constraints that limit river flow and floodplain connectivity </w:t>
      </w:r>
      <w:r>
        <w:rPr>
          <w:rFonts w:eastAsia="Arial"/>
          <w:color w:val="000000"/>
          <w:sz w:val="22"/>
          <w:szCs w:val="22"/>
          <w:lang w:eastAsia="en-AU"/>
        </w:rPr>
        <w:t xml:space="preserve">in southern NSW and exploring </w:t>
      </w:r>
      <w:r w:rsidRPr="3FC79A6E">
        <w:rPr>
          <w:rFonts w:eastAsia="Arial"/>
          <w:color w:val="000000"/>
          <w:sz w:val="22"/>
          <w:szCs w:val="22"/>
          <w:lang w:eastAsia="en-AU"/>
        </w:rPr>
        <w:t>how these constraints can be best managed to support healthy, productive waterways. The RRCP has three focal river zones:</w:t>
      </w:r>
    </w:p>
    <w:p w14:paraId="59A94B33" w14:textId="5A205B44" w:rsidR="00491210" w:rsidRDefault="00EE200C" w:rsidP="00836EC5">
      <w:pPr>
        <w:pStyle w:val="ListParagraph"/>
        <w:numPr>
          <w:ilvl w:val="0"/>
          <w:numId w:val="41"/>
        </w:numPr>
        <w:spacing w:after="0" w:line="259" w:lineRule="auto"/>
        <w:jc w:val="both"/>
        <w:rPr>
          <w:rFonts w:ascii="Arial" w:eastAsia="Arial" w:hAnsi="Arial"/>
          <w:color w:val="000000"/>
          <w:sz w:val="22"/>
          <w:szCs w:val="22"/>
        </w:rPr>
      </w:pPr>
      <w:r w:rsidRPr="3FC79A6E">
        <w:rPr>
          <w:rFonts w:ascii="Arial" w:eastAsia="Arial" w:hAnsi="Arial"/>
          <w:color w:val="000000"/>
          <w:sz w:val="22"/>
          <w:szCs w:val="22"/>
        </w:rPr>
        <w:t>Murray River</w:t>
      </w:r>
      <w:r>
        <w:rPr>
          <w:rFonts w:ascii="Arial" w:eastAsia="Arial" w:hAnsi="Arial"/>
          <w:color w:val="000000"/>
          <w:sz w:val="22"/>
          <w:szCs w:val="22"/>
        </w:rPr>
        <w:t>—</w:t>
      </w:r>
      <w:r w:rsidRPr="3FC79A6E">
        <w:rPr>
          <w:rFonts w:ascii="Arial" w:eastAsia="Arial" w:hAnsi="Arial"/>
          <w:color w:val="000000"/>
          <w:sz w:val="22"/>
          <w:szCs w:val="22"/>
        </w:rPr>
        <w:t>Hume</w:t>
      </w:r>
      <w:r>
        <w:rPr>
          <w:rFonts w:ascii="Arial" w:eastAsia="Arial" w:hAnsi="Arial"/>
          <w:color w:val="000000"/>
          <w:sz w:val="22"/>
          <w:szCs w:val="22"/>
        </w:rPr>
        <w:t xml:space="preserve"> Weir</w:t>
      </w:r>
      <w:r w:rsidRPr="3FC79A6E">
        <w:rPr>
          <w:rFonts w:ascii="Arial" w:eastAsia="Arial" w:hAnsi="Arial"/>
          <w:color w:val="000000"/>
          <w:sz w:val="22"/>
          <w:szCs w:val="22"/>
        </w:rPr>
        <w:t xml:space="preserve"> to Yarrawonga</w:t>
      </w:r>
      <w:r>
        <w:rPr>
          <w:rFonts w:ascii="Arial" w:eastAsia="Arial" w:hAnsi="Arial"/>
          <w:color w:val="000000"/>
          <w:sz w:val="22"/>
          <w:szCs w:val="22"/>
        </w:rPr>
        <w:t xml:space="preserve"> Weir</w:t>
      </w:r>
    </w:p>
    <w:p w14:paraId="05D07D4F" w14:textId="39ADF7AE" w:rsidR="00491210" w:rsidRDefault="00EE200C" w:rsidP="00836EC5">
      <w:pPr>
        <w:pStyle w:val="ListParagraph"/>
        <w:numPr>
          <w:ilvl w:val="0"/>
          <w:numId w:val="41"/>
        </w:numPr>
        <w:spacing w:after="0" w:line="259" w:lineRule="auto"/>
        <w:jc w:val="both"/>
        <w:rPr>
          <w:rFonts w:ascii="Arial" w:eastAsia="Arial" w:hAnsi="Arial"/>
          <w:color w:val="000000"/>
          <w:sz w:val="22"/>
          <w:szCs w:val="22"/>
        </w:rPr>
      </w:pPr>
      <w:r>
        <w:rPr>
          <w:rFonts w:ascii="Arial" w:eastAsia="Arial" w:hAnsi="Arial"/>
          <w:color w:val="000000"/>
          <w:sz w:val="22"/>
          <w:szCs w:val="22"/>
        </w:rPr>
        <w:t>Murray River—</w:t>
      </w:r>
      <w:r w:rsidRPr="35AC703F">
        <w:rPr>
          <w:rFonts w:ascii="Arial" w:eastAsia="Arial" w:hAnsi="Arial"/>
          <w:color w:val="000000"/>
          <w:sz w:val="22"/>
          <w:szCs w:val="22"/>
        </w:rPr>
        <w:t xml:space="preserve">Yarrawonga to Wakool </w:t>
      </w:r>
      <w:r>
        <w:rPr>
          <w:rFonts w:ascii="Arial" w:eastAsia="Arial" w:hAnsi="Arial"/>
          <w:color w:val="000000"/>
          <w:sz w:val="22"/>
          <w:szCs w:val="22"/>
        </w:rPr>
        <w:t>Junction</w:t>
      </w:r>
    </w:p>
    <w:p w14:paraId="1230D861" w14:textId="224FEDFC" w:rsidR="00491210" w:rsidRDefault="00EE200C" w:rsidP="00836EC5">
      <w:pPr>
        <w:pStyle w:val="ListParagraph"/>
        <w:numPr>
          <w:ilvl w:val="0"/>
          <w:numId w:val="41"/>
        </w:numPr>
        <w:spacing w:after="0" w:line="259" w:lineRule="auto"/>
        <w:jc w:val="both"/>
        <w:rPr>
          <w:rFonts w:ascii="Arial" w:eastAsia="Arial" w:hAnsi="Arial"/>
          <w:color w:val="000000"/>
          <w:sz w:val="22"/>
          <w:szCs w:val="22"/>
        </w:rPr>
      </w:pPr>
      <w:r w:rsidRPr="3FC79A6E">
        <w:rPr>
          <w:rFonts w:ascii="Arial" w:eastAsia="Arial" w:hAnsi="Arial"/>
          <w:color w:val="000000"/>
          <w:sz w:val="22"/>
          <w:szCs w:val="22"/>
        </w:rPr>
        <w:t>Murrumbidgee River</w:t>
      </w:r>
      <w:r>
        <w:rPr>
          <w:rFonts w:ascii="Arial" w:eastAsia="Arial" w:hAnsi="Arial"/>
          <w:color w:val="000000"/>
          <w:sz w:val="22"/>
          <w:szCs w:val="22"/>
        </w:rPr>
        <w:t>—</w:t>
      </w:r>
      <w:r w:rsidRPr="00690667">
        <w:t xml:space="preserve"> </w:t>
      </w:r>
      <w:r w:rsidRPr="00690667">
        <w:rPr>
          <w:rFonts w:ascii="Arial" w:eastAsia="Arial" w:hAnsi="Arial"/>
          <w:color w:val="000000"/>
          <w:sz w:val="22"/>
          <w:szCs w:val="22"/>
        </w:rPr>
        <w:t>Burrinjuck Dam</w:t>
      </w:r>
      <w:r>
        <w:rPr>
          <w:rFonts w:ascii="Arial" w:eastAsia="Arial" w:hAnsi="Arial"/>
          <w:color w:val="000000"/>
          <w:sz w:val="22"/>
          <w:szCs w:val="22"/>
        </w:rPr>
        <w:t xml:space="preserve"> to Murray Junction</w:t>
      </w:r>
    </w:p>
    <w:p w14:paraId="3AAEE960" w14:textId="132F9E91" w:rsidR="00491210" w:rsidRDefault="00EE200C" w:rsidP="003B2369">
      <w:pPr>
        <w:spacing w:before="240" w:after="240" w:line="259" w:lineRule="auto"/>
        <w:jc w:val="both"/>
        <w:rPr>
          <w:rFonts w:eastAsia="Arial"/>
          <w:color w:val="000000"/>
          <w:sz w:val="22"/>
          <w:szCs w:val="22"/>
          <w:lang w:eastAsia="en-AU"/>
        </w:rPr>
      </w:pPr>
      <w:r>
        <w:rPr>
          <w:rFonts w:eastAsia="Arial"/>
          <w:color w:val="000000"/>
          <w:sz w:val="22"/>
          <w:szCs w:val="22"/>
          <w:lang w:eastAsia="en-AU"/>
        </w:rPr>
        <w:t>I</w:t>
      </w:r>
      <w:r w:rsidRPr="35AC703F">
        <w:rPr>
          <w:rFonts w:eastAsia="Arial"/>
          <w:color w:val="000000"/>
          <w:sz w:val="22"/>
          <w:szCs w:val="22"/>
          <w:lang w:eastAsia="en-AU"/>
        </w:rPr>
        <w:t>n the RRCP</w:t>
      </w:r>
      <w:r>
        <w:rPr>
          <w:rFonts w:eastAsia="Arial"/>
          <w:color w:val="000000"/>
          <w:sz w:val="22"/>
          <w:szCs w:val="22"/>
          <w:lang w:eastAsia="en-AU"/>
        </w:rPr>
        <w:t>,</w:t>
      </w:r>
      <w:r w:rsidRPr="35AC703F" w:rsidDel="006037D5">
        <w:rPr>
          <w:rFonts w:eastAsia="Arial"/>
          <w:color w:val="000000"/>
          <w:sz w:val="22"/>
          <w:szCs w:val="22"/>
          <w:lang w:eastAsia="en-AU"/>
        </w:rPr>
        <w:t xml:space="preserve"> </w:t>
      </w:r>
      <w:r>
        <w:rPr>
          <w:rFonts w:eastAsia="Arial"/>
          <w:color w:val="000000"/>
          <w:sz w:val="22"/>
          <w:szCs w:val="22"/>
          <w:lang w:eastAsia="en-AU"/>
        </w:rPr>
        <w:t>d</w:t>
      </w:r>
      <w:r w:rsidRPr="35AC703F">
        <w:rPr>
          <w:rFonts w:eastAsia="Arial"/>
          <w:color w:val="000000"/>
          <w:sz w:val="22"/>
          <w:szCs w:val="22"/>
          <w:lang w:eastAsia="en-AU"/>
        </w:rPr>
        <w:t>ecisions about how to best balance economic, social, cultural and environmental outcomes will be made based on</w:t>
      </w:r>
      <w:r>
        <w:rPr>
          <w:rFonts w:eastAsia="Arial"/>
          <w:color w:val="000000"/>
          <w:sz w:val="22"/>
          <w:szCs w:val="22"/>
          <w:lang w:eastAsia="en-AU"/>
        </w:rPr>
        <w:t>:</w:t>
      </w:r>
      <w:r w:rsidRPr="35AC703F">
        <w:rPr>
          <w:rFonts w:eastAsia="Arial"/>
          <w:color w:val="000000"/>
          <w:sz w:val="22"/>
          <w:szCs w:val="22"/>
          <w:lang w:eastAsia="en-AU"/>
        </w:rPr>
        <w:t xml:space="preserve"> </w:t>
      </w:r>
      <w:r>
        <w:rPr>
          <w:rFonts w:eastAsia="Arial"/>
          <w:color w:val="000000"/>
          <w:sz w:val="22"/>
          <w:szCs w:val="22"/>
          <w:lang w:eastAsia="en-AU"/>
        </w:rPr>
        <w:t>(i) comprehensive assessments of potential benefits and costs/impacts; (ii) an options evaluation process and community engagement; and (iii) collaboration on program design.</w:t>
      </w:r>
    </w:p>
    <w:p w14:paraId="72BBA793" w14:textId="22B6DEBA" w:rsidR="00491210" w:rsidRDefault="00EE200C" w:rsidP="002607BD">
      <w:pPr>
        <w:spacing w:after="240" w:line="259" w:lineRule="auto"/>
        <w:jc w:val="both"/>
        <w:rPr>
          <w:rFonts w:eastAsia="Arial"/>
          <w:color w:val="000000"/>
          <w:sz w:val="22"/>
          <w:szCs w:val="22"/>
          <w:lang w:eastAsia="en-AU"/>
        </w:rPr>
      </w:pPr>
      <w:r w:rsidRPr="11D6FEB3">
        <w:rPr>
          <w:rFonts w:eastAsia="Arial"/>
          <w:color w:val="000000"/>
          <w:sz w:val="22"/>
          <w:szCs w:val="22"/>
          <w:lang w:eastAsia="en-AU"/>
        </w:rPr>
        <w:t>Floodplain</w:t>
      </w:r>
      <w:r>
        <w:rPr>
          <w:rFonts w:eastAsia="Arial"/>
          <w:color w:val="000000"/>
          <w:sz w:val="22"/>
          <w:szCs w:val="22"/>
          <w:lang w:eastAsia="en-AU"/>
        </w:rPr>
        <w:t>s</w:t>
      </w:r>
      <w:r w:rsidRPr="11D6FEB3">
        <w:rPr>
          <w:rFonts w:eastAsia="Arial"/>
          <w:color w:val="000000"/>
          <w:sz w:val="22"/>
          <w:szCs w:val="22"/>
          <w:lang w:eastAsia="en-AU"/>
        </w:rPr>
        <w:t xml:space="preserve"> can provide important foraging, spawning and nursery habitats for many riverine fish species. Moreover, the connection between these habitats and river channels also indirectly benefits many key processes supporting healthy fish populations</w:t>
      </w:r>
      <w:r>
        <w:rPr>
          <w:rFonts w:eastAsia="Arial"/>
          <w:color w:val="000000"/>
          <w:sz w:val="22"/>
          <w:szCs w:val="22"/>
          <w:lang w:eastAsia="en-AU"/>
        </w:rPr>
        <w:t xml:space="preserve"> </w:t>
      </w:r>
      <w:r w:rsidRPr="11D6FEB3">
        <w:rPr>
          <w:rFonts w:eastAsia="Arial"/>
          <w:color w:val="000000"/>
          <w:sz w:val="22"/>
          <w:szCs w:val="22"/>
          <w:lang w:eastAsia="en-AU"/>
        </w:rPr>
        <w:t>(such as food and energy transfer). More generally, the growth, survival, reproduction and movement of many fish is inherently linked to characteristi</w:t>
      </w:r>
      <w:r>
        <w:rPr>
          <w:rFonts w:eastAsia="Arial"/>
          <w:color w:val="000000"/>
          <w:sz w:val="22"/>
          <w:szCs w:val="22"/>
          <w:lang w:eastAsia="en-AU"/>
        </w:rPr>
        <w:t>cs</w:t>
      </w:r>
      <w:r w:rsidRPr="11D6FEB3">
        <w:rPr>
          <w:rFonts w:eastAsia="Arial"/>
          <w:color w:val="000000"/>
          <w:sz w:val="22"/>
          <w:szCs w:val="22"/>
          <w:lang w:eastAsia="en-AU"/>
        </w:rPr>
        <w:t xml:space="preserve"> of the hydrological regime. </w:t>
      </w:r>
      <w:r>
        <w:rPr>
          <w:rFonts w:eastAsia="Arial"/>
          <w:color w:val="000000"/>
          <w:sz w:val="22"/>
          <w:szCs w:val="22"/>
          <w:lang w:eastAsia="en-AU"/>
        </w:rPr>
        <w:t>Relaxing c</w:t>
      </w:r>
      <w:r w:rsidRPr="11D6FEB3">
        <w:rPr>
          <w:rFonts w:eastAsia="Arial"/>
          <w:color w:val="000000"/>
          <w:sz w:val="22"/>
          <w:szCs w:val="22"/>
          <w:lang w:eastAsia="en-AU"/>
        </w:rPr>
        <w:t xml:space="preserve">onstraints on the delivery of </w:t>
      </w:r>
      <w:r>
        <w:rPr>
          <w:rFonts w:eastAsia="Arial"/>
          <w:color w:val="000000"/>
          <w:sz w:val="22"/>
          <w:szCs w:val="22"/>
          <w:lang w:eastAsia="en-AU"/>
        </w:rPr>
        <w:t xml:space="preserve">environmental flows </w:t>
      </w:r>
      <w:r w:rsidRPr="11D6FEB3">
        <w:rPr>
          <w:rFonts w:eastAsia="Arial"/>
          <w:color w:val="000000"/>
          <w:sz w:val="22"/>
          <w:szCs w:val="22"/>
          <w:lang w:eastAsia="en-AU"/>
        </w:rPr>
        <w:t xml:space="preserve">will therefore likely have important benefits for native fish. However, these benefits are likely to vary </w:t>
      </w:r>
      <w:r>
        <w:rPr>
          <w:rFonts w:eastAsia="Arial"/>
          <w:color w:val="000000"/>
          <w:sz w:val="22"/>
          <w:szCs w:val="22"/>
          <w:lang w:eastAsia="en-AU"/>
        </w:rPr>
        <w:t>from one</w:t>
      </w:r>
      <w:r w:rsidRPr="11D6FEB3">
        <w:rPr>
          <w:rFonts w:eastAsia="Arial"/>
          <w:color w:val="000000"/>
          <w:sz w:val="22"/>
          <w:szCs w:val="22"/>
          <w:lang w:eastAsia="en-AU"/>
        </w:rPr>
        <w:t xml:space="preserve"> species</w:t>
      </w:r>
      <w:r>
        <w:rPr>
          <w:rFonts w:eastAsia="Arial"/>
          <w:color w:val="000000"/>
          <w:sz w:val="22"/>
          <w:szCs w:val="22"/>
          <w:lang w:eastAsia="en-AU"/>
        </w:rPr>
        <w:t xml:space="preserve"> to another,</w:t>
      </w:r>
      <w:r w:rsidRPr="11D6FEB3">
        <w:rPr>
          <w:rFonts w:eastAsia="Arial"/>
          <w:color w:val="000000"/>
          <w:sz w:val="22"/>
          <w:szCs w:val="22"/>
          <w:lang w:eastAsia="en-AU"/>
        </w:rPr>
        <w:t xml:space="preserve"> based on their respective water requirements, and how different management approaches </w:t>
      </w:r>
      <w:r>
        <w:rPr>
          <w:rFonts w:eastAsia="Arial"/>
          <w:color w:val="000000"/>
          <w:sz w:val="22"/>
          <w:szCs w:val="22"/>
          <w:lang w:eastAsia="en-AU"/>
        </w:rPr>
        <w:t>affect</w:t>
      </w:r>
      <w:r w:rsidRPr="11D6FEB3">
        <w:rPr>
          <w:rFonts w:eastAsia="Arial"/>
          <w:color w:val="000000"/>
          <w:sz w:val="22"/>
          <w:szCs w:val="22"/>
          <w:lang w:eastAsia="en-AU"/>
        </w:rPr>
        <w:t xml:space="preserve"> both hydrological conditions, and connections between rivers and floodplains. Information about how native fish species might respond to different flow scenarios is therefore an important input into the RRCP decision-making process.</w:t>
      </w:r>
    </w:p>
    <w:p w14:paraId="166BE792" w14:textId="4EF8CED8" w:rsidR="00491210" w:rsidRDefault="00EE200C" w:rsidP="002607BD">
      <w:pPr>
        <w:spacing w:after="240" w:line="259" w:lineRule="auto"/>
        <w:jc w:val="both"/>
        <w:rPr>
          <w:rFonts w:eastAsia="Arial"/>
          <w:color w:val="000000"/>
          <w:sz w:val="22"/>
          <w:szCs w:val="22"/>
          <w:lang w:eastAsia="en-AU"/>
        </w:rPr>
      </w:pPr>
      <w:r w:rsidRPr="13609C11">
        <w:rPr>
          <w:rFonts w:eastAsia="Arial"/>
          <w:color w:val="000000"/>
          <w:sz w:val="22"/>
          <w:szCs w:val="22"/>
          <w:lang w:eastAsia="en-AU"/>
        </w:rPr>
        <w:t xml:space="preserve">This report presents a detailed analysis of the predicted </w:t>
      </w:r>
      <w:r>
        <w:rPr>
          <w:rFonts w:eastAsia="Arial"/>
          <w:color w:val="000000"/>
          <w:sz w:val="22"/>
          <w:szCs w:val="22"/>
          <w:lang w:eastAsia="en-AU"/>
        </w:rPr>
        <w:t>outcomes</w:t>
      </w:r>
      <w:r w:rsidRPr="13609C11">
        <w:rPr>
          <w:rFonts w:eastAsia="Arial"/>
          <w:color w:val="000000"/>
          <w:sz w:val="22"/>
          <w:szCs w:val="22"/>
          <w:lang w:eastAsia="en-AU"/>
        </w:rPr>
        <w:t xml:space="preserve"> </w:t>
      </w:r>
      <w:r>
        <w:rPr>
          <w:rFonts w:eastAsia="Arial"/>
          <w:color w:val="000000"/>
          <w:sz w:val="22"/>
          <w:szCs w:val="22"/>
          <w:lang w:eastAsia="en-AU"/>
        </w:rPr>
        <w:t>for populations of</w:t>
      </w:r>
      <w:r w:rsidRPr="13609C11">
        <w:rPr>
          <w:rFonts w:eastAsia="Arial"/>
          <w:color w:val="000000"/>
          <w:sz w:val="22"/>
          <w:szCs w:val="22"/>
          <w:lang w:eastAsia="en-AU"/>
        </w:rPr>
        <w:t xml:space="preserve"> two native fish species, Murray Cod (</w:t>
      </w:r>
      <w:r w:rsidRPr="13609C11">
        <w:rPr>
          <w:rFonts w:eastAsia="Arial"/>
          <w:i/>
          <w:iCs/>
          <w:color w:val="000000"/>
          <w:sz w:val="22"/>
          <w:szCs w:val="22"/>
          <w:lang w:eastAsia="en-AU"/>
        </w:rPr>
        <w:t>Maccullochella peelii</w:t>
      </w:r>
      <w:r w:rsidRPr="13609C11">
        <w:rPr>
          <w:rFonts w:eastAsia="Arial"/>
          <w:color w:val="000000"/>
          <w:sz w:val="22"/>
          <w:szCs w:val="22"/>
          <w:lang w:eastAsia="en-AU"/>
        </w:rPr>
        <w:t>) and Golden Perch (</w:t>
      </w:r>
      <w:r w:rsidRPr="13609C11">
        <w:rPr>
          <w:rFonts w:eastAsia="Arial"/>
          <w:i/>
          <w:iCs/>
          <w:color w:val="000000"/>
          <w:sz w:val="22"/>
          <w:szCs w:val="22"/>
          <w:lang w:eastAsia="en-AU"/>
        </w:rPr>
        <w:t>Macquaria ambigua</w:t>
      </w:r>
      <w:r w:rsidRPr="13609C11">
        <w:rPr>
          <w:rFonts w:eastAsia="Arial"/>
          <w:color w:val="000000"/>
          <w:sz w:val="22"/>
          <w:szCs w:val="22"/>
          <w:lang w:eastAsia="en-AU"/>
        </w:rPr>
        <w:t>)</w:t>
      </w:r>
      <w:r>
        <w:rPr>
          <w:rFonts w:eastAsia="Arial"/>
          <w:color w:val="000000"/>
          <w:sz w:val="22"/>
          <w:szCs w:val="22"/>
          <w:lang w:eastAsia="en-AU"/>
        </w:rPr>
        <w:t xml:space="preserve">, as a result </w:t>
      </w:r>
      <w:r w:rsidRPr="13609C11">
        <w:rPr>
          <w:rFonts w:eastAsia="Arial"/>
          <w:color w:val="000000"/>
          <w:sz w:val="22"/>
          <w:szCs w:val="22"/>
          <w:lang w:eastAsia="en-AU"/>
        </w:rPr>
        <w:t xml:space="preserve">of </w:t>
      </w:r>
      <w:r>
        <w:rPr>
          <w:rFonts w:eastAsia="Arial"/>
          <w:color w:val="000000"/>
          <w:sz w:val="22"/>
          <w:szCs w:val="22"/>
          <w:lang w:eastAsia="en-AU"/>
        </w:rPr>
        <w:t>relaxing</w:t>
      </w:r>
      <w:r w:rsidRPr="13609C11">
        <w:rPr>
          <w:rFonts w:eastAsia="Arial"/>
          <w:color w:val="000000"/>
          <w:sz w:val="22"/>
          <w:szCs w:val="22"/>
          <w:lang w:eastAsia="en-AU"/>
        </w:rPr>
        <w:t xml:space="preserve"> constraints in the RRCP program. Population model</w:t>
      </w:r>
      <w:r>
        <w:rPr>
          <w:rFonts w:eastAsia="Arial"/>
          <w:color w:val="000000"/>
          <w:sz w:val="22"/>
          <w:szCs w:val="22"/>
          <w:lang w:eastAsia="en-AU"/>
        </w:rPr>
        <w:t>ling</w:t>
      </w:r>
      <w:r w:rsidRPr="13609C11">
        <w:rPr>
          <w:rFonts w:eastAsia="Arial"/>
          <w:color w:val="000000"/>
          <w:sz w:val="22"/>
          <w:szCs w:val="22"/>
          <w:lang w:eastAsia="en-AU"/>
        </w:rPr>
        <w:t xml:space="preserve">, which </w:t>
      </w:r>
      <w:r>
        <w:rPr>
          <w:rFonts w:eastAsia="Arial"/>
          <w:color w:val="000000"/>
          <w:sz w:val="22"/>
          <w:szCs w:val="22"/>
          <w:lang w:eastAsia="en-AU"/>
        </w:rPr>
        <w:t>is</w:t>
      </w:r>
      <w:r w:rsidRPr="13609C11">
        <w:rPr>
          <w:rFonts w:eastAsia="Arial"/>
          <w:color w:val="000000"/>
          <w:sz w:val="22"/>
          <w:szCs w:val="22"/>
          <w:lang w:eastAsia="en-AU"/>
        </w:rPr>
        <w:t xml:space="preserve"> an important tool widely used in conservation and natural resource management, w</w:t>
      </w:r>
      <w:r>
        <w:rPr>
          <w:rFonts w:eastAsia="Arial"/>
          <w:color w:val="000000"/>
          <w:sz w:val="22"/>
          <w:szCs w:val="22"/>
          <w:lang w:eastAsia="en-AU"/>
        </w:rPr>
        <w:t>as</w:t>
      </w:r>
      <w:r w:rsidRPr="13609C11">
        <w:rPr>
          <w:rFonts w:eastAsia="Arial"/>
          <w:color w:val="000000"/>
          <w:sz w:val="22"/>
          <w:szCs w:val="22"/>
          <w:lang w:eastAsia="en-AU"/>
        </w:rPr>
        <w:t xml:space="preserve"> used to predictively explore likely outcomes for these two species </w:t>
      </w:r>
      <w:r>
        <w:rPr>
          <w:rFonts w:eastAsia="Arial"/>
          <w:color w:val="000000"/>
          <w:sz w:val="22"/>
          <w:szCs w:val="22"/>
          <w:lang w:eastAsia="en-AU"/>
        </w:rPr>
        <w:t>in</w:t>
      </w:r>
      <w:r w:rsidRPr="13609C11">
        <w:rPr>
          <w:rFonts w:eastAsia="Arial"/>
          <w:color w:val="000000"/>
          <w:sz w:val="22"/>
          <w:szCs w:val="22"/>
          <w:lang w:eastAsia="en-AU"/>
        </w:rPr>
        <w:t xml:space="preserve"> RRCP flow scenarios specified by the NSW government. This report describes the </w:t>
      </w:r>
      <w:r>
        <w:rPr>
          <w:rFonts w:eastAsia="Arial"/>
          <w:color w:val="000000"/>
          <w:sz w:val="22"/>
          <w:szCs w:val="22"/>
          <w:lang w:eastAsia="en-AU"/>
        </w:rPr>
        <w:t>collation</w:t>
      </w:r>
      <w:r w:rsidRPr="13609C11">
        <w:rPr>
          <w:rFonts w:eastAsia="Arial"/>
          <w:color w:val="000000"/>
          <w:sz w:val="22"/>
          <w:szCs w:val="22"/>
          <w:lang w:eastAsia="en-AU"/>
        </w:rPr>
        <w:t xml:space="preserve"> and synthesi</w:t>
      </w:r>
      <w:r>
        <w:rPr>
          <w:rFonts w:eastAsia="Arial"/>
          <w:color w:val="000000"/>
          <w:sz w:val="22"/>
          <w:szCs w:val="22"/>
          <w:lang w:eastAsia="en-AU"/>
        </w:rPr>
        <w:t>s of</w:t>
      </w:r>
      <w:r w:rsidRPr="13609C11">
        <w:rPr>
          <w:rFonts w:eastAsia="Arial"/>
          <w:color w:val="000000"/>
          <w:sz w:val="22"/>
          <w:szCs w:val="22"/>
          <w:lang w:eastAsia="en-AU"/>
        </w:rPr>
        <w:t xml:space="preserve"> the latest scientific information </w:t>
      </w:r>
      <w:r>
        <w:rPr>
          <w:rFonts w:eastAsia="Arial"/>
          <w:color w:val="000000"/>
          <w:sz w:val="22"/>
          <w:szCs w:val="22"/>
          <w:lang w:eastAsia="en-AU"/>
        </w:rPr>
        <w:t>to derive a</w:t>
      </w:r>
      <w:r w:rsidRPr="13609C11">
        <w:rPr>
          <w:rFonts w:eastAsia="Arial"/>
          <w:color w:val="000000"/>
          <w:sz w:val="22"/>
          <w:szCs w:val="22"/>
          <w:lang w:eastAsia="en-AU"/>
        </w:rPr>
        <w:t xml:space="preserve"> conceptual understanding of how these two species respond to hydrological changes, and then </w:t>
      </w:r>
      <w:r>
        <w:rPr>
          <w:rFonts w:eastAsia="Arial"/>
          <w:color w:val="000000"/>
          <w:sz w:val="22"/>
          <w:szCs w:val="22"/>
          <w:lang w:eastAsia="en-AU"/>
        </w:rPr>
        <w:t>application of</w:t>
      </w:r>
      <w:r w:rsidRPr="13609C11">
        <w:rPr>
          <w:rFonts w:eastAsia="Arial"/>
          <w:color w:val="000000"/>
          <w:sz w:val="22"/>
          <w:szCs w:val="22"/>
          <w:lang w:eastAsia="en-AU"/>
        </w:rPr>
        <w:t xml:space="preserve"> this knowledge to construct population models to explore </w:t>
      </w:r>
      <w:r>
        <w:rPr>
          <w:rFonts w:eastAsia="Arial"/>
          <w:color w:val="000000"/>
          <w:sz w:val="22"/>
          <w:szCs w:val="22"/>
          <w:lang w:eastAsia="en-AU"/>
        </w:rPr>
        <w:t xml:space="preserve">likely </w:t>
      </w:r>
      <w:r w:rsidRPr="13609C11">
        <w:rPr>
          <w:rFonts w:eastAsia="Arial"/>
          <w:color w:val="000000"/>
          <w:sz w:val="22"/>
          <w:szCs w:val="22"/>
          <w:lang w:eastAsia="en-AU"/>
        </w:rPr>
        <w:t xml:space="preserve">responses to the </w:t>
      </w:r>
      <w:r>
        <w:rPr>
          <w:rFonts w:eastAsia="Arial"/>
          <w:color w:val="000000"/>
          <w:sz w:val="22"/>
          <w:szCs w:val="22"/>
          <w:lang w:eastAsia="en-AU"/>
        </w:rPr>
        <w:t>various</w:t>
      </w:r>
      <w:r w:rsidRPr="13609C11">
        <w:rPr>
          <w:rFonts w:eastAsia="Arial"/>
          <w:color w:val="000000"/>
          <w:sz w:val="22"/>
          <w:szCs w:val="22"/>
          <w:lang w:eastAsia="en-AU"/>
        </w:rPr>
        <w:t xml:space="preserve"> potential hydrological scenarios in RRCP. </w:t>
      </w:r>
      <w:r>
        <w:rPr>
          <w:rFonts w:eastAsia="Arial"/>
          <w:color w:val="000000"/>
          <w:sz w:val="22"/>
          <w:szCs w:val="22"/>
          <w:lang w:eastAsia="en-AU"/>
        </w:rPr>
        <w:t>The</w:t>
      </w:r>
      <w:r w:rsidRPr="13609C11">
        <w:rPr>
          <w:rFonts w:eastAsia="Arial"/>
          <w:color w:val="000000"/>
          <w:sz w:val="22"/>
          <w:szCs w:val="22"/>
          <w:lang w:eastAsia="en-AU"/>
        </w:rPr>
        <w:t xml:space="preserve"> key results and findings in relation to </w:t>
      </w:r>
      <w:r>
        <w:rPr>
          <w:rFonts w:eastAsia="Arial"/>
          <w:color w:val="000000"/>
          <w:sz w:val="22"/>
          <w:szCs w:val="22"/>
          <w:lang w:eastAsia="en-AU"/>
        </w:rPr>
        <w:t>predicted</w:t>
      </w:r>
      <w:r w:rsidRPr="13609C11">
        <w:rPr>
          <w:rFonts w:eastAsia="Arial"/>
          <w:color w:val="000000"/>
          <w:sz w:val="22"/>
          <w:szCs w:val="22"/>
          <w:lang w:eastAsia="en-AU"/>
        </w:rPr>
        <w:t xml:space="preserve"> fish population outcomes under </w:t>
      </w:r>
      <w:r>
        <w:rPr>
          <w:rFonts w:eastAsia="Arial"/>
          <w:color w:val="000000"/>
          <w:sz w:val="22"/>
          <w:szCs w:val="22"/>
          <w:lang w:eastAsia="en-AU"/>
        </w:rPr>
        <w:t>the various</w:t>
      </w:r>
      <w:r w:rsidRPr="13609C11">
        <w:rPr>
          <w:rFonts w:eastAsia="Arial"/>
          <w:color w:val="000000"/>
          <w:sz w:val="22"/>
          <w:szCs w:val="22"/>
          <w:lang w:eastAsia="en-AU"/>
        </w:rPr>
        <w:t xml:space="preserve"> RRCP flow scenarios </w:t>
      </w:r>
      <w:r>
        <w:rPr>
          <w:rFonts w:eastAsia="Arial"/>
          <w:color w:val="000000"/>
          <w:sz w:val="22"/>
          <w:szCs w:val="22"/>
          <w:lang w:eastAsia="en-AU"/>
        </w:rPr>
        <w:t xml:space="preserve">are outlined, </w:t>
      </w:r>
      <w:r w:rsidRPr="13609C11">
        <w:rPr>
          <w:rFonts w:eastAsia="Arial"/>
          <w:color w:val="000000"/>
          <w:sz w:val="22"/>
          <w:szCs w:val="22"/>
          <w:lang w:eastAsia="en-AU"/>
        </w:rPr>
        <w:t>and the assumptions and limitations associated with this approach</w:t>
      </w:r>
      <w:r>
        <w:rPr>
          <w:rFonts w:eastAsia="Arial"/>
          <w:color w:val="000000"/>
          <w:sz w:val="22"/>
          <w:szCs w:val="22"/>
          <w:lang w:eastAsia="en-AU"/>
        </w:rPr>
        <w:t xml:space="preserve"> have been highlighted</w:t>
      </w:r>
      <w:r w:rsidRPr="13609C11">
        <w:rPr>
          <w:rFonts w:eastAsia="Arial"/>
          <w:color w:val="000000"/>
          <w:sz w:val="22"/>
          <w:szCs w:val="22"/>
          <w:lang w:eastAsia="en-AU"/>
        </w:rPr>
        <w:t xml:space="preserve">. </w:t>
      </w:r>
      <w:r>
        <w:rPr>
          <w:rFonts w:eastAsia="Arial"/>
          <w:color w:val="000000"/>
          <w:sz w:val="22"/>
          <w:szCs w:val="22"/>
          <w:lang w:eastAsia="en-AU"/>
        </w:rPr>
        <w:t>In addition,</w:t>
      </w:r>
      <w:r w:rsidRPr="13609C11">
        <w:rPr>
          <w:rFonts w:eastAsia="Arial"/>
          <w:color w:val="000000"/>
          <w:sz w:val="22"/>
          <w:szCs w:val="22"/>
          <w:lang w:eastAsia="en-AU"/>
        </w:rPr>
        <w:t xml:space="preserve"> </w:t>
      </w:r>
      <w:r>
        <w:rPr>
          <w:rFonts w:eastAsia="Arial"/>
          <w:color w:val="000000"/>
          <w:sz w:val="22"/>
          <w:szCs w:val="22"/>
          <w:lang w:eastAsia="en-AU"/>
        </w:rPr>
        <w:t xml:space="preserve">the </w:t>
      </w:r>
      <w:r w:rsidRPr="13609C11">
        <w:rPr>
          <w:rFonts w:eastAsia="Arial"/>
          <w:color w:val="000000"/>
          <w:sz w:val="22"/>
          <w:szCs w:val="22"/>
          <w:lang w:eastAsia="en-AU"/>
        </w:rPr>
        <w:t xml:space="preserve">predicted modelled trajectories </w:t>
      </w:r>
      <w:r>
        <w:rPr>
          <w:rFonts w:eastAsia="Arial"/>
          <w:color w:val="000000"/>
          <w:sz w:val="22"/>
          <w:szCs w:val="22"/>
          <w:lang w:eastAsia="en-AU"/>
        </w:rPr>
        <w:t xml:space="preserve">were compared </w:t>
      </w:r>
      <w:r w:rsidRPr="13609C11">
        <w:rPr>
          <w:rFonts w:eastAsia="Arial"/>
          <w:color w:val="000000"/>
          <w:sz w:val="22"/>
          <w:szCs w:val="22"/>
          <w:lang w:eastAsia="en-AU"/>
        </w:rPr>
        <w:t>with those observed in independent empirical datasets</w:t>
      </w:r>
      <w:r>
        <w:rPr>
          <w:rFonts w:eastAsia="Arial"/>
          <w:color w:val="000000"/>
          <w:sz w:val="22"/>
          <w:szCs w:val="22"/>
          <w:lang w:eastAsia="en-AU"/>
        </w:rPr>
        <w:t>, to assess the validity of the population models, and the learnings from that are also presented</w:t>
      </w:r>
      <w:r w:rsidRPr="13609C11">
        <w:rPr>
          <w:rFonts w:eastAsia="Arial"/>
          <w:color w:val="000000"/>
          <w:sz w:val="22"/>
          <w:szCs w:val="22"/>
          <w:lang w:eastAsia="en-AU"/>
        </w:rPr>
        <w:t>.</w:t>
      </w:r>
    </w:p>
    <w:p w14:paraId="4E55AABD" w14:textId="072BFCE3" w:rsidR="00491210" w:rsidRDefault="00EE200C" w:rsidP="005F1F7F">
      <w:pPr>
        <w:pStyle w:val="Heading3"/>
      </w:pPr>
      <w:bookmarkStart w:id="14" w:name="_Toc116994872"/>
      <w:r w:rsidRPr="35AC703F">
        <w:lastRenderedPageBreak/>
        <w:t>Methods</w:t>
      </w:r>
      <w:bookmarkEnd w:id="14"/>
    </w:p>
    <w:p w14:paraId="50DFE7AC" w14:textId="027955C7" w:rsidR="00491210" w:rsidRDefault="00EE200C" w:rsidP="002607BD">
      <w:pPr>
        <w:spacing w:after="240" w:line="259" w:lineRule="auto"/>
        <w:jc w:val="both"/>
        <w:rPr>
          <w:color w:val="000000"/>
          <w:sz w:val="22"/>
          <w:szCs w:val="22"/>
          <w:lang w:eastAsia="en-AU"/>
        </w:rPr>
      </w:pPr>
      <w:r w:rsidRPr="3FC79A6E">
        <w:rPr>
          <w:color w:val="000000"/>
          <w:sz w:val="22"/>
          <w:szCs w:val="22"/>
          <w:lang w:eastAsia="en-AU"/>
        </w:rPr>
        <w:t xml:space="preserve">The population </w:t>
      </w:r>
      <w:r w:rsidRPr="002607BD">
        <w:rPr>
          <w:rFonts w:eastAsia="Arial"/>
          <w:color w:val="000000"/>
          <w:sz w:val="22"/>
          <w:szCs w:val="22"/>
          <w:lang w:eastAsia="en-AU"/>
        </w:rPr>
        <w:t>models</w:t>
      </w:r>
      <w:r w:rsidRPr="3FC79A6E">
        <w:rPr>
          <w:color w:val="000000"/>
          <w:sz w:val="22"/>
          <w:szCs w:val="22"/>
          <w:lang w:eastAsia="en-AU"/>
        </w:rPr>
        <w:t xml:space="preserve"> were developed via an iterative process consisting of: (i) developing and updating species-specific conceptual models via a series of workshops with expert fish ecologists and</w:t>
      </w:r>
      <w:r>
        <w:rPr>
          <w:color w:val="000000"/>
          <w:sz w:val="22"/>
          <w:szCs w:val="22"/>
          <w:lang w:eastAsia="en-AU"/>
        </w:rPr>
        <w:t xml:space="preserve"> environmental water</w:t>
      </w:r>
      <w:r w:rsidRPr="3FC79A6E">
        <w:rPr>
          <w:color w:val="000000"/>
          <w:sz w:val="22"/>
          <w:szCs w:val="22"/>
          <w:lang w:eastAsia="en-AU"/>
        </w:rPr>
        <w:t xml:space="preserve"> managers, (ii) using this knowledge to adap</w:t>
      </w:r>
      <w:r>
        <w:rPr>
          <w:color w:val="000000"/>
          <w:sz w:val="22"/>
          <w:szCs w:val="22"/>
          <w:lang w:eastAsia="en-AU"/>
        </w:rPr>
        <w:t>t</w:t>
      </w:r>
      <w:r w:rsidRPr="3FC79A6E">
        <w:rPr>
          <w:color w:val="000000"/>
          <w:sz w:val="22"/>
          <w:szCs w:val="22"/>
          <w:lang w:eastAsia="en-AU"/>
        </w:rPr>
        <w:t xml:space="preserve"> the population models </w:t>
      </w:r>
      <w:r>
        <w:rPr>
          <w:color w:val="000000"/>
          <w:sz w:val="22"/>
          <w:szCs w:val="22"/>
          <w:lang w:eastAsia="en-AU"/>
        </w:rPr>
        <w:t>for</w:t>
      </w:r>
      <w:r w:rsidRPr="3FC79A6E">
        <w:rPr>
          <w:color w:val="000000"/>
          <w:sz w:val="22"/>
          <w:szCs w:val="22"/>
          <w:lang w:eastAsia="en-AU"/>
        </w:rPr>
        <w:t xml:space="preserve"> each </w:t>
      </w:r>
      <w:r>
        <w:rPr>
          <w:color w:val="000000"/>
          <w:sz w:val="22"/>
          <w:szCs w:val="22"/>
          <w:lang w:eastAsia="en-AU"/>
        </w:rPr>
        <w:t xml:space="preserve">of the </w:t>
      </w:r>
      <w:r w:rsidRPr="3FC79A6E">
        <w:rPr>
          <w:color w:val="000000"/>
          <w:sz w:val="22"/>
          <w:szCs w:val="22"/>
          <w:lang w:eastAsia="en-AU"/>
        </w:rPr>
        <w:t>core RRCP area</w:t>
      </w:r>
      <w:r>
        <w:rPr>
          <w:color w:val="000000"/>
          <w:sz w:val="22"/>
          <w:szCs w:val="22"/>
          <w:lang w:eastAsia="en-AU"/>
        </w:rPr>
        <w:t>s</w:t>
      </w:r>
      <w:r w:rsidRPr="3FC79A6E">
        <w:rPr>
          <w:color w:val="000000"/>
          <w:sz w:val="22"/>
          <w:szCs w:val="22"/>
          <w:lang w:eastAsia="en-AU"/>
        </w:rPr>
        <w:t xml:space="preserve"> and hydrological scenario</w:t>
      </w:r>
      <w:r>
        <w:rPr>
          <w:color w:val="000000"/>
          <w:sz w:val="22"/>
          <w:szCs w:val="22"/>
          <w:lang w:eastAsia="en-AU"/>
        </w:rPr>
        <w:t>s</w:t>
      </w:r>
      <w:r w:rsidRPr="3FC79A6E">
        <w:rPr>
          <w:color w:val="000000"/>
          <w:sz w:val="22"/>
          <w:szCs w:val="22"/>
          <w:lang w:eastAsia="en-AU"/>
        </w:rPr>
        <w:t>, (iii) incorporat</w:t>
      </w:r>
      <w:r>
        <w:rPr>
          <w:color w:val="000000"/>
          <w:sz w:val="22"/>
          <w:szCs w:val="22"/>
          <w:lang w:eastAsia="en-AU"/>
        </w:rPr>
        <w:t>ing</w:t>
      </w:r>
      <w:r w:rsidRPr="3FC79A6E">
        <w:rPr>
          <w:color w:val="000000"/>
          <w:sz w:val="22"/>
          <w:szCs w:val="22"/>
          <w:lang w:eastAsia="en-AU"/>
        </w:rPr>
        <w:t xml:space="preserve"> life history responses to flow and temperature </w:t>
      </w:r>
      <w:r>
        <w:rPr>
          <w:color w:val="000000"/>
          <w:sz w:val="22"/>
          <w:szCs w:val="22"/>
          <w:lang w:eastAsia="en-AU"/>
        </w:rPr>
        <w:t>cues</w:t>
      </w:r>
      <w:r w:rsidRPr="3FC79A6E">
        <w:rPr>
          <w:color w:val="000000"/>
          <w:sz w:val="22"/>
          <w:szCs w:val="22"/>
          <w:lang w:eastAsia="en-AU"/>
        </w:rPr>
        <w:t>, (iv) includ</w:t>
      </w:r>
      <w:r>
        <w:rPr>
          <w:color w:val="000000"/>
          <w:sz w:val="22"/>
          <w:szCs w:val="22"/>
          <w:lang w:eastAsia="en-AU"/>
        </w:rPr>
        <w:t>ing</w:t>
      </w:r>
      <w:r w:rsidRPr="3FC79A6E">
        <w:rPr>
          <w:color w:val="000000"/>
          <w:sz w:val="22"/>
          <w:szCs w:val="22"/>
          <w:lang w:eastAsia="en-AU"/>
        </w:rPr>
        <w:t xml:space="preserve"> flow</w:t>
      </w:r>
      <w:r>
        <w:rPr>
          <w:color w:val="000000"/>
          <w:sz w:val="22"/>
          <w:szCs w:val="22"/>
          <w:lang w:eastAsia="en-AU"/>
        </w:rPr>
        <w:t>–</w:t>
      </w:r>
      <w:r w:rsidRPr="3FC79A6E">
        <w:rPr>
          <w:color w:val="000000"/>
          <w:sz w:val="22"/>
          <w:szCs w:val="22"/>
          <w:lang w:eastAsia="en-AU"/>
        </w:rPr>
        <w:t>productivity effects, (v) includ</w:t>
      </w:r>
      <w:r>
        <w:rPr>
          <w:color w:val="000000"/>
          <w:sz w:val="22"/>
          <w:szCs w:val="22"/>
          <w:lang w:eastAsia="en-AU"/>
        </w:rPr>
        <w:t>ing</w:t>
      </w:r>
      <w:r w:rsidRPr="3FC79A6E">
        <w:rPr>
          <w:color w:val="000000"/>
          <w:sz w:val="22"/>
          <w:szCs w:val="22"/>
          <w:lang w:eastAsia="en-AU"/>
        </w:rPr>
        <w:t xml:space="preserve"> an anoxic blackwater construct (for Murray Cod only), (vi) defining and reporting </w:t>
      </w:r>
      <w:r>
        <w:rPr>
          <w:color w:val="000000"/>
          <w:sz w:val="22"/>
          <w:szCs w:val="22"/>
          <w:lang w:eastAsia="en-AU"/>
        </w:rPr>
        <w:t xml:space="preserve">the </w:t>
      </w:r>
      <w:r w:rsidRPr="3FC79A6E">
        <w:rPr>
          <w:color w:val="000000"/>
          <w:sz w:val="22"/>
          <w:szCs w:val="22"/>
          <w:lang w:eastAsia="en-AU"/>
        </w:rPr>
        <w:t xml:space="preserve">ecological benefits of </w:t>
      </w:r>
      <w:r>
        <w:rPr>
          <w:color w:val="000000"/>
          <w:sz w:val="22"/>
          <w:szCs w:val="22"/>
          <w:lang w:eastAsia="en-AU"/>
        </w:rPr>
        <w:t xml:space="preserve">the </w:t>
      </w:r>
      <w:r w:rsidRPr="3FC79A6E">
        <w:rPr>
          <w:color w:val="000000"/>
          <w:sz w:val="22"/>
          <w:szCs w:val="22"/>
          <w:lang w:eastAsia="en-AU"/>
        </w:rPr>
        <w:t xml:space="preserve">modelled RRCP flow scenarios, (vii) </w:t>
      </w:r>
      <w:r>
        <w:rPr>
          <w:color w:val="000000"/>
          <w:sz w:val="22"/>
          <w:szCs w:val="22"/>
          <w:lang w:eastAsia="en-AU"/>
        </w:rPr>
        <w:t>comparing</w:t>
      </w:r>
      <w:r w:rsidRPr="3FC79A6E">
        <w:rPr>
          <w:color w:val="000000"/>
          <w:sz w:val="22"/>
          <w:szCs w:val="22"/>
          <w:lang w:eastAsia="en-AU"/>
        </w:rPr>
        <w:t xml:space="preserve"> model predictions </w:t>
      </w:r>
      <w:r>
        <w:rPr>
          <w:color w:val="000000"/>
          <w:sz w:val="22"/>
          <w:szCs w:val="22"/>
          <w:lang w:eastAsia="en-AU"/>
        </w:rPr>
        <w:t>with</w:t>
      </w:r>
      <w:r w:rsidRPr="3FC79A6E">
        <w:rPr>
          <w:color w:val="000000"/>
          <w:sz w:val="22"/>
          <w:szCs w:val="22"/>
          <w:lang w:eastAsia="en-AU"/>
        </w:rPr>
        <w:t xml:space="preserve"> independent empirical datasets</w:t>
      </w:r>
      <w:r>
        <w:rPr>
          <w:color w:val="000000"/>
          <w:sz w:val="22"/>
          <w:szCs w:val="22"/>
          <w:lang w:eastAsia="en-AU"/>
        </w:rPr>
        <w:t>; and (viii) providing advice to NSW DPE regarding the model application and the results</w:t>
      </w:r>
      <w:r w:rsidRPr="3FC79A6E">
        <w:rPr>
          <w:color w:val="000000"/>
          <w:sz w:val="22"/>
          <w:szCs w:val="22"/>
          <w:lang w:eastAsia="en-AU"/>
        </w:rPr>
        <w:t>.</w:t>
      </w:r>
    </w:p>
    <w:p w14:paraId="38C79E81" w14:textId="5E4439B9" w:rsidR="00491210" w:rsidRPr="006851CC" w:rsidRDefault="00EE200C" w:rsidP="00C16EB4">
      <w:pPr>
        <w:pStyle w:val="PopModbodytext"/>
        <w:rPr>
          <w:iCs w:val="0"/>
        </w:rPr>
      </w:pPr>
      <w:r w:rsidRPr="00E2785E">
        <w:t>Models were run for Golden Perch and Murray Cod in a series of river reaches, including the three main RRCP focal zones of the Murray River (Lake Hume</w:t>
      </w:r>
      <w:r>
        <w:t xml:space="preserve"> </w:t>
      </w:r>
      <w:r w:rsidRPr="00E2785E">
        <w:t>to</w:t>
      </w:r>
      <w:r>
        <w:t xml:space="preserve"> </w:t>
      </w:r>
      <w:r w:rsidRPr="00E2785E">
        <w:t>Yarrawonga</w:t>
      </w:r>
      <w:r>
        <w:t>,</w:t>
      </w:r>
      <w:r w:rsidRPr="00E2785E">
        <w:t xml:space="preserve"> and Yarrawonga</w:t>
      </w:r>
      <w:r>
        <w:t xml:space="preserve"> </w:t>
      </w:r>
      <w:r w:rsidRPr="00E2785E">
        <w:t>to</w:t>
      </w:r>
      <w:r>
        <w:t xml:space="preserve"> </w:t>
      </w:r>
      <w:r w:rsidRPr="00E2785E">
        <w:t xml:space="preserve">Wakool </w:t>
      </w:r>
      <w:r>
        <w:t>Junction</w:t>
      </w:r>
      <w:r w:rsidRPr="00E2785E">
        <w:t>) and the Murrumbidgee River</w:t>
      </w:r>
      <w:r>
        <w:t xml:space="preserve"> (Gundagai to Murray Junction – fish populations were not modelled upstream of Gundagai to Burrinjuck Dam)</w:t>
      </w:r>
      <w:r w:rsidRPr="00E2785E">
        <w:t xml:space="preserve">. </w:t>
      </w:r>
      <w:r>
        <w:t>T</w:t>
      </w:r>
      <w:r w:rsidRPr="00E2785E">
        <w:t xml:space="preserve">he RRCP focal zone Yarrawonga to Wakool </w:t>
      </w:r>
      <w:r>
        <w:t>Junction</w:t>
      </w:r>
      <w:r w:rsidRPr="00E2785E">
        <w:t xml:space="preserve"> was modelled as Yarrawonga to Torrumbarry and Torrumbarry to Wentworth. </w:t>
      </w:r>
      <w:r w:rsidRPr="00915A3A">
        <w:t>For the purpose</w:t>
      </w:r>
      <w:r>
        <w:t>s</w:t>
      </w:r>
      <w:r w:rsidRPr="00915A3A">
        <w:t xml:space="preserve"> of this report, we use the term </w:t>
      </w:r>
      <w:r>
        <w:t>‘</w:t>
      </w:r>
      <w:r w:rsidRPr="00915A3A">
        <w:t>Total RRCP Populations</w:t>
      </w:r>
      <w:r>
        <w:t xml:space="preserve">’ </w:t>
      </w:r>
      <w:r w:rsidRPr="00915A3A">
        <w:t xml:space="preserve">to represent all modelled RRCP </w:t>
      </w:r>
      <w:r>
        <w:t>focal zones</w:t>
      </w:r>
      <w:r w:rsidRPr="00915A3A">
        <w:t xml:space="preserve"> with the addition of the Murray River downstream from Wakool </w:t>
      </w:r>
      <w:r>
        <w:t>Junction</w:t>
      </w:r>
      <w:r w:rsidRPr="00915A3A">
        <w:t xml:space="preserve"> to Wentworth</w:t>
      </w:r>
      <w:r>
        <w:t>.</w:t>
      </w:r>
      <w:r w:rsidRPr="00E2785E">
        <w:t xml:space="preserve"> All the reaches modelled were included in the following: the Murray River from Lake Hume to </w:t>
      </w:r>
      <w:r>
        <w:t xml:space="preserve">the </w:t>
      </w:r>
      <w:r w:rsidRPr="00E2785E">
        <w:t xml:space="preserve">Murray Mouth (Golden Perch), the Murray River from Lake Hume to Wentworth (Murray Cod), </w:t>
      </w:r>
      <w:r>
        <w:t xml:space="preserve">the </w:t>
      </w:r>
      <w:r w:rsidRPr="00E2785E">
        <w:t xml:space="preserve">Edward River (both species), </w:t>
      </w:r>
      <w:r>
        <w:t xml:space="preserve">the </w:t>
      </w:r>
      <w:r w:rsidRPr="00E2785E">
        <w:t xml:space="preserve">Lower Darling River (Golden Perch), </w:t>
      </w:r>
      <w:r>
        <w:t xml:space="preserve">the </w:t>
      </w:r>
      <w:r w:rsidRPr="00E2785E">
        <w:t>Murrumbidgee River upstream of Balranald to Gundagai (both species), and Yanco Creek (Murray Cod).</w:t>
      </w:r>
    </w:p>
    <w:p w14:paraId="151CDCB2" w14:textId="45F5C803" w:rsidR="00491210" w:rsidRDefault="00EE200C" w:rsidP="002B335D">
      <w:pPr>
        <w:spacing w:after="240" w:line="259" w:lineRule="auto"/>
        <w:jc w:val="both"/>
        <w:rPr>
          <w:i/>
          <w:iCs/>
          <w:color w:val="000000"/>
          <w:sz w:val="22"/>
          <w:szCs w:val="22"/>
          <w:lang w:eastAsia="en-AU"/>
        </w:rPr>
      </w:pPr>
      <w:r>
        <w:rPr>
          <w:color w:val="000000"/>
          <w:sz w:val="22"/>
          <w:szCs w:val="22"/>
          <w:lang w:eastAsia="en-AU"/>
        </w:rPr>
        <w:t>In this study, r</w:t>
      </w:r>
      <w:r w:rsidRPr="3FC79A6E">
        <w:rPr>
          <w:color w:val="000000"/>
          <w:sz w:val="22"/>
          <w:szCs w:val="22"/>
          <w:lang w:eastAsia="en-AU"/>
        </w:rPr>
        <w:t xml:space="preserve">iver system hydrologic modelling has been used to obtain a realistic indication of the potential </w:t>
      </w:r>
      <w:r w:rsidRPr="001E22AD">
        <w:rPr>
          <w:color w:val="000000"/>
          <w:sz w:val="22"/>
          <w:szCs w:val="22"/>
          <w:lang w:eastAsia="en-AU"/>
        </w:rPr>
        <w:t>river flow and floodplain inundation</w:t>
      </w:r>
      <w:r w:rsidRPr="3FC79A6E">
        <w:rPr>
          <w:color w:val="000000"/>
          <w:sz w:val="22"/>
          <w:szCs w:val="22"/>
          <w:lang w:eastAsia="en-AU"/>
        </w:rPr>
        <w:t xml:space="preserve"> outcomes from the RRCP over the long</w:t>
      </w:r>
      <w:r>
        <w:rPr>
          <w:color w:val="000000"/>
          <w:sz w:val="22"/>
          <w:szCs w:val="22"/>
          <w:lang w:eastAsia="en-AU"/>
        </w:rPr>
        <w:t xml:space="preserve"> </w:t>
      </w:r>
      <w:r w:rsidRPr="3FC79A6E">
        <w:rPr>
          <w:color w:val="000000"/>
          <w:sz w:val="22"/>
          <w:szCs w:val="22"/>
          <w:lang w:eastAsia="en-AU"/>
        </w:rPr>
        <w:t xml:space="preserve">term under the varying climate conditions experienced in the </w:t>
      </w:r>
      <w:r>
        <w:rPr>
          <w:color w:val="000000"/>
          <w:sz w:val="22"/>
          <w:szCs w:val="22"/>
          <w:lang w:eastAsia="en-AU"/>
        </w:rPr>
        <w:t>Murray–Darling</w:t>
      </w:r>
      <w:r w:rsidRPr="3FC79A6E">
        <w:rPr>
          <w:color w:val="000000"/>
          <w:sz w:val="22"/>
          <w:szCs w:val="22"/>
          <w:lang w:eastAsia="en-AU"/>
        </w:rPr>
        <w:t xml:space="preserve"> Basin. The models used for this work represent current system operations, current environmental water recovery</w:t>
      </w:r>
      <w:r>
        <w:rPr>
          <w:color w:val="000000"/>
          <w:sz w:val="22"/>
          <w:szCs w:val="22"/>
          <w:lang w:eastAsia="en-AU"/>
        </w:rPr>
        <w:t xml:space="preserve"> data</w:t>
      </w:r>
      <w:r w:rsidRPr="3FC79A6E">
        <w:rPr>
          <w:color w:val="000000"/>
          <w:sz w:val="22"/>
          <w:szCs w:val="22"/>
          <w:lang w:eastAsia="en-AU"/>
        </w:rPr>
        <w:t xml:space="preserve">, and historical climate </w:t>
      </w:r>
      <w:r>
        <w:rPr>
          <w:color w:val="000000"/>
          <w:sz w:val="22"/>
          <w:szCs w:val="22"/>
          <w:lang w:eastAsia="en-AU"/>
        </w:rPr>
        <w:t xml:space="preserve">data </w:t>
      </w:r>
      <w:r w:rsidRPr="3FC79A6E">
        <w:rPr>
          <w:color w:val="000000"/>
          <w:sz w:val="22"/>
          <w:szCs w:val="22"/>
          <w:lang w:eastAsia="en-AU"/>
        </w:rPr>
        <w:t>over the period 1 July 1895 to 30 June 2019 (124</w:t>
      </w:r>
      <w:r>
        <w:rPr>
          <w:color w:val="000000"/>
          <w:sz w:val="22"/>
          <w:szCs w:val="22"/>
          <w:lang w:eastAsia="en-AU"/>
        </w:rPr>
        <w:t> </w:t>
      </w:r>
      <w:r w:rsidRPr="3FC79A6E">
        <w:rPr>
          <w:color w:val="000000"/>
          <w:sz w:val="22"/>
          <w:szCs w:val="22"/>
          <w:lang w:eastAsia="en-AU"/>
        </w:rPr>
        <w:t>years). The environmental flow limit options explored in the modelling corresponded to 15,000 (current</w:t>
      </w:r>
      <w:r>
        <w:rPr>
          <w:color w:val="000000"/>
          <w:sz w:val="22"/>
          <w:szCs w:val="22"/>
          <w:lang w:eastAsia="en-AU"/>
        </w:rPr>
        <w:t xml:space="preserve"> temporary</w:t>
      </w:r>
      <w:r w:rsidRPr="3FC79A6E">
        <w:rPr>
          <w:color w:val="000000"/>
          <w:sz w:val="22"/>
          <w:szCs w:val="22"/>
          <w:lang w:eastAsia="en-AU"/>
        </w:rPr>
        <w:t xml:space="preserve"> operational limit), 25,000, 30,000, 40,000</w:t>
      </w:r>
      <w:r>
        <w:rPr>
          <w:color w:val="000000"/>
          <w:sz w:val="22"/>
          <w:szCs w:val="22"/>
          <w:lang w:eastAsia="en-AU"/>
        </w:rPr>
        <w:t xml:space="preserve"> and</w:t>
      </w:r>
      <w:r w:rsidRPr="3FC79A6E">
        <w:rPr>
          <w:color w:val="000000"/>
          <w:sz w:val="22"/>
          <w:szCs w:val="22"/>
          <w:lang w:eastAsia="en-AU"/>
        </w:rPr>
        <w:t xml:space="preserve"> 45,000</w:t>
      </w:r>
      <w:r>
        <w:rPr>
          <w:color w:val="000000"/>
          <w:sz w:val="22"/>
          <w:szCs w:val="22"/>
          <w:lang w:eastAsia="en-AU"/>
        </w:rPr>
        <w:t> </w:t>
      </w:r>
      <w:r w:rsidRPr="3FC79A6E">
        <w:rPr>
          <w:color w:val="000000"/>
          <w:sz w:val="22"/>
          <w:szCs w:val="22"/>
          <w:lang w:eastAsia="en-AU"/>
        </w:rPr>
        <w:t>ML day</w:t>
      </w:r>
      <w:r>
        <w:rPr>
          <w:color w:val="000000"/>
          <w:sz w:val="22"/>
          <w:szCs w:val="22"/>
          <w:vertAlign w:val="superscript"/>
          <w:lang w:eastAsia="en-AU"/>
        </w:rPr>
        <w:t>–</w:t>
      </w:r>
      <w:r w:rsidRPr="3FC79A6E">
        <w:rPr>
          <w:color w:val="000000"/>
          <w:sz w:val="22"/>
          <w:szCs w:val="22"/>
          <w:vertAlign w:val="superscript"/>
          <w:lang w:eastAsia="en-AU"/>
        </w:rPr>
        <w:t>1</w:t>
      </w:r>
      <w:r w:rsidRPr="3FC79A6E">
        <w:rPr>
          <w:color w:val="000000"/>
          <w:sz w:val="22"/>
          <w:szCs w:val="22"/>
          <w:lang w:eastAsia="en-AU"/>
        </w:rPr>
        <w:t xml:space="preserve"> flow limits in the Murray</w:t>
      </w:r>
      <w:r>
        <w:rPr>
          <w:color w:val="000000"/>
          <w:sz w:val="22"/>
          <w:szCs w:val="22"/>
          <w:lang w:eastAsia="en-AU"/>
        </w:rPr>
        <w:t xml:space="preserve"> River</w:t>
      </w:r>
      <w:r w:rsidRPr="3FC79A6E">
        <w:rPr>
          <w:color w:val="000000"/>
          <w:sz w:val="22"/>
          <w:szCs w:val="22"/>
          <w:lang w:eastAsia="en-AU"/>
        </w:rPr>
        <w:t xml:space="preserve"> </w:t>
      </w:r>
      <w:r w:rsidRPr="001E22AD">
        <w:rPr>
          <w:color w:val="000000"/>
          <w:sz w:val="22"/>
          <w:szCs w:val="22"/>
          <w:lang w:eastAsia="en-AU"/>
        </w:rPr>
        <w:t>downstream of</w:t>
      </w:r>
      <w:r>
        <w:rPr>
          <w:color w:val="000000"/>
          <w:sz w:val="22"/>
          <w:szCs w:val="22"/>
          <w:lang w:eastAsia="en-AU"/>
        </w:rPr>
        <w:t xml:space="preserve"> </w:t>
      </w:r>
      <w:r w:rsidRPr="3FC79A6E">
        <w:rPr>
          <w:color w:val="000000"/>
          <w:sz w:val="22"/>
          <w:szCs w:val="22"/>
          <w:lang w:eastAsia="en-AU"/>
        </w:rPr>
        <w:t>Yarrawonga weir</w:t>
      </w:r>
      <w:r>
        <w:rPr>
          <w:color w:val="000000"/>
          <w:sz w:val="22"/>
          <w:szCs w:val="22"/>
          <w:lang w:eastAsia="en-AU"/>
        </w:rPr>
        <w:t xml:space="preserve"> and </w:t>
      </w:r>
      <w:r w:rsidRPr="3FC79A6E">
        <w:rPr>
          <w:color w:val="000000"/>
          <w:sz w:val="22"/>
          <w:szCs w:val="22"/>
          <w:lang w:eastAsia="en-AU"/>
        </w:rPr>
        <w:t>25,000, 30,000</w:t>
      </w:r>
      <w:r>
        <w:rPr>
          <w:color w:val="000000"/>
          <w:sz w:val="22"/>
          <w:szCs w:val="22"/>
          <w:lang w:eastAsia="en-AU"/>
        </w:rPr>
        <w:t xml:space="preserve"> and</w:t>
      </w:r>
      <w:r w:rsidRPr="3FC79A6E">
        <w:rPr>
          <w:color w:val="000000"/>
          <w:sz w:val="22"/>
          <w:szCs w:val="22"/>
          <w:lang w:eastAsia="en-AU"/>
        </w:rPr>
        <w:t xml:space="preserve"> 40,000</w:t>
      </w:r>
      <w:r>
        <w:rPr>
          <w:color w:val="000000"/>
          <w:sz w:val="22"/>
          <w:szCs w:val="22"/>
          <w:lang w:eastAsia="en-AU"/>
        </w:rPr>
        <w:t xml:space="preserve"> </w:t>
      </w:r>
      <w:r w:rsidRPr="3FC79A6E">
        <w:rPr>
          <w:color w:val="000000"/>
          <w:sz w:val="22"/>
          <w:szCs w:val="22"/>
          <w:lang w:eastAsia="en-AU"/>
        </w:rPr>
        <w:t>ML day</w:t>
      </w:r>
      <w:r>
        <w:rPr>
          <w:color w:val="000000"/>
          <w:sz w:val="22"/>
          <w:szCs w:val="22"/>
          <w:vertAlign w:val="superscript"/>
          <w:lang w:eastAsia="en-AU"/>
        </w:rPr>
        <w:t>–</w:t>
      </w:r>
      <w:r w:rsidRPr="3FC79A6E">
        <w:rPr>
          <w:color w:val="000000"/>
          <w:sz w:val="22"/>
          <w:szCs w:val="22"/>
          <w:vertAlign w:val="superscript"/>
          <w:lang w:eastAsia="en-AU"/>
        </w:rPr>
        <w:t>1</w:t>
      </w:r>
      <w:r w:rsidRPr="3FC79A6E">
        <w:rPr>
          <w:color w:val="000000"/>
          <w:sz w:val="22"/>
          <w:szCs w:val="22"/>
          <w:lang w:eastAsia="en-AU"/>
        </w:rPr>
        <w:t xml:space="preserve"> flow limits</w:t>
      </w:r>
      <w:r>
        <w:rPr>
          <w:color w:val="000000"/>
          <w:sz w:val="22"/>
          <w:szCs w:val="22"/>
          <w:lang w:eastAsia="en-AU"/>
        </w:rPr>
        <w:t xml:space="preserve"> in the Murray River at Doctors Point</w:t>
      </w:r>
      <w:r w:rsidRPr="3FC79A6E">
        <w:rPr>
          <w:color w:val="000000"/>
          <w:sz w:val="22"/>
          <w:szCs w:val="22"/>
          <w:lang w:eastAsia="en-AU"/>
        </w:rPr>
        <w:t xml:space="preserve">. In the Murrumbidgee River, the </w:t>
      </w:r>
      <w:r w:rsidRPr="001E22AD">
        <w:rPr>
          <w:color w:val="000000"/>
          <w:sz w:val="22"/>
          <w:szCs w:val="22"/>
          <w:lang w:eastAsia="en-AU"/>
        </w:rPr>
        <w:t>modelled flow scenarios</w:t>
      </w:r>
      <w:r w:rsidRPr="3FC79A6E">
        <w:rPr>
          <w:color w:val="000000"/>
          <w:sz w:val="22"/>
          <w:szCs w:val="22"/>
          <w:lang w:eastAsia="en-AU"/>
        </w:rPr>
        <w:t xml:space="preserve"> corresponded to 22,000 (current</w:t>
      </w:r>
      <w:r>
        <w:rPr>
          <w:color w:val="000000"/>
          <w:sz w:val="22"/>
          <w:szCs w:val="22"/>
          <w:lang w:eastAsia="en-AU"/>
        </w:rPr>
        <w:t xml:space="preserve"> temporary</w:t>
      </w:r>
      <w:r w:rsidRPr="3FC79A6E">
        <w:rPr>
          <w:color w:val="000000"/>
          <w:sz w:val="22"/>
          <w:szCs w:val="22"/>
          <w:lang w:eastAsia="en-AU"/>
        </w:rPr>
        <w:t xml:space="preserve"> operational limit), 32,000, 36,000 and 40,000</w:t>
      </w:r>
      <w:r>
        <w:rPr>
          <w:color w:val="000000"/>
          <w:sz w:val="22"/>
          <w:szCs w:val="22"/>
          <w:lang w:eastAsia="en-AU"/>
        </w:rPr>
        <w:t> </w:t>
      </w:r>
      <w:r w:rsidRPr="3FC79A6E">
        <w:rPr>
          <w:color w:val="000000"/>
          <w:sz w:val="22"/>
          <w:szCs w:val="22"/>
          <w:lang w:eastAsia="en-AU"/>
        </w:rPr>
        <w:t>ML</w:t>
      </w:r>
      <w:r>
        <w:rPr>
          <w:color w:val="000000"/>
          <w:sz w:val="22"/>
          <w:szCs w:val="22"/>
          <w:lang w:eastAsia="en-AU"/>
        </w:rPr>
        <w:t> </w:t>
      </w:r>
      <w:r w:rsidRPr="3FC79A6E">
        <w:rPr>
          <w:color w:val="000000"/>
          <w:sz w:val="22"/>
          <w:szCs w:val="22"/>
          <w:lang w:eastAsia="en-AU"/>
        </w:rPr>
        <w:t>day</w:t>
      </w:r>
      <w:r>
        <w:rPr>
          <w:color w:val="000000"/>
          <w:sz w:val="22"/>
          <w:szCs w:val="22"/>
          <w:vertAlign w:val="superscript"/>
          <w:lang w:eastAsia="en-AU"/>
        </w:rPr>
        <w:t>–</w:t>
      </w:r>
      <w:r w:rsidRPr="3FC79A6E">
        <w:rPr>
          <w:color w:val="000000"/>
          <w:sz w:val="22"/>
          <w:szCs w:val="22"/>
          <w:vertAlign w:val="superscript"/>
          <w:lang w:eastAsia="en-AU"/>
        </w:rPr>
        <w:t>1</w:t>
      </w:r>
      <w:r w:rsidRPr="3FC79A6E">
        <w:rPr>
          <w:color w:val="000000"/>
          <w:sz w:val="22"/>
          <w:szCs w:val="22"/>
          <w:lang w:eastAsia="en-AU"/>
        </w:rPr>
        <w:t xml:space="preserve"> flow limits at Wagga</w:t>
      </w:r>
      <w:r>
        <w:rPr>
          <w:color w:val="000000"/>
          <w:sz w:val="22"/>
          <w:szCs w:val="22"/>
          <w:lang w:eastAsia="en-AU"/>
        </w:rPr>
        <w:t xml:space="preserve"> Wagga</w:t>
      </w:r>
      <w:r w:rsidRPr="3FC79A6E">
        <w:rPr>
          <w:color w:val="000000"/>
          <w:sz w:val="22"/>
          <w:szCs w:val="22"/>
          <w:lang w:eastAsia="en-AU"/>
        </w:rPr>
        <w:t>. The models include the representation of a range of environmental flows</w:t>
      </w:r>
      <w:r>
        <w:rPr>
          <w:color w:val="000000"/>
          <w:sz w:val="22"/>
          <w:szCs w:val="22"/>
          <w:lang w:eastAsia="en-AU"/>
        </w:rPr>
        <w:t>,</w:t>
      </w:r>
      <w:r w:rsidRPr="3FC79A6E">
        <w:rPr>
          <w:color w:val="000000"/>
          <w:sz w:val="22"/>
          <w:szCs w:val="22"/>
          <w:lang w:eastAsia="en-AU"/>
        </w:rPr>
        <w:t xml:space="preserve"> </w:t>
      </w:r>
      <w:r>
        <w:rPr>
          <w:color w:val="000000"/>
          <w:sz w:val="22"/>
          <w:szCs w:val="22"/>
          <w:lang w:eastAsia="en-AU"/>
        </w:rPr>
        <w:t>including</w:t>
      </w:r>
      <w:r w:rsidRPr="3FC79A6E">
        <w:rPr>
          <w:color w:val="000000"/>
          <w:sz w:val="22"/>
          <w:szCs w:val="22"/>
          <w:lang w:eastAsia="en-AU"/>
        </w:rPr>
        <w:t xml:space="preserve"> baseflows</w:t>
      </w:r>
      <w:r>
        <w:rPr>
          <w:color w:val="000000"/>
          <w:sz w:val="22"/>
          <w:szCs w:val="22"/>
          <w:lang w:eastAsia="en-AU"/>
        </w:rPr>
        <w:t>,</w:t>
      </w:r>
      <w:r w:rsidRPr="3FC79A6E">
        <w:rPr>
          <w:color w:val="000000"/>
          <w:sz w:val="22"/>
          <w:szCs w:val="22"/>
          <w:lang w:eastAsia="en-AU"/>
        </w:rPr>
        <w:t xml:space="preserve"> small freshes</w:t>
      </w:r>
      <w:r>
        <w:rPr>
          <w:color w:val="000000"/>
          <w:sz w:val="22"/>
          <w:szCs w:val="22"/>
          <w:lang w:eastAsia="en-AU"/>
        </w:rPr>
        <w:t>,</w:t>
      </w:r>
      <w:r w:rsidRPr="3FC79A6E">
        <w:rPr>
          <w:color w:val="000000"/>
          <w:sz w:val="22"/>
          <w:szCs w:val="22"/>
          <w:lang w:eastAsia="en-AU"/>
        </w:rPr>
        <w:t xml:space="preserve"> large freshes</w:t>
      </w:r>
      <w:r>
        <w:rPr>
          <w:color w:val="000000"/>
          <w:sz w:val="22"/>
          <w:szCs w:val="22"/>
          <w:lang w:eastAsia="en-AU"/>
        </w:rPr>
        <w:t>,</w:t>
      </w:r>
      <w:r w:rsidRPr="3FC79A6E">
        <w:rPr>
          <w:color w:val="000000"/>
          <w:sz w:val="22"/>
          <w:szCs w:val="22"/>
          <w:lang w:eastAsia="en-AU"/>
        </w:rPr>
        <w:t xml:space="preserve"> and small overbank events, up to the flow limits modelled</w:t>
      </w:r>
      <w:r>
        <w:rPr>
          <w:color w:val="000000"/>
          <w:sz w:val="22"/>
          <w:szCs w:val="22"/>
          <w:lang w:eastAsia="en-AU"/>
        </w:rPr>
        <w:t xml:space="preserve">. </w:t>
      </w:r>
      <w:r w:rsidRPr="3FC79A6E">
        <w:rPr>
          <w:color w:val="000000"/>
          <w:sz w:val="22"/>
          <w:szCs w:val="22"/>
          <w:lang w:eastAsia="en-AU"/>
        </w:rPr>
        <w:t>The environmental flows represented in the models reflect the environmental water requirements described in the Murray</w:t>
      </w:r>
      <w:r>
        <w:rPr>
          <w:color w:val="000000"/>
          <w:sz w:val="22"/>
          <w:szCs w:val="22"/>
          <w:lang w:eastAsia="en-AU"/>
        </w:rPr>
        <w:t xml:space="preserve"> – </w:t>
      </w:r>
      <w:r w:rsidRPr="3FC79A6E">
        <w:rPr>
          <w:color w:val="000000"/>
          <w:sz w:val="22"/>
          <w:szCs w:val="22"/>
          <w:lang w:eastAsia="en-AU"/>
        </w:rPr>
        <w:t>Lower</w:t>
      </w:r>
      <w:r>
        <w:rPr>
          <w:color w:val="000000"/>
          <w:sz w:val="22"/>
          <w:szCs w:val="22"/>
          <w:lang w:eastAsia="en-AU"/>
        </w:rPr>
        <w:t xml:space="preserve"> </w:t>
      </w:r>
      <w:r w:rsidRPr="3FC79A6E">
        <w:rPr>
          <w:color w:val="000000"/>
          <w:sz w:val="22"/>
          <w:szCs w:val="22"/>
          <w:lang w:eastAsia="en-AU"/>
        </w:rPr>
        <w:t>Darling</w:t>
      </w:r>
      <w:r>
        <w:rPr>
          <w:color w:val="000000"/>
          <w:sz w:val="22"/>
          <w:szCs w:val="22"/>
          <w:lang w:eastAsia="en-AU"/>
        </w:rPr>
        <w:t xml:space="preserve"> </w:t>
      </w:r>
      <w:r w:rsidRPr="3FC79A6E">
        <w:rPr>
          <w:color w:val="000000"/>
          <w:sz w:val="22"/>
          <w:szCs w:val="22"/>
          <w:lang w:eastAsia="en-AU"/>
        </w:rPr>
        <w:t>and Murrumbidgee Long Term Water Plan</w:t>
      </w:r>
      <w:r>
        <w:rPr>
          <w:color w:val="000000"/>
          <w:sz w:val="22"/>
          <w:szCs w:val="22"/>
          <w:lang w:eastAsia="en-AU"/>
        </w:rPr>
        <w:t>s (DPIE 2020a, b)</w:t>
      </w:r>
      <w:r w:rsidRPr="3FC79A6E">
        <w:rPr>
          <w:color w:val="000000"/>
          <w:sz w:val="22"/>
          <w:szCs w:val="22"/>
          <w:lang w:eastAsia="en-AU"/>
        </w:rPr>
        <w:t xml:space="preserve">. The Murray modelling was a collaboration between </w:t>
      </w:r>
      <w:r>
        <w:rPr>
          <w:color w:val="000000"/>
          <w:sz w:val="22"/>
          <w:szCs w:val="22"/>
          <w:lang w:eastAsia="en-AU"/>
        </w:rPr>
        <w:t xml:space="preserve">the Murray–Darling Basin Authority </w:t>
      </w:r>
      <w:r w:rsidRPr="007E7FCF">
        <w:rPr>
          <w:color w:val="000000"/>
          <w:sz w:val="24"/>
          <w:lang w:eastAsia="en-AU"/>
        </w:rPr>
        <w:t>(</w:t>
      </w:r>
      <w:r w:rsidRPr="007E7FCF">
        <w:rPr>
          <w:sz w:val="22"/>
          <w:szCs w:val="28"/>
        </w:rPr>
        <w:t>MDBA)</w:t>
      </w:r>
      <w:r w:rsidRPr="007E7FCF">
        <w:rPr>
          <w:color w:val="000000"/>
          <w:sz w:val="24"/>
          <w:lang w:eastAsia="en-AU"/>
        </w:rPr>
        <w:t xml:space="preserve"> </w:t>
      </w:r>
      <w:r w:rsidRPr="3FC79A6E">
        <w:rPr>
          <w:color w:val="000000"/>
          <w:sz w:val="22"/>
          <w:szCs w:val="22"/>
          <w:lang w:eastAsia="en-AU"/>
        </w:rPr>
        <w:t xml:space="preserve">and </w:t>
      </w:r>
      <w:r>
        <w:rPr>
          <w:color w:val="000000"/>
          <w:sz w:val="22"/>
          <w:szCs w:val="22"/>
          <w:lang w:eastAsia="en-AU"/>
        </w:rPr>
        <w:t xml:space="preserve">the </w:t>
      </w:r>
      <w:r w:rsidRPr="3FC79A6E">
        <w:rPr>
          <w:color w:val="000000"/>
          <w:sz w:val="22"/>
          <w:szCs w:val="22"/>
          <w:lang w:eastAsia="en-AU"/>
        </w:rPr>
        <w:t xml:space="preserve">NSW </w:t>
      </w:r>
      <w:r>
        <w:rPr>
          <w:color w:val="000000"/>
          <w:sz w:val="22"/>
          <w:szCs w:val="22"/>
          <w:lang w:eastAsia="en-AU"/>
        </w:rPr>
        <w:t>Department of Planning and Environment (</w:t>
      </w:r>
      <w:r w:rsidRPr="3FC79A6E">
        <w:rPr>
          <w:color w:val="000000"/>
          <w:sz w:val="22"/>
          <w:szCs w:val="22"/>
          <w:lang w:eastAsia="en-AU"/>
        </w:rPr>
        <w:t>DPE</w:t>
      </w:r>
      <w:r>
        <w:rPr>
          <w:color w:val="000000"/>
          <w:sz w:val="22"/>
          <w:szCs w:val="22"/>
          <w:lang w:eastAsia="en-AU"/>
        </w:rPr>
        <w:t>)</w:t>
      </w:r>
      <w:r w:rsidRPr="3FC79A6E">
        <w:rPr>
          <w:color w:val="000000"/>
          <w:sz w:val="22"/>
          <w:szCs w:val="22"/>
          <w:lang w:eastAsia="en-AU"/>
        </w:rPr>
        <w:t>, and the Murrumbidgee modelling was undertaken by NSW DPE.</w:t>
      </w:r>
    </w:p>
    <w:p w14:paraId="42B46D92" w14:textId="1255AB7C" w:rsidR="00491210" w:rsidRDefault="00EE200C" w:rsidP="00694B9E">
      <w:pPr>
        <w:spacing w:after="0" w:line="259" w:lineRule="auto"/>
        <w:jc w:val="both"/>
        <w:rPr>
          <w:color w:val="000000"/>
          <w:sz w:val="22"/>
          <w:szCs w:val="22"/>
          <w:lang w:eastAsia="en-AU"/>
        </w:rPr>
      </w:pPr>
      <w:r w:rsidRPr="6C57B116">
        <w:rPr>
          <w:color w:val="000000"/>
          <w:sz w:val="22"/>
          <w:szCs w:val="22"/>
          <w:lang w:eastAsia="en-AU"/>
        </w:rPr>
        <w:t xml:space="preserve">The Murray and Murrumbidgee flow scenarios were integrated, as recommended by </w:t>
      </w:r>
      <w:r>
        <w:rPr>
          <w:color w:val="000000"/>
          <w:sz w:val="22"/>
          <w:szCs w:val="22"/>
          <w:lang w:eastAsia="en-AU"/>
        </w:rPr>
        <w:t xml:space="preserve">the </w:t>
      </w:r>
      <w:r w:rsidRPr="6C57B116">
        <w:rPr>
          <w:color w:val="000000"/>
          <w:sz w:val="22"/>
          <w:szCs w:val="22"/>
          <w:lang w:eastAsia="en-AU"/>
        </w:rPr>
        <w:t xml:space="preserve">NSW Government, </w:t>
      </w:r>
      <w:r>
        <w:rPr>
          <w:color w:val="000000"/>
          <w:sz w:val="22"/>
          <w:szCs w:val="22"/>
          <w:lang w:eastAsia="en-AU"/>
        </w:rPr>
        <w:t xml:space="preserve">and </w:t>
      </w:r>
      <w:r w:rsidRPr="6C57B116">
        <w:rPr>
          <w:color w:val="000000"/>
          <w:sz w:val="22"/>
          <w:szCs w:val="22"/>
          <w:lang w:eastAsia="en-AU"/>
        </w:rPr>
        <w:t xml:space="preserve">are summarised as </w:t>
      </w:r>
      <w:r>
        <w:rPr>
          <w:color w:val="000000"/>
          <w:sz w:val="22"/>
          <w:szCs w:val="22"/>
          <w:lang w:eastAsia="en-AU"/>
        </w:rPr>
        <w:t xml:space="preserve">the </w:t>
      </w:r>
      <w:r w:rsidRPr="6C57B116">
        <w:rPr>
          <w:color w:val="000000"/>
          <w:sz w:val="22"/>
          <w:szCs w:val="22"/>
          <w:lang w:eastAsia="en-AU"/>
        </w:rPr>
        <w:t>Base case</w:t>
      </w:r>
      <w:r>
        <w:rPr>
          <w:color w:val="000000"/>
          <w:sz w:val="22"/>
          <w:szCs w:val="22"/>
          <w:lang w:eastAsia="en-AU"/>
        </w:rPr>
        <w:t xml:space="preserve"> and </w:t>
      </w:r>
      <w:r w:rsidRPr="6C57B116">
        <w:rPr>
          <w:color w:val="000000"/>
          <w:sz w:val="22"/>
          <w:szCs w:val="22"/>
          <w:lang w:eastAsia="en-AU"/>
        </w:rPr>
        <w:t>Option</w:t>
      </w:r>
      <w:r>
        <w:rPr>
          <w:color w:val="000000"/>
          <w:sz w:val="22"/>
          <w:szCs w:val="22"/>
          <w:lang w:eastAsia="en-AU"/>
        </w:rPr>
        <w:t>s</w:t>
      </w:r>
      <w:r w:rsidRPr="6C57B116">
        <w:rPr>
          <w:color w:val="000000"/>
          <w:sz w:val="22"/>
          <w:szCs w:val="22"/>
          <w:lang w:eastAsia="en-AU"/>
        </w:rPr>
        <w:t xml:space="preserve"> </w:t>
      </w:r>
      <w:r>
        <w:rPr>
          <w:color w:val="000000"/>
          <w:sz w:val="22"/>
          <w:szCs w:val="22"/>
          <w:lang w:eastAsia="en-AU"/>
        </w:rPr>
        <w:t>1–</w:t>
      </w:r>
      <w:r w:rsidRPr="6C57B116">
        <w:rPr>
          <w:color w:val="000000"/>
          <w:sz w:val="22"/>
          <w:szCs w:val="22"/>
          <w:lang w:eastAsia="en-AU"/>
        </w:rPr>
        <w:t>4 in Table S1.</w:t>
      </w:r>
    </w:p>
    <w:p w14:paraId="2A8FF404" w14:textId="2F14DFF7" w:rsidR="00491210" w:rsidRDefault="00EE200C">
      <w:pPr>
        <w:spacing w:after="0"/>
      </w:pPr>
      <w:r>
        <w:br w:type="page"/>
      </w:r>
    </w:p>
    <w:p w14:paraId="2CDC1C94" w14:textId="05EF08CC" w:rsidR="00491210" w:rsidRPr="00A253F6" w:rsidRDefault="00EE200C" w:rsidP="00A253F6">
      <w:pPr>
        <w:pStyle w:val="Caption-Table"/>
      </w:pPr>
      <w:bookmarkStart w:id="15" w:name="_Toc116994959"/>
      <w:r>
        <w:lastRenderedPageBreak/>
        <w:t>Table S</w:t>
      </w:r>
      <w:r>
        <w:fldChar w:fldCharType="begin"/>
      </w:r>
      <w:r>
        <w:instrText>SEQ Table_S \* ARABIC</w:instrText>
      </w:r>
      <w:r>
        <w:fldChar w:fldCharType="separate"/>
      </w:r>
      <w:r w:rsidR="005B672A">
        <w:rPr>
          <w:noProof/>
        </w:rPr>
        <w:t>1</w:t>
      </w:r>
      <w:r>
        <w:fldChar w:fldCharType="end"/>
      </w:r>
      <w:r>
        <w:t>. Relaxed-flow-constraints scenarios at indicator gauges within two reaches of the Murray River and within the Murrumbidgee River.</w:t>
      </w:r>
      <w:bookmarkEnd w:id="15"/>
    </w:p>
    <w:tbl>
      <w:tblPr>
        <w:tblStyle w:val="DELWPTable"/>
        <w:tblW w:w="9632" w:type="dxa"/>
        <w:tblLayout w:type="fixed"/>
        <w:tblLook w:val="06A0" w:firstRow="1" w:lastRow="0" w:firstColumn="1" w:lastColumn="0" w:noHBand="1" w:noVBand="1"/>
      </w:tblPr>
      <w:tblGrid>
        <w:gridCol w:w="2408"/>
        <w:gridCol w:w="2408"/>
        <w:gridCol w:w="2408"/>
        <w:gridCol w:w="2408"/>
      </w:tblGrid>
      <w:tr w:rsidR="358D0A8B" w:rsidRPr="000A1CDB" w14:paraId="490064DA" w14:textId="77777777" w:rsidTr="00DA3BFB">
        <w:trPr>
          <w:cnfStyle w:val="100000000000" w:firstRow="1" w:lastRow="0" w:firstColumn="0" w:lastColumn="0" w:oddVBand="0" w:evenVBand="0" w:oddHBand="0" w:evenHBand="0" w:firstRowFirstColumn="0" w:firstRowLastColumn="0" w:lastRowFirstColumn="0" w:lastRowLastColumn="0"/>
        </w:trPr>
        <w:tc>
          <w:tcPr>
            <w:tcW w:w="0" w:type="dxa"/>
          </w:tcPr>
          <w:p w14:paraId="03310612" w14:textId="7CC27DB8" w:rsidR="00491210" w:rsidRPr="00DA3BFB" w:rsidRDefault="00EE200C" w:rsidP="00DA3BFB">
            <w:pPr>
              <w:rPr>
                <w:b/>
                <w:bCs/>
                <w:color w:val="FFFFFF" w:themeColor="background1"/>
                <w:sz w:val="22"/>
                <w:szCs w:val="22"/>
                <w:lang w:eastAsia="en-AU"/>
              </w:rPr>
            </w:pPr>
            <w:r w:rsidRPr="00DA3BFB">
              <w:rPr>
                <w:b/>
                <w:bCs/>
                <w:color w:val="FFFFFF" w:themeColor="background1"/>
                <w:sz w:val="22"/>
                <w:szCs w:val="22"/>
                <w:lang w:eastAsia="en-AU"/>
              </w:rPr>
              <w:t>Modelled flow scenario</w:t>
            </w:r>
          </w:p>
        </w:tc>
        <w:tc>
          <w:tcPr>
            <w:tcW w:w="0" w:type="dxa"/>
          </w:tcPr>
          <w:p w14:paraId="21010D3E" w14:textId="7842C441" w:rsidR="00491210" w:rsidRPr="00DA3BFB" w:rsidRDefault="00EE200C" w:rsidP="00DA3BFB">
            <w:pPr>
              <w:jc w:val="center"/>
              <w:rPr>
                <w:b/>
                <w:bCs/>
                <w:color w:val="FFFFFF" w:themeColor="background1"/>
                <w:sz w:val="22"/>
                <w:szCs w:val="22"/>
                <w:lang w:eastAsia="en-AU"/>
              </w:rPr>
            </w:pPr>
            <w:r w:rsidRPr="00DA3BFB">
              <w:rPr>
                <w:b/>
                <w:bCs/>
                <w:color w:val="FFFFFF" w:themeColor="background1"/>
                <w:sz w:val="22"/>
                <w:szCs w:val="22"/>
                <w:lang w:eastAsia="en-AU"/>
              </w:rPr>
              <w:t>Doctors Point (Albury)</w:t>
            </w:r>
            <w:r w:rsidRPr="00DA3BFB">
              <w:rPr>
                <w:b/>
                <w:bCs/>
                <w:color w:val="FFFFFF" w:themeColor="background1"/>
                <w:sz w:val="22"/>
                <w:szCs w:val="22"/>
                <w:lang w:eastAsia="en-AU"/>
              </w:rPr>
              <w:br/>
              <w:t>(ML day</w:t>
            </w:r>
            <w:r w:rsidRPr="00DA3BFB">
              <w:rPr>
                <w:b/>
                <w:bCs/>
                <w:color w:val="FFFFFF" w:themeColor="background1"/>
                <w:sz w:val="22"/>
                <w:szCs w:val="22"/>
                <w:vertAlign w:val="superscript"/>
                <w:lang w:eastAsia="en-AU"/>
              </w:rPr>
              <w:t>–1</w:t>
            </w:r>
            <w:r w:rsidRPr="00DA3BFB">
              <w:rPr>
                <w:b/>
                <w:bCs/>
                <w:color w:val="FFFFFF" w:themeColor="background1"/>
                <w:sz w:val="22"/>
                <w:szCs w:val="22"/>
                <w:lang w:eastAsia="en-AU"/>
              </w:rPr>
              <w:t>)</w:t>
            </w:r>
          </w:p>
        </w:tc>
        <w:tc>
          <w:tcPr>
            <w:tcW w:w="0" w:type="dxa"/>
          </w:tcPr>
          <w:p w14:paraId="2D9369D9" w14:textId="131F33E6" w:rsidR="00491210" w:rsidRPr="00DA3BFB" w:rsidRDefault="00EE200C" w:rsidP="00DA3BFB">
            <w:pPr>
              <w:jc w:val="center"/>
              <w:rPr>
                <w:b/>
                <w:bCs/>
                <w:color w:val="FFFFFF" w:themeColor="background1"/>
                <w:sz w:val="22"/>
                <w:szCs w:val="22"/>
                <w:lang w:eastAsia="en-AU"/>
              </w:rPr>
            </w:pPr>
            <w:r w:rsidRPr="00DA3BFB">
              <w:rPr>
                <w:b/>
                <w:bCs/>
                <w:color w:val="FFFFFF" w:themeColor="background1"/>
                <w:sz w:val="22"/>
                <w:szCs w:val="22"/>
                <w:lang w:eastAsia="en-AU"/>
              </w:rPr>
              <w:t>Yarrawonga Weir</w:t>
            </w:r>
            <w:r w:rsidRPr="00DA3BFB">
              <w:rPr>
                <w:b/>
                <w:bCs/>
                <w:color w:val="FFFFFF" w:themeColor="background1"/>
                <w:sz w:val="22"/>
                <w:szCs w:val="22"/>
                <w:lang w:eastAsia="en-AU"/>
              </w:rPr>
              <w:br/>
              <w:t>(ML day</w:t>
            </w:r>
            <w:r w:rsidRPr="00DA3BFB">
              <w:rPr>
                <w:b/>
                <w:bCs/>
                <w:color w:val="FFFFFF" w:themeColor="background1"/>
                <w:sz w:val="22"/>
                <w:szCs w:val="22"/>
                <w:vertAlign w:val="superscript"/>
                <w:lang w:eastAsia="en-AU"/>
              </w:rPr>
              <w:t>–1</w:t>
            </w:r>
            <w:r w:rsidRPr="00DA3BFB">
              <w:rPr>
                <w:b/>
                <w:bCs/>
                <w:color w:val="FFFFFF" w:themeColor="background1"/>
                <w:sz w:val="22"/>
                <w:szCs w:val="22"/>
                <w:lang w:eastAsia="en-AU"/>
              </w:rPr>
              <w:t>)</w:t>
            </w:r>
          </w:p>
        </w:tc>
        <w:tc>
          <w:tcPr>
            <w:tcW w:w="0" w:type="dxa"/>
          </w:tcPr>
          <w:p w14:paraId="6F3A871C" w14:textId="17AF695A" w:rsidR="00491210" w:rsidRPr="00DA3BFB" w:rsidRDefault="00EE200C" w:rsidP="00DA3BFB">
            <w:pPr>
              <w:jc w:val="center"/>
              <w:rPr>
                <w:b/>
                <w:bCs/>
                <w:color w:val="FFFFFF" w:themeColor="background1"/>
                <w:sz w:val="22"/>
                <w:szCs w:val="22"/>
                <w:lang w:eastAsia="en-AU"/>
              </w:rPr>
            </w:pPr>
            <w:r w:rsidRPr="00DA3BFB">
              <w:rPr>
                <w:b/>
                <w:bCs/>
                <w:color w:val="FFFFFF" w:themeColor="background1"/>
                <w:sz w:val="22"/>
                <w:szCs w:val="22"/>
                <w:lang w:eastAsia="en-AU"/>
              </w:rPr>
              <w:t>Murrumbidgee (Wagga Wagga)</w:t>
            </w:r>
            <w:r w:rsidRPr="00DA3BFB">
              <w:rPr>
                <w:b/>
                <w:bCs/>
                <w:color w:val="FFFFFF" w:themeColor="background1"/>
                <w:sz w:val="22"/>
                <w:szCs w:val="22"/>
                <w:lang w:eastAsia="en-AU"/>
              </w:rPr>
              <w:br/>
              <w:t>(ML day</w:t>
            </w:r>
            <w:r w:rsidRPr="00DA3BFB">
              <w:rPr>
                <w:b/>
                <w:bCs/>
                <w:color w:val="FFFFFF" w:themeColor="background1"/>
                <w:sz w:val="22"/>
                <w:szCs w:val="22"/>
                <w:vertAlign w:val="superscript"/>
                <w:lang w:eastAsia="en-AU"/>
              </w:rPr>
              <w:t>–1</w:t>
            </w:r>
            <w:r w:rsidRPr="00DA3BFB">
              <w:rPr>
                <w:b/>
                <w:bCs/>
                <w:color w:val="FFFFFF" w:themeColor="background1"/>
                <w:sz w:val="22"/>
                <w:szCs w:val="22"/>
                <w:lang w:eastAsia="en-AU"/>
              </w:rPr>
              <w:t>)</w:t>
            </w:r>
          </w:p>
        </w:tc>
      </w:tr>
      <w:tr w:rsidR="358D0A8B" w14:paraId="26967027" w14:textId="77777777" w:rsidTr="00DA3BFB">
        <w:tc>
          <w:tcPr>
            <w:tcW w:w="0" w:type="dxa"/>
          </w:tcPr>
          <w:p w14:paraId="43C48303" w14:textId="23C8956C" w:rsidR="00491210" w:rsidRDefault="00EE200C" w:rsidP="00DA3BFB">
            <w:pPr>
              <w:rPr>
                <w:color w:val="000000"/>
                <w:sz w:val="22"/>
                <w:szCs w:val="22"/>
                <w:lang w:eastAsia="en-AU"/>
              </w:rPr>
            </w:pPr>
            <w:r>
              <w:rPr>
                <w:color w:val="000000"/>
                <w:sz w:val="22"/>
                <w:szCs w:val="22"/>
                <w:lang w:eastAsia="en-AU"/>
              </w:rPr>
              <w:t>Base case</w:t>
            </w:r>
          </w:p>
        </w:tc>
        <w:tc>
          <w:tcPr>
            <w:tcW w:w="0" w:type="dxa"/>
          </w:tcPr>
          <w:p w14:paraId="0D450644" w14:textId="567F8C5C" w:rsidR="00491210" w:rsidRDefault="00EE200C" w:rsidP="00DA3BFB">
            <w:pPr>
              <w:spacing w:line="259" w:lineRule="auto"/>
              <w:jc w:val="center"/>
              <w:rPr>
                <w:color w:val="000000"/>
                <w:sz w:val="22"/>
                <w:szCs w:val="22"/>
                <w:lang w:eastAsia="en-AU"/>
              </w:rPr>
            </w:pPr>
            <w:r w:rsidRPr="358D0A8B">
              <w:rPr>
                <w:color w:val="000000"/>
                <w:sz w:val="22"/>
                <w:szCs w:val="22"/>
                <w:lang w:eastAsia="en-AU"/>
              </w:rPr>
              <w:t>25,000</w:t>
            </w:r>
          </w:p>
        </w:tc>
        <w:tc>
          <w:tcPr>
            <w:tcW w:w="0" w:type="dxa"/>
          </w:tcPr>
          <w:p w14:paraId="3380BAFA" w14:textId="55A898FE" w:rsidR="00491210" w:rsidRDefault="00EE200C" w:rsidP="00DA3BFB">
            <w:pPr>
              <w:spacing w:line="259" w:lineRule="auto"/>
              <w:jc w:val="center"/>
              <w:rPr>
                <w:color w:val="000000"/>
                <w:sz w:val="22"/>
                <w:szCs w:val="22"/>
                <w:lang w:eastAsia="en-AU"/>
              </w:rPr>
            </w:pPr>
            <w:r w:rsidRPr="358D0A8B">
              <w:rPr>
                <w:color w:val="000000"/>
                <w:sz w:val="22"/>
                <w:szCs w:val="22"/>
                <w:lang w:eastAsia="en-AU"/>
              </w:rPr>
              <w:t>15,000</w:t>
            </w:r>
          </w:p>
        </w:tc>
        <w:tc>
          <w:tcPr>
            <w:tcW w:w="0" w:type="dxa"/>
          </w:tcPr>
          <w:p w14:paraId="77038D93" w14:textId="0E9E06E0" w:rsidR="00491210" w:rsidRDefault="00EE200C" w:rsidP="00DA3BFB">
            <w:pPr>
              <w:spacing w:line="259" w:lineRule="auto"/>
              <w:jc w:val="center"/>
              <w:rPr>
                <w:color w:val="000000"/>
                <w:sz w:val="22"/>
                <w:szCs w:val="22"/>
                <w:lang w:eastAsia="en-AU"/>
              </w:rPr>
            </w:pPr>
            <w:r w:rsidRPr="358D0A8B">
              <w:rPr>
                <w:color w:val="000000"/>
                <w:sz w:val="22"/>
                <w:szCs w:val="22"/>
                <w:lang w:eastAsia="en-AU"/>
              </w:rPr>
              <w:t>22,000</w:t>
            </w:r>
          </w:p>
        </w:tc>
      </w:tr>
      <w:tr w:rsidR="358D0A8B" w14:paraId="47035D51" w14:textId="77777777" w:rsidTr="00DA3BFB">
        <w:tc>
          <w:tcPr>
            <w:tcW w:w="0" w:type="dxa"/>
          </w:tcPr>
          <w:p w14:paraId="61A8FF4A" w14:textId="74EE8035" w:rsidR="00491210" w:rsidRDefault="00EE200C" w:rsidP="00DA3BFB">
            <w:pPr>
              <w:rPr>
                <w:color w:val="000000"/>
                <w:sz w:val="22"/>
                <w:szCs w:val="22"/>
                <w:lang w:eastAsia="en-AU"/>
              </w:rPr>
            </w:pPr>
            <w:r>
              <w:rPr>
                <w:color w:val="000000"/>
                <w:sz w:val="22"/>
                <w:szCs w:val="22"/>
                <w:lang w:eastAsia="en-AU"/>
              </w:rPr>
              <w:t>Option 1</w:t>
            </w:r>
          </w:p>
        </w:tc>
        <w:tc>
          <w:tcPr>
            <w:tcW w:w="0" w:type="dxa"/>
          </w:tcPr>
          <w:p w14:paraId="340A2745" w14:textId="143395E0" w:rsidR="00491210" w:rsidRDefault="00EE200C" w:rsidP="00DA3BFB">
            <w:pPr>
              <w:spacing w:line="259" w:lineRule="auto"/>
              <w:jc w:val="center"/>
              <w:rPr>
                <w:color w:val="000000"/>
                <w:sz w:val="22"/>
                <w:szCs w:val="22"/>
                <w:lang w:eastAsia="en-AU"/>
              </w:rPr>
            </w:pPr>
            <w:r w:rsidRPr="358D0A8B">
              <w:rPr>
                <w:color w:val="000000"/>
                <w:sz w:val="22"/>
                <w:szCs w:val="22"/>
                <w:lang w:eastAsia="en-AU"/>
              </w:rPr>
              <w:t>25,000</w:t>
            </w:r>
          </w:p>
        </w:tc>
        <w:tc>
          <w:tcPr>
            <w:tcW w:w="0" w:type="dxa"/>
          </w:tcPr>
          <w:p w14:paraId="72FEB64E" w14:textId="07F0C5B8" w:rsidR="00491210" w:rsidRDefault="00EE200C" w:rsidP="00DA3BFB">
            <w:pPr>
              <w:spacing w:line="259" w:lineRule="auto"/>
              <w:jc w:val="center"/>
              <w:rPr>
                <w:color w:val="000000"/>
                <w:sz w:val="22"/>
                <w:szCs w:val="22"/>
                <w:lang w:eastAsia="en-AU"/>
              </w:rPr>
            </w:pPr>
            <w:r w:rsidRPr="358D0A8B">
              <w:rPr>
                <w:color w:val="000000"/>
                <w:sz w:val="22"/>
                <w:szCs w:val="22"/>
                <w:lang w:eastAsia="en-AU"/>
              </w:rPr>
              <w:t>25,000</w:t>
            </w:r>
          </w:p>
        </w:tc>
        <w:tc>
          <w:tcPr>
            <w:tcW w:w="0" w:type="dxa"/>
          </w:tcPr>
          <w:p w14:paraId="114865B0" w14:textId="0AFD4945" w:rsidR="00491210" w:rsidRDefault="00EE200C" w:rsidP="00DA3BFB">
            <w:pPr>
              <w:spacing w:line="259" w:lineRule="auto"/>
              <w:jc w:val="center"/>
              <w:rPr>
                <w:color w:val="000000"/>
                <w:sz w:val="22"/>
                <w:szCs w:val="22"/>
                <w:lang w:eastAsia="en-AU"/>
              </w:rPr>
            </w:pPr>
            <w:r>
              <w:rPr>
                <w:color w:val="000000"/>
                <w:sz w:val="22"/>
                <w:szCs w:val="22"/>
                <w:lang w:eastAsia="en-AU"/>
              </w:rPr>
              <w:t>32</w:t>
            </w:r>
            <w:r w:rsidRPr="358D0A8B">
              <w:rPr>
                <w:color w:val="000000"/>
                <w:sz w:val="22"/>
                <w:szCs w:val="22"/>
                <w:lang w:eastAsia="en-AU"/>
              </w:rPr>
              <w:t>,000</w:t>
            </w:r>
          </w:p>
        </w:tc>
      </w:tr>
      <w:tr w:rsidR="358D0A8B" w14:paraId="46884E4E" w14:textId="77777777" w:rsidTr="00DA3BFB">
        <w:tc>
          <w:tcPr>
            <w:tcW w:w="0" w:type="dxa"/>
          </w:tcPr>
          <w:p w14:paraId="55ADF26C" w14:textId="2F1579F6" w:rsidR="00491210" w:rsidRDefault="00EE200C" w:rsidP="00DA3BFB">
            <w:pPr>
              <w:rPr>
                <w:color w:val="000000"/>
                <w:sz w:val="22"/>
                <w:szCs w:val="22"/>
                <w:lang w:eastAsia="en-AU"/>
              </w:rPr>
            </w:pPr>
            <w:r>
              <w:rPr>
                <w:color w:val="000000"/>
                <w:sz w:val="22"/>
                <w:szCs w:val="22"/>
                <w:lang w:eastAsia="en-AU"/>
              </w:rPr>
              <w:t>Option 2</w:t>
            </w:r>
          </w:p>
        </w:tc>
        <w:tc>
          <w:tcPr>
            <w:tcW w:w="0" w:type="dxa"/>
          </w:tcPr>
          <w:p w14:paraId="67C56546" w14:textId="70F4B97B" w:rsidR="00491210" w:rsidRDefault="00EE200C" w:rsidP="00DA3BFB">
            <w:pPr>
              <w:jc w:val="center"/>
              <w:rPr>
                <w:color w:val="000000"/>
                <w:sz w:val="22"/>
                <w:szCs w:val="22"/>
                <w:lang w:eastAsia="en-AU"/>
              </w:rPr>
            </w:pPr>
            <w:r w:rsidRPr="358D0A8B">
              <w:rPr>
                <w:color w:val="000000"/>
                <w:sz w:val="22"/>
                <w:szCs w:val="22"/>
                <w:lang w:eastAsia="en-AU"/>
              </w:rPr>
              <w:t>30,000</w:t>
            </w:r>
          </w:p>
        </w:tc>
        <w:tc>
          <w:tcPr>
            <w:tcW w:w="0" w:type="dxa"/>
          </w:tcPr>
          <w:p w14:paraId="45E2C3EF" w14:textId="35130BAD" w:rsidR="00491210" w:rsidRDefault="00EE200C" w:rsidP="00DA3BFB">
            <w:pPr>
              <w:jc w:val="center"/>
              <w:rPr>
                <w:color w:val="000000"/>
                <w:sz w:val="22"/>
                <w:szCs w:val="22"/>
                <w:lang w:eastAsia="en-AU"/>
              </w:rPr>
            </w:pPr>
            <w:r w:rsidRPr="358D0A8B">
              <w:rPr>
                <w:color w:val="000000"/>
                <w:sz w:val="22"/>
                <w:szCs w:val="22"/>
                <w:lang w:eastAsia="en-AU"/>
              </w:rPr>
              <w:t>30,000</w:t>
            </w:r>
          </w:p>
        </w:tc>
        <w:tc>
          <w:tcPr>
            <w:tcW w:w="0" w:type="dxa"/>
          </w:tcPr>
          <w:p w14:paraId="32D35822" w14:textId="7407A171" w:rsidR="00491210" w:rsidRDefault="00EE200C" w:rsidP="00DA3BFB">
            <w:pPr>
              <w:jc w:val="center"/>
              <w:rPr>
                <w:color w:val="000000"/>
                <w:sz w:val="22"/>
                <w:szCs w:val="22"/>
                <w:lang w:eastAsia="en-AU"/>
              </w:rPr>
            </w:pPr>
            <w:r w:rsidRPr="358D0A8B">
              <w:rPr>
                <w:color w:val="000000"/>
                <w:sz w:val="22"/>
                <w:szCs w:val="22"/>
                <w:lang w:eastAsia="en-AU"/>
              </w:rPr>
              <w:t>3</w:t>
            </w:r>
            <w:r>
              <w:rPr>
                <w:color w:val="000000"/>
                <w:sz w:val="22"/>
                <w:szCs w:val="22"/>
                <w:lang w:eastAsia="en-AU"/>
              </w:rPr>
              <w:t>6</w:t>
            </w:r>
            <w:r w:rsidRPr="358D0A8B">
              <w:rPr>
                <w:color w:val="000000"/>
                <w:sz w:val="22"/>
                <w:szCs w:val="22"/>
                <w:lang w:eastAsia="en-AU"/>
              </w:rPr>
              <w:t>,000</w:t>
            </w:r>
          </w:p>
        </w:tc>
      </w:tr>
      <w:tr w:rsidR="358D0A8B" w14:paraId="2092A542" w14:textId="77777777" w:rsidTr="00DA3BFB">
        <w:tc>
          <w:tcPr>
            <w:tcW w:w="0" w:type="dxa"/>
          </w:tcPr>
          <w:p w14:paraId="3A317F9A" w14:textId="51C2E783" w:rsidR="00491210" w:rsidRDefault="00EE200C" w:rsidP="00DA3BFB">
            <w:pPr>
              <w:rPr>
                <w:color w:val="000000"/>
                <w:sz w:val="22"/>
                <w:szCs w:val="22"/>
                <w:lang w:eastAsia="en-AU"/>
              </w:rPr>
            </w:pPr>
            <w:r>
              <w:rPr>
                <w:color w:val="000000"/>
                <w:sz w:val="22"/>
                <w:szCs w:val="22"/>
                <w:lang w:eastAsia="en-AU"/>
              </w:rPr>
              <w:t>Option 3</w:t>
            </w:r>
          </w:p>
        </w:tc>
        <w:tc>
          <w:tcPr>
            <w:tcW w:w="0" w:type="dxa"/>
          </w:tcPr>
          <w:p w14:paraId="3880AD61" w14:textId="135A4AC2" w:rsidR="00491210" w:rsidRDefault="00EE200C" w:rsidP="00DA3BFB">
            <w:pPr>
              <w:jc w:val="center"/>
              <w:rPr>
                <w:color w:val="000000"/>
                <w:sz w:val="22"/>
                <w:szCs w:val="22"/>
                <w:lang w:eastAsia="en-AU"/>
              </w:rPr>
            </w:pPr>
            <w:r w:rsidRPr="358D0A8B">
              <w:rPr>
                <w:color w:val="000000"/>
                <w:sz w:val="22"/>
                <w:szCs w:val="22"/>
                <w:lang w:eastAsia="en-AU"/>
              </w:rPr>
              <w:t>40,000</w:t>
            </w:r>
          </w:p>
        </w:tc>
        <w:tc>
          <w:tcPr>
            <w:tcW w:w="0" w:type="dxa"/>
          </w:tcPr>
          <w:p w14:paraId="3104BC68" w14:textId="48745073" w:rsidR="00491210" w:rsidRDefault="00EE200C" w:rsidP="00DA3BFB">
            <w:pPr>
              <w:jc w:val="center"/>
              <w:rPr>
                <w:color w:val="000000"/>
                <w:sz w:val="22"/>
                <w:szCs w:val="22"/>
                <w:lang w:eastAsia="en-AU"/>
              </w:rPr>
            </w:pPr>
            <w:r w:rsidRPr="358D0A8B">
              <w:rPr>
                <w:color w:val="000000"/>
                <w:sz w:val="22"/>
                <w:szCs w:val="22"/>
                <w:lang w:eastAsia="en-AU"/>
              </w:rPr>
              <w:t>40,000</w:t>
            </w:r>
          </w:p>
        </w:tc>
        <w:tc>
          <w:tcPr>
            <w:tcW w:w="0" w:type="dxa"/>
          </w:tcPr>
          <w:p w14:paraId="206A3154" w14:textId="29709722" w:rsidR="00491210" w:rsidRDefault="00EE200C" w:rsidP="00DA3BFB">
            <w:pPr>
              <w:jc w:val="center"/>
              <w:rPr>
                <w:color w:val="000000"/>
                <w:sz w:val="22"/>
                <w:szCs w:val="22"/>
                <w:lang w:eastAsia="en-AU"/>
              </w:rPr>
            </w:pPr>
            <w:r w:rsidRPr="358D0A8B">
              <w:rPr>
                <w:color w:val="000000"/>
                <w:sz w:val="22"/>
                <w:szCs w:val="22"/>
                <w:lang w:eastAsia="en-AU"/>
              </w:rPr>
              <w:t>40,000</w:t>
            </w:r>
          </w:p>
        </w:tc>
      </w:tr>
      <w:tr w:rsidR="358D0A8B" w14:paraId="2B7C0B9B" w14:textId="77777777" w:rsidTr="00DA3BFB">
        <w:tc>
          <w:tcPr>
            <w:tcW w:w="0" w:type="dxa"/>
          </w:tcPr>
          <w:p w14:paraId="14D02A0C" w14:textId="1DE54337" w:rsidR="00491210" w:rsidRDefault="00EE200C" w:rsidP="00DA3BFB">
            <w:pPr>
              <w:rPr>
                <w:color w:val="000000"/>
                <w:sz w:val="22"/>
                <w:szCs w:val="22"/>
                <w:lang w:eastAsia="en-AU"/>
              </w:rPr>
            </w:pPr>
            <w:r>
              <w:rPr>
                <w:color w:val="000000"/>
                <w:sz w:val="22"/>
                <w:szCs w:val="22"/>
                <w:lang w:eastAsia="en-AU"/>
              </w:rPr>
              <w:t>Option 4</w:t>
            </w:r>
          </w:p>
        </w:tc>
        <w:tc>
          <w:tcPr>
            <w:tcW w:w="0" w:type="dxa"/>
          </w:tcPr>
          <w:p w14:paraId="0BA16F7F" w14:textId="62A526BE" w:rsidR="00491210" w:rsidRDefault="00EE200C" w:rsidP="00DA3BFB">
            <w:pPr>
              <w:jc w:val="center"/>
              <w:rPr>
                <w:color w:val="000000"/>
                <w:sz w:val="22"/>
                <w:szCs w:val="22"/>
                <w:lang w:eastAsia="en-AU"/>
              </w:rPr>
            </w:pPr>
            <w:r w:rsidRPr="358D0A8B">
              <w:rPr>
                <w:color w:val="000000"/>
                <w:sz w:val="22"/>
                <w:szCs w:val="22"/>
                <w:lang w:eastAsia="en-AU"/>
              </w:rPr>
              <w:t>40,000</w:t>
            </w:r>
          </w:p>
        </w:tc>
        <w:tc>
          <w:tcPr>
            <w:tcW w:w="0" w:type="dxa"/>
          </w:tcPr>
          <w:p w14:paraId="10DEF520" w14:textId="248167D5" w:rsidR="00491210" w:rsidRDefault="00EE200C" w:rsidP="00DA3BFB">
            <w:pPr>
              <w:jc w:val="center"/>
              <w:rPr>
                <w:color w:val="000000"/>
                <w:sz w:val="22"/>
                <w:szCs w:val="22"/>
                <w:lang w:eastAsia="en-AU"/>
              </w:rPr>
            </w:pPr>
            <w:r w:rsidRPr="358D0A8B">
              <w:rPr>
                <w:color w:val="000000"/>
                <w:sz w:val="22"/>
                <w:szCs w:val="22"/>
                <w:lang w:eastAsia="en-AU"/>
              </w:rPr>
              <w:t>45,000</w:t>
            </w:r>
          </w:p>
        </w:tc>
        <w:tc>
          <w:tcPr>
            <w:tcW w:w="0" w:type="dxa"/>
          </w:tcPr>
          <w:p w14:paraId="2203AE73" w14:textId="08AB77C2" w:rsidR="00491210" w:rsidRDefault="00EE200C" w:rsidP="00DA3BFB">
            <w:pPr>
              <w:jc w:val="center"/>
              <w:rPr>
                <w:color w:val="000000"/>
                <w:sz w:val="22"/>
                <w:szCs w:val="22"/>
                <w:lang w:eastAsia="en-AU"/>
              </w:rPr>
            </w:pPr>
            <w:r w:rsidRPr="358D0A8B">
              <w:rPr>
                <w:color w:val="000000"/>
                <w:sz w:val="22"/>
                <w:szCs w:val="22"/>
                <w:lang w:eastAsia="en-AU"/>
              </w:rPr>
              <w:t>40,000</w:t>
            </w:r>
          </w:p>
        </w:tc>
      </w:tr>
    </w:tbl>
    <w:p w14:paraId="16963138" w14:textId="53B9CE99" w:rsidR="00491210" w:rsidRDefault="00491210" w:rsidP="2D74987C">
      <w:pPr>
        <w:spacing w:after="0" w:line="259" w:lineRule="auto"/>
        <w:jc w:val="both"/>
        <w:rPr>
          <w:color w:val="000000"/>
          <w:sz w:val="22"/>
          <w:szCs w:val="22"/>
          <w:vertAlign w:val="superscript"/>
          <w:lang w:eastAsia="en-AU"/>
        </w:rPr>
      </w:pPr>
    </w:p>
    <w:p w14:paraId="5D189FB7" w14:textId="7B6FA8D1" w:rsidR="00491210" w:rsidRDefault="00EE200C" w:rsidP="38AC6F21">
      <w:pPr>
        <w:spacing w:after="0" w:line="259" w:lineRule="auto"/>
        <w:jc w:val="both"/>
        <w:rPr>
          <w:sz w:val="22"/>
          <w:szCs w:val="22"/>
        </w:rPr>
      </w:pPr>
      <w:r w:rsidRPr="11D6FEB3">
        <w:rPr>
          <w:color w:val="000000"/>
          <w:sz w:val="22"/>
          <w:szCs w:val="22"/>
          <w:lang w:eastAsia="en-AU"/>
        </w:rPr>
        <w:t xml:space="preserve">Population model outputs were generated for: (i) </w:t>
      </w:r>
      <w:r>
        <w:rPr>
          <w:color w:val="000000"/>
          <w:sz w:val="22"/>
          <w:szCs w:val="22"/>
          <w:lang w:eastAsia="en-AU"/>
        </w:rPr>
        <w:t xml:space="preserve">the </w:t>
      </w:r>
      <w:r w:rsidRPr="11D6FEB3">
        <w:rPr>
          <w:color w:val="000000"/>
          <w:sz w:val="22"/>
          <w:szCs w:val="22"/>
          <w:lang w:eastAsia="en-AU"/>
        </w:rPr>
        <w:t xml:space="preserve">total population size for Golden Perch and Murray Cod for all </w:t>
      </w:r>
      <w:r>
        <w:rPr>
          <w:color w:val="000000"/>
          <w:sz w:val="22"/>
          <w:szCs w:val="22"/>
          <w:lang w:eastAsia="en-AU"/>
        </w:rPr>
        <w:t>modelled reaches</w:t>
      </w:r>
      <w:r w:rsidRPr="11D6FEB3">
        <w:rPr>
          <w:color w:val="000000"/>
          <w:sz w:val="22"/>
          <w:szCs w:val="22"/>
          <w:lang w:eastAsia="en-AU"/>
        </w:rPr>
        <w:t xml:space="preserve"> </w:t>
      </w:r>
      <w:r>
        <w:rPr>
          <w:color w:val="000000"/>
          <w:sz w:val="22"/>
          <w:szCs w:val="22"/>
          <w:lang w:eastAsia="en-AU"/>
        </w:rPr>
        <w:t>within the Total RRCP Populations (Total Murray to Wentworth and Total Murrumbidgee) under each</w:t>
      </w:r>
      <w:r w:rsidRPr="11D6FEB3">
        <w:rPr>
          <w:color w:val="000000"/>
          <w:sz w:val="22"/>
          <w:szCs w:val="22"/>
          <w:lang w:eastAsia="en-AU"/>
        </w:rPr>
        <w:t xml:space="preserve"> RRCP flow scenario, (ii)</w:t>
      </w:r>
      <w:r>
        <w:rPr>
          <w:color w:val="000000"/>
          <w:sz w:val="22"/>
          <w:szCs w:val="22"/>
          <w:lang w:eastAsia="en-AU"/>
        </w:rPr>
        <w:t xml:space="preserve"> the</w:t>
      </w:r>
      <w:r w:rsidRPr="11D6FEB3">
        <w:rPr>
          <w:color w:val="000000"/>
          <w:sz w:val="22"/>
          <w:szCs w:val="22"/>
          <w:lang w:eastAsia="en-AU"/>
        </w:rPr>
        <w:t xml:space="preserve"> total adult</w:t>
      </w:r>
      <w:r>
        <w:rPr>
          <w:color w:val="000000"/>
          <w:sz w:val="22"/>
          <w:szCs w:val="22"/>
          <w:lang w:eastAsia="en-AU"/>
        </w:rPr>
        <w:t xml:space="preserve"> population size</w:t>
      </w:r>
      <w:r w:rsidRPr="11D6FEB3">
        <w:rPr>
          <w:color w:val="000000"/>
          <w:sz w:val="22"/>
          <w:szCs w:val="22"/>
          <w:lang w:eastAsia="en-AU"/>
        </w:rPr>
        <w:t xml:space="preserve"> and </w:t>
      </w:r>
      <w:r>
        <w:rPr>
          <w:color w:val="000000"/>
          <w:sz w:val="22"/>
          <w:szCs w:val="22"/>
          <w:lang w:eastAsia="en-AU"/>
        </w:rPr>
        <w:t xml:space="preserve">recruit (1-year-old) </w:t>
      </w:r>
      <w:r w:rsidRPr="11D6FEB3">
        <w:rPr>
          <w:color w:val="000000"/>
          <w:sz w:val="22"/>
          <w:szCs w:val="22"/>
          <w:lang w:eastAsia="en-AU"/>
        </w:rPr>
        <w:t xml:space="preserve">population size for each species </w:t>
      </w:r>
      <w:r>
        <w:rPr>
          <w:color w:val="000000"/>
          <w:sz w:val="22"/>
          <w:szCs w:val="22"/>
          <w:lang w:eastAsia="en-AU"/>
        </w:rPr>
        <w:t>for</w:t>
      </w:r>
      <w:r w:rsidRPr="11D6FEB3">
        <w:rPr>
          <w:color w:val="000000"/>
          <w:sz w:val="22"/>
          <w:szCs w:val="22"/>
          <w:lang w:eastAsia="en-AU"/>
        </w:rPr>
        <w:t xml:space="preserve"> </w:t>
      </w:r>
      <w:r>
        <w:rPr>
          <w:color w:val="000000"/>
          <w:sz w:val="22"/>
          <w:szCs w:val="22"/>
          <w:lang w:eastAsia="en-AU"/>
        </w:rPr>
        <w:t>all</w:t>
      </w:r>
      <w:r w:rsidRPr="11D6FEB3">
        <w:rPr>
          <w:color w:val="000000"/>
          <w:sz w:val="22"/>
          <w:szCs w:val="22"/>
          <w:lang w:eastAsia="en-AU"/>
        </w:rPr>
        <w:t xml:space="preserve"> </w:t>
      </w:r>
      <w:r>
        <w:rPr>
          <w:color w:val="000000"/>
          <w:sz w:val="22"/>
          <w:szCs w:val="22"/>
          <w:lang w:eastAsia="en-AU"/>
        </w:rPr>
        <w:t>modelled reaches that cover the RRCP focal zones</w:t>
      </w:r>
      <w:r w:rsidRPr="11D6FEB3">
        <w:rPr>
          <w:color w:val="000000"/>
          <w:sz w:val="22"/>
          <w:szCs w:val="22"/>
          <w:lang w:eastAsia="en-AU"/>
        </w:rPr>
        <w:t xml:space="preserve"> under </w:t>
      </w:r>
      <w:r>
        <w:rPr>
          <w:color w:val="000000"/>
          <w:sz w:val="22"/>
          <w:szCs w:val="22"/>
          <w:lang w:eastAsia="en-AU"/>
        </w:rPr>
        <w:t xml:space="preserve">the various </w:t>
      </w:r>
      <w:r w:rsidRPr="11D6FEB3">
        <w:rPr>
          <w:color w:val="000000"/>
          <w:sz w:val="22"/>
          <w:szCs w:val="22"/>
          <w:lang w:eastAsia="en-AU"/>
        </w:rPr>
        <w:t xml:space="preserve">RRCP </w:t>
      </w:r>
      <w:r>
        <w:rPr>
          <w:color w:val="000000"/>
          <w:sz w:val="22"/>
          <w:szCs w:val="22"/>
          <w:lang w:eastAsia="en-AU"/>
        </w:rPr>
        <w:t xml:space="preserve">flow </w:t>
      </w:r>
      <w:r w:rsidRPr="11D6FEB3">
        <w:rPr>
          <w:color w:val="000000"/>
          <w:sz w:val="22"/>
          <w:szCs w:val="22"/>
          <w:lang w:eastAsia="en-AU"/>
        </w:rPr>
        <w:t>scenario</w:t>
      </w:r>
      <w:r>
        <w:rPr>
          <w:color w:val="000000"/>
          <w:sz w:val="22"/>
          <w:szCs w:val="22"/>
          <w:lang w:eastAsia="en-AU"/>
        </w:rPr>
        <w:t>s</w:t>
      </w:r>
      <w:r w:rsidRPr="11D6FEB3">
        <w:rPr>
          <w:color w:val="000000"/>
          <w:sz w:val="22"/>
          <w:szCs w:val="22"/>
          <w:lang w:eastAsia="en-AU"/>
        </w:rPr>
        <w:t xml:space="preserve">, (iii) plots of distributions of the mean population sizes and (iv) </w:t>
      </w:r>
      <w:r>
        <w:rPr>
          <w:color w:val="000000"/>
          <w:sz w:val="22"/>
          <w:szCs w:val="22"/>
          <w:lang w:eastAsia="en-AU"/>
        </w:rPr>
        <w:t xml:space="preserve">the </w:t>
      </w:r>
      <w:r w:rsidRPr="11D6FEB3">
        <w:rPr>
          <w:color w:val="000000"/>
          <w:sz w:val="22"/>
          <w:szCs w:val="22"/>
          <w:lang w:eastAsia="en-AU"/>
        </w:rPr>
        <w:t xml:space="preserve">expected mean population size </w:t>
      </w:r>
      <w:r>
        <w:rPr>
          <w:color w:val="000000"/>
          <w:sz w:val="22"/>
          <w:szCs w:val="22"/>
          <w:lang w:eastAsia="en-AU"/>
        </w:rPr>
        <w:t xml:space="preserve">(presented as </w:t>
      </w:r>
      <w:r w:rsidRPr="11D6FEB3">
        <w:rPr>
          <w:color w:val="000000"/>
          <w:sz w:val="22"/>
          <w:szCs w:val="22"/>
          <w:lang w:eastAsia="en-AU"/>
        </w:rPr>
        <w:t>bar plots</w:t>
      </w:r>
      <w:r>
        <w:rPr>
          <w:color w:val="000000"/>
          <w:sz w:val="22"/>
          <w:szCs w:val="22"/>
          <w:lang w:eastAsia="en-AU"/>
        </w:rPr>
        <w:t>)</w:t>
      </w:r>
      <w:r w:rsidRPr="11D6FEB3">
        <w:rPr>
          <w:color w:val="000000"/>
          <w:sz w:val="22"/>
          <w:szCs w:val="22"/>
          <w:lang w:eastAsia="en-AU"/>
        </w:rPr>
        <w:t xml:space="preserve"> for each species</w:t>
      </w:r>
      <w:r>
        <w:rPr>
          <w:color w:val="000000"/>
          <w:sz w:val="22"/>
          <w:szCs w:val="22"/>
          <w:lang w:eastAsia="en-AU"/>
        </w:rPr>
        <w:t>,</w:t>
      </w:r>
      <w:r w:rsidRPr="11D6FEB3">
        <w:rPr>
          <w:color w:val="000000"/>
          <w:sz w:val="22"/>
          <w:szCs w:val="22"/>
          <w:lang w:eastAsia="en-AU"/>
        </w:rPr>
        <w:t xml:space="preserve"> at </w:t>
      </w:r>
      <w:r>
        <w:rPr>
          <w:color w:val="000000"/>
          <w:sz w:val="22"/>
          <w:szCs w:val="22"/>
          <w:lang w:eastAsia="en-AU"/>
        </w:rPr>
        <w:t xml:space="preserve">a </w:t>
      </w:r>
      <w:r w:rsidRPr="11D6FEB3">
        <w:rPr>
          <w:color w:val="000000"/>
          <w:sz w:val="22"/>
          <w:szCs w:val="22"/>
          <w:lang w:eastAsia="en-AU"/>
        </w:rPr>
        <w:t>broad</w:t>
      </w:r>
      <w:r>
        <w:rPr>
          <w:color w:val="000000"/>
          <w:sz w:val="22"/>
          <w:szCs w:val="22"/>
          <w:lang w:eastAsia="en-AU"/>
        </w:rPr>
        <w:t xml:space="preserve"> </w:t>
      </w:r>
      <w:r w:rsidRPr="11D6FEB3">
        <w:rPr>
          <w:color w:val="000000"/>
          <w:sz w:val="22"/>
          <w:szCs w:val="22"/>
          <w:lang w:eastAsia="en-AU"/>
        </w:rPr>
        <w:t>spatial scale as well as for each</w:t>
      </w:r>
      <w:r>
        <w:rPr>
          <w:color w:val="000000"/>
          <w:sz w:val="22"/>
          <w:szCs w:val="22"/>
          <w:lang w:eastAsia="en-AU"/>
        </w:rPr>
        <w:t xml:space="preserve"> modelled reach</w:t>
      </w:r>
      <w:r w:rsidRPr="006C000B">
        <w:rPr>
          <w:color w:val="000000"/>
          <w:sz w:val="22"/>
          <w:szCs w:val="22"/>
          <w:lang w:eastAsia="en-AU"/>
        </w:rPr>
        <w:t xml:space="preserve"> </w:t>
      </w:r>
      <w:r>
        <w:rPr>
          <w:color w:val="000000"/>
          <w:sz w:val="22"/>
          <w:szCs w:val="22"/>
          <w:lang w:eastAsia="en-AU"/>
        </w:rPr>
        <w:t>that covers the RRCP focal zones</w:t>
      </w:r>
      <w:r w:rsidRPr="11D6FEB3">
        <w:rPr>
          <w:color w:val="000000"/>
          <w:sz w:val="22"/>
          <w:szCs w:val="22"/>
          <w:lang w:eastAsia="en-AU"/>
        </w:rPr>
        <w:t xml:space="preserve">. The expected mean population size and </w:t>
      </w:r>
      <w:r>
        <w:rPr>
          <w:color w:val="000000"/>
          <w:sz w:val="22"/>
          <w:szCs w:val="22"/>
          <w:lang w:eastAsia="en-AU"/>
        </w:rPr>
        <w:t xml:space="preserve">the expected </w:t>
      </w:r>
      <w:r w:rsidRPr="11D6FEB3">
        <w:rPr>
          <w:color w:val="000000"/>
          <w:sz w:val="22"/>
          <w:szCs w:val="22"/>
          <w:lang w:eastAsia="en-AU"/>
        </w:rPr>
        <w:t xml:space="preserve">trajectories of </w:t>
      </w:r>
      <w:r>
        <w:rPr>
          <w:color w:val="000000"/>
          <w:sz w:val="22"/>
          <w:szCs w:val="22"/>
          <w:lang w:eastAsia="en-AU"/>
        </w:rPr>
        <w:t xml:space="preserve">the </w:t>
      </w:r>
      <w:r w:rsidRPr="11D6FEB3">
        <w:rPr>
          <w:color w:val="000000"/>
          <w:sz w:val="22"/>
          <w:szCs w:val="22"/>
          <w:lang w:eastAsia="en-AU"/>
        </w:rPr>
        <w:t xml:space="preserve">mean population size </w:t>
      </w:r>
      <w:r>
        <w:rPr>
          <w:color w:val="000000"/>
          <w:sz w:val="22"/>
          <w:szCs w:val="22"/>
          <w:lang w:eastAsia="en-AU"/>
        </w:rPr>
        <w:t>we</w:t>
      </w:r>
      <w:r w:rsidRPr="11D6FEB3">
        <w:rPr>
          <w:color w:val="000000"/>
          <w:sz w:val="22"/>
          <w:szCs w:val="22"/>
          <w:lang w:eastAsia="en-AU"/>
        </w:rPr>
        <w:t xml:space="preserve">re </w:t>
      </w:r>
      <w:r>
        <w:rPr>
          <w:color w:val="000000"/>
          <w:sz w:val="22"/>
          <w:szCs w:val="22"/>
          <w:lang w:eastAsia="en-AU"/>
        </w:rPr>
        <w:t xml:space="preserve">the summary results used to </w:t>
      </w:r>
      <w:r w:rsidRPr="11D6FEB3">
        <w:rPr>
          <w:color w:val="000000"/>
          <w:sz w:val="22"/>
          <w:szCs w:val="22"/>
          <w:lang w:eastAsia="en-AU"/>
        </w:rPr>
        <w:t>compar</w:t>
      </w:r>
      <w:r>
        <w:rPr>
          <w:color w:val="000000"/>
          <w:sz w:val="22"/>
          <w:szCs w:val="22"/>
          <w:lang w:eastAsia="en-AU"/>
        </w:rPr>
        <w:t>e</w:t>
      </w:r>
      <w:r w:rsidRPr="11D6FEB3">
        <w:rPr>
          <w:color w:val="000000"/>
          <w:sz w:val="22"/>
          <w:szCs w:val="22"/>
          <w:lang w:eastAsia="en-AU"/>
        </w:rPr>
        <w:t xml:space="preserve"> </w:t>
      </w:r>
      <w:r>
        <w:rPr>
          <w:color w:val="000000"/>
          <w:sz w:val="22"/>
          <w:szCs w:val="22"/>
          <w:lang w:eastAsia="en-AU"/>
        </w:rPr>
        <w:t>the various</w:t>
      </w:r>
      <w:r w:rsidRPr="11D6FEB3">
        <w:rPr>
          <w:color w:val="000000"/>
          <w:sz w:val="22"/>
          <w:szCs w:val="22"/>
          <w:lang w:eastAsia="en-AU"/>
        </w:rPr>
        <w:t xml:space="preserve"> modelled scenarios. </w:t>
      </w:r>
      <w:r w:rsidRPr="11D6FEB3">
        <w:rPr>
          <w:sz w:val="22"/>
          <w:szCs w:val="22"/>
        </w:rPr>
        <w:t xml:space="preserve">The models </w:t>
      </w:r>
      <w:r>
        <w:rPr>
          <w:sz w:val="22"/>
          <w:szCs w:val="22"/>
        </w:rPr>
        <w:t>were run over</w:t>
      </w:r>
      <w:r w:rsidRPr="11D6FEB3">
        <w:rPr>
          <w:sz w:val="22"/>
          <w:szCs w:val="22"/>
        </w:rPr>
        <w:t xml:space="preserve"> &gt;120</w:t>
      </w:r>
      <w:r>
        <w:rPr>
          <w:sz w:val="22"/>
          <w:szCs w:val="22"/>
        </w:rPr>
        <w:t> </w:t>
      </w:r>
      <w:r w:rsidRPr="11D6FEB3">
        <w:rPr>
          <w:sz w:val="22"/>
          <w:szCs w:val="22"/>
        </w:rPr>
        <w:t>years of modelled hydrological and temperature data from 1896</w:t>
      </w:r>
      <w:r>
        <w:rPr>
          <w:sz w:val="22"/>
          <w:szCs w:val="22"/>
        </w:rPr>
        <w:t xml:space="preserve"> to </w:t>
      </w:r>
      <w:r w:rsidRPr="11D6FEB3">
        <w:rPr>
          <w:sz w:val="22"/>
          <w:szCs w:val="22"/>
        </w:rPr>
        <w:t xml:space="preserve">2019. These data were assessed for their effects on elements of the life history </w:t>
      </w:r>
      <w:r>
        <w:rPr>
          <w:sz w:val="22"/>
          <w:szCs w:val="22"/>
        </w:rPr>
        <w:t xml:space="preserve">of each species </w:t>
      </w:r>
      <w:r w:rsidRPr="11D6FEB3">
        <w:rPr>
          <w:sz w:val="22"/>
          <w:szCs w:val="22"/>
        </w:rPr>
        <w:t>(</w:t>
      </w:r>
      <w:r>
        <w:rPr>
          <w:sz w:val="22"/>
          <w:szCs w:val="22"/>
        </w:rPr>
        <w:t>e.g.</w:t>
      </w:r>
      <w:r w:rsidRPr="11D6FEB3">
        <w:rPr>
          <w:sz w:val="22"/>
          <w:szCs w:val="22"/>
        </w:rPr>
        <w:t xml:space="preserve"> spawning triggers and movement cues), including </w:t>
      </w:r>
      <w:r>
        <w:rPr>
          <w:sz w:val="22"/>
          <w:szCs w:val="22"/>
        </w:rPr>
        <w:t xml:space="preserve">the effects of </w:t>
      </w:r>
      <w:r w:rsidRPr="008A1967">
        <w:rPr>
          <w:sz w:val="22"/>
          <w:szCs w:val="22"/>
        </w:rPr>
        <w:t>hypoxic</w:t>
      </w:r>
      <w:r w:rsidRPr="11D6FEB3">
        <w:rPr>
          <w:sz w:val="22"/>
          <w:szCs w:val="22"/>
        </w:rPr>
        <w:t xml:space="preserve"> blackwater events on Murray Cod, </w:t>
      </w:r>
      <w:r>
        <w:rPr>
          <w:sz w:val="22"/>
          <w:szCs w:val="22"/>
        </w:rPr>
        <w:t>in the process developing</w:t>
      </w:r>
      <w:r w:rsidRPr="11D6FEB3">
        <w:rPr>
          <w:sz w:val="22"/>
          <w:szCs w:val="22"/>
        </w:rPr>
        <w:t xml:space="preserve"> a powerful tool </w:t>
      </w:r>
      <w:r>
        <w:rPr>
          <w:sz w:val="22"/>
          <w:szCs w:val="22"/>
        </w:rPr>
        <w:t>for</w:t>
      </w:r>
      <w:r w:rsidRPr="11D6FEB3">
        <w:rPr>
          <w:sz w:val="22"/>
          <w:szCs w:val="22"/>
        </w:rPr>
        <w:t xml:space="preserve"> predict</w:t>
      </w:r>
      <w:r>
        <w:rPr>
          <w:sz w:val="22"/>
          <w:szCs w:val="22"/>
        </w:rPr>
        <w:t>ing</w:t>
      </w:r>
      <w:r w:rsidRPr="11D6FEB3">
        <w:rPr>
          <w:sz w:val="22"/>
          <w:szCs w:val="22"/>
        </w:rPr>
        <w:t xml:space="preserve"> the effects of </w:t>
      </w:r>
      <w:r>
        <w:rPr>
          <w:sz w:val="22"/>
          <w:szCs w:val="22"/>
        </w:rPr>
        <w:t xml:space="preserve">the </w:t>
      </w:r>
      <w:r w:rsidRPr="11D6FEB3">
        <w:rPr>
          <w:sz w:val="22"/>
          <w:szCs w:val="22"/>
        </w:rPr>
        <w:t>relax</w:t>
      </w:r>
      <w:r>
        <w:rPr>
          <w:sz w:val="22"/>
          <w:szCs w:val="22"/>
        </w:rPr>
        <w:t>ed-flow-</w:t>
      </w:r>
      <w:r w:rsidRPr="11D6FEB3">
        <w:rPr>
          <w:sz w:val="22"/>
          <w:szCs w:val="22"/>
        </w:rPr>
        <w:t>constraints scenarios examined by the RRCP on fish population dynami</w:t>
      </w:r>
      <w:r>
        <w:rPr>
          <w:sz w:val="22"/>
          <w:szCs w:val="22"/>
        </w:rPr>
        <w:t>cs</w:t>
      </w:r>
      <w:r w:rsidRPr="11D6FEB3">
        <w:rPr>
          <w:sz w:val="22"/>
          <w:szCs w:val="22"/>
        </w:rPr>
        <w:t>.</w:t>
      </w:r>
    </w:p>
    <w:p w14:paraId="1E9A344E" w14:textId="0FDBFA88" w:rsidR="00491210" w:rsidRPr="00D01961" w:rsidRDefault="00EE200C" w:rsidP="005F1F7F">
      <w:pPr>
        <w:pStyle w:val="StyleHeading3Before18pt"/>
      </w:pPr>
      <w:r w:rsidRPr="00D01961">
        <w:t>Main messages</w:t>
      </w:r>
    </w:p>
    <w:p w14:paraId="0F98E3A8" w14:textId="3043DDF3" w:rsidR="00491210" w:rsidRDefault="00EE200C" w:rsidP="001E6A11">
      <w:pPr>
        <w:pStyle w:val="paragraph"/>
        <w:keepNext/>
        <w:keepLines/>
        <w:spacing w:line="259" w:lineRule="auto"/>
        <w:jc w:val="both"/>
        <w:textAlignment w:val="baseline"/>
        <w:rPr>
          <w:color w:val="000000"/>
        </w:rPr>
      </w:pPr>
      <w:r w:rsidRPr="05D19AF3">
        <w:rPr>
          <w:rFonts w:ascii="Arial" w:eastAsia="Times New Roman" w:hAnsi="Arial" w:cs="Arial"/>
          <w:color w:val="000000"/>
        </w:rPr>
        <w:t xml:space="preserve">The population modelling predicted </w:t>
      </w:r>
      <w:r>
        <w:rPr>
          <w:rFonts w:ascii="Arial" w:eastAsia="Times New Roman" w:hAnsi="Arial" w:cs="Arial"/>
          <w:color w:val="000000"/>
        </w:rPr>
        <w:t>significant</w:t>
      </w:r>
      <w:r w:rsidRPr="05D19AF3">
        <w:rPr>
          <w:rFonts w:ascii="Arial" w:eastAsia="Times New Roman" w:hAnsi="Arial" w:cs="Arial"/>
          <w:color w:val="000000"/>
        </w:rPr>
        <w:t xml:space="preserve"> benefits to Golden Perch populations (</w:t>
      </w:r>
      <w:r>
        <w:rPr>
          <w:rFonts w:ascii="Arial" w:eastAsia="Times New Roman" w:hAnsi="Arial" w:cs="Arial"/>
          <w:color w:val="000000"/>
        </w:rPr>
        <w:t xml:space="preserve">up to an </w:t>
      </w:r>
      <w:r w:rsidRPr="05D19AF3">
        <w:rPr>
          <w:rFonts w:ascii="Arial" w:eastAsia="Times New Roman" w:hAnsi="Arial" w:cs="Arial"/>
          <w:color w:val="000000"/>
        </w:rPr>
        <w:t>average 3</w:t>
      </w:r>
      <w:r>
        <w:rPr>
          <w:rFonts w:ascii="Arial" w:eastAsia="Times New Roman" w:hAnsi="Arial" w:cs="Arial"/>
          <w:color w:val="000000"/>
        </w:rPr>
        <w:t>0</w:t>
      </w:r>
      <w:r w:rsidRPr="05D19AF3">
        <w:rPr>
          <w:rFonts w:ascii="Arial" w:eastAsia="Times New Roman" w:hAnsi="Arial" w:cs="Arial"/>
          <w:color w:val="000000"/>
        </w:rPr>
        <w:t xml:space="preserve">% increase in </w:t>
      </w:r>
      <w:r>
        <w:rPr>
          <w:rFonts w:ascii="Arial" w:eastAsia="Times New Roman" w:hAnsi="Arial" w:cs="Arial"/>
          <w:color w:val="000000"/>
        </w:rPr>
        <w:t>the expected mean</w:t>
      </w:r>
      <w:r w:rsidRPr="05D19AF3">
        <w:rPr>
          <w:rFonts w:ascii="Arial" w:eastAsia="Times New Roman" w:hAnsi="Arial" w:cs="Arial"/>
          <w:color w:val="000000"/>
        </w:rPr>
        <w:t xml:space="preserve"> population size</w:t>
      </w:r>
      <w:r>
        <w:rPr>
          <w:rFonts w:ascii="Arial" w:eastAsia="Times New Roman" w:hAnsi="Arial" w:cs="Arial"/>
          <w:color w:val="000000"/>
        </w:rPr>
        <w:t xml:space="preserve"> for the Total RRCP Populations; Table S2</w:t>
      </w:r>
      <w:r w:rsidRPr="05D19AF3">
        <w:rPr>
          <w:rFonts w:ascii="Arial" w:eastAsia="Times New Roman" w:hAnsi="Arial" w:cs="Arial"/>
          <w:color w:val="000000"/>
        </w:rPr>
        <w:t xml:space="preserve">) and </w:t>
      </w:r>
      <w:r>
        <w:rPr>
          <w:rFonts w:ascii="Arial" w:eastAsia="Times New Roman" w:hAnsi="Arial" w:cs="Arial"/>
          <w:color w:val="000000"/>
        </w:rPr>
        <w:t xml:space="preserve">an overall neutral </w:t>
      </w:r>
      <w:r w:rsidRPr="05D19AF3">
        <w:rPr>
          <w:rFonts w:ascii="Arial" w:eastAsia="Times New Roman" w:hAnsi="Arial" w:cs="Arial"/>
          <w:color w:val="000000"/>
        </w:rPr>
        <w:t>benefit to Murray Cod populations under relaxed</w:t>
      </w:r>
      <w:r>
        <w:rPr>
          <w:rFonts w:ascii="Arial" w:eastAsia="Times New Roman" w:hAnsi="Arial" w:cs="Arial"/>
          <w:color w:val="000000"/>
        </w:rPr>
        <w:t>-flow-</w:t>
      </w:r>
      <w:r w:rsidRPr="05D19AF3">
        <w:rPr>
          <w:rFonts w:ascii="Arial" w:eastAsia="Times New Roman" w:hAnsi="Arial" w:cs="Arial"/>
          <w:color w:val="000000"/>
        </w:rPr>
        <w:t>constraint</w:t>
      </w:r>
      <w:r>
        <w:rPr>
          <w:rFonts w:ascii="Arial" w:eastAsia="Times New Roman" w:hAnsi="Arial" w:cs="Arial"/>
          <w:color w:val="000000"/>
        </w:rPr>
        <w:t>s</w:t>
      </w:r>
      <w:r w:rsidRPr="05D19AF3">
        <w:rPr>
          <w:rFonts w:ascii="Arial" w:eastAsia="Times New Roman" w:hAnsi="Arial" w:cs="Arial"/>
          <w:color w:val="000000"/>
        </w:rPr>
        <w:t xml:space="preserve"> scenarios</w:t>
      </w:r>
      <w:r>
        <w:rPr>
          <w:rFonts w:ascii="Arial" w:eastAsia="Times New Roman" w:hAnsi="Arial" w:cs="Arial"/>
          <w:color w:val="000000"/>
        </w:rPr>
        <w:t>, with small benefits observable at localised sites (see Murray Cod results in main text)</w:t>
      </w:r>
      <w:r w:rsidRPr="05D19AF3">
        <w:rPr>
          <w:rFonts w:ascii="Arial" w:eastAsia="Times New Roman" w:hAnsi="Arial" w:cs="Arial"/>
          <w:color w:val="000000"/>
        </w:rPr>
        <w:t>.</w:t>
      </w:r>
    </w:p>
    <w:p w14:paraId="08ADCB9C" w14:textId="6C87F034" w:rsidR="00491210" w:rsidRDefault="00EE200C">
      <w:pPr>
        <w:spacing w:after="0"/>
      </w:pPr>
      <w:bookmarkStart w:id="16" w:name="_Ref105518176"/>
      <w:r>
        <w:br w:type="page"/>
      </w:r>
    </w:p>
    <w:p w14:paraId="45A97CB2" w14:textId="6BA3546F" w:rsidR="00491210" w:rsidRPr="00A253F6" w:rsidRDefault="00EE200C" w:rsidP="001A57F3">
      <w:pPr>
        <w:pStyle w:val="Caption-Table"/>
      </w:pPr>
      <w:bookmarkStart w:id="17" w:name="_Toc116994960"/>
      <w:bookmarkStart w:id="18" w:name="_Hlk116987249"/>
      <w:r>
        <w:lastRenderedPageBreak/>
        <w:t>Table S</w:t>
      </w:r>
      <w:r>
        <w:fldChar w:fldCharType="begin"/>
      </w:r>
      <w:r>
        <w:instrText>SEQ Table_S \* ARABIC</w:instrText>
      </w:r>
      <w:r>
        <w:fldChar w:fldCharType="separate"/>
      </w:r>
      <w:r w:rsidR="005B672A">
        <w:rPr>
          <w:noProof/>
        </w:rPr>
        <w:t>2</w:t>
      </w:r>
      <w:r>
        <w:fldChar w:fldCharType="end"/>
      </w:r>
      <w:bookmarkEnd w:id="16"/>
      <w:r>
        <w:t>. Summarised outputs from the mean trajectories of the population modelling</w:t>
      </w:r>
      <w:r>
        <w:rPr>
          <w:noProof/>
        </w:rPr>
        <w:t xml:space="preserve"> </w:t>
      </w:r>
      <w:r>
        <w:t>for</w:t>
      </w:r>
      <w:r>
        <w:rPr>
          <w:noProof/>
        </w:rPr>
        <w:t xml:space="preserve"> </w:t>
      </w:r>
      <w:r>
        <w:t xml:space="preserve">Golden Perch and Murray Cod populations across the </w:t>
      </w:r>
      <w:r w:rsidRPr="00915A3A">
        <w:t>Total RRCP Populations</w:t>
      </w:r>
      <w:r>
        <w:t xml:space="preserve"> (inclusive to Wentworth) under the various relaxed-flow-constraints scenarios, Options 1–4.</w:t>
      </w:r>
      <w:bookmarkEnd w:id="17"/>
    </w:p>
    <w:tbl>
      <w:tblPr>
        <w:tblStyle w:val="DELWPTable"/>
        <w:tblW w:w="0" w:type="auto"/>
        <w:tblLook w:val="06A0" w:firstRow="1" w:lastRow="0" w:firstColumn="1" w:lastColumn="0" w:noHBand="1" w:noVBand="1"/>
      </w:tblPr>
      <w:tblGrid>
        <w:gridCol w:w="1131"/>
        <w:gridCol w:w="1675"/>
        <w:gridCol w:w="1622"/>
        <w:gridCol w:w="1701"/>
        <w:gridCol w:w="1701"/>
        <w:gridCol w:w="1701"/>
      </w:tblGrid>
      <w:tr w:rsidR="002C4F64" w14:paraId="0F2D2A42" w14:textId="77777777" w:rsidTr="00CA3B41">
        <w:trPr>
          <w:cnfStyle w:val="100000000000" w:firstRow="1" w:lastRow="0" w:firstColumn="0" w:lastColumn="0" w:oddVBand="0" w:evenVBand="0" w:oddHBand="0" w:evenHBand="0" w:firstRowFirstColumn="0" w:firstRowLastColumn="0" w:lastRowFirstColumn="0" w:lastRowLastColumn="0"/>
        </w:trPr>
        <w:tc>
          <w:tcPr>
            <w:tcW w:w="0" w:type="auto"/>
            <w:vMerge w:val="restart"/>
          </w:tcPr>
          <w:p w14:paraId="12218F82" w14:textId="77777777" w:rsidR="00491210" w:rsidRPr="00CA3B41" w:rsidRDefault="00EE200C" w:rsidP="00C53F5F">
            <w:pPr>
              <w:rPr>
                <w:b/>
                <w:bCs/>
                <w:color w:val="FFFFFF" w:themeColor="background1"/>
                <w:sz w:val="22"/>
                <w:szCs w:val="22"/>
              </w:rPr>
            </w:pPr>
            <w:r w:rsidRPr="00CA3B41">
              <w:rPr>
                <w:b/>
                <w:bCs/>
                <w:color w:val="FFFFFF" w:themeColor="background1"/>
                <w:sz w:val="22"/>
                <w:szCs w:val="22"/>
              </w:rPr>
              <w:t>Species</w:t>
            </w:r>
          </w:p>
        </w:tc>
        <w:tc>
          <w:tcPr>
            <w:tcW w:w="0" w:type="auto"/>
            <w:vMerge w:val="restart"/>
          </w:tcPr>
          <w:p w14:paraId="2C8B35B6" w14:textId="77777777" w:rsidR="00491210" w:rsidRPr="00CA3B41" w:rsidRDefault="00EE200C">
            <w:pPr>
              <w:jc w:val="center"/>
              <w:rPr>
                <w:b/>
                <w:bCs/>
                <w:color w:val="FFFFFF" w:themeColor="background1"/>
                <w:sz w:val="22"/>
                <w:szCs w:val="22"/>
              </w:rPr>
            </w:pPr>
            <w:r w:rsidRPr="00CA3B41">
              <w:rPr>
                <w:b/>
                <w:bCs/>
                <w:color w:val="FFFFFF" w:themeColor="background1"/>
                <w:sz w:val="22"/>
                <w:szCs w:val="22"/>
              </w:rPr>
              <w:t>Catchment</w:t>
            </w:r>
          </w:p>
        </w:tc>
        <w:tc>
          <w:tcPr>
            <w:tcW w:w="1622" w:type="dxa"/>
            <w:vMerge w:val="restart"/>
          </w:tcPr>
          <w:p w14:paraId="73984588" w14:textId="5F3487F5" w:rsidR="00491210" w:rsidRPr="00CA3B41" w:rsidRDefault="00EE200C">
            <w:pPr>
              <w:jc w:val="center"/>
              <w:rPr>
                <w:b/>
                <w:bCs/>
                <w:color w:val="FFFFFF" w:themeColor="background1"/>
                <w:sz w:val="22"/>
                <w:szCs w:val="22"/>
              </w:rPr>
            </w:pPr>
            <w:r w:rsidRPr="00CA3B41">
              <w:rPr>
                <w:b/>
                <w:bCs/>
                <w:color w:val="FFFFFF" w:themeColor="background1"/>
                <w:sz w:val="22"/>
                <w:szCs w:val="22"/>
              </w:rPr>
              <w:t>Relaxed-flow-constraints scenario</w:t>
            </w:r>
          </w:p>
        </w:tc>
        <w:tc>
          <w:tcPr>
            <w:tcW w:w="5103" w:type="dxa"/>
            <w:gridSpan w:val="3"/>
            <w:tcBorders>
              <w:bottom w:val="single" w:sz="4" w:space="0" w:color="FFFFFF" w:themeColor="background1"/>
            </w:tcBorders>
          </w:tcPr>
          <w:p w14:paraId="33B05803" w14:textId="0A3A3B59" w:rsidR="00491210" w:rsidRPr="00CA3B41" w:rsidRDefault="00EE200C">
            <w:pPr>
              <w:jc w:val="center"/>
              <w:rPr>
                <w:b/>
                <w:bCs/>
                <w:color w:val="FFFFFF" w:themeColor="background1"/>
                <w:sz w:val="22"/>
                <w:szCs w:val="22"/>
              </w:rPr>
            </w:pPr>
            <w:r w:rsidRPr="00CA3B41">
              <w:rPr>
                <w:b/>
                <w:bCs/>
                <w:color w:val="FFFFFF" w:themeColor="background1"/>
                <w:sz w:val="22"/>
                <w:szCs w:val="22"/>
              </w:rPr>
              <w:t>% difference from the Base case in</w:t>
            </w:r>
            <w:r>
              <w:rPr>
                <w:b/>
                <w:bCs/>
                <w:color w:val="FFFFFF" w:themeColor="background1"/>
                <w:sz w:val="22"/>
                <w:szCs w:val="22"/>
              </w:rPr>
              <w:t xml:space="preserve"> the expected value of:</w:t>
            </w:r>
          </w:p>
        </w:tc>
      </w:tr>
      <w:tr w:rsidR="00F07EBE" w:rsidRPr="00E86B73" w14:paraId="441FCE4E" w14:textId="77777777" w:rsidTr="00CA3B41">
        <w:tc>
          <w:tcPr>
            <w:tcW w:w="0" w:type="auto"/>
            <w:vMerge/>
            <w:tcBorders>
              <w:bottom w:val="single" w:sz="4" w:space="0" w:color="00B2A9" w:themeColor="accent1"/>
            </w:tcBorders>
            <w:shd w:val="clear" w:color="auto" w:fill="00B2A9" w:themeFill="accent1"/>
          </w:tcPr>
          <w:p w14:paraId="52BADE2C" w14:textId="77777777" w:rsidR="00491210" w:rsidRPr="00CA3B41" w:rsidRDefault="00491210" w:rsidP="00C53F5F">
            <w:pPr>
              <w:rPr>
                <w:bCs/>
                <w:color w:val="FFFFFF" w:themeColor="background1"/>
                <w:sz w:val="22"/>
                <w:szCs w:val="22"/>
              </w:rPr>
            </w:pPr>
          </w:p>
        </w:tc>
        <w:tc>
          <w:tcPr>
            <w:tcW w:w="0" w:type="auto"/>
            <w:vMerge/>
            <w:shd w:val="clear" w:color="auto" w:fill="00B2A9" w:themeFill="accent1"/>
          </w:tcPr>
          <w:p w14:paraId="65EA20AA" w14:textId="77777777" w:rsidR="00491210" w:rsidRPr="00CA3B41" w:rsidRDefault="00491210" w:rsidP="00CA3B41">
            <w:pPr>
              <w:jc w:val="center"/>
              <w:rPr>
                <w:color w:val="FFFFFF" w:themeColor="background1"/>
                <w:sz w:val="22"/>
                <w:szCs w:val="22"/>
                <w:lang w:eastAsia="en-AU"/>
              </w:rPr>
            </w:pPr>
          </w:p>
        </w:tc>
        <w:tc>
          <w:tcPr>
            <w:tcW w:w="1622" w:type="dxa"/>
            <w:vMerge/>
            <w:shd w:val="clear" w:color="auto" w:fill="00B2A9" w:themeFill="accent1"/>
          </w:tcPr>
          <w:p w14:paraId="61F3FC10" w14:textId="77777777" w:rsidR="00491210" w:rsidRPr="00CA3B41" w:rsidRDefault="00491210" w:rsidP="00CA3B41">
            <w:pPr>
              <w:jc w:val="center"/>
              <w:rPr>
                <w:color w:val="FFFFFF" w:themeColor="background1"/>
                <w:sz w:val="22"/>
                <w:szCs w:val="22"/>
                <w:lang w:eastAsia="en-AU"/>
              </w:rPr>
            </w:pPr>
          </w:p>
        </w:tc>
        <w:tc>
          <w:tcPr>
            <w:tcW w:w="1701" w:type="dxa"/>
            <w:tcBorders>
              <w:top w:val="single" w:sz="4" w:space="0" w:color="FFFFFF" w:themeColor="background1"/>
            </w:tcBorders>
            <w:shd w:val="clear" w:color="auto" w:fill="00B2A9" w:themeFill="accent1"/>
          </w:tcPr>
          <w:p w14:paraId="6819D7A3" w14:textId="3D5640CA" w:rsidR="00491210" w:rsidRPr="00C53F5F" w:rsidRDefault="00EE200C" w:rsidP="00162EF1">
            <w:pPr>
              <w:jc w:val="center"/>
              <w:rPr>
                <w:b/>
                <w:color w:val="FFFFFF" w:themeColor="background1"/>
                <w:sz w:val="22"/>
                <w:szCs w:val="22"/>
              </w:rPr>
            </w:pPr>
            <w:r w:rsidRPr="00C53F5F">
              <w:rPr>
                <w:b/>
                <w:color w:val="FFFFFF" w:themeColor="background1"/>
                <w:sz w:val="22"/>
                <w:szCs w:val="22"/>
              </w:rPr>
              <w:t>mean population size</w:t>
            </w:r>
          </w:p>
        </w:tc>
        <w:tc>
          <w:tcPr>
            <w:tcW w:w="1701" w:type="dxa"/>
            <w:tcBorders>
              <w:top w:val="single" w:sz="4" w:space="0" w:color="FFFFFF" w:themeColor="background1"/>
            </w:tcBorders>
            <w:shd w:val="clear" w:color="auto" w:fill="00B2A9" w:themeFill="accent1"/>
          </w:tcPr>
          <w:p w14:paraId="427282A6" w14:textId="5934C606" w:rsidR="00491210" w:rsidRPr="00C53F5F" w:rsidRDefault="00EE200C" w:rsidP="00162EF1">
            <w:pPr>
              <w:jc w:val="center"/>
              <w:rPr>
                <w:b/>
                <w:color w:val="FFFFFF" w:themeColor="background1"/>
                <w:sz w:val="22"/>
                <w:szCs w:val="22"/>
              </w:rPr>
            </w:pPr>
            <w:r w:rsidRPr="00C53F5F">
              <w:rPr>
                <w:b/>
                <w:color w:val="FFFFFF" w:themeColor="background1"/>
                <w:sz w:val="22"/>
                <w:szCs w:val="22"/>
              </w:rPr>
              <w:t>10% quantile population size</w:t>
            </w:r>
          </w:p>
        </w:tc>
        <w:tc>
          <w:tcPr>
            <w:tcW w:w="1701" w:type="dxa"/>
            <w:tcBorders>
              <w:top w:val="single" w:sz="4" w:space="0" w:color="FFFFFF" w:themeColor="background1"/>
            </w:tcBorders>
            <w:shd w:val="clear" w:color="auto" w:fill="00B2A9" w:themeFill="accent1"/>
          </w:tcPr>
          <w:p w14:paraId="3E0AEC80" w14:textId="7170CBD4" w:rsidR="00491210" w:rsidRPr="00C53F5F" w:rsidRDefault="00EE200C" w:rsidP="00162EF1">
            <w:pPr>
              <w:jc w:val="center"/>
              <w:rPr>
                <w:b/>
                <w:color w:val="FFFFFF" w:themeColor="background1"/>
                <w:sz w:val="22"/>
                <w:szCs w:val="22"/>
              </w:rPr>
            </w:pPr>
            <w:r w:rsidRPr="00C53F5F">
              <w:rPr>
                <w:b/>
                <w:color w:val="FFFFFF" w:themeColor="background1"/>
                <w:sz w:val="22"/>
                <w:szCs w:val="22"/>
              </w:rPr>
              <w:t>minimum population size</w:t>
            </w:r>
          </w:p>
        </w:tc>
      </w:tr>
      <w:tr w:rsidR="001A57F3" w14:paraId="57C6F850" w14:textId="77777777" w:rsidTr="00CA3B41">
        <w:tc>
          <w:tcPr>
            <w:tcW w:w="0" w:type="auto"/>
            <w:vMerge w:val="restart"/>
            <w:tcBorders>
              <w:top w:val="single" w:sz="4" w:space="0" w:color="00B2A9" w:themeColor="accent1"/>
            </w:tcBorders>
          </w:tcPr>
          <w:p w14:paraId="133A5E14" w14:textId="77777777" w:rsidR="00491210" w:rsidRDefault="00EE200C" w:rsidP="00C53F5F">
            <w:pPr>
              <w:rPr>
                <w:b/>
                <w:bCs/>
              </w:rPr>
            </w:pPr>
            <w:r w:rsidRPr="05D19AF3">
              <w:rPr>
                <w:b/>
                <w:bCs/>
              </w:rPr>
              <w:t>Golden Perch</w:t>
            </w:r>
          </w:p>
        </w:tc>
        <w:tc>
          <w:tcPr>
            <w:tcW w:w="0" w:type="auto"/>
            <w:vMerge w:val="restart"/>
          </w:tcPr>
          <w:p w14:paraId="4137F3A4" w14:textId="34DE3511" w:rsidR="00491210" w:rsidRPr="00EF34A3" w:rsidRDefault="00EE200C" w:rsidP="00CA3B41">
            <w:pPr>
              <w:jc w:val="center"/>
              <w:rPr>
                <w:color w:val="000000"/>
                <w:lang w:eastAsia="en-AU"/>
              </w:rPr>
            </w:pPr>
            <w:r w:rsidRPr="3FC79A6E">
              <w:rPr>
                <w:color w:val="000000"/>
                <w:lang w:eastAsia="en-AU"/>
              </w:rPr>
              <w:t xml:space="preserve">Total RRCP </w:t>
            </w:r>
            <w:r>
              <w:rPr>
                <w:color w:val="000000"/>
                <w:lang w:eastAsia="en-AU"/>
              </w:rPr>
              <w:t>Populations*</w:t>
            </w:r>
          </w:p>
        </w:tc>
        <w:tc>
          <w:tcPr>
            <w:tcW w:w="1622" w:type="dxa"/>
          </w:tcPr>
          <w:p w14:paraId="1A8AB445" w14:textId="77777777" w:rsidR="00491210" w:rsidRPr="00EF34A3" w:rsidRDefault="00EE200C" w:rsidP="00CA3B41">
            <w:pPr>
              <w:jc w:val="center"/>
              <w:rPr>
                <w:szCs w:val="20"/>
              </w:rPr>
            </w:pPr>
            <w:r w:rsidRPr="00EF34A3">
              <w:rPr>
                <w:color w:val="000000"/>
                <w:szCs w:val="20"/>
                <w:lang w:eastAsia="en-AU"/>
              </w:rPr>
              <w:t>Option 1</w:t>
            </w:r>
          </w:p>
        </w:tc>
        <w:tc>
          <w:tcPr>
            <w:tcW w:w="1701" w:type="dxa"/>
          </w:tcPr>
          <w:p w14:paraId="56327ECD" w14:textId="77777777" w:rsidR="00491210" w:rsidRDefault="00EE200C" w:rsidP="00162EF1">
            <w:pPr>
              <w:tabs>
                <w:tab w:val="decimal" w:pos="851"/>
              </w:tabs>
            </w:pPr>
            <w:r>
              <w:t>10</w:t>
            </w:r>
          </w:p>
        </w:tc>
        <w:tc>
          <w:tcPr>
            <w:tcW w:w="1701" w:type="dxa"/>
          </w:tcPr>
          <w:p w14:paraId="6A37601A" w14:textId="77777777" w:rsidR="00491210" w:rsidRDefault="00EE200C" w:rsidP="00162EF1">
            <w:pPr>
              <w:tabs>
                <w:tab w:val="decimal" w:pos="851"/>
              </w:tabs>
            </w:pPr>
            <w:r>
              <w:t>25</w:t>
            </w:r>
          </w:p>
        </w:tc>
        <w:tc>
          <w:tcPr>
            <w:tcW w:w="1701" w:type="dxa"/>
          </w:tcPr>
          <w:p w14:paraId="696EB948" w14:textId="77777777" w:rsidR="00491210" w:rsidRDefault="00EE200C" w:rsidP="00162EF1">
            <w:pPr>
              <w:tabs>
                <w:tab w:val="decimal" w:pos="851"/>
              </w:tabs>
            </w:pPr>
            <w:r>
              <w:t>34</w:t>
            </w:r>
          </w:p>
        </w:tc>
      </w:tr>
      <w:tr w:rsidR="001A57F3" w14:paraId="56E7A596" w14:textId="77777777" w:rsidTr="00CA3B41">
        <w:tc>
          <w:tcPr>
            <w:tcW w:w="0" w:type="auto"/>
            <w:vMerge/>
            <w:tcBorders>
              <w:top w:val="nil"/>
            </w:tcBorders>
          </w:tcPr>
          <w:p w14:paraId="07310A41" w14:textId="77777777" w:rsidR="00491210" w:rsidRDefault="00491210" w:rsidP="00C53F5F"/>
        </w:tc>
        <w:tc>
          <w:tcPr>
            <w:tcW w:w="0" w:type="auto"/>
            <w:vMerge/>
          </w:tcPr>
          <w:p w14:paraId="7F631662" w14:textId="77777777" w:rsidR="00491210" w:rsidRPr="00EF34A3" w:rsidRDefault="00491210" w:rsidP="00CA3B41">
            <w:pPr>
              <w:jc w:val="center"/>
              <w:rPr>
                <w:color w:val="000000"/>
                <w:szCs w:val="20"/>
                <w:lang w:eastAsia="en-AU"/>
              </w:rPr>
            </w:pPr>
          </w:p>
        </w:tc>
        <w:tc>
          <w:tcPr>
            <w:tcW w:w="1622" w:type="dxa"/>
          </w:tcPr>
          <w:p w14:paraId="175EA557" w14:textId="77777777" w:rsidR="00491210" w:rsidRPr="00EF34A3" w:rsidRDefault="00EE200C" w:rsidP="00CA3B41">
            <w:pPr>
              <w:jc w:val="center"/>
              <w:rPr>
                <w:szCs w:val="20"/>
              </w:rPr>
            </w:pPr>
            <w:r w:rsidRPr="00EF34A3">
              <w:rPr>
                <w:color w:val="000000"/>
                <w:szCs w:val="20"/>
                <w:lang w:eastAsia="en-AU"/>
              </w:rPr>
              <w:t>Option 2</w:t>
            </w:r>
          </w:p>
        </w:tc>
        <w:tc>
          <w:tcPr>
            <w:tcW w:w="1701" w:type="dxa"/>
          </w:tcPr>
          <w:p w14:paraId="24F9B846" w14:textId="77777777" w:rsidR="00491210" w:rsidRDefault="00EE200C" w:rsidP="00162EF1">
            <w:pPr>
              <w:tabs>
                <w:tab w:val="decimal" w:pos="851"/>
              </w:tabs>
            </w:pPr>
            <w:r w:rsidRPr="00927D89">
              <w:t>16</w:t>
            </w:r>
          </w:p>
        </w:tc>
        <w:tc>
          <w:tcPr>
            <w:tcW w:w="1701" w:type="dxa"/>
          </w:tcPr>
          <w:p w14:paraId="1B1F1BB7" w14:textId="77777777" w:rsidR="00491210" w:rsidRDefault="00EE200C" w:rsidP="00162EF1">
            <w:pPr>
              <w:tabs>
                <w:tab w:val="decimal" w:pos="851"/>
              </w:tabs>
            </w:pPr>
            <w:r>
              <w:t>25</w:t>
            </w:r>
          </w:p>
        </w:tc>
        <w:tc>
          <w:tcPr>
            <w:tcW w:w="1701" w:type="dxa"/>
          </w:tcPr>
          <w:p w14:paraId="1376FD7F" w14:textId="77777777" w:rsidR="00491210" w:rsidRDefault="00EE200C" w:rsidP="00162EF1">
            <w:pPr>
              <w:tabs>
                <w:tab w:val="decimal" w:pos="851"/>
              </w:tabs>
            </w:pPr>
            <w:r w:rsidRPr="00927D89">
              <w:t>32</w:t>
            </w:r>
          </w:p>
        </w:tc>
      </w:tr>
      <w:tr w:rsidR="001A57F3" w14:paraId="3A08E949" w14:textId="77777777" w:rsidTr="00CA3B41">
        <w:tc>
          <w:tcPr>
            <w:tcW w:w="0" w:type="auto"/>
            <w:vMerge/>
            <w:tcBorders>
              <w:top w:val="nil"/>
            </w:tcBorders>
          </w:tcPr>
          <w:p w14:paraId="0FC84B07" w14:textId="77777777" w:rsidR="00491210" w:rsidRDefault="00491210" w:rsidP="00C53F5F"/>
        </w:tc>
        <w:tc>
          <w:tcPr>
            <w:tcW w:w="0" w:type="auto"/>
            <w:vMerge/>
          </w:tcPr>
          <w:p w14:paraId="11F315BA" w14:textId="77777777" w:rsidR="00491210" w:rsidRPr="00EF34A3" w:rsidRDefault="00491210" w:rsidP="00CA3B41">
            <w:pPr>
              <w:jc w:val="center"/>
              <w:rPr>
                <w:color w:val="000000"/>
                <w:szCs w:val="20"/>
                <w:lang w:eastAsia="en-AU"/>
              </w:rPr>
            </w:pPr>
          </w:p>
        </w:tc>
        <w:tc>
          <w:tcPr>
            <w:tcW w:w="1622" w:type="dxa"/>
          </w:tcPr>
          <w:p w14:paraId="35952D4E" w14:textId="77777777" w:rsidR="00491210" w:rsidRPr="00EF34A3" w:rsidRDefault="00EE200C" w:rsidP="00CA3B41">
            <w:pPr>
              <w:jc w:val="center"/>
              <w:rPr>
                <w:szCs w:val="20"/>
              </w:rPr>
            </w:pPr>
            <w:r w:rsidRPr="00EF34A3">
              <w:rPr>
                <w:color w:val="000000"/>
                <w:szCs w:val="20"/>
                <w:lang w:eastAsia="en-AU"/>
              </w:rPr>
              <w:t>Option 3</w:t>
            </w:r>
          </w:p>
        </w:tc>
        <w:tc>
          <w:tcPr>
            <w:tcW w:w="1701" w:type="dxa"/>
          </w:tcPr>
          <w:p w14:paraId="36F7CDAC" w14:textId="77777777" w:rsidR="00491210" w:rsidRDefault="00EE200C" w:rsidP="00162EF1">
            <w:pPr>
              <w:tabs>
                <w:tab w:val="decimal" w:pos="851"/>
              </w:tabs>
            </w:pPr>
            <w:r w:rsidRPr="00927D89">
              <w:t>23</w:t>
            </w:r>
          </w:p>
        </w:tc>
        <w:tc>
          <w:tcPr>
            <w:tcW w:w="1701" w:type="dxa"/>
          </w:tcPr>
          <w:p w14:paraId="5B9A0C22" w14:textId="77777777" w:rsidR="00491210" w:rsidRDefault="00EE200C" w:rsidP="00162EF1">
            <w:pPr>
              <w:tabs>
                <w:tab w:val="decimal" w:pos="851"/>
              </w:tabs>
            </w:pPr>
            <w:r>
              <w:t>39</w:t>
            </w:r>
          </w:p>
        </w:tc>
        <w:tc>
          <w:tcPr>
            <w:tcW w:w="1701" w:type="dxa"/>
          </w:tcPr>
          <w:p w14:paraId="3FD06D96" w14:textId="77777777" w:rsidR="00491210" w:rsidRDefault="00EE200C" w:rsidP="00162EF1">
            <w:pPr>
              <w:tabs>
                <w:tab w:val="decimal" w:pos="851"/>
              </w:tabs>
            </w:pPr>
            <w:r w:rsidRPr="00927D89">
              <w:t>40</w:t>
            </w:r>
          </w:p>
        </w:tc>
      </w:tr>
      <w:tr w:rsidR="0014725F" w14:paraId="47EAF35E" w14:textId="77777777" w:rsidTr="00CA3B41">
        <w:tc>
          <w:tcPr>
            <w:tcW w:w="0" w:type="auto"/>
            <w:vMerge/>
            <w:tcBorders>
              <w:top w:val="nil"/>
              <w:bottom w:val="double" w:sz="4" w:space="0" w:color="00B2A9" w:themeColor="accent1"/>
            </w:tcBorders>
          </w:tcPr>
          <w:p w14:paraId="02EA6E8A" w14:textId="77777777" w:rsidR="00491210" w:rsidRDefault="00491210" w:rsidP="00C53F5F"/>
        </w:tc>
        <w:tc>
          <w:tcPr>
            <w:tcW w:w="0" w:type="auto"/>
            <w:vMerge/>
            <w:tcBorders>
              <w:bottom w:val="double" w:sz="4" w:space="0" w:color="00B2A9" w:themeColor="accent1"/>
            </w:tcBorders>
          </w:tcPr>
          <w:p w14:paraId="769F4F83" w14:textId="77777777" w:rsidR="00491210" w:rsidRPr="00EF34A3" w:rsidRDefault="00491210" w:rsidP="00CA3B41">
            <w:pPr>
              <w:jc w:val="center"/>
              <w:rPr>
                <w:color w:val="000000"/>
                <w:szCs w:val="20"/>
                <w:lang w:eastAsia="en-AU"/>
              </w:rPr>
            </w:pPr>
          </w:p>
        </w:tc>
        <w:tc>
          <w:tcPr>
            <w:tcW w:w="1622" w:type="dxa"/>
            <w:tcBorders>
              <w:bottom w:val="double" w:sz="4" w:space="0" w:color="00B2A9" w:themeColor="accent1"/>
            </w:tcBorders>
          </w:tcPr>
          <w:p w14:paraId="58BA5B50" w14:textId="77777777" w:rsidR="00491210" w:rsidRPr="00EF34A3" w:rsidRDefault="00EE200C" w:rsidP="00CA3B41">
            <w:pPr>
              <w:jc w:val="center"/>
              <w:rPr>
                <w:szCs w:val="20"/>
              </w:rPr>
            </w:pPr>
            <w:r w:rsidRPr="00EF34A3">
              <w:rPr>
                <w:color w:val="000000"/>
                <w:szCs w:val="20"/>
                <w:lang w:eastAsia="en-AU"/>
              </w:rPr>
              <w:t>Option 4</w:t>
            </w:r>
          </w:p>
        </w:tc>
        <w:tc>
          <w:tcPr>
            <w:tcW w:w="1701" w:type="dxa"/>
            <w:tcBorders>
              <w:bottom w:val="double" w:sz="4" w:space="0" w:color="00B2A9" w:themeColor="accent1"/>
            </w:tcBorders>
          </w:tcPr>
          <w:p w14:paraId="004DED40" w14:textId="77777777" w:rsidR="00491210" w:rsidRDefault="00EE200C" w:rsidP="00162EF1">
            <w:pPr>
              <w:tabs>
                <w:tab w:val="decimal" w:pos="851"/>
              </w:tabs>
            </w:pPr>
            <w:r w:rsidRPr="00927D89">
              <w:t>30</w:t>
            </w:r>
          </w:p>
        </w:tc>
        <w:tc>
          <w:tcPr>
            <w:tcW w:w="1701" w:type="dxa"/>
            <w:tcBorders>
              <w:bottom w:val="double" w:sz="4" w:space="0" w:color="00B2A9" w:themeColor="accent1"/>
            </w:tcBorders>
          </w:tcPr>
          <w:p w14:paraId="489353EA" w14:textId="77777777" w:rsidR="00491210" w:rsidRDefault="00EE200C" w:rsidP="00162EF1">
            <w:pPr>
              <w:tabs>
                <w:tab w:val="decimal" w:pos="851"/>
              </w:tabs>
            </w:pPr>
            <w:r>
              <w:t>54</w:t>
            </w:r>
          </w:p>
        </w:tc>
        <w:tc>
          <w:tcPr>
            <w:tcW w:w="1701" w:type="dxa"/>
            <w:tcBorders>
              <w:bottom w:val="double" w:sz="4" w:space="0" w:color="00B2A9" w:themeColor="accent1"/>
            </w:tcBorders>
          </w:tcPr>
          <w:p w14:paraId="57072388" w14:textId="77777777" w:rsidR="00491210" w:rsidRDefault="00EE200C" w:rsidP="00162EF1">
            <w:pPr>
              <w:tabs>
                <w:tab w:val="decimal" w:pos="851"/>
              </w:tabs>
            </w:pPr>
            <w:r w:rsidRPr="00927D89">
              <w:t>43</w:t>
            </w:r>
          </w:p>
        </w:tc>
      </w:tr>
      <w:tr w:rsidR="001A57F3" w14:paraId="5D629F6B" w14:textId="77777777" w:rsidTr="00CA3B41">
        <w:tc>
          <w:tcPr>
            <w:tcW w:w="0" w:type="auto"/>
            <w:vMerge w:val="restart"/>
            <w:tcBorders>
              <w:top w:val="double" w:sz="4" w:space="0" w:color="00B2A9" w:themeColor="accent1"/>
            </w:tcBorders>
          </w:tcPr>
          <w:p w14:paraId="1B874A9F" w14:textId="77777777" w:rsidR="00491210" w:rsidRPr="4D1BBAA5" w:rsidRDefault="00491210" w:rsidP="00C53F5F">
            <w:pPr>
              <w:rPr>
                <w:b/>
                <w:bCs/>
              </w:rPr>
            </w:pPr>
          </w:p>
        </w:tc>
        <w:tc>
          <w:tcPr>
            <w:tcW w:w="0" w:type="auto"/>
            <w:vMerge w:val="restart"/>
            <w:tcBorders>
              <w:top w:val="double" w:sz="4" w:space="0" w:color="00B2A9" w:themeColor="accent1"/>
            </w:tcBorders>
          </w:tcPr>
          <w:p w14:paraId="304677B3" w14:textId="77777777" w:rsidR="00491210" w:rsidRPr="00EF34A3" w:rsidRDefault="00EE200C" w:rsidP="00CA3B41">
            <w:pPr>
              <w:jc w:val="center"/>
              <w:rPr>
                <w:color w:val="000000"/>
                <w:szCs w:val="20"/>
                <w:lang w:eastAsia="en-AU"/>
              </w:rPr>
            </w:pPr>
            <w:r>
              <w:rPr>
                <w:color w:val="000000"/>
                <w:szCs w:val="20"/>
                <w:lang w:eastAsia="en-AU"/>
              </w:rPr>
              <w:t>Murray River</w:t>
            </w:r>
          </w:p>
        </w:tc>
        <w:tc>
          <w:tcPr>
            <w:tcW w:w="1622" w:type="dxa"/>
            <w:tcBorders>
              <w:top w:val="double" w:sz="4" w:space="0" w:color="00B2A9" w:themeColor="accent1"/>
            </w:tcBorders>
          </w:tcPr>
          <w:p w14:paraId="1A6AE1E0" w14:textId="77777777" w:rsidR="00491210" w:rsidRPr="00EF34A3" w:rsidRDefault="00EE200C" w:rsidP="00CA3B41">
            <w:pPr>
              <w:jc w:val="center"/>
              <w:rPr>
                <w:color w:val="000000"/>
                <w:szCs w:val="20"/>
                <w:lang w:eastAsia="en-AU"/>
              </w:rPr>
            </w:pPr>
            <w:r w:rsidRPr="00EF34A3">
              <w:rPr>
                <w:color w:val="000000"/>
                <w:szCs w:val="20"/>
                <w:lang w:eastAsia="en-AU"/>
              </w:rPr>
              <w:t>Option 1</w:t>
            </w:r>
          </w:p>
        </w:tc>
        <w:tc>
          <w:tcPr>
            <w:tcW w:w="1701" w:type="dxa"/>
            <w:tcBorders>
              <w:top w:val="double" w:sz="4" w:space="0" w:color="00B2A9" w:themeColor="accent1"/>
            </w:tcBorders>
          </w:tcPr>
          <w:p w14:paraId="11680BAB" w14:textId="77777777" w:rsidR="00491210" w:rsidRPr="00D62F1C" w:rsidRDefault="00EE200C" w:rsidP="00162EF1">
            <w:pPr>
              <w:tabs>
                <w:tab w:val="decimal" w:pos="851"/>
              </w:tabs>
            </w:pPr>
            <w:r w:rsidRPr="00FD5032">
              <w:t>10</w:t>
            </w:r>
          </w:p>
        </w:tc>
        <w:tc>
          <w:tcPr>
            <w:tcW w:w="1701" w:type="dxa"/>
            <w:tcBorders>
              <w:top w:val="double" w:sz="4" w:space="0" w:color="00B2A9" w:themeColor="accent1"/>
            </w:tcBorders>
          </w:tcPr>
          <w:p w14:paraId="5F9468ED" w14:textId="77777777" w:rsidR="00491210" w:rsidRDefault="00EE200C" w:rsidP="00162EF1">
            <w:pPr>
              <w:tabs>
                <w:tab w:val="decimal" w:pos="851"/>
              </w:tabs>
            </w:pPr>
            <w:r w:rsidRPr="00FD5032">
              <w:t>19</w:t>
            </w:r>
          </w:p>
        </w:tc>
        <w:tc>
          <w:tcPr>
            <w:tcW w:w="1701" w:type="dxa"/>
            <w:tcBorders>
              <w:top w:val="double" w:sz="4" w:space="0" w:color="00B2A9" w:themeColor="accent1"/>
            </w:tcBorders>
          </w:tcPr>
          <w:p w14:paraId="5B8A22B7" w14:textId="77777777" w:rsidR="00491210" w:rsidRDefault="00EE200C" w:rsidP="00162EF1">
            <w:pPr>
              <w:tabs>
                <w:tab w:val="decimal" w:pos="851"/>
              </w:tabs>
            </w:pPr>
            <w:r w:rsidRPr="00FD5032">
              <w:t>30</w:t>
            </w:r>
          </w:p>
        </w:tc>
      </w:tr>
      <w:tr w:rsidR="001A57F3" w14:paraId="38C4870E" w14:textId="77777777" w:rsidTr="00CA3B41">
        <w:tc>
          <w:tcPr>
            <w:tcW w:w="0" w:type="auto"/>
            <w:vMerge/>
            <w:tcBorders>
              <w:top w:val="nil"/>
            </w:tcBorders>
          </w:tcPr>
          <w:p w14:paraId="2B8ABD04" w14:textId="77777777" w:rsidR="00491210" w:rsidRPr="4D1BBAA5" w:rsidRDefault="00491210" w:rsidP="00C53F5F">
            <w:pPr>
              <w:rPr>
                <w:b/>
                <w:bCs/>
              </w:rPr>
            </w:pPr>
          </w:p>
        </w:tc>
        <w:tc>
          <w:tcPr>
            <w:tcW w:w="0" w:type="auto"/>
            <w:vMerge/>
          </w:tcPr>
          <w:p w14:paraId="04820093" w14:textId="77777777" w:rsidR="00491210" w:rsidRPr="00EF34A3" w:rsidRDefault="00491210" w:rsidP="00CA3B41">
            <w:pPr>
              <w:jc w:val="center"/>
              <w:rPr>
                <w:color w:val="000000"/>
                <w:szCs w:val="20"/>
                <w:lang w:eastAsia="en-AU"/>
              </w:rPr>
            </w:pPr>
          </w:p>
        </w:tc>
        <w:tc>
          <w:tcPr>
            <w:tcW w:w="1622" w:type="dxa"/>
          </w:tcPr>
          <w:p w14:paraId="0A5CAAC6" w14:textId="77777777" w:rsidR="00491210" w:rsidRPr="00EF34A3" w:rsidRDefault="00EE200C" w:rsidP="00CA3B41">
            <w:pPr>
              <w:jc w:val="center"/>
              <w:rPr>
                <w:color w:val="000000"/>
                <w:szCs w:val="20"/>
                <w:lang w:eastAsia="en-AU"/>
              </w:rPr>
            </w:pPr>
            <w:r w:rsidRPr="00EF34A3">
              <w:rPr>
                <w:color w:val="000000"/>
                <w:szCs w:val="20"/>
                <w:lang w:eastAsia="en-AU"/>
              </w:rPr>
              <w:t>Option 2</w:t>
            </w:r>
          </w:p>
        </w:tc>
        <w:tc>
          <w:tcPr>
            <w:tcW w:w="1701" w:type="dxa"/>
          </w:tcPr>
          <w:p w14:paraId="20101738" w14:textId="77777777" w:rsidR="00491210" w:rsidRPr="00D62F1C" w:rsidRDefault="00EE200C" w:rsidP="00162EF1">
            <w:pPr>
              <w:tabs>
                <w:tab w:val="decimal" w:pos="851"/>
              </w:tabs>
            </w:pPr>
            <w:r w:rsidRPr="00FD5032">
              <w:t>16</w:t>
            </w:r>
          </w:p>
        </w:tc>
        <w:tc>
          <w:tcPr>
            <w:tcW w:w="1701" w:type="dxa"/>
          </w:tcPr>
          <w:p w14:paraId="2457760B" w14:textId="77777777" w:rsidR="00491210" w:rsidRDefault="00EE200C" w:rsidP="00162EF1">
            <w:pPr>
              <w:tabs>
                <w:tab w:val="decimal" w:pos="851"/>
              </w:tabs>
            </w:pPr>
            <w:r w:rsidRPr="00FD5032">
              <w:t>20</w:t>
            </w:r>
          </w:p>
        </w:tc>
        <w:tc>
          <w:tcPr>
            <w:tcW w:w="1701" w:type="dxa"/>
          </w:tcPr>
          <w:p w14:paraId="4A584E66" w14:textId="77777777" w:rsidR="00491210" w:rsidRDefault="00EE200C" w:rsidP="00162EF1">
            <w:pPr>
              <w:tabs>
                <w:tab w:val="decimal" w:pos="851"/>
              </w:tabs>
            </w:pPr>
            <w:r w:rsidRPr="00FD5032">
              <w:t>29</w:t>
            </w:r>
          </w:p>
        </w:tc>
      </w:tr>
      <w:tr w:rsidR="001A57F3" w14:paraId="2D724D9B" w14:textId="77777777" w:rsidTr="00CA3B41">
        <w:tc>
          <w:tcPr>
            <w:tcW w:w="0" w:type="auto"/>
            <w:vMerge/>
            <w:tcBorders>
              <w:top w:val="nil"/>
            </w:tcBorders>
          </w:tcPr>
          <w:p w14:paraId="667E026B" w14:textId="77777777" w:rsidR="00491210" w:rsidRPr="4D1BBAA5" w:rsidRDefault="00491210" w:rsidP="00C53F5F">
            <w:pPr>
              <w:rPr>
                <w:b/>
                <w:bCs/>
              </w:rPr>
            </w:pPr>
          </w:p>
        </w:tc>
        <w:tc>
          <w:tcPr>
            <w:tcW w:w="0" w:type="auto"/>
            <w:vMerge/>
          </w:tcPr>
          <w:p w14:paraId="0B2FB703" w14:textId="77777777" w:rsidR="00491210" w:rsidRPr="00EF34A3" w:rsidRDefault="00491210" w:rsidP="00CA3B41">
            <w:pPr>
              <w:jc w:val="center"/>
              <w:rPr>
                <w:color w:val="000000"/>
                <w:szCs w:val="20"/>
                <w:lang w:eastAsia="en-AU"/>
              </w:rPr>
            </w:pPr>
          </w:p>
        </w:tc>
        <w:tc>
          <w:tcPr>
            <w:tcW w:w="1622" w:type="dxa"/>
          </w:tcPr>
          <w:p w14:paraId="408CB665" w14:textId="77777777" w:rsidR="00491210" w:rsidRPr="00EF34A3" w:rsidRDefault="00EE200C" w:rsidP="00CA3B41">
            <w:pPr>
              <w:jc w:val="center"/>
              <w:rPr>
                <w:color w:val="000000"/>
                <w:szCs w:val="20"/>
                <w:lang w:eastAsia="en-AU"/>
              </w:rPr>
            </w:pPr>
            <w:r w:rsidRPr="00EF34A3">
              <w:rPr>
                <w:color w:val="000000"/>
                <w:szCs w:val="20"/>
                <w:lang w:eastAsia="en-AU"/>
              </w:rPr>
              <w:t>Option 3</w:t>
            </w:r>
          </w:p>
        </w:tc>
        <w:tc>
          <w:tcPr>
            <w:tcW w:w="1701" w:type="dxa"/>
          </w:tcPr>
          <w:p w14:paraId="713E2564" w14:textId="77777777" w:rsidR="00491210" w:rsidRPr="00D62F1C" w:rsidRDefault="00EE200C" w:rsidP="00162EF1">
            <w:pPr>
              <w:tabs>
                <w:tab w:val="decimal" w:pos="851"/>
              </w:tabs>
            </w:pPr>
            <w:r w:rsidRPr="00FD5032">
              <w:t>23</w:t>
            </w:r>
          </w:p>
        </w:tc>
        <w:tc>
          <w:tcPr>
            <w:tcW w:w="1701" w:type="dxa"/>
          </w:tcPr>
          <w:p w14:paraId="782D7253" w14:textId="77777777" w:rsidR="00491210" w:rsidRDefault="00EE200C" w:rsidP="00162EF1">
            <w:pPr>
              <w:tabs>
                <w:tab w:val="decimal" w:pos="851"/>
              </w:tabs>
            </w:pPr>
            <w:r w:rsidRPr="00FD5032">
              <w:t>37</w:t>
            </w:r>
          </w:p>
        </w:tc>
        <w:tc>
          <w:tcPr>
            <w:tcW w:w="1701" w:type="dxa"/>
          </w:tcPr>
          <w:p w14:paraId="0287C3E1" w14:textId="77777777" w:rsidR="00491210" w:rsidRDefault="00EE200C" w:rsidP="00162EF1">
            <w:pPr>
              <w:tabs>
                <w:tab w:val="decimal" w:pos="851"/>
              </w:tabs>
            </w:pPr>
            <w:r w:rsidRPr="00FD5032">
              <w:t>30</w:t>
            </w:r>
          </w:p>
        </w:tc>
      </w:tr>
      <w:tr w:rsidR="0014725F" w14:paraId="25325D61" w14:textId="77777777" w:rsidTr="00CA3B41">
        <w:tc>
          <w:tcPr>
            <w:tcW w:w="0" w:type="auto"/>
            <w:vMerge/>
            <w:tcBorders>
              <w:top w:val="nil"/>
            </w:tcBorders>
          </w:tcPr>
          <w:p w14:paraId="1517F600" w14:textId="77777777" w:rsidR="00491210" w:rsidRPr="4D1BBAA5" w:rsidRDefault="00491210" w:rsidP="00C53F5F">
            <w:pPr>
              <w:rPr>
                <w:b/>
                <w:bCs/>
              </w:rPr>
            </w:pPr>
          </w:p>
        </w:tc>
        <w:tc>
          <w:tcPr>
            <w:tcW w:w="0" w:type="auto"/>
            <w:vMerge/>
            <w:tcBorders>
              <w:bottom w:val="double" w:sz="4" w:space="0" w:color="00B2A9" w:themeColor="accent1"/>
            </w:tcBorders>
          </w:tcPr>
          <w:p w14:paraId="53451B71" w14:textId="77777777" w:rsidR="00491210" w:rsidRPr="00EF34A3" w:rsidRDefault="00491210" w:rsidP="00CA3B41">
            <w:pPr>
              <w:jc w:val="center"/>
              <w:rPr>
                <w:color w:val="000000"/>
                <w:szCs w:val="20"/>
                <w:lang w:eastAsia="en-AU"/>
              </w:rPr>
            </w:pPr>
          </w:p>
        </w:tc>
        <w:tc>
          <w:tcPr>
            <w:tcW w:w="1622" w:type="dxa"/>
            <w:tcBorders>
              <w:bottom w:val="double" w:sz="4" w:space="0" w:color="00B2A9" w:themeColor="accent1"/>
            </w:tcBorders>
          </w:tcPr>
          <w:p w14:paraId="1D3A95CB" w14:textId="77777777" w:rsidR="00491210" w:rsidRPr="00EF34A3" w:rsidRDefault="00EE200C" w:rsidP="00CA3B41">
            <w:pPr>
              <w:jc w:val="center"/>
              <w:rPr>
                <w:color w:val="000000"/>
                <w:szCs w:val="20"/>
                <w:lang w:eastAsia="en-AU"/>
              </w:rPr>
            </w:pPr>
            <w:r w:rsidRPr="00EF34A3">
              <w:rPr>
                <w:color w:val="000000"/>
                <w:szCs w:val="20"/>
                <w:lang w:eastAsia="en-AU"/>
              </w:rPr>
              <w:t>Option 4</w:t>
            </w:r>
          </w:p>
        </w:tc>
        <w:tc>
          <w:tcPr>
            <w:tcW w:w="1701" w:type="dxa"/>
            <w:tcBorders>
              <w:bottom w:val="double" w:sz="4" w:space="0" w:color="00B2A9" w:themeColor="accent1"/>
            </w:tcBorders>
          </w:tcPr>
          <w:p w14:paraId="6B915B1E" w14:textId="77777777" w:rsidR="00491210" w:rsidRPr="00D62F1C" w:rsidRDefault="00EE200C" w:rsidP="00162EF1">
            <w:pPr>
              <w:tabs>
                <w:tab w:val="decimal" w:pos="851"/>
              </w:tabs>
            </w:pPr>
            <w:r w:rsidRPr="00FD5032">
              <w:t>29</w:t>
            </w:r>
          </w:p>
        </w:tc>
        <w:tc>
          <w:tcPr>
            <w:tcW w:w="1701" w:type="dxa"/>
            <w:tcBorders>
              <w:bottom w:val="double" w:sz="4" w:space="0" w:color="00B2A9" w:themeColor="accent1"/>
            </w:tcBorders>
          </w:tcPr>
          <w:p w14:paraId="42618DF3" w14:textId="77777777" w:rsidR="00491210" w:rsidRDefault="00EE200C" w:rsidP="00162EF1">
            <w:pPr>
              <w:tabs>
                <w:tab w:val="decimal" w:pos="851"/>
              </w:tabs>
            </w:pPr>
            <w:r w:rsidRPr="00FD5032">
              <w:t>45</w:t>
            </w:r>
          </w:p>
        </w:tc>
        <w:tc>
          <w:tcPr>
            <w:tcW w:w="1701" w:type="dxa"/>
            <w:tcBorders>
              <w:bottom w:val="double" w:sz="4" w:space="0" w:color="00B2A9" w:themeColor="accent1"/>
            </w:tcBorders>
          </w:tcPr>
          <w:p w14:paraId="338F8D74" w14:textId="77777777" w:rsidR="00491210" w:rsidRDefault="00EE200C" w:rsidP="00162EF1">
            <w:pPr>
              <w:tabs>
                <w:tab w:val="decimal" w:pos="851"/>
              </w:tabs>
            </w:pPr>
            <w:r w:rsidRPr="00FD5032">
              <w:t>28</w:t>
            </w:r>
          </w:p>
        </w:tc>
      </w:tr>
      <w:tr w:rsidR="009C7FBB" w14:paraId="4D637438" w14:textId="77777777" w:rsidTr="00CA3B41">
        <w:tc>
          <w:tcPr>
            <w:tcW w:w="0" w:type="auto"/>
            <w:vMerge/>
            <w:tcBorders>
              <w:top w:val="nil"/>
            </w:tcBorders>
          </w:tcPr>
          <w:p w14:paraId="18351B99" w14:textId="77777777" w:rsidR="00491210" w:rsidRPr="4D1BBAA5" w:rsidRDefault="00491210" w:rsidP="009C7FBB">
            <w:pPr>
              <w:rPr>
                <w:b/>
                <w:bCs/>
              </w:rPr>
            </w:pPr>
          </w:p>
        </w:tc>
        <w:tc>
          <w:tcPr>
            <w:tcW w:w="0" w:type="auto"/>
            <w:vMerge w:val="restart"/>
            <w:tcBorders>
              <w:top w:val="double" w:sz="4" w:space="0" w:color="00B2A9" w:themeColor="accent1"/>
            </w:tcBorders>
          </w:tcPr>
          <w:p w14:paraId="48706964" w14:textId="39D77DD2" w:rsidR="00491210" w:rsidRPr="00EF34A3" w:rsidRDefault="00EE200C" w:rsidP="009C7FBB">
            <w:pPr>
              <w:jc w:val="center"/>
              <w:rPr>
                <w:color w:val="000000"/>
                <w:szCs w:val="20"/>
                <w:lang w:eastAsia="en-AU"/>
              </w:rPr>
            </w:pPr>
            <w:r>
              <w:rPr>
                <w:color w:val="000000"/>
                <w:szCs w:val="20"/>
                <w:lang w:eastAsia="en-AU"/>
              </w:rPr>
              <w:t>Murrumbidgee River</w:t>
            </w:r>
          </w:p>
        </w:tc>
        <w:tc>
          <w:tcPr>
            <w:tcW w:w="1622" w:type="dxa"/>
            <w:tcBorders>
              <w:top w:val="double" w:sz="4" w:space="0" w:color="00B2A9" w:themeColor="accent1"/>
            </w:tcBorders>
          </w:tcPr>
          <w:p w14:paraId="1B87ECA2" w14:textId="77777777" w:rsidR="00491210" w:rsidRPr="00EF34A3" w:rsidRDefault="00EE200C" w:rsidP="009C7FBB">
            <w:pPr>
              <w:jc w:val="center"/>
              <w:rPr>
                <w:color w:val="000000"/>
                <w:szCs w:val="20"/>
                <w:lang w:eastAsia="en-AU"/>
              </w:rPr>
            </w:pPr>
            <w:r w:rsidRPr="00EF34A3">
              <w:rPr>
                <w:color w:val="000000"/>
                <w:szCs w:val="20"/>
                <w:lang w:eastAsia="en-AU"/>
              </w:rPr>
              <w:t>Option 1</w:t>
            </w:r>
          </w:p>
        </w:tc>
        <w:tc>
          <w:tcPr>
            <w:tcW w:w="1701" w:type="dxa"/>
            <w:tcBorders>
              <w:top w:val="double" w:sz="4" w:space="0" w:color="00B2A9" w:themeColor="accent1"/>
            </w:tcBorders>
          </w:tcPr>
          <w:p w14:paraId="488DCB62" w14:textId="77777777" w:rsidR="00491210" w:rsidRPr="00D62F1C" w:rsidRDefault="00EE200C" w:rsidP="009C7FBB">
            <w:pPr>
              <w:tabs>
                <w:tab w:val="decimal" w:pos="851"/>
              </w:tabs>
            </w:pPr>
            <w:r w:rsidRPr="00FD5032">
              <w:t>7</w:t>
            </w:r>
          </w:p>
        </w:tc>
        <w:tc>
          <w:tcPr>
            <w:tcW w:w="1701" w:type="dxa"/>
            <w:tcBorders>
              <w:top w:val="double" w:sz="4" w:space="0" w:color="00B2A9" w:themeColor="accent1"/>
            </w:tcBorders>
          </w:tcPr>
          <w:p w14:paraId="02C041DA" w14:textId="0CC13171" w:rsidR="00491210" w:rsidRDefault="00EE200C" w:rsidP="009C7FBB">
            <w:pPr>
              <w:tabs>
                <w:tab w:val="decimal" w:pos="851"/>
              </w:tabs>
            </w:pPr>
            <w:r w:rsidRPr="00FD5032">
              <w:t>6</w:t>
            </w:r>
          </w:p>
        </w:tc>
        <w:tc>
          <w:tcPr>
            <w:tcW w:w="1701" w:type="dxa"/>
            <w:tcBorders>
              <w:top w:val="double" w:sz="4" w:space="0" w:color="00B2A9" w:themeColor="accent1"/>
            </w:tcBorders>
          </w:tcPr>
          <w:p w14:paraId="24AAF41B" w14:textId="024D24DE" w:rsidR="00491210" w:rsidRDefault="00EE200C" w:rsidP="009C7FBB">
            <w:pPr>
              <w:tabs>
                <w:tab w:val="decimal" w:pos="851"/>
              </w:tabs>
            </w:pPr>
            <w:r w:rsidRPr="00354EE5">
              <w:t>14</w:t>
            </w:r>
          </w:p>
        </w:tc>
      </w:tr>
      <w:tr w:rsidR="009C7FBB" w14:paraId="1F38800B" w14:textId="77777777" w:rsidTr="00CA3B41">
        <w:tc>
          <w:tcPr>
            <w:tcW w:w="0" w:type="auto"/>
            <w:vMerge/>
            <w:tcBorders>
              <w:top w:val="nil"/>
            </w:tcBorders>
          </w:tcPr>
          <w:p w14:paraId="7B6E72F7" w14:textId="77777777" w:rsidR="00491210" w:rsidRPr="4D1BBAA5" w:rsidRDefault="00491210" w:rsidP="009C7FBB">
            <w:pPr>
              <w:rPr>
                <w:b/>
                <w:bCs/>
              </w:rPr>
            </w:pPr>
          </w:p>
        </w:tc>
        <w:tc>
          <w:tcPr>
            <w:tcW w:w="0" w:type="auto"/>
            <w:vMerge/>
          </w:tcPr>
          <w:p w14:paraId="573D59C7" w14:textId="77777777" w:rsidR="00491210" w:rsidRPr="00EF34A3" w:rsidRDefault="00491210" w:rsidP="009C7FBB">
            <w:pPr>
              <w:jc w:val="center"/>
              <w:rPr>
                <w:color w:val="000000"/>
                <w:szCs w:val="20"/>
                <w:lang w:eastAsia="en-AU"/>
              </w:rPr>
            </w:pPr>
          </w:p>
        </w:tc>
        <w:tc>
          <w:tcPr>
            <w:tcW w:w="1622" w:type="dxa"/>
          </w:tcPr>
          <w:p w14:paraId="67A9FE6F" w14:textId="77777777" w:rsidR="00491210" w:rsidRPr="00EF34A3" w:rsidRDefault="00EE200C" w:rsidP="009C7FBB">
            <w:pPr>
              <w:jc w:val="center"/>
              <w:rPr>
                <w:color w:val="000000"/>
                <w:szCs w:val="20"/>
                <w:lang w:eastAsia="en-AU"/>
              </w:rPr>
            </w:pPr>
            <w:r w:rsidRPr="00EF34A3">
              <w:rPr>
                <w:color w:val="000000"/>
                <w:szCs w:val="20"/>
                <w:lang w:eastAsia="en-AU"/>
              </w:rPr>
              <w:t>Option 2</w:t>
            </w:r>
          </w:p>
        </w:tc>
        <w:tc>
          <w:tcPr>
            <w:tcW w:w="1701" w:type="dxa"/>
          </w:tcPr>
          <w:p w14:paraId="7F92CBAD" w14:textId="77777777" w:rsidR="00491210" w:rsidRPr="00D62F1C" w:rsidRDefault="00EE200C" w:rsidP="009C7FBB">
            <w:pPr>
              <w:tabs>
                <w:tab w:val="decimal" w:pos="851"/>
              </w:tabs>
            </w:pPr>
            <w:r w:rsidRPr="00FD5032">
              <w:t>16</w:t>
            </w:r>
          </w:p>
        </w:tc>
        <w:tc>
          <w:tcPr>
            <w:tcW w:w="1701" w:type="dxa"/>
          </w:tcPr>
          <w:p w14:paraId="3D9CA681" w14:textId="112EC44D" w:rsidR="00491210" w:rsidRDefault="00EE200C" w:rsidP="009C7FBB">
            <w:pPr>
              <w:tabs>
                <w:tab w:val="decimal" w:pos="851"/>
              </w:tabs>
            </w:pPr>
            <w:r w:rsidRPr="00FD5032">
              <w:t>8</w:t>
            </w:r>
          </w:p>
        </w:tc>
        <w:tc>
          <w:tcPr>
            <w:tcW w:w="1701" w:type="dxa"/>
          </w:tcPr>
          <w:p w14:paraId="3DAC8A0A" w14:textId="6A416A3D" w:rsidR="00491210" w:rsidRDefault="00EE200C" w:rsidP="009C7FBB">
            <w:pPr>
              <w:tabs>
                <w:tab w:val="decimal" w:pos="851"/>
              </w:tabs>
            </w:pPr>
            <w:r w:rsidRPr="00354EE5">
              <w:t>38</w:t>
            </w:r>
          </w:p>
        </w:tc>
      </w:tr>
      <w:tr w:rsidR="009C7FBB" w14:paraId="57EBB983" w14:textId="77777777" w:rsidTr="00CA3B41">
        <w:tc>
          <w:tcPr>
            <w:tcW w:w="0" w:type="auto"/>
            <w:vMerge/>
            <w:tcBorders>
              <w:top w:val="nil"/>
            </w:tcBorders>
          </w:tcPr>
          <w:p w14:paraId="5594FABD" w14:textId="77777777" w:rsidR="00491210" w:rsidRPr="4D1BBAA5" w:rsidRDefault="00491210" w:rsidP="009C7FBB">
            <w:pPr>
              <w:rPr>
                <w:b/>
                <w:bCs/>
              </w:rPr>
            </w:pPr>
          </w:p>
        </w:tc>
        <w:tc>
          <w:tcPr>
            <w:tcW w:w="0" w:type="auto"/>
            <w:vMerge/>
          </w:tcPr>
          <w:p w14:paraId="4F640F35" w14:textId="77777777" w:rsidR="00491210" w:rsidRPr="00EF34A3" w:rsidRDefault="00491210" w:rsidP="009C7FBB">
            <w:pPr>
              <w:jc w:val="center"/>
              <w:rPr>
                <w:color w:val="000000"/>
                <w:szCs w:val="20"/>
                <w:lang w:eastAsia="en-AU"/>
              </w:rPr>
            </w:pPr>
          </w:p>
        </w:tc>
        <w:tc>
          <w:tcPr>
            <w:tcW w:w="1622" w:type="dxa"/>
          </w:tcPr>
          <w:p w14:paraId="4CA84955" w14:textId="77777777" w:rsidR="00491210" w:rsidRPr="00EF34A3" w:rsidRDefault="00EE200C" w:rsidP="009C7FBB">
            <w:pPr>
              <w:jc w:val="center"/>
              <w:rPr>
                <w:color w:val="000000"/>
                <w:szCs w:val="20"/>
                <w:lang w:eastAsia="en-AU"/>
              </w:rPr>
            </w:pPr>
            <w:r w:rsidRPr="00EF34A3">
              <w:rPr>
                <w:color w:val="000000"/>
                <w:szCs w:val="20"/>
                <w:lang w:eastAsia="en-AU"/>
              </w:rPr>
              <w:t>Option 3</w:t>
            </w:r>
          </w:p>
        </w:tc>
        <w:tc>
          <w:tcPr>
            <w:tcW w:w="1701" w:type="dxa"/>
          </w:tcPr>
          <w:p w14:paraId="6F121CFD" w14:textId="77777777" w:rsidR="00491210" w:rsidRPr="00D62F1C" w:rsidRDefault="00EE200C" w:rsidP="009C7FBB">
            <w:pPr>
              <w:tabs>
                <w:tab w:val="decimal" w:pos="851"/>
              </w:tabs>
            </w:pPr>
            <w:r w:rsidRPr="00FD5032">
              <w:t>26</w:t>
            </w:r>
          </w:p>
        </w:tc>
        <w:tc>
          <w:tcPr>
            <w:tcW w:w="1701" w:type="dxa"/>
          </w:tcPr>
          <w:p w14:paraId="24EF1152" w14:textId="4DA24C39" w:rsidR="00491210" w:rsidRDefault="00EE200C" w:rsidP="009C7FBB">
            <w:pPr>
              <w:tabs>
                <w:tab w:val="decimal" w:pos="851"/>
              </w:tabs>
            </w:pPr>
            <w:r w:rsidRPr="00FD5032">
              <w:t>8</w:t>
            </w:r>
          </w:p>
        </w:tc>
        <w:tc>
          <w:tcPr>
            <w:tcW w:w="1701" w:type="dxa"/>
          </w:tcPr>
          <w:p w14:paraId="02783090" w14:textId="0827E5F7" w:rsidR="00491210" w:rsidRDefault="00EE200C" w:rsidP="009C7FBB">
            <w:pPr>
              <w:tabs>
                <w:tab w:val="decimal" w:pos="851"/>
              </w:tabs>
            </w:pPr>
            <w:r w:rsidRPr="00354EE5">
              <w:t>28</w:t>
            </w:r>
          </w:p>
        </w:tc>
      </w:tr>
      <w:tr w:rsidR="009C7FBB" w14:paraId="0C4EC661" w14:textId="77777777" w:rsidTr="00CA3B41">
        <w:tc>
          <w:tcPr>
            <w:tcW w:w="0" w:type="auto"/>
            <w:vMerge/>
            <w:tcBorders>
              <w:top w:val="nil"/>
              <w:bottom w:val="thinThickMediumGap" w:sz="24" w:space="0" w:color="00B2A9" w:themeColor="accent1"/>
            </w:tcBorders>
          </w:tcPr>
          <w:p w14:paraId="0938AF16" w14:textId="77777777" w:rsidR="00491210" w:rsidRPr="4D1BBAA5" w:rsidRDefault="00491210" w:rsidP="009C7FBB">
            <w:pPr>
              <w:rPr>
                <w:b/>
                <w:bCs/>
              </w:rPr>
            </w:pPr>
          </w:p>
        </w:tc>
        <w:tc>
          <w:tcPr>
            <w:tcW w:w="0" w:type="auto"/>
            <w:vMerge/>
            <w:tcBorders>
              <w:bottom w:val="thinThickMediumGap" w:sz="24" w:space="0" w:color="00B2A9" w:themeColor="accent1"/>
            </w:tcBorders>
          </w:tcPr>
          <w:p w14:paraId="5EA196F6" w14:textId="77777777" w:rsidR="00491210" w:rsidRPr="00EF34A3" w:rsidRDefault="00491210" w:rsidP="009C7FBB">
            <w:pPr>
              <w:jc w:val="center"/>
              <w:rPr>
                <w:color w:val="000000"/>
                <w:szCs w:val="20"/>
                <w:lang w:eastAsia="en-AU"/>
              </w:rPr>
            </w:pPr>
          </w:p>
        </w:tc>
        <w:tc>
          <w:tcPr>
            <w:tcW w:w="1622" w:type="dxa"/>
            <w:tcBorders>
              <w:bottom w:val="thinThickMediumGap" w:sz="24" w:space="0" w:color="00B2A9" w:themeColor="accent1"/>
            </w:tcBorders>
          </w:tcPr>
          <w:p w14:paraId="78294F81" w14:textId="77777777" w:rsidR="00491210" w:rsidRPr="00EF34A3" w:rsidRDefault="00EE200C" w:rsidP="009C7FBB">
            <w:pPr>
              <w:jc w:val="center"/>
              <w:rPr>
                <w:color w:val="000000"/>
                <w:szCs w:val="20"/>
                <w:lang w:eastAsia="en-AU"/>
              </w:rPr>
            </w:pPr>
            <w:r w:rsidRPr="00EF34A3">
              <w:rPr>
                <w:color w:val="000000"/>
                <w:szCs w:val="20"/>
                <w:lang w:eastAsia="en-AU"/>
              </w:rPr>
              <w:t>Option 4</w:t>
            </w:r>
          </w:p>
        </w:tc>
        <w:tc>
          <w:tcPr>
            <w:tcW w:w="1701" w:type="dxa"/>
            <w:tcBorders>
              <w:bottom w:val="thinThickMediumGap" w:sz="24" w:space="0" w:color="00B2A9" w:themeColor="accent1"/>
            </w:tcBorders>
          </w:tcPr>
          <w:p w14:paraId="63DBF688" w14:textId="77777777" w:rsidR="00491210" w:rsidRPr="00D62F1C" w:rsidRDefault="00EE200C" w:rsidP="009C7FBB">
            <w:pPr>
              <w:tabs>
                <w:tab w:val="decimal" w:pos="851"/>
              </w:tabs>
            </w:pPr>
            <w:r w:rsidRPr="00FD5032">
              <w:t>34</w:t>
            </w:r>
          </w:p>
        </w:tc>
        <w:tc>
          <w:tcPr>
            <w:tcW w:w="1701" w:type="dxa"/>
            <w:tcBorders>
              <w:bottom w:val="thinThickMediumGap" w:sz="24" w:space="0" w:color="00B2A9" w:themeColor="accent1"/>
            </w:tcBorders>
          </w:tcPr>
          <w:p w14:paraId="088DA430" w14:textId="1A45C127" w:rsidR="00491210" w:rsidRDefault="00EE200C" w:rsidP="009C7FBB">
            <w:pPr>
              <w:tabs>
                <w:tab w:val="decimal" w:pos="851"/>
              </w:tabs>
            </w:pPr>
            <w:r w:rsidRPr="00FD5032">
              <w:t>31</w:t>
            </w:r>
          </w:p>
        </w:tc>
        <w:tc>
          <w:tcPr>
            <w:tcW w:w="1701" w:type="dxa"/>
            <w:tcBorders>
              <w:bottom w:val="thinThickMediumGap" w:sz="24" w:space="0" w:color="00B2A9" w:themeColor="accent1"/>
            </w:tcBorders>
          </w:tcPr>
          <w:p w14:paraId="3CE084AD" w14:textId="11DAA023" w:rsidR="00491210" w:rsidRDefault="00EE200C" w:rsidP="009C7FBB">
            <w:pPr>
              <w:tabs>
                <w:tab w:val="decimal" w:pos="851"/>
              </w:tabs>
            </w:pPr>
            <w:r w:rsidRPr="00354EE5">
              <w:t>43</w:t>
            </w:r>
          </w:p>
        </w:tc>
      </w:tr>
      <w:tr w:rsidR="001A57F3" w14:paraId="6D8F2DD8" w14:textId="77777777" w:rsidTr="00CA3B41">
        <w:tc>
          <w:tcPr>
            <w:tcW w:w="0" w:type="auto"/>
            <w:vMerge w:val="restart"/>
            <w:tcBorders>
              <w:top w:val="thinThickMediumGap" w:sz="24" w:space="0" w:color="00B2A9" w:themeColor="accent1"/>
            </w:tcBorders>
          </w:tcPr>
          <w:p w14:paraId="451D2F6F" w14:textId="77777777" w:rsidR="00491210" w:rsidRDefault="00EE200C" w:rsidP="00C53F5F">
            <w:pPr>
              <w:rPr>
                <w:b/>
                <w:bCs/>
              </w:rPr>
            </w:pPr>
            <w:r w:rsidRPr="4D1BBAA5">
              <w:rPr>
                <w:b/>
                <w:bCs/>
              </w:rPr>
              <w:t>Murray Cod</w:t>
            </w:r>
          </w:p>
        </w:tc>
        <w:tc>
          <w:tcPr>
            <w:tcW w:w="0" w:type="auto"/>
            <w:vMerge w:val="restart"/>
            <w:tcBorders>
              <w:top w:val="thinThickMediumGap" w:sz="24" w:space="0" w:color="00B2A9" w:themeColor="accent1"/>
            </w:tcBorders>
          </w:tcPr>
          <w:p w14:paraId="0BB19802" w14:textId="4926A230" w:rsidR="00491210" w:rsidRPr="00EF34A3" w:rsidRDefault="00EE200C" w:rsidP="00CA3B41">
            <w:pPr>
              <w:jc w:val="center"/>
              <w:rPr>
                <w:color w:val="000000"/>
                <w:szCs w:val="20"/>
                <w:lang w:eastAsia="en-AU"/>
              </w:rPr>
            </w:pPr>
            <w:r w:rsidRPr="3FC79A6E">
              <w:rPr>
                <w:color w:val="000000"/>
                <w:lang w:eastAsia="en-AU"/>
              </w:rPr>
              <w:t xml:space="preserve">Total RRCP </w:t>
            </w:r>
            <w:r>
              <w:rPr>
                <w:color w:val="000000"/>
                <w:lang w:eastAsia="en-AU"/>
              </w:rPr>
              <w:t>Populations*</w:t>
            </w:r>
          </w:p>
        </w:tc>
        <w:tc>
          <w:tcPr>
            <w:tcW w:w="1622" w:type="dxa"/>
            <w:tcBorders>
              <w:top w:val="thinThickMediumGap" w:sz="24" w:space="0" w:color="00B2A9" w:themeColor="accent1"/>
            </w:tcBorders>
          </w:tcPr>
          <w:p w14:paraId="372140AC" w14:textId="77777777" w:rsidR="00491210" w:rsidRPr="00EF34A3" w:rsidRDefault="00EE200C" w:rsidP="00CA3B41">
            <w:pPr>
              <w:jc w:val="center"/>
              <w:rPr>
                <w:szCs w:val="20"/>
              </w:rPr>
            </w:pPr>
            <w:r w:rsidRPr="00EF34A3">
              <w:rPr>
                <w:color w:val="000000"/>
                <w:szCs w:val="20"/>
                <w:lang w:eastAsia="en-AU"/>
              </w:rPr>
              <w:t>Option 1</w:t>
            </w:r>
          </w:p>
        </w:tc>
        <w:tc>
          <w:tcPr>
            <w:tcW w:w="1701" w:type="dxa"/>
            <w:tcBorders>
              <w:top w:val="thinThickMediumGap" w:sz="24" w:space="0" w:color="00B2A9" w:themeColor="accent1"/>
            </w:tcBorders>
          </w:tcPr>
          <w:p w14:paraId="11BAC5F4" w14:textId="77777777" w:rsidR="00491210" w:rsidRDefault="00EE200C" w:rsidP="00162EF1">
            <w:pPr>
              <w:tabs>
                <w:tab w:val="decimal" w:pos="851"/>
              </w:tabs>
            </w:pPr>
            <w:r w:rsidRPr="00D62F1C">
              <w:t>0</w:t>
            </w:r>
          </w:p>
        </w:tc>
        <w:tc>
          <w:tcPr>
            <w:tcW w:w="1701" w:type="dxa"/>
            <w:tcBorders>
              <w:top w:val="thinThickMediumGap" w:sz="24" w:space="0" w:color="00B2A9" w:themeColor="accent1"/>
            </w:tcBorders>
          </w:tcPr>
          <w:p w14:paraId="4548CF59" w14:textId="14FADA24" w:rsidR="00491210" w:rsidRDefault="00EE200C" w:rsidP="00162EF1">
            <w:pPr>
              <w:tabs>
                <w:tab w:val="decimal" w:pos="851"/>
              </w:tabs>
            </w:pPr>
            <w:r>
              <w:t>1</w:t>
            </w:r>
          </w:p>
        </w:tc>
        <w:tc>
          <w:tcPr>
            <w:tcW w:w="1701" w:type="dxa"/>
            <w:tcBorders>
              <w:top w:val="thinThickMediumGap" w:sz="24" w:space="0" w:color="00B2A9" w:themeColor="accent1"/>
            </w:tcBorders>
          </w:tcPr>
          <w:p w14:paraId="15475B88" w14:textId="536DE2AB" w:rsidR="00491210" w:rsidRDefault="00EE200C" w:rsidP="00162EF1">
            <w:pPr>
              <w:tabs>
                <w:tab w:val="decimal" w:pos="851"/>
              </w:tabs>
            </w:pPr>
            <w:r>
              <w:t>1</w:t>
            </w:r>
          </w:p>
        </w:tc>
      </w:tr>
      <w:tr w:rsidR="001A57F3" w14:paraId="2BBCF30F" w14:textId="77777777" w:rsidTr="00CA3B41">
        <w:tc>
          <w:tcPr>
            <w:tcW w:w="0" w:type="auto"/>
            <w:vMerge/>
          </w:tcPr>
          <w:p w14:paraId="28DEB593" w14:textId="77777777" w:rsidR="00491210" w:rsidRDefault="00491210" w:rsidP="00C53F5F"/>
        </w:tc>
        <w:tc>
          <w:tcPr>
            <w:tcW w:w="0" w:type="auto"/>
            <w:vMerge/>
          </w:tcPr>
          <w:p w14:paraId="02E896DB" w14:textId="77777777" w:rsidR="00491210" w:rsidRPr="00EF34A3" w:rsidRDefault="00491210" w:rsidP="00CA3B41">
            <w:pPr>
              <w:jc w:val="center"/>
              <w:rPr>
                <w:color w:val="000000"/>
                <w:szCs w:val="20"/>
                <w:lang w:eastAsia="en-AU"/>
              </w:rPr>
            </w:pPr>
          </w:p>
        </w:tc>
        <w:tc>
          <w:tcPr>
            <w:tcW w:w="1622" w:type="dxa"/>
            <w:tcBorders>
              <w:bottom w:val="single" w:sz="4" w:space="0" w:color="00B2A9" w:themeColor="accent1"/>
            </w:tcBorders>
          </w:tcPr>
          <w:p w14:paraId="2FF009DB" w14:textId="77777777" w:rsidR="00491210" w:rsidRPr="00EF34A3" w:rsidRDefault="00EE200C" w:rsidP="00CA3B41">
            <w:pPr>
              <w:jc w:val="center"/>
              <w:rPr>
                <w:szCs w:val="20"/>
              </w:rPr>
            </w:pPr>
            <w:r w:rsidRPr="00EF34A3">
              <w:rPr>
                <w:color w:val="000000"/>
                <w:szCs w:val="20"/>
                <w:lang w:eastAsia="en-AU"/>
              </w:rPr>
              <w:t>Option 2</w:t>
            </w:r>
          </w:p>
        </w:tc>
        <w:tc>
          <w:tcPr>
            <w:tcW w:w="1701" w:type="dxa"/>
            <w:tcBorders>
              <w:bottom w:val="single" w:sz="4" w:space="0" w:color="00B2A9" w:themeColor="accent1"/>
            </w:tcBorders>
          </w:tcPr>
          <w:p w14:paraId="26B6D62D" w14:textId="77777777" w:rsidR="00491210" w:rsidRDefault="00EE200C" w:rsidP="00162EF1">
            <w:pPr>
              <w:tabs>
                <w:tab w:val="decimal" w:pos="851"/>
              </w:tabs>
            </w:pPr>
            <w:r w:rsidRPr="00D62F1C">
              <w:t>0</w:t>
            </w:r>
          </w:p>
        </w:tc>
        <w:tc>
          <w:tcPr>
            <w:tcW w:w="1701" w:type="dxa"/>
            <w:tcBorders>
              <w:bottom w:val="single" w:sz="4" w:space="0" w:color="00B2A9" w:themeColor="accent1"/>
            </w:tcBorders>
          </w:tcPr>
          <w:p w14:paraId="4F434EFE" w14:textId="70F58939" w:rsidR="00491210" w:rsidRDefault="00EE200C" w:rsidP="00162EF1">
            <w:pPr>
              <w:tabs>
                <w:tab w:val="decimal" w:pos="851"/>
              </w:tabs>
              <w:spacing w:line="259" w:lineRule="auto"/>
            </w:pPr>
            <w:r>
              <w:t>1</w:t>
            </w:r>
          </w:p>
        </w:tc>
        <w:tc>
          <w:tcPr>
            <w:tcW w:w="1701" w:type="dxa"/>
            <w:tcBorders>
              <w:bottom w:val="single" w:sz="4" w:space="0" w:color="00B2A9" w:themeColor="accent1"/>
            </w:tcBorders>
          </w:tcPr>
          <w:p w14:paraId="643A4D86" w14:textId="6D6A543A" w:rsidR="00491210" w:rsidRDefault="00EE200C" w:rsidP="00162EF1">
            <w:pPr>
              <w:tabs>
                <w:tab w:val="decimal" w:pos="851"/>
              </w:tabs>
            </w:pPr>
            <w:r>
              <w:t>2</w:t>
            </w:r>
          </w:p>
        </w:tc>
      </w:tr>
      <w:tr w:rsidR="001A57F3" w14:paraId="72CF3C79" w14:textId="77777777" w:rsidTr="00CA3B41">
        <w:tc>
          <w:tcPr>
            <w:tcW w:w="0" w:type="auto"/>
            <w:vMerge/>
          </w:tcPr>
          <w:p w14:paraId="0AC55713" w14:textId="77777777" w:rsidR="00491210" w:rsidRDefault="00491210" w:rsidP="00C53F5F"/>
        </w:tc>
        <w:tc>
          <w:tcPr>
            <w:tcW w:w="0" w:type="auto"/>
            <w:vMerge/>
          </w:tcPr>
          <w:p w14:paraId="4FAA3876" w14:textId="77777777" w:rsidR="00491210" w:rsidRPr="00EF34A3" w:rsidRDefault="00491210" w:rsidP="00CA3B41">
            <w:pPr>
              <w:jc w:val="center"/>
              <w:rPr>
                <w:color w:val="000000"/>
                <w:szCs w:val="20"/>
                <w:lang w:eastAsia="en-AU"/>
              </w:rPr>
            </w:pPr>
          </w:p>
        </w:tc>
        <w:tc>
          <w:tcPr>
            <w:tcW w:w="1622" w:type="dxa"/>
            <w:tcBorders>
              <w:top w:val="single" w:sz="4" w:space="0" w:color="00B2A9" w:themeColor="accent1"/>
            </w:tcBorders>
          </w:tcPr>
          <w:p w14:paraId="5044E86C" w14:textId="77777777" w:rsidR="00491210" w:rsidRPr="00EF34A3" w:rsidRDefault="00EE200C" w:rsidP="00CA3B41">
            <w:pPr>
              <w:jc w:val="center"/>
              <w:rPr>
                <w:szCs w:val="20"/>
              </w:rPr>
            </w:pPr>
            <w:r w:rsidRPr="00EF34A3">
              <w:rPr>
                <w:color w:val="000000"/>
                <w:szCs w:val="20"/>
                <w:lang w:eastAsia="en-AU"/>
              </w:rPr>
              <w:t>Option 3</w:t>
            </w:r>
          </w:p>
        </w:tc>
        <w:tc>
          <w:tcPr>
            <w:tcW w:w="1701" w:type="dxa"/>
            <w:tcBorders>
              <w:top w:val="single" w:sz="4" w:space="0" w:color="00B2A9" w:themeColor="accent1"/>
            </w:tcBorders>
          </w:tcPr>
          <w:p w14:paraId="7E95641A" w14:textId="77777777" w:rsidR="00491210" w:rsidRDefault="00EE200C" w:rsidP="00162EF1">
            <w:pPr>
              <w:tabs>
                <w:tab w:val="decimal" w:pos="851"/>
              </w:tabs>
            </w:pPr>
            <w:r w:rsidRPr="00D62F1C">
              <w:t>0</w:t>
            </w:r>
          </w:p>
        </w:tc>
        <w:tc>
          <w:tcPr>
            <w:tcW w:w="1701" w:type="dxa"/>
            <w:tcBorders>
              <w:top w:val="single" w:sz="4" w:space="0" w:color="00B2A9" w:themeColor="accent1"/>
            </w:tcBorders>
          </w:tcPr>
          <w:p w14:paraId="442E36BA" w14:textId="0BC4266E" w:rsidR="00491210" w:rsidRDefault="00EE200C" w:rsidP="00162EF1">
            <w:pPr>
              <w:tabs>
                <w:tab w:val="decimal" w:pos="851"/>
              </w:tabs>
            </w:pPr>
            <w:r>
              <w:t>0</w:t>
            </w:r>
          </w:p>
        </w:tc>
        <w:tc>
          <w:tcPr>
            <w:tcW w:w="1701" w:type="dxa"/>
            <w:tcBorders>
              <w:top w:val="single" w:sz="4" w:space="0" w:color="00B2A9" w:themeColor="accent1"/>
            </w:tcBorders>
          </w:tcPr>
          <w:p w14:paraId="3BF64C05" w14:textId="3BC7B252" w:rsidR="00491210" w:rsidRDefault="00EE200C" w:rsidP="00162EF1">
            <w:pPr>
              <w:tabs>
                <w:tab w:val="decimal" w:pos="851"/>
              </w:tabs>
            </w:pPr>
            <w:r>
              <w:t>0</w:t>
            </w:r>
          </w:p>
        </w:tc>
      </w:tr>
      <w:tr w:rsidR="001A57F3" w14:paraId="69772718" w14:textId="77777777" w:rsidTr="00CA3B41">
        <w:tc>
          <w:tcPr>
            <w:tcW w:w="0" w:type="auto"/>
            <w:vMerge/>
            <w:tcBorders>
              <w:bottom w:val="double" w:sz="4" w:space="0" w:color="00B2A9" w:themeColor="accent1"/>
            </w:tcBorders>
          </w:tcPr>
          <w:p w14:paraId="134FD3F0" w14:textId="77777777" w:rsidR="00491210" w:rsidRDefault="00491210" w:rsidP="00C53F5F"/>
        </w:tc>
        <w:tc>
          <w:tcPr>
            <w:tcW w:w="0" w:type="auto"/>
            <w:vMerge/>
            <w:tcBorders>
              <w:bottom w:val="double" w:sz="4" w:space="0" w:color="00B2A9" w:themeColor="accent1"/>
            </w:tcBorders>
          </w:tcPr>
          <w:p w14:paraId="788259E7" w14:textId="77777777" w:rsidR="00491210" w:rsidRPr="00EF34A3" w:rsidRDefault="00491210" w:rsidP="00CA3B41">
            <w:pPr>
              <w:jc w:val="center"/>
              <w:rPr>
                <w:color w:val="000000"/>
                <w:szCs w:val="20"/>
                <w:lang w:eastAsia="en-AU"/>
              </w:rPr>
            </w:pPr>
          </w:p>
        </w:tc>
        <w:tc>
          <w:tcPr>
            <w:tcW w:w="1622" w:type="dxa"/>
            <w:tcBorders>
              <w:bottom w:val="double" w:sz="4" w:space="0" w:color="00B2A9" w:themeColor="accent1"/>
            </w:tcBorders>
          </w:tcPr>
          <w:p w14:paraId="3BBFEA34" w14:textId="77777777" w:rsidR="00491210" w:rsidRPr="00EF34A3" w:rsidRDefault="00EE200C" w:rsidP="00CA3B41">
            <w:pPr>
              <w:jc w:val="center"/>
              <w:rPr>
                <w:szCs w:val="20"/>
              </w:rPr>
            </w:pPr>
            <w:r w:rsidRPr="00EF34A3">
              <w:rPr>
                <w:color w:val="000000"/>
                <w:szCs w:val="20"/>
                <w:lang w:eastAsia="en-AU"/>
              </w:rPr>
              <w:t>Option 4</w:t>
            </w:r>
          </w:p>
        </w:tc>
        <w:tc>
          <w:tcPr>
            <w:tcW w:w="1701" w:type="dxa"/>
            <w:tcBorders>
              <w:bottom w:val="double" w:sz="4" w:space="0" w:color="00B2A9" w:themeColor="accent1"/>
            </w:tcBorders>
          </w:tcPr>
          <w:p w14:paraId="4C88AD53" w14:textId="77777777" w:rsidR="00491210" w:rsidRDefault="00EE200C" w:rsidP="00162EF1">
            <w:pPr>
              <w:tabs>
                <w:tab w:val="decimal" w:pos="851"/>
              </w:tabs>
            </w:pPr>
            <w:r>
              <w:t>0</w:t>
            </w:r>
          </w:p>
        </w:tc>
        <w:tc>
          <w:tcPr>
            <w:tcW w:w="1701" w:type="dxa"/>
            <w:tcBorders>
              <w:bottom w:val="double" w:sz="4" w:space="0" w:color="00B2A9" w:themeColor="accent1"/>
            </w:tcBorders>
          </w:tcPr>
          <w:p w14:paraId="326E1A3A" w14:textId="3D83868B" w:rsidR="00491210" w:rsidRDefault="00EE200C" w:rsidP="00162EF1">
            <w:pPr>
              <w:tabs>
                <w:tab w:val="decimal" w:pos="851"/>
              </w:tabs>
            </w:pPr>
            <w:r>
              <w:t>1</w:t>
            </w:r>
          </w:p>
        </w:tc>
        <w:tc>
          <w:tcPr>
            <w:tcW w:w="1701" w:type="dxa"/>
            <w:tcBorders>
              <w:bottom w:val="double" w:sz="4" w:space="0" w:color="00B2A9" w:themeColor="accent1"/>
            </w:tcBorders>
          </w:tcPr>
          <w:p w14:paraId="44F0EB14" w14:textId="57F8AA54" w:rsidR="00491210" w:rsidRDefault="00EE200C" w:rsidP="00162EF1">
            <w:pPr>
              <w:tabs>
                <w:tab w:val="decimal" w:pos="851"/>
              </w:tabs>
            </w:pPr>
            <w:r>
              <w:t>1</w:t>
            </w:r>
          </w:p>
        </w:tc>
      </w:tr>
      <w:tr w:rsidR="009C7FBB" w14:paraId="1CA1C714" w14:textId="77777777" w:rsidTr="00CA3B41">
        <w:tc>
          <w:tcPr>
            <w:tcW w:w="0" w:type="auto"/>
            <w:vMerge w:val="restart"/>
            <w:tcBorders>
              <w:top w:val="double" w:sz="4" w:space="0" w:color="00B2A9" w:themeColor="accent1"/>
            </w:tcBorders>
          </w:tcPr>
          <w:p w14:paraId="1B23B2D7" w14:textId="77777777" w:rsidR="00491210" w:rsidRDefault="00491210" w:rsidP="009C7FBB"/>
        </w:tc>
        <w:tc>
          <w:tcPr>
            <w:tcW w:w="0" w:type="auto"/>
            <w:vMerge w:val="restart"/>
            <w:tcBorders>
              <w:top w:val="double" w:sz="4" w:space="0" w:color="00B2A9" w:themeColor="accent1"/>
            </w:tcBorders>
          </w:tcPr>
          <w:p w14:paraId="4390A3E5" w14:textId="77777777" w:rsidR="00491210" w:rsidRDefault="00EE200C" w:rsidP="009C7FBB">
            <w:pPr>
              <w:jc w:val="center"/>
              <w:rPr>
                <w:color w:val="000000"/>
                <w:szCs w:val="20"/>
                <w:lang w:eastAsia="en-AU"/>
              </w:rPr>
            </w:pPr>
            <w:r>
              <w:rPr>
                <w:color w:val="000000"/>
                <w:szCs w:val="20"/>
                <w:lang w:eastAsia="en-AU"/>
              </w:rPr>
              <w:t>Murray River</w:t>
            </w:r>
          </w:p>
        </w:tc>
        <w:tc>
          <w:tcPr>
            <w:tcW w:w="1622" w:type="dxa"/>
            <w:tcBorders>
              <w:top w:val="double" w:sz="4" w:space="0" w:color="00B2A9" w:themeColor="accent1"/>
            </w:tcBorders>
          </w:tcPr>
          <w:p w14:paraId="1EEC4E1A" w14:textId="77777777" w:rsidR="00491210" w:rsidRPr="00EF34A3" w:rsidRDefault="00EE200C" w:rsidP="009C7FBB">
            <w:pPr>
              <w:jc w:val="center"/>
              <w:rPr>
                <w:color w:val="000000"/>
                <w:szCs w:val="20"/>
                <w:lang w:eastAsia="en-AU"/>
              </w:rPr>
            </w:pPr>
            <w:r w:rsidRPr="00EF34A3">
              <w:rPr>
                <w:color w:val="000000"/>
                <w:szCs w:val="20"/>
                <w:lang w:eastAsia="en-AU"/>
              </w:rPr>
              <w:t>Option 1</w:t>
            </w:r>
          </w:p>
        </w:tc>
        <w:tc>
          <w:tcPr>
            <w:tcW w:w="1701" w:type="dxa"/>
            <w:tcBorders>
              <w:top w:val="double" w:sz="4" w:space="0" w:color="00B2A9" w:themeColor="accent1"/>
            </w:tcBorders>
          </w:tcPr>
          <w:p w14:paraId="6A7D00FA" w14:textId="77777777" w:rsidR="00491210" w:rsidRDefault="00EE200C" w:rsidP="009C7FBB">
            <w:pPr>
              <w:tabs>
                <w:tab w:val="decimal" w:pos="851"/>
              </w:tabs>
            </w:pPr>
            <w:r w:rsidRPr="00262C80">
              <w:t>1</w:t>
            </w:r>
          </w:p>
        </w:tc>
        <w:tc>
          <w:tcPr>
            <w:tcW w:w="1701" w:type="dxa"/>
            <w:tcBorders>
              <w:top w:val="double" w:sz="4" w:space="0" w:color="00B2A9" w:themeColor="accent1"/>
            </w:tcBorders>
          </w:tcPr>
          <w:p w14:paraId="589B663D" w14:textId="519D0940" w:rsidR="00491210" w:rsidRDefault="00EE200C" w:rsidP="009C7FBB">
            <w:pPr>
              <w:tabs>
                <w:tab w:val="decimal" w:pos="851"/>
              </w:tabs>
            </w:pPr>
            <w:r w:rsidRPr="00262C80">
              <w:t>2</w:t>
            </w:r>
          </w:p>
        </w:tc>
        <w:tc>
          <w:tcPr>
            <w:tcW w:w="1701" w:type="dxa"/>
            <w:tcBorders>
              <w:top w:val="double" w:sz="4" w:space="0" w:color="00B2A9" w:themeColor="accent1"/>
            </w:tcBorders>
          </w:tcPr>
          <w:p w14:paraId="5CAE0FD2" w14:textId="77777777" w:rsidR="00491210" w:rsidRDefault="00EE200C" w:rsidP="009C7FBB">
            <w:pPr>
              <w:tabs>
                <w:tab w:val="decimal" w:pos="851"/>
              </w:tabs>
            </w:pPr>
            <w:r w:rsidRPr="00262C80">
              <w:t>2</w:t>
            </w:r>
          </w:p>
        </w:tc>
      </w:tr>
      <w:tr w:rsidR="009C7FBB" w14:paraId="1822181E" w14:textId="77777777" w:rsidTr="00CA3B41">
        <w:tc>
          <w:tcPr>
            <w:tcW w:w="0" w:type="auto"/>
            <w:vMerge/>
          </w:tcPr>
          <w:p w14:paraId="055F114D" w14:textId="77777777" w:rsidR="00491210" w:rsidRDefault="00491210" w:rsidP="009C7FBB">
            <w:pPr>
              <w:jc w:val="center"/>
            </w:pPr>
          </w:p>
        </w:tc>
        <w:tc>
          <w:tcPr>
            <w:tcW w:w="0" w:type="auto"/>
            <w:vMerge/>
          </w:tcPr>
          <w:p w14:paraId="2B2771F1" w14:textId="77777777" w:rsidR="00491210" w:rsidRDefault="00491210" w:rsidP="009C7FBB">
            <w:pPr>
              <w:jc w:val="center"/>
              <w:rPr>
                <w:color w:val="000000"/>
                <w:szCs w:val="20"/>
                <w:lang w:eastAsia="en-AU"/>
              </w:rPr>
            </w:pPr>
          </w:p>
        </w:tc>
        <w:tc>
          <w:tcPr>
            <w:tcW w:w="1622" w:type="dxa"/>
          </w:tcPr>
          <w:p w14:paraId="234B0285" w14:textId="77777777" w:rsidR="00491210" w:rsidRPr="00EF34A3" w:rsidRDefault="00EE200C" w:rsidP="009C7FBB">
            <w:pPr>
              <w:jc w:val="center"/>
              <w:rPr>
                <w:color w:val="000000"/>
                <w:szCs w:val="20"/>
                <w:lang w:eastAsia="en-AU"/>
              </w:rPr>
            </w:pPr>
            <w:r w:rsidRPr="00EF34A3">
              <w:rPr>
                <w:color w:val="000000"/>
                <w:szCs w:val="20"/>
                <w:lang w:eastAsia="en-AU"/>
              </w:rPr>
              <w:t>Option 2</w:t>
            </w:r>
          </w:p>
        </w:tc>
        <w:tc>
          <w:tcPr>
            <w:tcW w:w="1701" w:type="dxa"/>
          </w:tcPr>
          <w:p w14:paraId="0FAC653D" w14:textId="77777777" w:rsidR="00491210" w:rsidRDefault="00EE200C" w:rsidP="009C7FBB">
            <w:pPr>
              <w:tabs>
                <w:tab w:val="decimal" w:pos="851"/>
              </w:tabs>
            </w:pPr>
            <w:r w:rsidRPr="00262C80">
              <w:t>1</w:t>
            </w:r>
          </w:p>
        </w:tc>
        <w:tc>
          <w:tcPr>
            <w:tcW w:w="1701" w:type="dxa"/>
          </w:tcPr>
          <w:p w14:paraId="63B47C1F" w14:textId="041C08F1" w:rsidR="00491210" w:rsidRDefault="00EE200C" w:rsidP="009C7FBB">
            <w:pPr>
              <w:tabs>
                <w:tab w:val="decimal" w:pos="851"/>
              </w:tabs>
            </w:pPr>
            <w:r w:rsidRPr="00262C80">
              <w:t>2</w:t>
            </w:r>
          </w:p>
        </w:tc>
        <w:tc>
          <w:tcPr>
            <w:tcW w:w="1701" w:type="dxa"/>
          </w:tcPr>
          <w:p w14:paraId="1E0A9C7D" w14:textId="77777777" w:rsidR="00491210" w:rsidRDefault="00EE200C" w:rsidP="009C7FBB">
            <w:pPr>
              <w:tabs>
                <w:tab w:val="decimal" w:pos="851"/>
              </w:tabs>
            </w:pPr>
            <w:r w:rsidRPr="00262C80">
              <w:t>2</w:t>
            </w:r>
          </w:p>
        </w:tc>
      </w:tr>
      <w:tr w:rsidR="009C7FBB" w14:paraId="4E4470DF" w14:textId="77777777" w:rsidTr="00CA3B41">
        <w:tc>
          <w:tcPr>
            <w:tcW w:w="0" w:type="auto"/>
            <w:vMerge/>
          </w:tcPr>
          <w:p w14:paraId="6F03ECEB" w14:textId="77777777" w:rsidR="00491210" w:rsidRDefault="00491210" w:rsidP="009C7FBB">
            <w:pPr>
              <w:jc w:val="center"/>
            </w:pPr>
          </w:p>
        </w:tc>
        <w:tc>
          <w:tcPr>
            <w:tcW w:w="0" w:type="auto"/>
            <w:vMerge/>
          </w:tcPr>
          <w:p w14:paraId="04A4F227" w14:textId="77777777" w:rsidR="00491210" w:rsidRDefault="00491210" w:rsidP="009C7FBB">
            <w:pPr>
              <w:jc w:val="center"/>
              <w:rPr>
                <w:color w:val="000000"/>
                <w:szCs w:val="20"/>
                <w:lang w:eastAsia="en-AU"/>
              </w:rPr>
            </w:pPr>
          </w:p>
        </w:tc>
        <w:tc>
          <w:tcPr>
            <w:tcW w:w="1622" w:type="dxa"/>
          </w:tcPr>
          <w:p w14:paraId="46EA8288" w14:textId="77777777" w:rsidR="00491210" w:rsidRPr="00EF34A3" w:rsidRDefault="00EE200C" w:rsidP="009C7FBB">
            <w:pPr>
              <w:jc w:val="center"/>
              <w:rPr>
                <w:color w:val="000000"/>
                <w:szCs w:val="20"/>
                <w:lang w:eastAsia="en-AU"/>
              </w:rPr>
            </w:pPr>
            <w:r w:rsidRPr="00EF34A3">
              <w:rPr>
                <w:color w:val="000000"/>
                <w:szCs w:val="20"/>
                <w:lang w:eastAsia="en-AU"/>
              </w:rPr>
              <w:t>Option 3</w:t>
            </w:r>
          </w:p>
        </w:tc>
        <w:tc>
          <w:tcPr>
            <w:tcW w:w="1701" w:type="dxa"/>
          </w:tcPr>
          <w:p w14:paraId="2D9E765F" w14:textId="77777777" w:rsidR="00491210" w:rsidRDefault="00EE200C" w:rsidP="009C7FBB">
            <w:pPr>
              <w:tabs>
                <w:tab w:val="decimal" w:pos="851"/>
              </w:tabs>
            </w:pPr>
            <w:r w:rsidRPr="00262C80">
              <w:t>0</w:t>
            </w:r>
          </w:p>
        </w:tc>
        <w:tc>
          <w:tcPr>
            <w:tcW w:w="1701" w:type="dxa"/>
          </w:tcPr>
          <w:p w14:paraId="332FE19F" w14:textId="10694161" w:rsidR="00491210" w:rsidRDefault="00EE200C" w:rsidP="009C7FBB">
            <w:pPr>
              <w:tabs>
                <w:tab w:val="decimal" w:pos="851"/>
              </w:tabs>
            </w:pPr>
            <w:r>
              <w:t>0</w:t>
            </w:r>
          </w:p>
        </w:tc>
        <w:tc>
          <w:tcPr>
            <w:tcW w:w="1701" w:type="dxa"/>
          </w:tcPr>
          <w:p w14:paraId="4EEF52B3" w14:textId="77777777" w:rsidR="00491210" w:rsidRDefault="00EE200C" w:rsidP="009C7FBB">
            <w:pPr>
              <w:tabs>
                <w:tab w:val="decimal" w:pos="851"/>
              </w:tabs>
            </w:pPr>
            <w:r w:rsidRPr="00262C80">
              <w:t>1</w:t>
            </w:r>
          </w:p>
        </w:tc>
      </w:tr>
      <w:tr w:rsidR="009C7FBB" w14:paraId="6E5665C4" w14:textId="77777777" w:rsidTr="00CA3B41">
        <w:tc>
          <w:tcPr>
            <w:tcW w:w="0" w:type="auto"/>
            <w:vMerge/>
          </w:tcPr>
          <w:p w14:paraId="32AAFEAB" w14:textId="77777777" w:rsidR="00491210" w:rsidRDefault="00491210" w:rsidP="009C7FBB">
            <w:pPr>
              <w:jc w:val="center"/>
            </w:pPr>
          </w:p>
        </w:tc>
        <w:tc>
          <w:tcPr>
            <w:tcW w:w="0" w:type="auto"/>
            <w:vMerge/>
            <w:tcBorders>
              <w:bottom w:val="double" w:sz="4" w:space="0" w:color="00B2A9" w:themeColor="accent1"/>
            </w:tcBorders>
          </w:tcPr>
          <w:p w14:paraId="64F8AFEC" w14:textId="77777777" w:rsidR="00491210" w:rsidRDefault="00491210" w:rsidP="009C7FBB">
            <w:pPr>
              <w:jc w:val="center"/>
              <w:rPr>
                <w:color w:val="000000"/>
                <w:szCs w:val="20"/>
                <w:lang w:eastAsia="en-AU"/>
              </w:rPr>
            </w:pPr>
          </w:p>
        </w:tc>
        <w:tc>
          <w:tcPr>
            <w:tcW w:w="1622" w:type="dxa"/>
            <w:tcBorders>
              <w:bottom w:val="double" w:sz="4" w:space="0" w:color="00B2A9" w:themeColor="accent1"/>
            </w:tcBorders>
          </w:tcPr>
          <w:p w14:paraId="3381EDB7" w14:textId="77777777" w:rsidR="00491210" w:rsidRPr="00EF34A3" w:rsidRDefault="00EE200C" w:rsidP="009C7FBB">
            <w:pPr>
              <w:jc w:val="center"/>
              <w:rPr>
                <w:color w:val="000000"/>
                <w:szCs w:val="20"/>
                <w:lang w:eastAsia="en-AU"/>
              </w:rPr>
            </w:pPr>
            <w:r w:rsidRPr="00EF34A3">
              <w:rPr>
                <w:color w:val="000000"/>
                <w:szCs w:val="20"/>
                <w:lang w:eastAsia="en-AU"/>
              </w:rPr>
              <w:t>Option 4</w:t>
            </w:r>
          </w:p>
        </w:tc>
        <w:tc>
          <w:tcPr>
            <w:tcW w:w="1701" w:type="dxa"/>
            <w:tcBorders>
              <w:bottom w:val="double" w:sz="4" w:space="0" w:color="00B2A9" w:themeColor="accent1"/>
            </w:tcBorders>
          </w:tcPr>
          <w:p w14:paraId="1A895E6C" w14:textId="77777777" w:rsidR="00491210" w:rsidRDefault="00EE200C" w:rsidP="009C7FBB">
            <w:pPr>
              <w:tabs>
                <w:tab w:val="decimal" w:pos="851"/>
              </w:tabs>
            </w:pPr>
            <w:r w:rsidRPr="00262C80">
              <w:t>0</w:t>
            </w:r>
          </w:p>
        </w:tc>
        <w:tc>
          <w:tcPr>
            <w:tcW w:w="1701" w:type="dxa"/>
            <w:tcBorders>
              <w:bottom w:val="double" w:sz="4" w:space="0" w:color="00B2A9" w:themeColor="accent1"/>
            </w:tcBorders>
          </w:tcPr>
          <w:p w14:paraId="22F82004" w14:textId="3AF62026" w:rsidR="00491210" w:rsidRDefault="00EE200C" w:rsidP="009C7FBB">
            <w:pPr>
              <w:tabs>
                <w:tab w:val="decimal" w:pos="851"/>
              </w:tabs>
            </w:pPr>
            <w:r w:rsidRPr="00262C80">
              <w:t>2</w:t>
            </w:r>
          </w:p>
        </w:tc>
        <w:tc>
          <w:tcPr>
            <w:tcW w:w="1701" w:type="dxa"/>
            <w:tcBorders>
              <w:bottom w:val="double" w:sz="4" w:space="0" w:color="00B2A9" w:themeColor="accent1"/>
            </w:tcBorders>
          </w:tcPr>
          <w:p w14:paraId="23F0F792" w14:textId="77777777" w:rsidR="00491210" w:rsidRDefault="00EE200C" w:rsidP="009C7FBB">
            <w:pPr>
              <w:tabs>
                <w:tab w:val="decimal" w:pos="851"/>
              </w:tabs>
            </w:pPr>
            <w:r w:rsidRPr="00262C80">
              <w:t>2</w:t>
            </w:r>
          </w:p>
        </w:tc>
      </w:tr>
      <w:tr w:rsidR="001A57F3" w14:paraId="3B6ABA31" w14:textId="77777777" w:rsidTr="00CA3B41">
        <w:tc>
          <w:tcPr>
            <w:tcW w:w="0" w:type="auto"/>
            <w:vMerge/>
          </w:tcPr>
          <w:p w14:paraId="038B0638" w14:textId="77777777" w:rsidR="00491210" w:rsidRDefault="00491210" w:rsidP="00CA3B41">
            <w:pPr>
              <w:jc w:val="center"/>
            </w:pPr>
          </w:p>
        </w:tc>
        <w:tc>
          <w:tcPr>
            <w:tcW w:w="0" w:type="auto"/>
            <w:vMerge w:val="restart"/>
            <w:tcBorders>
              <w:top w:val="double" w:sz="4" w:space="0" w:color="00B2A9" w:themeColor="accent1"/>
            </w:tcBorders>
          </w:tcPr>
          <w:p w14:paraId="077A491F" w14:textId="1B02ADB8" w:rsidR="00491210" w:rsidRDefault="00EE200C" w:rsidP="00CA3B41">
            <w:pPr>
              <w:jc w:val="center"/>
              <w:rPr>
                <w:color w:val="000000"/>
                <w:szCs w:val="20"/>
                <w:lang w:eastAsia="en-AU"/>
              </w:rPr>
            </w:pPr>
            <w:r>
              <w:rPr>
                <w:color w:val="000000"/>
                <w:szCs w:val="20"/>
                <w:lang w:eastAsia="en-AU"/>
              </w:rPr>
              <w:t>Murrumbidgee River</w:t>
            </w:r>
          </w:p>
        </w:tc>
        <w:tc>
          <w:tcPr>
            <w:tcW w:w="1622" w:type="dxa"/>
            <w:tcBorders>
              <w:top w:val="double" w:sz="4" w:space="0" w:color="00B2A9" w:themeColor="accent1"/>
            </w:tcBorders>
          </w:tcPr>
          <w:p w14:paraId="7953D544" w14:textId="77777777" w:rsidR="00491210" w:rsidRPr="00EF34A3" w:rsidRDefault="00EE200C" w:rsidP="00CA3B41">
            <w:pPr>
              <w:jc w:val="center"/>
              <w:rPr>
                <w:color w:val="000000"/>
                <w:szCs w:val="20"/>
                <w:lang w:eastAsia="en-AU"/>
              </w:rPr>
            </w:pPr>
            <w:r w:rsidRPr="00EF34A3">
              <w:rPr>
                <w:color w:val="000000"/>
                <w:szCs w:val="20"/>
                <w:lang w:eastAsia="en-AU"/>
              </w:rPr>
              <w:t>Option 1</w:t>
            </w:r>
          </w:p>
        </w:tc>
        <w:tc>
          <w:tcPr>
            <w:tcW w:w="1701" w:type="dxa"/>
            <w:tcBorders>
              <w:top w:val="double" w:sz="4" w:space="0" w:color="00B2A9" w:themeColor="accent1"/>
            </w:tcBorders>
          </w:tcPr>
          <w:p w14:paraId="20299BF3" w14:textId="77777777" w:rsidR="00491210" w:rsidRDefault="00EE200C" w:rsidP="00162EF1">
            <w:pPr>
              <w:tabs>
                <w:tab w:val="decimal" w:pos="851"/>
              </w:tabs>
            </w:pPr>
            <w:r w:rsidRPr="00262C80">
              <w:t>0</w:t>
            </w:r>
          </w:p>
        </w:tc>
        <w:tc>
          <w:tcPr>
            <w:tcW w:w="1701" w:type="dxa"/>
            <w:tcBorders>
              <w:top w:val="double" w:sz="4" w:space="0" w:color="00B2A9" w:themeColor="accent1"/>
            </w:tcBorders>
          </w:tcPr>
          <w:p w14:paraId="775071B2" w14:textId="77777777" w:rsidR="00491210" w:rsidRDefault="00EE200C" w:rsidP="00162EF1">
            <w:pPr>
              <w:tabs>
                <w:tab w:val="decimal" w:pos="851"/>
              </w:tabs>
            </w:pPr>
            <w:r w:rsidRPr="00262C80">
              <w:t>0</w:t>
            </w:r>
          </w:p>
        </w:tc>
        <w:tc>
          <w:tcPr>
            <w:tcW w:w="1701" w:type="dxa"/>
            <w:tcBorders>
              <w:top w:val="double" w:sz="4" w:space="0" w:color="00B2A9" w:themeColor="accent1"/>
            </w:tcBorders>
          </w:tcPr>
          <w:p w14:paraId="6426B13F" w14:textId="078F745D" w:rsidR="00491210" w:rsidRDefault="00EE200C" w:rsidP="00162EF1">
            <w:pPr>
              <w:tabs>
                <w:tab w:val="decimal" w:pos="851"/>
              </w:tabs>
            </w:pPr>
            <w:r>
              <w:t>–</w:t>
            </w:r>
            <w:r w:rsidRPr="00262C80">
              <w:t>2</w:t>
            </w:r>
          </w:p>
        </w:tc>
      </w:tr>
      <w:tr w:rsidR="001A57F3" w14:paraId="13F2282F" w14:textId="77777777" w:rsidTr="00CA3B41">
        <w:tc>
          <w:tcPr>
            <w:tcW w:w="0" w:type="auto"/>
            <w:vMerge/>
          </w:tcPr>
          <w:p w14:paraId="0875D0C2" w14:textId="77777777" w:rsidR="00491210" w:rsidRDefault="00491210" w:rsidP="00CA3B41">
            <w:pPr>
              <w:jc w:val="center"/>
            </w:pPr>
          </w:p>
        </w:tc>
        <w:tc>
          <w:tcPr>
            <w:tcW w:w="0" w:type="auto"/>
            <w:vMerge/>
          </w:tcPr>
          <w:p w14:paraId="2AD6459F" w14:textId="77777777" w:rsidR="00491210" w:rsidRDefault="00491210" w:rsidP="00CA3B41">
            <w:pPr>
              <w:jc w:val="center"/>
              <w:rPr>
                <w:color w:val="000000"/>
                <w:szCs w:val="20"/>
                <w:lang w:eastAsia="en-AU"/>
              </w:rPr>
            </w:pPr>
          </w:p>
        </w:tc>
        <w:tc>
          <w:tcPr>
            <w:tcW w:w="1622" w:type="dxa"/>
          </w:tcPr>
          <w:p w14:paraId="79399F81" w14:textId="77777777" w:rsidR="00491210" w:rsidRPr="00EF34A3" w:rsidRDefault="00EE200C" w:rsidP="00CA3B41">
            <w:pPr>
              <w:jc w:val="center"/>
              <w:rPr>
                <w:color w:val="000000"/>
                <w:szCs w:val="20"/>
                <w:lang w:eastAsia="en-AU"/>
              </w:rPr>
            </w:pPr>
            <w:r w:rsidRPr="00EF34A3">
              <w:rPr>
                <w:color w:val="000000"/>
                <w:szCs w:val="20"/>
                <w:lang w:eastAsia="en-AU"/>
              </w:rPr>
              <w:t>Option 2</w:t>
            </w:r>
          </w:p>
        </w:tc>
        <w:tc>
          <w:tcPr>
            <w:tcW w:w="1701" w:type="dxa"/>
          </w:tcPr>
          <w:p w14:paraId="32A9014A" w14:textId="77777777" w:rsidR="00491210" w:rsidRDefault="00EE200C" w:rsidP="00162EF1">
            <w:pPr>
              <w:tabs>
                <w:tab w:val="decimal" w:pos="851"/>
              </w:tabs>
            </w:pPr>
            <w:r w:rsidRPr="00262C80">
              <w:t>0</w:t>
            </w:r>
          </w:p>
        </w:tc>
        <w:tc>
          <w:tcPr>
            <w:tcW w:w="1701" w:type="dxa"/>
          </w:tcPr>
          <w:p w14:paraId="18A33D3E" w14:textId="77777777" w:rsidR="00491210" w:rsidRDefault="00EE200C" w:rsidP="00162EF1">
            <w:pPr>
              <w:tabs>
                <w:tab w:val="decimal" w:pos="851"/>
              </w:tabs>
            </w:pPr>
            <w:r w:rsidRPr="00262C80">
              <w:t>0</w:t>
            </w:r>
          </w:p>
        </w:tc>
        <w:tc>
          <w:tcPr>
            <w:tcW w:w="1701" w:type="dxa"/>
          </w:tcPr>
          <w:p w14:paraId="49712055" w14:textId="0284401C" w:rsidR="00491210" w:rsidRDefault="00EE200C" w:rsidP="00162EF1">
            <w:pPr>
              <w:tabs>
                <w:tab w:val="decimal" w:pos="851"/>
              </w:tabs>
            </w:pPr>
            <w:r>
              <w:t>–</w:t>
            </w:r>
            <w:r w:rsidRPr="00262C80">
              <w:t>3</w:t>
            </w:r>
          </w:p>
        </w:tc>
      </w:tr>
      <w:tr w:rsidR="001A57F3" w14:paraId="2DD0676B" w14:textId="77777777" w:rsidTr="00CA3B41">
        <w:tc>
          <w:tcPr>
            <w:tcW w:w="0" w:type="auto"/>
            <w:vMerge/>
          </w:tcPr>
          <w:p w14:paraId="4BFC5B9B" w14:textId="77777777" w:rsidR="00491210" w:rsidRDefault="00491210" w:rsidP="00CA3B41">
            <w:pPr>
              <w:jc w:val="center"/>
            </w:pPr>
          </w:p>
        </w:tc>
        <w:tc>
          <w:tcPr>
            <w:tcW w:w="0" w:type="auto"/>
            <w:vMerge/>
          </w:tcPr>
          <w:p w14:paraId="2B531C8E" w14:textId="77777777" w:rsidR="00491210" w:rsidRDefault="00491210" w:rsidP="00CA3B41">
            <w:pPr>
              <w:jc w:val="center"/>
              <w:rPr>
                <w:color w:val="000000"/>
                <w:szCs w:val="20"/>
                <w:lang w:eastAsia="en-AU"/>
              </w:rPr>
            </w:pPr>
          </w:p>
        </w:tc>
        <w:tc>
          <w:tcPr>
            <w:tcW w:w="1622" w:type="dxa"/>
          </w:tcPr>
          <w:p w14:paraId="2E7B45DC" w14:textId="77777777" w:rsidR="00491210" w:rsidRPr="00EF34A3" w:rsidRDefault="00EE200C" w:rsidP="00CA3B41">
            <w:pPr>
              <w:jc w:val="center"/>
              <w:rPr>
                <w:color w:val="000000"/>
                <w:szCs w:val="20"/>
                <w:lang w:eastAsia="en-AU"/>
              </w:rPr>
            </w:pPr>
            <w:r w:rsidRPr="00EF34A3">
              <w:rPr>
                <w:color w:val="000000"/>
                <w:szCs w:val="20"/>
                <w:lang w:eastAsia="en-AU"/>
              </w:rPr>
              <w:t>Option 3</w:t>
            </w:r>
          </w:p>
        </w:tc>
        <w:tc>
          <w:tcPr>
            <w:tcW w:w="1701" w:type="dxa"/>
          </w:tcPr>
          <w:p w14:paraId="4A33CD55" w14:textId="77777777" w:rsidR="00491210" w:rsidRDefault="00EE200C" w:rsidP="00162EF1">
            <w:pPr>
              <w:tabs>
                <w:tab w:val="decimal" w:pos="851"/>
              </w:tabs>
            </w:pPr>
            <w:r w:rsidRPr="00262C80">
              <w:t>0</w:t>
            </w:r>
          </w:p>
        </w:tc>
        <w:tc>
          <w:tcPr>
            <w:tcW w:w="1701" w:type="dxa"/>
          </w:tcPr>
          <w:p w14:paraId="40590980" w14:textId="269C11DE" w:rsidR="00491210" w:rsidRDefault="00EE200C" w:rsidP="00162EF1">
            <w:pPr>
              <w:tabs>
                <w:tab w:val="decimal" w:pos="851"/>
              </w:tabs>
            </w:pPr>
            <w:r>
              <w:t>–</w:t>
            </w:r>
            <w:r w:rsidRPr="00262C80">
              <w:t>2</w:t>
            </w:r>
          </w:p>
        </w:tc>
        <w:tc>
          <w:tcPr>
            <w:tcW w:w="1701" w:type="dxa"/>
          </w:tcPr>
          <w:p w14:paraId="32CE4240" w14:textId="22646B54" w:rsidR="00491210" w:rsidRDefault="00EE200C" w:rsidP="00162EF1">
            <w:pPr>
              <w:tabs>
                <w:tab w:val="decimal" w:pos="851"/>
              </w:tabs>
            </w:pPr>
            <w:r>
              <w:t>–1</w:t>
            </w:r>
          </w:p>
        </w:tc>
      </w:tr>
      <w:tr w:rsidR="001A57F3" w14:paraId="4CE14643" w14:textId="77777777" w:rsidTr="00CA3B41">
        <w:trPr>
          <w:trHeight w:val="221"/>
        </w:trPr>
        <w:tc>
          <w:tcPr>
            <w:tcW w:w="0" w:type="auto"/>
            <w:vMerge/>
          </w:tcPr>
          <w:p w14:paraId="2F1C495E" w14:textId="77777777" w:rsidR="00491210" w:rsidRDefault="00491210" w:rsidP="00CA3B41">
            <w:pPr>
              <w:jc w:val="center"/>
            </w:pPr>
          </w:p>
        </w:tc>
        <w:tc>
          <w:tcPr>
            <w:tcW w:w="0" w:type="auto"/>
            <w:vMerge/>
          </w:tcPr>
          <w:p w14:paraId="6B37584A" w14:textId="77777777" w:rsidR="00491210" w:rsidRDefault="00491210" w:rsidP="00CA3B41">
            <w:pPr>
              <w:jc w:val="center"/>
              <w:rPr>
                <w:color w:val="000000"/>
                <w:szCs w:val="20"/>
                <w:lang w:eastAsia="en-AU"/>
              </w:rPr>
            </w:pPr>
          </w:p>
        </w:tc>
        <w:tc>
          <w:tcPr>
            <w:tcW w:w="1622" w:type="dxa"/>
          </w:tcPr>
          <w:p w14:paraId="4542F11D" w14:textId="77777777" w:rsidR="00491210" w:rsidRPr="00EF34A3" w:rsidRDefault="00EE200C" w:rsidP="00CA3B41">
            <w:pPr>
              <w:jc w:val="center"/>
              <w:rPr>
                <w:color w:val="000000"/>
                <w:szCs w:val="20"/>
                <w:lang w:eastAsia="en-AU"/>
              </w:rPr>
            </w:pPr>
            <w:r w:rsidRPr="00EF34A3">
              <w:rPr>
                <w:color w:val="000000"/>
                <w:szCs w:val="20"/>
                <w:lang w:eastAsia="en-AU"/>
              </w:rPr>
              <w:t>Option 4</w:t>
            </w:r>
          </w:p>
        </w:tc>
        <w:tc>
          <w:tcPr>
            <w:tcW w:w="1701" w:type="dxa"/>
          </w:tcPr>
          <w:p w14:paraId="3428C478" w14:textId="77777777" w:rsidR="00491210" w:rsidRDefault="00EE200C" w:rsidP="00162EF1">
            <w:pPr>
              <w:tabs>
                <w:tab w:val="decimal" w:pos="851"/>
              </w:tabs>
            </w:pPr>
            <w:r w:rsidRPr="00262C80">
              <w:t>0</w:t>
            </w:r>
          </w:p>
        </w:tc>
        <w:tc>
          <w:tcPr>
            <w:tcW w:w="1701" w:type="dxa"/>
          </w:tcPr>
          <w:p w14:paraId="1B060EC1" w14:textId="1251BC91" w:rsidR="00491210" w:rsidRDefault="00EE200C" w:rsidP="00162EF1">
            <w:pPr>
              <w:tabs>
                <w:tab w:val="decimal" w:pos="851"/>
              </w:tabs>
            </w:pPr>
            <w:r>
              <w:t>–</w:t>
            </w:r>
            <w:r w:rsidRPr="00262C80">
              <w:t>2</w:t>
            </w:r>
          </w:p>
        </w:tc>
        <w:tc>
          <w:tcPr>
            <w:tcW w:w="1701" w:type="dxa"/>
          </w:tcPr>
          <w:p w14:paraId="5270CFD0" w14:textId="67FA9919" w:rsidR="00491210" w:rsidRDefault="00EE200C" w:rsidP="00162EF1">
            <w:pPr>
              <w:tabs>
                <w:tab w:val="decimal" w:pos="851"/>
              </w:tabs>
            </w:pPr>
            <w:r>
              <w:t>–1</w:t>
            </w:r>
          </w:p>
        </w:tc>
      </w:tr>
    </w:tbl>
    <w:p w14:paraId="592EC7FE" w14:textId="480DF774" w:rsidR="00491210" w:rsidRDefault="00EE200C" w:rsidP="00A85A89">
      <w:pPr>
        <w:rPr>
          <w:rStyle w:val="eop"/>
          <w:color w:val="000000"/>
        </w:rPr>
      </w:pPr>
      <w:r>
        <w:rPr>
          <w:rStyle w:val="eop"/>
          <w:color w:val="000000"/>
        </w:rPr>
        <w:t>*</w:t>
      </w:r>
      <w:r w:rsidRPr="00A85A89">
        <w:rPr>
          <w:rStyle w:val="eop"/>
          <w:color w:val="000000"/>
        </w:rPr>
        <w:t>Total RRCP Populations define</w:t>
      </w:r>
      <w:r>
        <w:rPr>
          <w:rStyle w:val="eop"/>
          <w:color w:val="000000"/>
        </w:rPr>
        <w:t>d</w:t>
      </w:r>
      <w:r w:rsidRPr="00A85A89">
        <w:rPr>
          <w:rStyle w:val="eop"/>
          <w:color w:val="000000"/>
        </w:rPr>
        <w:t xml:space="preserve"> </w:t>
      </w:r>
      <w:r>
        <w:rPr>
          <w:rStyle w:val="eop"/>
          <w:color w:val="000000"/>
        </w:rPr>
        <w:t xml:space="preserve">as </w:t>
      </w:r>
      <w:r w:rsidRPr="00A85A89">
        <w:rPr>
          <w:rStyle w:val="eop"/>
          <w:color w:val="000000"/>
        </w:rPr>
        <w:t xml:space="preserve">the RRCP focal zones </w:t>
      </w:r>
      <w:r>
        <w:rPr>
          <w:rStyle w:val="eop"/>
          <w:color w:val="000000"/>
        </w:rPr>
        <w:t>and</w:t>
      </w:r>
      <w:r w:rsidRPr="00A85A89">
        <w:rPr>
          <w:rStyle w:val="eop"/>
          <w:color w:val="000000"/>
        </w:rPr>
        <w:t xml:space="preserve"> Wakool </w:t>
      </w:r>
      <w:r>
        <w:rPr>
          <w:rStyle w:val="eop"/>
          <w:color w:val="000000"/>
        </w:rPr>
        <w:t>Junction</w:t>
      </w:r>
      <w:r w:rsidRPr="00A85A89">
        <w:rPr>
          <w:rStyle w:val="eop"/>
          <w:color w:val="000000"/>
        </w:rPr>
        <w:t xml:space="preserve"> to Wentworth</w:t>
      </w:r>
      <w:r>
        <w:rPr>
          <w:rStyle w:val="eop"/>
          <w:color w:val="000000"/>
        </w:rPr>
        <w:t>.</w:t>
      </w:r>
    </w:p>
    <w:bookmarkEnd w:id="18"/>
    <w:p w14:paraId="535E0099" w14:textId="77777777" w:rsidR="00491210" w:rsidRDefault="00EE200C">
      <w:pPr>
        <w:spacing w:after="0"/>
        <w:rPr>
          <w:rStyle w:val="eop"/>
          <w:rFonts w:eastAsia="Arial"/>
          <w:b/>
          <w:color w:val="000000"/>
          <w:sz w:val="22"/>
        </w:rPr>
      </w:pPr>
      <w:r>
        <w:rPr>
          <w:rStyle w:val="eop"/>
          <w:color w:val="000000"/>
        </w:rPr>
        <w:br w:type="page"/>
      </w:r>
    </w:p>
    <w:p w14:paraId="14B41C0E" w14:textId="55C8FF4F" w:rsidR="00491210" w:rsidRDefault="00EE200C" w:rsidP="00CA3B41">
      <w:pPr>
        <w:pStyle w:val="Heading4"/>
        <w:spacing w:before="360"/>
        <w:rPr>
          <w:rStyle w:val="eop"/>
          <w:b w:val="0"/>
          <w:color w:val="000000"/>
          <w:sz w:val="20"/>
        </w:rPr>
      </w:pPr>
      <w:r w:rsidRPr="358D0A8B">
        <w:rPr>
          <w:rStyle w:val="eop"/>
          <w:color w:val="000000"/>
        </w:rPr>
        <w:lastRenderedPageBreak/>
        <w:t>Golden Perch</w:t>
      </w:r>
    </w:p>
    <w:p w14:paraId="513B10DC" w14:textId="39A16A9F" w:rsidR="00491210" w:rsidRPr="00427817" w:rsidRDefault="00EE200C" w:rsidP="00836EC5">
      <w:pPr>
        <w:pStyle w:val="ListParagraph"/>
        <w:numPr>
          <w:ilvl w:val="0"/>
          <w:numId w:val="37"/>
        </w:numPr>
        <w:spacing w:after="0" w:line="259" w:lineRule="auto"/>
        <w:jc w:val="both"/>
        <w:rPr>
          <w:rFonts w:ascii="Arial" w:eastAsia="Arial" w:hAnsi="Arial"/>
          <w:color w:val="000000"/>
          <w:sz w:val="22"/>
          <w:szCs w:val="22"/>
        </w:rPr>
      </w:pPr>
      <w:r w:rsidRPr="329D48BE">
        <w:rPr>
          <w:rFonts w:ascii="Arial" w:hAnsi="Arial"/>
          <w:sz w:val="22"/>
          <w:szCs w:val="22"/>
        </w:rPr>
        <w:t>Increased flow</w:t>
      </w:r>
      <w:r>
        <w:rPr>
          <w:rFonts w:ascii="Arial" w:hAnsi="Arial"/>
          <w:sz w:val="22"/>
          <w:szCs w:val="22"/>
        </w:rPr>
        <w:t>s</w:t>
      </w:r>
      <w:r w:rsidRPr="329D48BE">
        <w:rPr>
          <w:rFonts w:ascii="Arial" w:hAnsi="Arial"/>
          <w:sz w:val="22"/>
          <w:szCs w:val="22"/>
        </w:rPr>
        <w:t xml:space="preserve"> under RRCP hydrological scenarios significantly enhanced </w:t>
      </w:r>
      <w:r>
        <w:rPr>
          <w:rFonts w:ascii="Arial" w:hAnsi="Arial"/>
          <w:sz w:val="22"/>
          <w:szCs w:val="22"/>
        </w:rPr>
        <w:t xml:space="preserve">the </w:t>
      </w:r>
      <w:r w:rsidRPr="329D48BE">
        <w:rPr>
          <w:rFonts w:ascii="Arial" w:hAnsi="Arial"/>
          <w:sz w:val="22"/>
          <w:szCs w:val="22"/>
        </w:rPr>
        <w:t>population outcomes (</w:t>
      </w:r>
      <w:r>
        <w:rPr>
          <w:rFonts w:ascii="Arial" w:hAnsi="Arial"/>
          <w:sz w:val="22"/>
          <w:szCs w:val="22"/>
        </w:rPr>
        <w:t xml:space="preserve">as indicated by the modelled </w:t>
      </w:r>
      <w:r w:rsidRPr="329D48BE">
        <w:rPr>
          <w:rFonts w:ascii="Arial" w:hAnsi="Arial"/>
          <w:sz w:val="22"/>
          <w:szCs w:val="22"/>
        </w:rPr>
        <w:t xml:space="preserve">juvenile and adult numbers and </w:t>
      </w:r>
      <w:r>
        <w:rPr>
          <w:rFonts w:ascii="Arial" w:hAnsi="Arial"/>
          <w:sz w:val="22"/>
          <w:szCs w:val="22"/>
        </w:rPr>
        <w:t xml:space="preserve">the </w:t>
      </w:r>
      <w:r w:rsidRPr="329D48BE">
        <w:rPr>
          <w:rFonts w:ascii="Arial" w:hAnsi="Arial"/>
          <w:sz w:val="22"/>
          <w:szCs w:val="22"/>
        </w:rPr>
        <w:t>overall population distribution curves</w:t>
      </w:r>
      <w:r>
        <w:rPr>
          <w:rFonts w:ascii="Arial" w:hAnsi="Arial"/>
          <w:sz w:val="22"/>
          <w:szCs w:val="22"/>
        </w:rPr>
        <w:t xml:space="preserve"> – </w:t>
      </w:r>
      <w:r w:rsidRPr="00055A38">
        <w:rPr>
          <w:rFonts w:ascii="Arial" w:hAnsi="Arial"/>
          <w:sz w:val="22"/>
          <w:szCs w:val="22"/>
        </w:rPr>
        <w:fldChar w:fldCharType="begin"/>
      </w:r>
      <w:r w:rsidRPr="00055A38">
        <w:rPr>
          <w:rFonts w:ascii="Arial" w:hAnsi="Arial"/>
          <w:sz w:val="22"/>
          <w:szCs w:val="22"/>
        </w:rPr>
        <w:instrText xml:space="preserve"> REF _Ref104292857 \h  \* MERGEFORMAT </w:instrText>
      </w:r>
      <w:r w:rsidRPr="00055A38">
        <w:rPr>
          <w:rFonts w:ascii="Arial" w:hAnsi="Arial"/>
          <w:sz w:val="22"/>
          <w:szCs w:val="22"/>
        </w:rPr>
      </w:r>
      <w:r w:rsidRPr="00055A38">
        <w:rPr>
          <w:rFonts w:ascii="Arial" w:hAnsi="Arial"/>
          <w:sz w:val="22"/>
          <w:szCs w:val="22"/>
        </w:rPr>
        <w:fldChar w:fldCharType="separate"/>
      </w:r>
      <w:r w:rsidR="005B672A" w:rsidRPr="005B672A">
        <w:rPr>
          <w:rFonts w:ascii="Arial" w:hAnsi="Arial"/>
          <w:sz w:val="22"/>
          <w:szCs w:val="22"/>
        </w:rPr>
        <w:t xml:space="preserve">Figure </w:t>
      </w:r>
      <w:r w:rsidR="005B672A" w:rsidRPr="005B672A">
        <w:rPr>
          <w:rFonts w:ascii="Arial" w:hAnsi="Arial"/>
          <w:noProof/>
          <w:sz w:val="22"/>
          <w:szCs w:val="22"/>
        </w:rPr>
        <w:t>18</w:t>
      </w:r>
      <w:r w:rsidRPr="00055A38">
        <w:rPr>
          <w:rFonts w:ascii="Arial" w:hAnsi="Arial"/>
          <w:sz w:val="22"/>
          <w:szCs w:val="22"/>
        </w:rPr>
        <w:fldChar w:fldCharType="end"/>
      </w:r>
      <w:r w:rsidRPr="00055A38">
        <w:rPr>
          <w:rFonts w:ascii="Arial" w:hAnsi="Arial"/>
          <w:sz w:val="22"/>
          <w:szCs w:val="22"/>
        </w:rPr>
        <w:t xml:space="preserve">; </w:t>
      </w:r>
      <w:r w:rsidRPr="00055A38">
        <w:rPr>
          <w:rFonts w:ascii="Arial" w:hAnsi="Arial"/>
          <w:sz w:val="22"/>
          <w:szCs w:val="22"/>
        </w:rPr>
        <w:fldChar w:fldCharType="begin"/>
      </w:r>
      <w:r w:rsidRPr="00055A38">
        <w:rPr>
          <w:rFonts w:ascii="Arial" w:hAnsi="Arial"/>
          <w:sz w:val="22"/>
          <w:szCs w:val="22"/>
        </w:rPr>
        <w:instrText xml:space="preserve"> REF _Ref104293090 \h  \* MERGEFORMAT </w:instrText>
      </w:r>
      <w:r w:rsidRPr="00055A38">
        <w:rPr>
          <w:rFonts w:ascii="Arial" w:hAnsi="Arial"/>
          <w:sz w:val="22"/>
          <w:szCs w:val="22"/>
        </w:rPr>
      </w:r>
      <w:r w:rsidRPr="00055A38">
        <w:rPr>
          <w:rFonts w:ascii="Arial" w:hAnsi="Arial"/>
          <w:sz w:val="22"/>
          <w:szCs w:val="22"/>
        </w:rPr>
        <w:fldChar w:fldCharType="separate"/>
      </w:r>
      <w:r w:rsidR="005B672A" w:rsidRPr="005B672A">
        <w:rPr>
          <w:rFonts w:ascii="Arial" w:hAnsi="Arial"/>
          <w:noProof/>
          <w:sz w:val="22"/>
          <w:szCs w:val="22"/>
        </w:rPr>
        <w:t>Figure</w:t>
      </w:r>
      <w:r w:rsidR="005B672A" w:rsidRPr="00DD7D8C">
        <w:t xml:space="preserve"> </w:t>
      </w:r>
      <w:r w:rsidR="005B672A">
        <w:rPr>
          <w:noProof/>
        </w:rPr>
        <w:t>19</w:t>
      </w:r>
      <w:r w:rsidRPr="00055A38">
        <w:rPr>
          <w:rFonts w:ascii="Arial" w:hAnsi="Arial"/>
          <w:sz w:val="22"/>
          <w:szCs w:val="22"/>
        </w:rPr>
        <w:fldChar w:fldCharType="end"/>
      </w:r>
      <w:r w:rsidRPr="00055A38">
        <w:rPr>
          <w:rFonts w:ascii="Arial" w:hAnsi="Arial"/>
          <w:sz w:val="22"/>
          <w:szCs w:val="22"/>
        </w:rPr>
        <w:t xml:space="preserve"> and </w:t>
      </w:r>
      <w:r w:rsidRPr="00055A38">
        <w:rPr>
          <w:rFonts w:ascii="Arial" w:hAnsi="Arial"/>
          <w:sz w:val="22"/>
          <w:szCs w:val="22"/>
        </w:rPr>
        <w:fldChar w:fldCharType="begin"/>
      </w:r>
      <w:r w:rsidRPr="00055A38">
        <w:rPr>
          <w:rFonts w:ascii="Arial" w:hAnsi="Arial"/>
          <w:sz w:val="22"/>
          <w:szCs w:val="22"/>
        </w:rPr>
        <w:instrText xml:space="preserve"> REF _Ref104293100 \h  \* MERGEFORMAT </w:instrText>
      </w:r>
      <w:r w:rsidRPr="00055A38">
        <w:rPr>
          <w:rFonts w:ascii="Arial" w:hAnsi="Arial"/>
          <w:sz w:val="22"/>
          <w:szCs w:val="22"/>
        </w:rPr>
      </w:r>
      <w:r w:rsidRPr="00055A38">
        <w:rPr>
          <w:rFonts w:ascii="Arial" w:hAnsi="Arial"/>
          <w:sz w:val="22"/>
          <w:szCs w:val="22"/>
        </w:rPr>
        <w:fldChar w:fldCharType="separate"/>
      </w:r>
      <w:r w:rsidR="005B672A" w:rsidRPr="005B672A">
        <w:rPr>
          <w:rFonts w:ascii="Arial" w:hAnsi="Arial"/>
          <w:noProof/>
          <w:sz w:val="22"/>
          <w:szCs w:val="22"/>
        </w:rPr>
        <w:t>Figure</w:t>
      </w:r>
      <w:r w:rsidR="005B672A" w:rsidRPr="00DD7D8C">
        <w:t xml:space="preserve"> </w:t>
      </w:r>
      <w:r w:rsidR="005B672A">
        <w:rPr>
          <w:noProof/>
        </w:rPr>
        <w:t>20</w:t>
      </w:r>
      <w:r w:rsidRPr="00055A38">
        <w:rPr>
          <w:rFonts w:ascii="Arial" w:hAnsi="Arial"/>
          <w:sz w:val="22"/>
          <w:szCs w:val="22"/>
        </w:rPr>
        <w:fldChar w:fldCharType="end"/>
      </w:r>
      <w:r w:rsidRPr="00055A38">
        <w:rPr>
          <w:rFonts w:ascii="Arial" w:hAnsi="Arial"/>
          <w:sz w:val="22"/>
          <w:szCs w:val="22"/>
        </w:rPr>
        <w:t>)</w:t>
      </w:r>
      <w:r w:rsidRPr="329D48BE">
        <w:rPr>
          <w:rFonts w:ascii="Arial" w:hAnsi="Arial"/>
          <w:sz w:val="22"/>
          <w:szCs w:val="22"/>
        </w:rPr>
        <w:t xml:space="preserve"> for Golden Perch for all river reaches (</w:t>
      </w:r>
      <w:r>
        <w:rPr>
          <w:rFonts w:ascii="Arial" w:hAnsi="Arial"/>
          <w:sz w:val="22"/>
          <w:szCs w:val="22"/>
        </w:rPr>
        <w:fldChar w:fldCharType="begin"/>
      </w:r>
      <w:r>
        <w:rPr>
          <w:rFonts w:ascii="Arial" w:hAnsi="Arial"/>
          <w:sz w:val="22"/>
          <w:szCs w:val="22"/>
        </w:rPr>
        <w:instrText xml:space="preserve"> REF _Ref105040173 \h  \* MERGEFORMAT </w:instrText>
      </w:r>
      <w:r>
        <w:rPr>
          <w:rFonts w:ascii="Arial" w:hAnsi="Arial"/>
          <w:sz w:val="22"/>
          <w:szCs w:val="22"/>
        </w:rPr>
      </w:r>
      <w:r>
        <w:rPr>
          <w:rFonts w:ascii="Arial" w:hAnsi="Arial"/>
          <w:sz w:val="22"/>
          <w:szCs w:val="22"/>
        </w:rPr>
        <w:fldChar w:fldCharType="separate"/>
      </w:r>
      <w:r w:rsidR="005B672A" w:rsidRPr="005B672A">
        <w:rPr>
          <w:rFonts w:ascii="Arial" w:hAnsi="Arial"/>
          <w:sz w:val="22"/>
          <w:szCs w:val="22"/>
        </w:rPr>
        <w:t>Figure S1</w:t>
      </w:r>
      <w:r>
        <w:rPr>
          <w:rFonts w:ascii="Arial" w:hAnsi="Arial"/>
          <w:sz w:val="22"/>
          <w:szCs w:val="22"/>
        </w:rPr>
        <w:fldChar w:fldCharType="end"/>
      </w:r>
      <w:r w:rsidRPr="329D48BE">
        <w:rPr>
          <w:rFonts w:ascii="Arial" w:hAnsi="Arial"/>
          <w:sz w:val="22"/>
          <w:szCs w:val="22"/>
        </w:rPr>
        <w:t>)</w:t>
      </w:r>
      <w:r>
        <w:rPr>
          <w:rFonts w:ascii="Arial" w:hAnsi="Arial"/>
          <w:sz w:val="22"/>
          <w:szCs w:val="22"/>
        </w:rPr>
        <w:t>.</w:t>
      </w:r>
    </w:p>
    <w:p w14:paraId="6202971F" w14:textId="5807DDAF" w:rsidR="00491210" w:rsidRPr="00451984" w:rsidRDefault="00EE200C" w:rsidP="00CA3B41">
      <w:pPr>
        <w:pStyle w:val="ListParagraph"/>
        <w:numPr>
          <w:ilvl w:val="0"/>
          <w:numId w:val="37"/>
        </w:numPr>
        <w:spacing w:line="259" w:lineRule="auto"/>
        <w:jc w:val="both"/>
        <w:rPr>
          <w:rFonts w:cs="Times New Roman"/>
          <w:color w:val="000000"/>
          <w:sz w:val="22"/>
          <w:szCs w:val="22"/>
        </w:rPr>
      </w:pPr>
      <w:r w:rsidRPr="6C57B116">
        <w:rPr>
          <w:rFonts w:ascii="Arial" w:eastAsia="Arial" w:hAnsi="Arial"/>
          <w:color w:val="000000"/>
          <w:sz w:val="22"/>
          <w:szCs w:val="22"/>
        </w:rPr>
        <w:t xml:space="preserve">The population model predictions for Golden Perch demonstrated that the highest RRCP hydrological flow limit scenario (i.e. Option 4) has the greatest benefit (30% increase in the expected mean population size compared </w:t>
      </w:r>
      <w:r>
        <w:rPr>
          <w:rFonts w:ascii="Arial" w:eastAsia="Arial" w:hAnsi="Arial"/>
          <w:color w:val="000000"/>
          <w:sz w:val="22"/>
          <w:szCs w:val="22"/>
        </w:rPr>
        <w:t>with</w:t>
      </w:r>
      <w:r w:rsidRPr="6C57B116">
        <w:rPr>
          <w:rFonts w:ascii="Arial" w:eastAsia="Arial" w:hAnsi="Arial"/>
          <w:color w:val="000000"/>
          <w:sz w:val="22"/>
          <w:szCs w:val="22"/>
        </w:rPr>
        <w:t xml:space="preserve"> Base case flows</w:t>
      </w:r>
      <w:r>
        <w:rPr>
          <w:rFonts w:ascii="Arial" w:eastAsia="Arial" w:hAnsi="Arial"/>
          <w:color w:val="000000"/>
          <w:sz w:val="22"/>
          <w:szCs w:val="22"/>
        </w:rPr>
        <w:t>)</w:t>
      </w:r>
      <w:r w:rsidRPr="6C57B116">
        <w:rPr>
          <w:rFonts w:ascii="Arial" w:eastAsia="Arial" w:hAnsi="Arial"/>
          <w:color w:val="000000"/>
          <w:sz w:val="22"/>
          <w:szCs w:val="22"/>
        </w:rPr>
        <w:t xml:space="preserve"> in </w:t>
      </w:r>
      <w:r>
        <w:rPr>
          <w:rFonts w:ascii="Arial" w:eastAsia="Arial" w:hAnsi="Arial"/>
          <w:color w:val="000000"/>
          <w:sz w:val="22"/>
          <w:szCs w:val="22"/>
        </w:rPr>
        <w:t xml:space="preserve">each of </w:t>
      </w:r>
      <w:r w:rsidRPr="6C57B116">
        <w:rPr>
          <w:rFonts w:ascii="Arial" w:eastAsia="Arial" w:hAnsi="Arial"/>
          <w:color w:val="000000"/>
          <w:sz w:val="22"/>
          <w:szCs w:val="22"/>
        </w:rPr>
        <w:t xml:space="preserve">the RRCP reaches. </w:t>
      </w:r>
      <w:r>
        <w:rPr>
          <w:rFonts w:ascii="Arial" w:eastAsia="Arial" w:hAnsi="Arial"/>
          <w:color w:val="000000"/>
          <w:sz w:val="22"/>
          <w:szCs w:val="22"/>
        </w:rPr>
        <w:t>The Murray River (to Wentworth) had a 29% increase over the Base case</w:t>
      </w:r>
      <w:r w:rsidDel="00A22C0A">
        <w:rPr>
          <w:rFonts w:ascii="Arial" w:eastAsia="Arial" w:hAnsi="Arial"/>
          <w:color w:val="000000"/>
          <w:sz w:val="22"/>
          <w:szCs w:val="22"/>
        </w:rPr>
        <w:t xml:space="preserve"> </w:t>
      </w:r>
      <w:r>
        <w:rPr>
          <w:rFonts w:ascii="Arial" w:eastAsia="Arial" w:hAnsi="Arial"/>
          <w:color w:val="000000"/>
          <w:sz w:val="22"/>
          <w:szCs w:val="22"/>
        </w:rPr>
        <w:t xml:space="preserve">under Option 4 </w:t>
      </w:r>
      <w:r w:rsidRPr="004D08EF">
        <w:rPr>
          <w:rFonts w:ascii="Arial" w:eastAsia="Arial" w:hAnsi="Arial"/>
          <w:color w:val="000000"/>
          <w:sz w:val="22"/>
          <w:szCs w:val="22"/>
        </w:rPr>
        <w:t>(</w:t>
      </w:r>
      <w:r>
        <w:rPr>
          <w:rFonts w:ascii="Arial" w:eastAsia="Arial" w:hAnsi="Arial"/>
          <w:color w:val="000000"/>
          <w:sz w:val="22"/>
          <w:szCs w:val="22"/>
        </w:rPr>
        <w:t>Table S2</w:t>
      </w:r>
      <w:r w:rsidRPr="004D08EF">
        <w:rPr>
          <w:rFonts w:ascii="Arial" w:eastAsia="Arial" w:hAnsi="Arial"/>
          <w:color w:val="000000"/>
          <w:sz w:val="22"/>
          <w:szCs w:val="22"/>
        </w:rPr>
        <w:t>)</w:t>
      </w:r>
      <w:r>
        <w:rPr>
          <w:rFonts w:ascii="Arial" w:eastAsia="Arial" w:hAnsi="Arial"/>
          <w:color w:val="000000"/>
          <w:sz w:val="22"/>
          <w:szCs w:val="22"/>
        </w:rPr>
        <w:t>, and the Murrumbidgee River had a 34% increase over the Base case</w:t>
      </w:r>
      <w:r w:rsidDel="00A22C0A">
        <w:rPr>
          <w:rFonts w:ascii="Arial" w:eastAsia="Arial" w:hAnsi="Arial"/>
          <w:color w:val="000000"/>
          <w:sz w:val="22"/>
          <w:szCs w:val="22"/>
        </w:rPr>
        <w:t xml:space="preserve"> </w:t>
      </w:r>
      <w:r>
        <w:rPr>
          <w:rFonts w:ascii="Arial" w:eastAsia="Arial" w:hAnsi="Arial"/>
          <w:color w:val="000000"/>
          <w:sz w:val="22"/>
          <w:szCs w:val="22"/>
        </w:rPr>
        <w:t>under Option 4</w:t>
      </w:r>
      <w:r w:rsidRPr="004D08EF">
        <w:rPr>
          <w:rFonts w:ascii="Arial" w:eastAsia="Arial" w:hAnsi="Arial"/>
          <w:color w:val="000000"/>
          <w:sz w:val="22"/>
          <w:szCs w:val="22"/>
        </w:rPr>
        <w:t>)</w:t>
      </w:r>
      <w:r>
        <w:rPr>
          <w:rFonts w:ascii="Arial" w:eastAsia="Arial" w:hAnsi="Arial"/>
          <w:color w:val="000000"/>
          <w:sz w:val="22"/>
          <w:szCs w:val="22"/>
        </w:rPr>
        <w:t>. For several reaches,</w:t>
      </w:r>
      <w:r w:rsidRPr="6C57B116">
        <w:rPr>
          <w:rFonts w:ascii="Arial" w:eastAsia="Arial" w:hAnsi="Arial"/>
          <w:color w:val="000000"/>
          <w:sz w:val="22"/>
          <w:szCs w:val="22"/>
        </w:rPr>
        <w:t xml:space="preserve"> there were even larger benefits (e.g. 49% increase in the expected mean population size for the Lower Murray</w:t>
      </w:r>
      <w:r>
        <w:rPr>
          <w:rFonts w:ascii="Arial" w:eastAsia="Arial" w:hAnsi="Arial"/>
          <w:color w:val="000000"/>
          <w:sz w:val="22"/>
          <w:szCs w:val="22"/>
        </w:rPr>
        <w:t xml:space="preserve"> </w:t>
      </w:r>
      <w:r w:rsidRPr="6C57B116">
        <w:rPr>
          <w:rFonts w:ascii="Arial" w:eastAsia="Arial" w:hAnsi="Arial"/>
          <w:color w:val="000000"/>
          <w:sz w:val="22"/>
          <w:szCs w:val="22"/>
        </w:rPr>
        <w:t>below</w:t>
      </w:r>
      <w:r>
        <w:rPr>
          <w:rFonts w:ascii="Arial" w:eastAsia="Arial" w:hAnsi="Arial"/>
          <w:color w:val="000000"/>
          <w:sz w:val="22"/>
          <w:szCs w:val="22"/>
        </w:rPr>
        <w:t xml:space="preserve"> Wentworth </w:t>
      </w:r>
      <w:r w:rsidRPr="6C57B116">
        <w:rPr>
          <w:rFonts w:ascii="Arial" w:eastAsia="Arial" w:hAnsi="Arial"/>
          <w:color w:val="000000"/>
          <w:sz w:val="22"/>
          <w:szCs w:val="22"/>
        </w:rPr>
        <w:t xml:space="preserve">and a 40% in the expected mean population size in the </w:t>
      </w:r>
      <w:r>
        <w:rPr>
          <w:rFonts w:ascii="Arial" w:eastAsia="Arial" w:hAnsi="Arial"/>
          <w:color w:val="000000"/>
          <w:sz w:val="22"/>
          <w:szCs w:val="22"/>
        </w:rPr>
        <w:t>mid</w:t>
      </w:r>
      <w:r w:rsidRPr="00451984">
        <w:rPr>
          <w:rFonts w:ascii="Arial" w:eastAsia="Arial" w:hAnsi="Arial"/>
          <w:color w:val="000000"/>
          <w:sz w:val="22"/>
          <w:szCs w:val="22"/>
        </w:rPr>
        <w:t xml:space="preserve"> Murrumbidgee (Gundagai</w:t>
      </w:r>
      <w:r>
        <w:rPr>
          <w:rFonts w:ascii="Arial" w:eastAsia="Arial" w:hAnsi="Arial"/>
          <w:color w:val="000000"/>
          <w:sz w:val="22"/>
          <w:szCs w:val="22"/>
        </w:rPr>
        <w:t xml:space="preserve"> </w:t>
      </w:r>
      <w:r w:rsidRPr="00451984">
        <w:rPr>
          <w:rFonts w:ascii="Arial" w:eastAsia="Arial" w:hAnsi="Arial"/>
          <w:color w:val="000000"/>
          <w:sz w:val="22"/>
          <w:szCs w:val="22"/>
        </w:rPr>
        <w:t>to</w:t>
      </w:r>
      <w:r>
        <w:rPr>
          <w:rFonts w:ascii="Arial" w:eastAsia="Arial" w:hAnsi="Arial"/>
          <w:color w:val="000000"/>
          <w:sz w:val="22"/>
          <w:szCs w:val="22"/>
        </w:rPr>
        <w:t xml:space="preserve"> </w:t>
      </w:r>
      <w:r w:rsidRPr="00451984">
        <w:rPr>
          <w:rFonts w:ascii="Arial" w:eastAsia="Arial" w:hAnsi="Arial"/>
          <w:color w:val="000000"/>
          <w:sz w:val="22"/>
          <w:szCs w:val="22"/>
        </w:rPr>
        <w:t>Hay</w:t>
      </w:r>
      <w:r>
        <w:rPr>
          <w:rFonts w:ascii="Arial" w:eastAsia="Arial" w:hAnsi="Arial"/>
          <w:color w:val="000000"/>
          <w:sz w:val="22"/>
          <w:szCs w:val="22"/>
        </w:rPr>
        <w:t>)</w:t>
      </w:r>
      <w:r w:rsidRPr="00451984">
        <w:rPr>
          <w:rFonts w:ascii="Arial" w:eastAsia="Arial" w:hAnsi="Arial"/>
          <w:color w:val="000000"/>
          <w:sz w:val="22"/>
          <w:szCs w:val="22"/>
        </w:rPr>
        <w:t>.</w:t>
      </w:r>
    </w:p>
    <w:p w14:paraId="5CA50021" w14:textId="14C65DA9" w:rsidR="00491210" w:rsidRDefault="00EE200C" w:rsidP="00451984">
      <w:pPr>
        <w:pStyle w:val="ListParagraph"/>
        <w:numPr>
          <w:ilvl w:val="0"/>
          <w:numId w:val="37"/>
        </w:numPr>
        <w:spacing w:after="0" w:line="259" w:lineRule="auto"/>
        <w:jc w:val="both"/>
        <w:rPr>
          <w:rFonts w:ascii="Arial" w:eastAsia="Arial" w:hAnsi="Arial"/>
          <w:color w:val="000000"/>
          <w:sz w:val="22"/>
          <w:szCs w:val="22"/>
        </w:rPr>
      </w:pPr>
      <w:r w:rsidRPr="13609C11">
        <w:rPr>
          <w:rFonts w:ascii="Arial" w:eastAsia="Arial" w:hAnsi="Arial"/>
          <w:color w:val="000000"/>
          <w:sz w:val="22"/>
          <w:szCs w:val="22"/>
        </w:rPr>
        <w:t xml:space="preserve">Generally, Option 4 had the </w:t>
      </w:r>
      <w:r>
        <w:rPr>
          <w:rFonts w:ascii="Arial" w:eastAsia="Arial" w:hAnsi="Arial"/>
          <w:color w:val="000000"/>
          <w:sz w:val="22"/>
          <w:szCs w:val="22"/>
        </w:rPr>
        <w:t>best</w:t>
      </w:r>
      <w:r w:rsidRPr="13609C11">
        <w:rPr>
          <w:rFonts w:ascii="Arial" w:eastAsia="Arial" w:hAnsi="Arial"/>
          <w:color w:val="000000"/>
          <w:sz w:val="22"/>
          <w:szCs w:val="22"/>
        </w:rPr>
        <w:t xml:space="preserve"> outcomes for most reaches, </w:t>
      </w:r>
      <w:r>
        <w:rPr>
          <w:rFonts w:ascii="Arial" w:eastAsia="Arial" w:hAnsi="Arial"/>
          <w:color w:val="000000"/>
          <w:sz w:val="22"/>
          <w:szCs w:val="22"/>
        </w:rPr>
        <w:t xml:space="preserve">with </w:t>
      </w:r>
      <w:r w:rsidRPr="13609C11">
        <w:rPr>
          <w:rFonts w:ascii="Arial" w:eastAsia="Arial" w:hAnsi="Arial"/>
          <w:color w:val="000000"/>
          <w:sz w:val="22"/>
          <w:szCs w:val="22"/>
        </w:rPr>
        <w:t xml:space="preserve">the exception </w:t>
      </w:r>
      <w:r>
        <w:rPr>
          <w:rFonts w:ascii="Arial" w:eastAsia="Arial" w:hAnsi="Arial"/>
          <w:color w:val="000000"/>
          <w:sz w:val="22"/>
          <w:szCs w:val="22"/>
        </w:rPr>
        <w:t>of</w:t>
      </w:r>
      <w:r w:rsidRPr="13609C11">
        <w:rPr>
          <w:rFonts w:ascii="Arial" w:eastAsia="Arial" w:hAnsi="Arial"/>
          <w:color w:val="000000"/>
          <w:sz w:val="22"/>
          <w:szCs w:val="22"/>
        </w:rPr>
        <w:t xml:space="preserve"> Gundagai</w:t>
      </w:r>
      <w:r>
        <w:rPr>
          <w:rFonts w:ascii="Arial" w:eastAsia="Arial" w:hAnsi="Arial"/>
          <w:color w:val="000000"/>
          <w:sz w:val="22"/>
          <w:szCs w:val="22"/>
        </w:rPr>
        <w:t xml:space="preserve"> </w:t>
      </w:r>
      <w:r w:rsidRPr="13609C11">
        <w:rPr>
          <w:rFonts w:ascii="Arial" w:eastAsia="Arial" w:hAnsi="Arial"/>
          <w:color w:val="000000"/>
          <w:sz w:val="22"/>
          <w:szCs w:val="22"/>
        </w:rPr>
        <w:t>to</w:t>
      </w:r>
      <w:r>
        <w:rPr>
          <w:rFonts w:ascii="Arial" w:eastAsia="Arial" w:hAnsi="Arial"/>
          <w:color w:val="000000"/>
          <w:sz w:val="22"/>
          <w:szCs w:val="22"/>
        </w:rPr>
        <w:t xml:space="preserve"> </w:t>
      </w:r>
      <w:r w:rsidRPr="13609C11">
        <w:rPr>
          <w:rFonts w:ascii="Arial" w:eastAsia="Arial" w:hAnsi="Arial"/>
          <w:color w:val="000000"/>
          <w:sz w:val="22"/>
          <w:szCs w:val="22"/>
        </w:rPr>
        <w:t>Hay</w:t>
      </w:r>
      <w:r>
        <w:rPr>
          <w:rFonts w:ascii="Arial" w:eastAsia="Arial" w:hAnsi="Arial"/>
          <w:color w:val="000000"/>
          <w:sz w:val="22"/>
          <w:szCs w:val="22"/>
        </w:rPr>
        <w:t>, in which</w:t>
      </w:r>
      <w:r w:rsidRPr="13609C11">
        <w:rPr>
          <w:rFonts w:ascii="Arial" w:eastAsia="Arial" w:hAnsi="Arial"/>
          <w:color w:val="000000"/>
          <w:sz w:val="22"/>
          <w:szCs w:val="22"/>
        </w:rPr>
        <w:t xml:space="preserve"> Option 3 had the greatest </w:t>
      </w:r>
      <w:r>
        <w:rPr>
          <w:rFonts w:ascii="Arial" w:eastAsia="Arial" w:hAnsi="Arial"/>
          <w:color w:val="000000"/>
          <w:sz w:val="22"/>
          <w:szCs w:val="22"/>
        </w:rPr>
        <w:t>predict</w:t>
      </w:r>
      <w:r w:rsidRPr="13609C11">
        <w:rPr>
          <w:rFonts w:ascii="Arial" w:eastAsia="Arial" w:hAnsi="Arial"/>
          <w:color w:val="000000"/>
          <w:sz w:val="22"/>
          <w:szCs w:val="22"/>
        </w:rPr>
        <w:t xml:space="preserve">ed benefits </w:t>
      </w:r>
      <w:r>
        <w:rPr>
          <w:rFonts w:ascii="Arial" w:eastAsia="Arial" w:hAnsi="Arial"/>
          <w:color w:val="000000"/>
          <w:sz w:val="22"/>
          <w:szCs w:val="22"/>
        </w:rPr>
        <w:t>(</w:t>
      </w:r>
      <w:r w:rsidRPr="13609C11">
        <w:rPr>
          <w:rFonts w:ascii="Arial" w:eastAsia="Arial" w:hAnsi="Arial"/>
          <w:color w:val="000000"/>
          <w:sz w:val="22"/>
          <w:szCs w:val="22"/>
        </w:rPr>
        <w:t>a 47% increase in the expected mean population size</w:t>
      </w:r>
      <w:r>
        <w:rPr>
          <w:rFonts w:ascii="Arial" w:eastAsia="Arial" w:hAnsi="Arial"/>
          <w:color w:val="000000"/>
          <w:sz w:val="22"/>
          <w:szCs w:val="22"/>
        </w:rPr>
        <w:t>). This was</w:t>
      </w:r>
      <w:r w:rsidRPr="13609C11">
        <w:rPr>
          <w:rFonts w:ascii="Arial" w:eastAsia="Arial" w:hAnsi="Arial"/>
          <w:color w:val="000000"/>
          <w:sz w:val="22"/>
          <w:szCs w:val="22"/>
        </w:rPr>
        <w:t xml:space="preserve"> likely due to Option 3 allowing for greater </w:t>
      </w:r>
      <w:r>
        <w:rPr>
          <w:rFonts w:ascii="Arial" w:eastAsia="Arial" w:hAnsi="Arial"/>
          <w:color w:val="000000"/>
          <w:sz w:val="22"/>
          <w:szCs w:val="22"/>
        </w:rPr>
        <w:t xml:space="preserve">longitudinal </w:t>
      </w:r>
      <w:r w:rsidRPr="13609C11">
        <w:rPr>
          <w:rFonts w:ascii="Arial" w:eastAsia="Arial" w:hAnsi="Arial"/>
          <w:color w:val="000000"/>
          <w:sz w:val="22"/>
          <w:szCs w:val="22"/>
        </w:rPr>
        <w:t>connectivity</w:t>
      </w:r>
      <w:r>
        <w:rPr>
          <w:rFonts w:ascii="Arial" w:eastAsia="Arial" w:hAnsi="Arial"/>
          <w:color w:val="000000"/>
          <w:sz w:val="22"/>
          <w:szCs w:val="22"/>
        </w:rPr>
        <w:t xml:space="preserve">, which </w:t>
      </w:r>
      <w:r w:rsidRPr="13609C11">
        <w:rPr>
          <w:rFonts w:ascii="Arial" w:eastAsia="Arial" w:hAnsi="Arial"/>
          <w:color w:val="000000"/>
          <w:sz w:val="22"/>
          <w:szCs w:val="22"/>
        </w:rPr>
        <w:t xml:space="preserve">is critical in this reach </w:t>
      </w:r>
      <w:r>
        <w:rPr>
          <w:rFonts w:ascii="Arial" w:eastAsia="Arial" w:hAnsi="Arial"/>
          <w:color w:val="000000"/>
          <w:sz w:val="22"/>
          <w:szCs w:val="22"/>
        </w:rPr>
        <w:t>because</w:t>
      </w:r>
      <w:r w:rsidRPr="13609C11">
        <w:rPr>
          <w:rFonts w:ascii="Arial" w:eastAsia="Arial" w:hAnsi="Arial"/>
          <w:color w:val="000000"/>
          <w:sz w:val="22"/>
          <w:szCs w:val="22"/>
        </w:rPr>
        <w:t xml:space="preserve"> </w:t>
      </w:r>
      <w:r>
        <w:rPr>
          <w:rFonts w:ascii="Arial" w:eastAsia="Arial" w:hAnsi="Arial"/>
          <w:color w:val="000000"/>
          <w:sz w:val="22"/>
          <w:szCs w:val="22"/>
        </w:rPr>
        <w:t xml:space="preserve">one rule of the population model is that </w:t>
      </w:r>
      <w:r w:rsidRPr="13609C11">
        <w:rPr>
          <w:rFonts w:ascii="Arial" w:eastAsia="Arial" w:hAnsi="Arial"/>
          <w:color w:val="000000"/>
          <w:sz w:val="22"/>
          <w:szCs w:val="22"/>
        </w:rPr>
        <w:t>there is no recruitment in the upper Murrumbidgee (see Gundaga</w:t>
      </w:r>
      <w:r>
        <w:rPr>
          <w:rFonts w:ascii="Arial" w:eastAsia="Arial" w:hAnsi="Arial"/>
          <w:color w:val="000000"/>
          <w:sz w:val="22"/>
          <w:szCs w:val="22"/>
        </w:rPr>
        <w:t xml:space="preserve">i </w:t>
      </w:r>
      <w:r w:rsidRPr="13609C11">
        <w:rPr>
          <w:rFonts w:ascii="Arial" w:eastAsia="Arial" w:hAnsi="Arial"/>
          <w:color w:val="000000"/>
          <w:sz w:val="22"/>
          <w:szCs w:val="22"/>
        </w:rPr>
        <w:t>to</w:t>
      </w:r>
      <w:r>
        <w:rPr>
          <w:rFonts w:ascii="Arial" w:eastAsia="Arial" w:hAnsi="Arial"/>
          <w:color w:val="000000"/>
          <w:sz w:val="22"/>
          <w:szCs w:val="22"/>
        </w:rPr>
        <w:t xml:space="preserve"> </w:t>
      </w:r>
      <w:r w:rsidRPr="13609C11">
        <w:rPr>
          <w:rFonts w:ascii="Arial" w:eastAsia="Arial" w:hAnsi="Arial"/>
          <w:color w:val="000000"/>
          <w:sz w:val="22"/>
          <w:szCs w:val="22"/>
        </w:rPr>
        <w:t>Hay 1</w:t>
      </w:r>
      <w:r>
        <w:rPr>
          <w:rFonts w:ascii="Arial" w:eastAsia="Arial" w:hAnsi="Arial"/>
          <w:color w:val="000000"/>
          <w:sz w:val="22"/>
          <w:szCs w:val="22"/>
        </w:rPr>
        <w:t>-</w:t>
      </w:r>
      <w:r w:rsidRPr="13609C11">
        <w:rPr>
          <w:rFonts w:ascii="Arial" w:eastAsia="Arial" w:hAnsi="Arial"/>
          <w:color w:val="000000"/>
          <w:sz w:val="22"/>
          <w:szCs w:val="22"/>
        </w:rPr>
        <w:t>y</w:t>
      </w:r>
      <w:r>
        <w:rPr>
          <w:rFonts w:ascii="Arial" w:eastAsia="Arial" w:hAnsi="Arial"/>
          <w:color w:val="000000"/>
          <w:sz w:val="22"/>
          <w:szCs w:val="22"/>
        </w:rPr>
        <w:t>ear-</w:t>
      </w:r>
      <w:r w:rsidRPr="13609C11">
        <w:rPr>
          <w:rFonts w:ascii="Arial" w:eastAsia="Arial" w:hAnsi="Arial"/>
          <w:color w:val="000000"/>
          <w:sz w:val="22"/>
          <w:szCs w:val="22"/>
        </w:rPr>
        <w:t>o</w:t>
      </w:r>
      <w:r>
        <w:rPr>
          <w:rFonts w:ascii="Arial" w:eastAsia="Arial" w:hAnsi="Arial"/>
          <w:color w:val="000000"/>
          <w:sz w:val="22"/>
          <w:szCs w:val="22"/>
        </w:rPr>
        <w:t>ld</w:t>
      </w:r>
      <w:r w:rsidRPr="13609C11">
        <w:rPr>
          <w:rFonts w:ascii="Arial" w:eastAsia="Arial" w:hAnsi="Arial"/>
          <w:color w:val="000000"/>
          <w:sz w:val="22"/>
          <w:szCs w:val="22"/>
        </w:rPr>
        <w:t xml:space="preserve"> outputs). </w:t>
      </w:r>
      <w:r>
        <w:rPr>
          <w:rFonts w:ascii="Arial" w:eastAsia="Arial" w:hAnsi="Arial"/>
          <w:color w:val="000000"/>
          <w:sz w:val="22"/>
          <w:szCs w:val="22"/>
        </w:rPr>
        <w:t xml:space="preserve">Also, there are likely subtle differences </w:t>
      </w:r>
      <w:r w:rsidRPr="006E1FF7">
        <w:rPr>
          <w:rFonts w:ascii="Arial" w:eastAsia="Arial" w:hAnsi="Arial"/>
          <w:color w:val="000000"/>
          <w:sz w:val="22"/>
          <w:szCs w:val="22"/>
        </w:rPr>
        <w:t xml:space="preserve">in the timing, frequency and size of modelled environment flow deliveries between </w:t>
      </w:r>
      <w:r>
        <w:rPr>
          <w:rFonts w:ascii="Arial" w:eastAsia="Arial" w:hAnsi="Arial"/>
          <w:color w:val="000000"/>
          <w:sz w:val="22"/>
          <w:szCs w:val="22"/>
        </w:rPr>
        <w:t>O</w:t>
      </w:r>
      <w:r w:rsidRPr="006E1FF7">
        <w:rPr>
          <w:rFonts w:ascii="Arial" w:eastAsia="Arial" w:hAnsi="Arial"/>
          <w:color w:val="000000"/>
          <w:sz w:val="22"/>
          <w:szCs w:val="22"/>
        </w:rPr>
        <w:t>ptions 3 and 4</w:t>
      </w:r>
      <w:r>
        <w:rPr>
          <w:rFonts w:ascii="Arial" w:eastAsia="Arial" w:hAnsi="Arial"/>
          <w:color w:val="000000"/>
          <w:sz w:val="22"/>
          <w:szCs w:val="22"/>
        </w:rPr>
        <w:t xml:space="preserve">. </w:t>
      </w:r>
      <w:r w:rsidRPr="13609C11">
        <w:rPr>
          <w:rFonts w:ascii="Arial" w:eastAsia="Arial" w:hAnsi="Arial"/>
          <w:color w:val="000000"/>
          <w:sz w:val="22"/>
          <w:szCs w:val="22"/>
        </w:rPr>
        <w:t>Option 4 also had strong modelled population benefits in the lower Murrumbidgee River</w:t>
      </w:r>
      <w:r>
        <w:rPr>
          <w:rFonts w:ascii="Arial" w:eastAsia="Arial" w:hAnsi="Arial"/>
          <w:color w:val="000000"/>
          <w:sz w:val="22"/>
          <w:szCs w:val="22"/>
        </w:rPr>
        <w:t xml:space="preserve"> </w:t>
      </w:r>
      <w:r w:rsidRPr="00451984">
        <w:rPr>
          <w:rFonts w:ascii="Arial" w:eastAsia="Arial" w:hAnsi="Arial"/>
          <w:color w:val="000000"/>
          <w:sz w:val="22"/>
          <w:szCs w:val="22"/>
        </w:rPr>
        <w:t>(Hay</w:t>
      </w:r>
      <w:r>
        <w:rPr>
          <w:rFonts w:ascii="Arial" w:eastAsia="Arial" w:hAnsi="Arial"/>
          <w:color w:val="000000"/>
          <w:sz w:val="22"/>
          <w:szCs w:val="22"/>
        </w:rPr>
        <w:t xml:space="preserve"> to Balranald)</w:t>
      </w:r>
      <w:r w:rsidRPr="13609C11">
        <w:rPr>
          <w:rFonts w:ascii="Arial" w:eastAsia="Arial" w:hAnsi="Arial"/>
          <w:color w:val="000000"/>
          <w:sz w:val="22"/>
          <w:szCs w:val="22"/>
        </w:rPr>
        <w:t>, which likely related to maximum connectivity with the mid Murray River</w:t>
      </w:r>
      <w:r>
        <w:rPr>
          <w:rFonts w:ascii="Arial" w:eastAsia="Arial" w:hAnsi="Arial"/>
          <w:color w:val="000000"/>
          <w:sz w:val="22"/>
          <w:szCs w:val="22"/>
        </w:rPr>
        <w:t xml:space="preserve"> (Torrumbarry to Wentworth)</w:t>
      </w:r>
      <w:r w:rsidRPr="13609C11">
        <w:rPr>
          <w:rFonts w:ascii="Arial" w:eastAsia="Arial" w:hAnsi="Arial"/>
          <w:color w:val="000000"/>
          <w:sz w:val="22"/>
          <w:szCs w:val="22"/>
        </w:rPr>
        <w:t>. Concurrently, Option 4 had the strongest modelled population benefits in the reaches Yarrawonga to Torrumbarry and Hume to Yarrawonga. Yarrawonga</w:t>
      </w:r>
      <w:r>
        <w:rPr>
          <w:rFonts w:ascii="Arial" w:eastAsia="Arial" w:hAnsi="Arial"/>
          <w:color w:val="000000"/>
          <w:sz w:val="22"/>
          <w:szCs w:val="22"/>
        </w:rPr>
        <w:t xml:space="preserve"> </w:t>
      </w:r>
      <w:r w:rsidRPr="13609C11">
        <w:rPr>
          <w:rFonts w:ascii="Arial" w:eastAsia="Arial" w:hAnsi="Arial"/>
          <w:color w:val="000000"/>
          <w:sz w:val="22"/>
          <w:szCs w:val="22"/>
        </w:rPr>
        <w:t>to</w:t>
      </w:r>
      <w:r>
        <w:rPr>
          <w:rFonts w:ascii="Arial" w:eastAsia="Arial" w:hAnsi="Arial"/>
          <w:color w:val="000000"/>
          <w:sz w:val="22"/>
          <w:szCs w:val="22"/>
        </w:rPr>
        <w:t xml:space="preserve"> </w:t>
      </w:r>
      <w:r w:rsidRPr="13609C11">
        <w:rPr>
          <w:rFonts w:ascii="Arial" w:eastAsia="Arial" w:hAnsi="Arial"/>
          <w:color w:val="000000"/>
          <w:sz w:val="22"/>
          <w:szCs w:val="22"/>
        </w:rPr>
        <w:t xml:space="preserve">Torrumbarry likely benefited from greater connecting flows resulting </w:t>
      </w:r>
      <w:r>
        <w:rPr>
          <w:rFonts w:ascii="Arial" w:eastAsia="Arial" w:hAnsi="Arial"/>
          <w:color w:val="000000"/>
          <w:sz w:val="22"/>
          <w:szCs w:val="22"/>
        </w:rPr>
        <w:t xml:space="preserve">from the knock-on effect of </w:t>
      </w:r>
      <w:r w:rsidRPr="13609C11">
        <w:rPr>
          <w:rFonts w:ascii="Arial" w:eastAsia="Arial" w:hAnsi="Arial"/>
          <w:color w:val="000000"/>
          <w:sz w:val="22"/>
          <w:szCs w:val="22"/>
        </w:rPr>
        <w:t>more individuals moving into</w:t>
      </w:r>
      <w:r>
        <w:rPr>
          <w:rFonts w:ascii="Arial" w:eastAsia="Arial" w:hAnsi="Arial"/>
          <w:color w:val="000000"/>
          <w:sz w:val="22"/>
          <w:szCs w:val="22"/>
        </w:rPr>
        <w:t xml:space="preserve"> the </w:t>
      </w:r>
      <w:r w:rsidRPr="13609C11">
        <w:rPr>
          <w:rFonts w:ascii="Arial" w:eastAsia="Arial" w:hAnsi="Arial"/>
          <w:color w:val="000000"/>
          <w:sz w:val="22"/>
          <w:szCs w:val="22"/>
        </w:rPr>
        <w:t>Hume</w:t>
      </w:r>
      <w:r>
        <w:rPr>
          <w:rFonts w:ascii="Arial" w:eastAsia="Arial" w:hAnsi="Arial"/>
          <w:color w:val="000000"/>
          <w:sz w:val="22"/>
          <w:szCs w:val="22"/>
        </w:rPr>
        <w:t xml:space="preserve"> </w:t>
      </w:r>
      <w:r w:rsidRPr="13609C11">
        <w:rPr>
          <w:rFonts w:ascii="Arial" w:eastAsia="Arial" w:hAnsi="Arial"/>
          <w:color w:val="000000"/>
          <w:sz w:val="22"/>
          <w:szCs w:val="22"/>
        </w:rPr>
        <w:t>to</w:t>
      </w:r>
      <w:r>
        <w:rPr>
          <w:rFonts w:ascii="Arial" w:eastAsia="Arial" w:hAnsi="Arial"/>
          <w:color w:val="000000"/>
          <w:sz w:val="22"/>
          <w:szCs w:val="22"/>
        </w:rPr>
        <w:t xml:space="preserve"> </w:t>
      </w:r>
      <w:r w:rsidRPr="13609C11">
        <w:rPr>
          <w:rFonts w:ascii="Arial" w:eastAsia="Arial" w:hAnsi="Arial"/>
          <w:color w:val="000000"/>
          <w:sz w:val="22"/>
          <w:szCs w:val="22"/>
        </w:rPr>
        <w:t xml:space="preserve">Yarrawonga reach. </w:t>
      </w:r>
      <w:r>
        <w:rPr>
          <w:rFonts w:ascii="Arial" w:eastAsia="Arial" w:hAnsi="Arial"/>
          <w:color w:val="000000"/>
          <w:sz w:val="22"/>
          <w:szCs w:val="22"/>
        </w:rPr>
        <w:t xml:space="preserve">The </w:t>
      </w:r>
      <w:r w:rsidRPr="13609C11">
        <w:rPr>
          <w:rFonts w:ascii="Arial" w:eastAsia="Arial" w:hAnsi="Arial"/>
          <w:color w:val="000000"/>
          <w:sz w:val="22"/>
          <w:szCs w:val="22"/>
        </w:rPr>
        <w:t>Edward River had the lowest response</w:t>
      </w:r>
      <w:r>
        <w:rPr>
          <w:rFonts w:ascii="Arial" w:eastAsia="Arial" w:hAnsi="Arial"/>
          <w:color w:val="000000"/>
          <w:sz w:val="22"/>
          <w:szCs w:val="22"/>
        </w:rPr>
        <w:t xml:space="preserve">: </w:t>
      </w:r>
      <w:r w:rsidRPr="13609C11">
        <w:rPr>
          <w:rFonts w:ascii="Arial" w:eastAsia="Arial" w:hAnsi="Arial"/>
          <w:color w:val="000000"/>
          <w:sz w:val="22"/>
          <w:szCs w:val="22"/>
        </w:rPr>
        <w:t xml:space="preserve">a 7% increase in the expected mean, possibly because the Edward River is a smaller system and </w:t>
      </w:r>
      <w:r>
        <w:rPr>
          <w:rFonts w:ascii="Arial" w:eastAsia="Arial" w:hAnsi="Arial"/>
          <w:color w:val="000000"/>
          <w:sz w:val="22"/>
          <w:szCs w:val="22"/>
        </w:rPr>
        <w:t>is likely limited by fish passage and end of system attracting flows, affecting Golden Perch immigration rates from downstream source populations</w:t>
      </w:r>
      <w:r w:rsidRPr="13609C11">
        <w:rPr>
          <w:rFonts w:ascii="Arial" w:eastAsia="Arial" w:hAnsi="Arial"/>
          <w:color w:val="000000"/>
          <w:sz w:val="22"/>
          <w:szCs w:val="22"/>
        </w:rPr>
        <w:t>.</w:t>
      </w:r>
    </w:p>
    <w:p w14:paraId="4102D0EC" w14:textId="4E27BE21" w:rsidR="00491210" w:rsidRDefault="00EE200C" w:rsidP="00836EC5">
      <w:pPr>
        <w:pStyle w:val="ListParagraph"/>
        <w:numPr>
          <w:ilvl w:val="0"/>
          <w:numId w:val="37"/>
        </w:numPr>
        <w:spacing w:after="0" w:line="259" w:lineRule="auto"/>
        <w:jc w:val="both"/>
        <w:rPr>
          <w:rFonts w:ascii="Arial" w:hAnsi="Arial"/>
          <w:sz w:val="22"/>
          <w:szCs w:val="22"/>
        </w:rPr>
      </w:pPr>
      <w:r>
        <w:rPr>
          <w:rFonts w:ascii="Arial" w:hAnsi="Arial"/>
          <w:sz w:val="22"/>
          <w:szCs w:val="22"/>
        </w:rPr>
        <w:t>S</w:t>
      </w:r>
      <w:r w:rsidRPr="6C57B116">
        <w:rPr>
          <w:rFonts w:ascii="Arial" w:hAnsi="Arial"/>
          <w:sz w:val="22"/>
          <w:szCs w:val="22"/>
        </w:rPr>
        <w:t>pecific river reaches within the modelled areas had asymmetrical influence over regional</w:t>
      </w:r>
      <w:r>
        <w:rPr>
          <w:rFonts w:ascii="Arial" w:hAnsi="Arial"/>
          <w:sz w:val="22"/>
          <w:szCs w:val="22"/>
        </w:rPr>
        <w:t>-</w:t>
      </w:r>
      <w:r w:rsidRPr="6C57B116">
        <w:rPr>
          <w:rFonts w:ascii="Arial" w:hAnsi="Arial"/>
          <w:sz w:val="22"/>
          <w:szCs w:val="22"/>
        </w:rPr>
        <w:t xml:space="preserve"> and interbasin</w:t>
      </w:r>
      <w:r>
        <w:rPr>
          <w:rFonts w:ascii="Arial" w:hAnsi="Arial"/>
          <w:sz w:val="22"/>
          <w:szCs w:val="22"/>
        </w:rPr>
        <w:t>-</w:t>
      </w:r>
      <w:r w:rsidRPr="6C57B116">
        <w:rPr>
          <w:rFonts w:ascii="Arial" w:hAnsi="Arial"/>
          <w:sz w:val="22"/>
          <w:szCs w:val="22"/>
        </w:rPr>
        <w:t>scale population dynami</w:t>
      </w:r>
      <w:r>
        <w:rPr>
          <w:rFonts w:ascii="Arial" w:hAnsi="Arial"/>
          <w:sz w:val="22"/>
          <w:szCs w:val="22"/>
        </w:rPr>
        <w:t>cs</w:t>
      </w:r>
      <w:r w:rsidRPr="6C57B116">
        <w:rPr>
          <w:rFonts w:ascii="Arial" w:hAnsi="Arial"/>
          <w:sz w:val="22"/>
          <w:szCs w:val="22"/>
        </w:rPr>
        <w:t xml:space="preserve">. For example, the Edward </w:t>
      </w:r>
      <w:r>
        <w:rPr>
          <w:rFonts w:ascii="Arial" w:hAnsi="Arial"/>
          <w:sz w:val="22"/>
          <w:szCs w:val="22"/>
        </w:rPr>
        <w:t xml:space="preserve">River </w:t>
      </w:r>
      <w:r w:rsidRPr="6C57B116">
        <w:rPr>
          <w:rFonts w:ascii="Arial" w:hAnsi="Arial"/>
          <w:sz w:val="22"/>
          <w:szCs w:val="22"/>
        </w:rPr>
        <w:t xml:space="preserve">and </w:t>
      </w:r>
      <w:r>
        <w:rPr>
          <w:rFonts w:ascii="Arial" w:hAnsi="Arial"/>
          <w:sz w:val="22"/>
          <w:szCs w:val="22"/>
        </w:rPr>
        <w:t xml:space="preserve">the </w:t>
      </w:r>
      <w:r w:rsidRPr="6C57B116">
        <w:rPr>
          <w:rFonts w:ascii="Arial" w:hAnsi="Arial"/>
          <w:sz w:val="22"/>
          <w:szCs w:val="22"/>
        </w:rPr>
        <w:t>Murray River upstream of Torrumbarry</w:t>
      </w:r>
      <w:r>
        <w:rPr>
          <w:rFonts w:ascii="Arial" w:hAnsi="Arial"/>
          <w:sz w:val="22"/>
          <w:szCs w:val="22"/>
        </w:rPr>
        <w:t>,</w:t>
      </w:r>
      <w:r w:rsidRPr="6C57B116">
        <w:rPr>
          <w:rFonts w:ascii="Arial" w:hAnsi="Arial"/>
          <w:sz w:val="22"/>
          <w:szCs w:val="22"/>
        </w:rPr>
        <w:t xml:space="preserve"> and the Murrumbidgee River upstream of Hay appear as </w:t>
      </w:r>
      <w:r>
        <w:rPr>
          <w:rFonts w:ascii="Arial" w:hAnsi="Arial"/>
          <w:sz w:val="22"/>
          <w:szCs w:val="22"/>
        </w:rPr>
        <w:t>‘</w:t>
      </w:r>
      <w:r w:rsidRPr="6C57B116">
        <w:rPr>
          <w:rFonts w:ascii="Arial" w:hAnsi="Arial"/>
          <w:sz w:val="22"/>
          <w:szCs w:val="22"/>
        </w:rPr>
        <w:t>sink</w:t>
      </w:r>
      <w:r>
        <w:rPr>
          <w:rFonts w:ascii="Arial" w:hAnsi="Arial"/>
          <w:sz w:val="22"/>
          <w:szCs w:val="22"/>
        </w:rPr>
        <w:t>’</w:t>
      </w:r>
      <w:r w:rsidRPr="6C57B116">
        <w:rPr>
          <w:rFonts w:ascii="Arial" w:hAnsi="Arial"/>
          <w:sz w:val="22"/>
          <w:szCs w:val="22"/>
        </w:rPr>
        <w:t xml:space="preserve"> reaches, relying on immigration from downstream.</w:t>
      </w:r>
    </w:p>
    <w:p w14:paraId="07E55A5A" w14:textId="18C880D1" w:rsidR="00491210" w:rsidRPr="008401B7" w:rsidRDefault="00EE200C" w:rsidP="00836EC5">
      <w:pPr>
        <w:pStyle w:val="ListParagraph"/>
        <w:numPr>
          <w:ilvl w:val="0"/>
          <w:numId w:val="37"/>
        </w:numPr>
        <w:spacing w:after="0" w:line="259" w:lineRule="auto"/>
        <w:jc w:val="both"/>
        <w:rPr>
          <w:rFonts w:ascii="Arial" w:eastAsia="Arial" w:hAnsi="Arial"/>
          <w:color w:val="000000"/>
          <w:sz w:val="22"/>
          <w:szCs w:val="22"/>
        </w:rPr>
      </w:pPr>
      <w:r>
        <w:rPr>
          <w:rFonts w:ascii="Arial" w:hAnsi="Arial"/>
          <w:color w:val="000000"/>
          <w:sz w:val="22"/>
          <w:szCs w:val="22"/>
        </w:rPr>
        <w:t>S</w:t>
      </w:r>
      <w:r w:rsidRPr="13609C11">
        <w:rPr>
          <w:rFonts w:ascii="Arial" w:hAnsi="Arial"/>
          <w:color w:val="000000"/>
          <w:sz w:val="22"/>
          <w:szCs w:val="22"/>
        </w:rPr>
        <w:t xml:space="preserve">ensitivity </w:t>
      </w:r>
      <w:r w:rsidRPr="3C7700CC">
        <w:rPr>
          <w:rFonts w:ascii="Arial" w:hAnsi="Arial"/>
          <w:color w:val="000000"/>
          <w:sz w:val="22"/>
          <w:szCs w:val="22"/>
        </w:rPr>
        <w:t>analyses</w:t>
      </w:r>
      <w:r w:rsidRPr="13609C11">
        <w:rPr>
          <w:rFonts w:ascii="Arial" w:hAnsi="Arial"/>
          <w:color w:val="000000"/>
          <w:sz w:val="22"/>
          <w:szCs w:val="22"/>
        </w:rPr>
        <w:t xml:space="preserve"> </w:t>
      </w:r>
      <w:r>
        <w:rPr>
          <w:rFonts w:ascii="Arial" w:hAnsi="Arial"/>
          <w:color w:val="000000"/>
          <w:sz w:val="22"/>
          <w:szCs w:val="22"/>
        </w:rPr>
        <w:t>indicat</w:t>
      </w:r>
      <w:r w:rsidRPr="13609C11">
        <w:rPr>
          <w:rFonts w:ascii="Arial" w:hAnsi="Arial"/>
          <w:color w:val="000000"/>
          <w:sz w:val="22"/>
          <w:szCs w:val="22"/>
        </w:rPr>
        <w:t xml:space="preserve">ed that the modelled </w:t>
      </w:r>
      <w:r w:rsidRPr="3C7700CC">
        <w:rPr>
          <w:rFonts w:ascii="Arial" w:hAnsi="Arial"/>
          <w:color w:val="000000"/>
          <w:sz w:val="22"/>
          <w:szCs w:val="22"/>
        </w:rPr>
        <w:t>predictions</w:t>
      </w:r>
      <w:r w:rsidRPr="13609C11">
        <w:rPr>
          <w:rFonts w:ascii="Arial" w:hAnsi="Arial"/>
          <w:color w:val="000000"/>
          <w:sz w:val="22"/>
          <w:szCs w:val="22"/>
        </w:rPr>
        <w:t xml:space="preserve"> were stable under </w:t>
      </w:r>
      <w:r w:rsidRPr="3C7700CC">
        <w:rPr>
          <w:rFonts w:ascii="Arial" w:hAnsi="Arial"/>
          <w:color w:val="000000"/>
          <w:sz w:val="22"/>
          <w:szCs w:val="22"/>
        </w:rPr>
        <w:t>various</w:t>
      </w:r>
      <w:r w:rsidRPr="13609C11">
        <w:rPr>
          <w:rFonts w:ascii="Arial" w:hAnsi="Arial"/>
          <w:color w:val="000000"/>
          <w:sz w:val="22"/>
          <w:szCs w:val="22"/>
        </w:rPr>
        <w:t xml:space="preserve"> </w:t>
      </w:r>
      <w:r w:rsidRPr="3C7700CC">
        <w:rPr>
          <w:rFonts w:ascii="Arial" w:hAnsi="Arial"/>
          <w:color w:val="000000"/>
          <w:sz w:val="22"/>
          <w:szCs w:val="22"/>
        </w:rPr>
        <w:t xml:space="preserve">biological scenarios </w:t>
      </w:r>
      <w:r w:rsidRPr="13609C11">
        <w:rPr>
          <w:rFonts w:ascii="Arial" w:hAnsi="Arial"/>
          <w:color w:val="000000"/>
          <w:sz w:val="22"/>
          <w:szCs w:val="22"/>
        </w:rPr>
        <w:t xml:space="preserve">(e.g. </w:t>
      </w:r>
      <w:r>
        <w:rPr>
          <w:rFonts w:ascii="Arial" w:hAnsi="Arial"/>
          <w:color w:val="000000"/>
          <w:sz w:val="22"/>
          <w:szCs w:val="22"/>
        </w:rPr>
        <w:t>various</w:t>
      </w:r>
      <w:r w:rsidRPr="3C7700CC">
        <w:rPr>
          <w:rFonts w:ascii="Arial" w:hAnsi="Arial"/>
          <w:color w:val="000000"/>
          <w:sz w:val="22"/>
          <w:szCs w:val="22"/>
        </w:rPr>
        <w:t xml:space="preserve"> </w:t>
      </w:r>
      <w:r w:rsidRPr="13609C11">
        <w:rPr>
          <w:rFonts w:ascii="Arial" w:hAnsi="Arial"/>
          <w:color w:val="000000"/>
          <w:sz w:val="22"/>
          <w:szCs w:val="22"/>
        </w:rPr>
        <w:t>fish movement</w:t>
      </w:r>
      <w:r w:rsidRPr="3C7700CC">
        <w:rPr>
          <w:rFonts w:ascii="Arial" w:hAnsi="Arial"/>
          <w:color w:val="000000"/>
          <w:sz w:val="22"/>
          <w:szCs w:val="22"/>
        </w:rPr>
        <w:t xml:space="preserve"> rates</w:t>
      </w:r>
      <w:r w:rsidRPr="13609C11">
        <w:rPr>
          <w:rFonts w:ascii="Arial" w:hAnsi="Arial"/>
          <w:color w:val="000000"/>
          <w:sz w:val="22"/>
          <w:szCs w:val="22"/>
        </w:rPr>
        <w:t xml:space="preserve">, </w:t>
      </w:r>
      <w:r>
        <w:rPr>
          <w:rFonts w:ascii="Arial" w:hAnsi="Arial"/>
          <w:color w:val="000000"/>
          <w:sz w:val="22"/>
          <w:szCs w:val="22"/>
        </w:rPr>
        <w:t>various</w:t>
      </w:r>
      <w:r w:rsidRPr="13609C11">
        <w:rPr>
          <w:rFonts w:ascii="Arial" w:hAnsi="Arial"/>
          <w:color w:val="000000"/>
          <w:sz w:val="22"/>
          <w:szCs w:val="22"/>
        </w:rPr>
        <w:t xml:space="preserve"> population sizes; </w:t>
      </w:r>
      <w:r>
        <w:rPr>
          <w:rFonts w:ascii="Arial" w:hAnsi="Arial"/>
          <w:color w:val="000000"/>
          <w:sz w:val="22"/>
          <w:szCs w:val="22"/>
        </w:rPr>
        <w:t xml:space="preserve">see </w:t>
      </w:r>
      <w:r w:rsidRPr="13609C11">
        <w:rPr>
          <w:rFonts w:ascii="Arial" w:hAnsi="Arial"/>
          <w:color w:val="000000"/>
          <w:sz w:val="22"/>
          <w:szCs w:val="22"/>
        </w:rPr>
        <w:t xml:space="preserve">Appendix 4), increasing confidence in the </w:t>
      </w:r>
      <w:r>
        <w:rPr>
          <w:rFonts w:ascii="Arial" w:hAnsi="Arial"/>
          <w:color w:val="000000"/>
          <w:sz w:val="22"/>
          <w:szCs w:val="22"/>
        </w:rPr>
        <w:t>predicted</w:t>
      </w:r>
      <w:r w:rsidRPr="13609C11">
        <w:rPr>
          <w:rFonts w:ascii="Arial" w:hAnsi="Arial"/>
          <w:color w:val="000000"/>
          <w:sz w:val="22"/>
          <w:szCs w:val="22"/>
        </w:rPr>
        <w:t xml:space="preserve"> </w:t>
      </w:r>
      <w:r w:rsidRPr="3C7700CC">
        <w:rPr>
          <w:rFonts w:ascii="Arial" w:hAnsi="Arial"/>
          <w:color w:val="000000"/>
          <w:sz w:val="22"/>
          <w:szCs w:val="22"/>
        </w:rPr>
        <w:t xml:space="preserve">fish population </w:t>
      </w:r>
      <w:r w:rsidRPr="13609C11">
        <w:rPr>
          <w:rFonts w:ascii="Arial" w:hAnsi="Arial"/>
          <w:color w:val="000000"/>
          <w:sz w:val="22"/>
          <w:szCs w:val="22"/>
        </w:rPr>
        <w:t>response</w:t>
      </w:r>
      <w:r>
        <w:rPr>
          <w:rFonts w:ascii="Arial" w:hAnsi="Arial"/>
          <w:color w:val="000000"/>
          <w:sz w:val="22"/>
          <w:szCs w:val="22"/>
        </w:rPr>
        <w:t>s</w:t>
      </w:r>
      <w:r w:rsidRPr="13609C11">
        <w:rPr>
          <w:rFonts w:ascii="Arial" w:hAnsi="Arial"/>
          <w:color w:val="000000"/>
          <w:sz w:val="22"/>
          <w:szCs w:val="22"/>
        </w:rPr>
        <w:t xml:space="preserve"> to flow</w:t>
      </w:r>
      <w:r>
        <w:rPr>
          <w:rFonts w:ascii="Arial" w:hAnsi="Arial"/>
          <w:color w:val="000000"/>
          <w:sz w:val="22"/>
          <w:szCs w:val="22"/>
        </w:rPr>
        <w:t xml:space="preserve"> change</w:t>
      </w:r>
      <w:r w:rsidRPr="13609C11">
        <w:rPr>
          <w:rFonts w:ascii="Arial" w:hAnsi="Arial"/>
          <w:color w:val="000000"/>
          <w:sz w:val="22"/>
          <w:szCs w:val="22"/>
        </w:rPr>
        <w:t>s.</w:t>
      </w:r>
    </w:p>
    <w:p w14:paraId="3E31703F" w14:textId="77777777" w:rsidR="00491210" w:rsidRPr="008401B7" w:rsidRDefault="00491210" w:rsidP="008401B7">
      <w:pPr>
        <w:spacing w:after="0"/>
        <w:rPr>
          <w:rStyle w:val="eop"/>
          <w:rFonts w:eastAsia="Arial"/>
          <w:b/>
        </w:rPr>
      </w:pPr>
    </w:p>
    <w:p w14:paraId="088D4E5A" w14:textId="7B763512" w:rsidR="00491210" w:rsidRDefault="003E1401" w:rsidP="00E93037">
      <w:pPr>
        <w:keepNext/>
        <w:ind w:left="100"/>
      </w:pPr>
      <w:r>
        <w:rPr>
          <w:noProof/>
          <w:lang w:eastAsia="en-AU"/>
        </w:rPr>
        <w:t xml:space="preserve"> </w:t>
      </w:r>
    </w:p>
    <w:p w14:paraId="09F6A0DB" w14:textId="58B9793E" w:rsidR="00491210" w:rsidRPr="005323B5" w:rsidRDefault="00EE200C" w:rsidP="00F602FE">
      <w:pPr>
        <w:pStyle w:val="Caption-Figure"/>
        <w:rPr>
          <w:rFonts w:eastAsia="Arial"/>
          <w:lang w:val="en-US"/>
        </w:rPr>
      </w:pPr>
      <w:bookmarkStart w:id="19" w:name="_Ref105040173"/>
      <w:bookmarkStart w:id="20" w:name="_Toc116994969"/>
      <w:r>
        <w:t>Figure S</w:t>
      </w:r>
      <w:r>
        <w:fldChar w:fldCharType="begin"/>
      </w:r>
      <w:r>
        <w:instrText>SEQ Figure_S \* ARABIC</w:instrText>
      </w:r>
      <w:r>
        <w:fldChar w:fldCharType="separate"/>
      </w:r>
      <w:r w:rsidR="005B672A">
        <w:rPr>
          <w:noProof/>
        </w:rPr>
        <w:t>1</w:t>
      </w:r>
      <w:r>
        <w:fldChar w:fldCharType="end"/>
      </w:r>
      <w:bookmarkEnd w:id="19"/>
      <w:r>
        <w:t>.</w:t>
      </w:r>
      <w:r w:rsidRPr="005F5532">
        <w:t xml:space="preserve"> </w:t>
      </w:r>
      <w:r w:rsidRPr="007B7827">
        <w:t xml:space="preserve">Summary of the predicted Golden Perch responses to flow scenarios (Base case to Options 1–4) </w:t>
      </w:r>
      <w:r>
        <w:t xml:space="preserve">aggregated </w:t>
      </w:r>
      <w:r w:rsidRPr="007B7827">
        <w:t xml:space="preserve">across </w:t>
      </w:r>
      <w:r w:rsidRPr="00DD7D8C">
        <w:t>all</w:t>
      </w:r>
      <w:r>
        <w:t xml:space="preserve"> modelled RRCP</w:t>
      </w:r>
      <w:r w:rsidRPr="00DD7D8C">
        <w:t xml:space="preserve"> </w:t>
      </w:r>
      <w:r>
        <w:t>focal zones, together with the Wakool Junction to Wentworth reach</w:t>
      </w:r>
      <w:r w:rsidRPr="00EA2CBF">
        <w:t>. Each of the five bar graphs shows the expected value (+1 sd) of the mean population size for the adult population. The values printed on the bars for Options 1–4 are the predicted percentage increases in the population above that of the Base case. The expected mean adult population size is predicted to be 10% higher under Option 1, and 30% higher under Option 4, than under the Base case.</w:t>
      </w:r>
      <w:bookmarkEnd w:id="20"/>
    </w:p>
    <w:p w14:paraId="2415CCE5" w14:textId="6189D755" w:rsidR="00491210" w:rsidRDefault="00EE200C" w:rsidP="00F602FE">
      <w:pPr>
        <w:pStyle w:val="Heading4"/>
        <w:rPr>
          <w:rStyle w:val="eop"/>
          <w:color w:val="000000"/>
        </w:rPr>
      </w:pPr>
      <w:r w:rsidRPr="744A8970">
        <w:rPr>
          <w:rStyle w:val="eop"/>
          <w:color w:val="000000"/>
        </w:rPr>
        <w:t>Murray Cod</w:t>
      </w:r>
    </w:p>
    <w:p w14:paraId="43802888" w14:textId="4D29A4CC" w:rsidR="00491210" w:rsidRPr="00FD3FD0" w:rsidRDefault="00EE200C" w:rsidP="00836EC5">
      <w:pPr>
        <w:pStyle w:val="ListParagraph"/>
        <w:numPr>
          <w:ilvl w:val="0"/>
          <w:numId w:val="37"/>
        </w:numPr>
        <w:spacing w:after="0" w:line="259" w:lineRule="auto"/>
        <w:jc w:val="both"/>
        <w:rPr>
          <w:rFonts w:cs="Times New Roman"/>
          <w:color w:val="000000"/>
          <w:sz w:val="22"/>
          <w:szCs w:val="22"/>
        </w:rPr>
      </w:pPr>
      <w:r>
        <w:rPr>
          <w:rFonts w:ascii="Arial" w:hAnsi="Arial"/>
          <w:sz w:val="22"/>
          <w:szCs w:val="22"/>
        </w:rPr>
        <w:t>The modelling indicated that c</w:t>
      </w:r>
      <w:r w:rsidRPr="05D19AF3">
        <w:rPr>
          <w:rFonts w:ascii="Arial" w:hAnsi="Arial"/>
          <w:sz w:val="22"/>
          <w:szCs w:val="22"/>
        </w:rPr>
        <w:t xml:space="preserve">hanges in flow under </w:t>
      </w:r>
      <w:r>
        <w:rPr>
          <w:rFonts w:ascii="Arial" w:hAnsi="Arial"/>
          <w:sz w:val="22"/>
          <w:szCs w:val="22"/>
        </w:rPr>
        <w:t xml:space="preserve">the </w:t>
      </w:r>
      <w:r w:rsidRPr="05D19AF3">
        <w:rPr>
          <w:rFonts w:ascii="Arial" w:hAnsi="Arial"/>
          <w:sz w:val="22"/>
          <w:szCs w:val="22"/>
        </w:rPr>
        <w:t xml:space="preserve">RRCP hydrological scenarios </w:t>
      </w:r>
      <w:r>
        <w:rPr>
          <w:rFonts w:ascii="Arial" w:hAnsi="Arial"/>
          <w:sz w:val="22"/>
          <w:szCs w:val="22"/>
        </w:rPr>
        <w:t>would not change the expected mean</w:t>
      </w:r>
      <w:r w:rsidRPr="05D19AF3">
        <w:rPr>
          <w:rFonts w:ascii="Arial" w:hAnsi="Arial"/>
          <w:sz w:val="22"/>
          <w:szCs w:val="22"/>
        </w:rPr>
        <w:t xml:space="preserve"> population size for Murray Cod populations</w:t>
      </w:r>
      <w:r>
        <w:rPr>
          <w:rFonts w:ascii="Arial" w:hAnsi="Arial"/>
          <w:sz w:val="22"/>
          <w:szCs w:val="22"/>
        </w:rPr>
        <w:t xml:space="preserve"> (</w:t>
      </w:r>
      <w:r>
        <w:rPr>
          <w:rFonts w:ascii="Arial" w:hAnsi="Arial"/>
          <w:sz w:val="22"/>
          <w:szCs w:val="22"/>
        </w:rPr>
        <w:fldChar w:fldCharType="begin"/>
      </w:r>
      <w:r>
        <w:rPr>
          <w:rFonts w:ascii="Arial" w:hAnsi="Arial"/>
          <w:sz w:val="22"/>
          <w:szCs w:val="22"/>
        </w:rPr>
        <w:instrText xml:space="preserve"> REF _Ref105044087 \h  \* MERGEFORMAT </w:instrText>
      </w:r>
      <w:r>
        <w:rPr>
          <w:rFonts w:ascii="Arial" w:hAnsi="Arial"/>
          <w:sz w:val="22"/>
          <w:szCs w:val="22"/>
        </w:rPr>
      </w:r>
      <w:r>
        <w:rPr>
          <w:rFonts w:ascii="Arial" w:hAnsi="Arial"/>
          <w:sz w:val="22"/>
          <w:szCs w:val="22"/>
        </w:rPr>
        <w:fldChar w:fldCharType="separate"/>
      </w:r>
      <w:r w:rsidR="005B672A" w:rsidRPr="005B672A">
        <w:rPr>
          <w:rFonts w:ascii="Arial" w:hAnsi="Arial"/>
          <w:sz w:val="22"/>
          <w:szCs w:val="22"/>
        </w:rPr>
        <w:t>Figure S2</w:t>
      </w:r>
      <w:r>
        <w:rPr>
          <w:rFonts w:ascii="Arial" w:hAnsi="Arial"/>
          <w:sz w:val="22"/>
          <w:szCs w:val="22"/>
        </w:rPr>
        <w:fldChar w:fldCharType="end"/>
      </w:r>
      <w:r>
        <w:rPr>
          <w:rFonts w:ascii="Arial" w:hAnsi="Arial"/>
          <w:sz w:val="22"/>
          <w:szCs w:val="22"/>
        </w:rPr>
        <w:t>)</w:t>
      </w:r>
      <w:r w:rsidRPr="05D19AF3">
        <w:rPr>
          <w:rFonts w:ascii="Arial" w:hAnsi="Arial"/>
          <w:sz w:val="22"/>
          <w:szCs w:val="22"/>
        </w:rPr>
        <w:t xml:space="preserve">. </w:t>
      </w:r>
      <w:r>
        <w:rPr>
          <w:rFonts w:ascii="Arial" w:hAnsi="Arial"/>
          <w:sz w:val="22"/>
          <w:szCs w:val="22"/>
        </w:rPr>
        <w:t>However, there were</w:t>
      </w:r>
      <w:r w:rsidRPr="05D19AF3">
        <w:rPr>
          <w:rFonts w:ascii="Arial" w:hAnsi="Arial"/>
          <w:sz w:val="22"/>
          <w:szCs w:val="22"/>
        </w:rPr>
        <w:t xml:space="preserve"> </w:t>
      </w:r>
      <w:r>
        <w:rPr>
          <w:rFonts w:ascii="Arial" w:hAnsi="Arial"/>
          <w:sz w:val="22"/>
          <w:szCs w:val="22"/>
        </w:rPr>
        <w:t xml:space="preserve">benefits for this species in the Hume to Yarrawonga reach for some options, and there were marginal benefits in the Edward River. Recruitment responses were also strongest in these two reaches. </w:t>
      </w:r>
      <w:r w:rsidRPr="05D19AF3">
        <w:rPr>
          <w:rFonts w:ascii="Arial" w:hAnsi="Arial"/>
          <w:sz w:val="22"/>
          <w:szCs w:val="22"/>
        </w:rPr>
        <w:t xml:space="preserve">The reasons for </w:t>
      </w:r>
      <w:r>
        <w:rPr>
          <w:rFonts w:ascii="Arial" w:hAnsi="Arial"/>
          <w:sz w:val="22"/>
          <w:szCs w:val="22"/>
        </w:rPr>
        <w:t xml:space="preserve">the </w:t>
      </w:r>
      <w:r w:rsidRPr="05D19AF3">
        <w:rPr>
          <w:rFonts w:ascii="Arial" w:hAnsi="Arial"/>
          <w:sz w:val="22"/>
          <w:szCs w:val="22"/>
        </w:rPr>
        <w:t xml:space="preserve">relatively small benefits </w:t>
      </w:r>
      <w:r>
        <w:rPr>
          <w:rFonts w:ascii="Arial" w:hAnsi="Arial"/>
          <w:sz w:val="22"/>
          <w:szCs w:val="22"/>
        </w:rPr>
        <w:t>indicated by the</w:t>
      </w:r>
      <w:r w:rsidRPr="05D19AF3">
        <w:rPr>
          <w:rFonts w:ascii="Arial" w:hAnsi="Arial"/>
          <w:sz w:val="22"/>
          <w:szCs w:val="22"/>
        </w:rPr>
        <w:t xml:space="preserve"> model outcomes are likely related to spawning and recruitment</w:t>
      </w:r>
      <w:r>
        <w:rPr>
          <w:rFonts w:ascii="Arial" w:hAnsi="Arial"/>
          <w:sz w:val="22"/>
          <w:szCs w:val="22"/>
        </w:rPr>
        <w:t xml:space="preserve"> </w:t>
      </w:r>
      <w:r w:rsidRPr="05D19AF3">
        <w:rPr>
          <w:rFonts w:ascii="Arial" w:hAnsi="Arial"/>
          <w:sz w:val="22"/>
          <w:szCs w:val="22"/>
        </w:rPr>
        <w:t>being</w:t>
      </w:r>
      <w:r>
        <w:rPr>
          <w:rFonts w:ascii="Arial" w:hAnsi="Arial"/>
          <w:sz w:val="22"/>
          <w:szCs w:val="22"/>
        </w:rPr>
        <w:t xml:space="preserve"> </w:t>
      </w:r>
      <w:r w:rsidRPr="05D19AF3">
        <w:rPr>
          <w:rFonts w:ascii="Arial" w:hAnsi="Arial"/>
          <w:sz w:val="22"/>
          <w:szCs w:val="22"/>
        </w:rPr>
        <w:t>less</w:t>
      </w:r>
      <w:r>
        <w:rPr>
          <w:rFonts w:ascii="Arial" w:hAnsi="Arial"/>
          <w:sz w:val="22"/>
          <w:szCs w:val="22"/>
        </w:rPr>
        <w:t xml:space="preserve"> </w:t>
      </w:r>
      <w:r w:rsidRPr="05D19AF3">
        <w:rPr>
          <w:rFonts w:ascii="Arial" w:hAnsi="Arial"/>
          <w:sz w:val="22"/>
          <w:szCs w:val="22"/>
        </w:rPr>
        <w:t xml:space="preserve">dependent on </w:t>
      </w:r>
      <w:r>
        <w:rPr>
          <w:rFonts w:ascii="Arial" w:hAnsi="Arial"/>
          <w:sz w:val="22"/>
          <w:szCs w:val="22"/>
        </w:rPr>
        <w:t>increased</w:t>
      </w:r>
      <w:r w:rsidRPr="05D19AF3">
        <w:rPr>
          <w:rFonts w:ascii="Arial" w:hAnsi="Arial"/>
          <w:sz w:val="22"/>
          <w:szCs w:val="22"/>
        </w:rPr>
        <w:t xml:space="preserve"> discharge (ML</w:t>
      </w:r>
      <w:r>
        <w:rPr>
          <w:rFonts w:ascii="Arial" w:hAnsi="Arial"/>
          <w:sz w:val="22"/>
          <w:szCs w:val="22"/>
        </w:rPr>
        <w:t> </w:t>
      </w:r>
      <w:r w:rsidRPr="05D19AF3">
        <w:rPr>
          <w:rFonts w:ascii="Arial" w:hAnsi="Arial"/>
          <w:sz w:val="22"/>
          <w:szCs w:val="22"/>
        </w:rPr>
        <w:t>day</w:t>
      </w:r>
      <w:r>
        <w:rPr>
          <w:rFonts w:ascii="Arial" w:hAnsi="Arial"/>
          <w:sz w:val="22"/>
          <w:szCs w:val="22"/>
          <w:vertAlign w:val="superscript"/>
        </w:rPr>
        <w:t>–1</w:t>
      </w:r>
      <w:r w:rsidRPr="05D19AF3">
        <w:rPr>
          <w:rFonts w:ascii="Arial" w:hAnsi="Arial"/>
          <w:sz w:val="22"/>
          <w:szCs w:val="22"/>
        </w:rPr>
        <w:t xml:space="preserve">) </w:t>
      </w:r>
      <w:r>
        <w:rPr>
          <w:rFonts w:ascii="Arial" w:hAnsi="Arial"/>
          <w:sz w:val="22"/>
          <w:szCs w:val="22"/>
        </w:rPr>
        <w:t>or</w:t>
      </w:r>
      <w:r w:rsidRPr="05D19AF3">
        <w:rPr>
          <w:rFonts w:ascii="Arial" w:hAnsi="Arial"/>
          <w:sz w:val="22"/>
          <w:szCs w:val="22"/>
        </w:rPr>
        <w:t xml:space="preserve"> floodplain connection within the model construct.</w:t>
      </w:r>
    </w:p>
    <w:p w14:paraId="113F38AE" w14:textId="62D8038D" w:rsidR="00491210" w:rsidRPr="003A5A76" w:rsidRDefault="00EE200C" w:rsidP="00836EC5">
      <w:pPr>
        <w:pStyle w:val="ListParagraph"/>
        <w:numPr>
          <w:ilvl w:val="0"/>
          <w:numId w:val="37"/>
        </w:numPr>
        <w:spacing w:after="0" w:line="259" w:lineRule="auto"/>
        <w:jc w:val="both"/>
        <w:rPr>
          <w:rFonts w:ascii="Arial" w:eastAsia="Arial" w:hAnsi="Arial"/>
          <w:color w:val="000000"/>
          <w:sz w:val="22"/>
          <w:szCs w:val="22"/>
        </w:rPr>
      </w:pPr>
      <w:r w:rsidRPr="11D6FEB3">
        <w:rPr>
          <w:rFonts w:ascii="Arial" w:hAnsi="Arial"/>
          <w:sz w:val="22"/>
          <w:szCs w:val="22"/>
        </w:rPr>
        <w:lastRenderedPageBreak/>
        <w:t>The greatest effect on Murray Cod dynamics comes from hypoxic blackwater events</w:t>
      </w:r>
      <w:r>
        <w:rPr>
          <w:rFonts w:ascii="Arial" w:hAnsi="Arial"/>
          <w:sz w:val="22"/>
          <w:szCs w:val="22"/>
        </w:rPr>
        <w:t>,</w:t>
      </w:r>
      <w:r w:rsidRPr="11D6FEB3">
        <w:rPr>
          <w:rFonts w:ascii="Arial" w:hAnsi="Arial"/>
          <w:sz w:val="22"/>
          <w:szCs w:val="22"/>
        </w:rPr>
        <w:t xml:space="preserve"> though these events did not vary across the RRCP hydrological scenarios.</w:t>
      </w:r>
    </w:p>
    <w:p w14:paraId="50571323" w14:textId="03EBF531" w:rsidR="00491210" w:rsidRDefault="003E1401" w:rsidP="00E93037">
      <w:pPr>
        <w:pStyle w:val="paragraph"/>
        <w:keepNext/>
        <w:tabs>
          <w:tab w:val="left" w:pos="1976"/>
        </w:tabs>
        <w:spacing w:before="0" w:beforeAutospacing="0" w:after="0" w:afterAutospacing="0"/>
        <w:jc w:val="both"/>
      </w:pPr>
      <w:r>
        <w:rPr>
          <w:noProof/>
        </w:rPr>
        <w:t xml:space="preserve"> </w:t>
      </w:r>
    </w:p>
    <w:p w14:paraId="499CA8BD" w14:textId="341C1711" w:rsidR="00491210" w:rsidRDefault="00EE200C" w:rsidP="00F602FE">
      <w:pPr>
        <w:pStyle w:val="Caption-Figure"/>
        <w:rPr>
          <w:rFonts w:eastAsia="Calibri"/>
          <w:color w:val="00B2A8"/>
          <w:lang w:val="en-US"/>
        </w:rPr>
      </w:pPr>
      <w:bookmarkStart w:id="21" w:name="_Ref105044087"/>
      <w:bookmarkStart w:id="22" w:name="_Toc116994970"/>
      <w:r>
        <w:t>Figure S</w:t>
      </w:r>
      <w:r>
        <w:fldChar w:fldCharType="begin"/>
      </w:r>
      <w:r>
        <w:instrText>SEQ Figure_S \* ARABIC</w:instrText>
      </w:r>
      <w:r>
        <w:fldChar w:fldCharType="separate"/>
      </w:r>
      <w:r w:rsidR="005B672A">
        <w:rPr>
          <w:noProof/>
        </w:rPr>
        <w:t>2</w:t>
      </w:r>
      <w:r>
        <w:fldChar w:fldCharType="end"/>
      </w:r>
      <w:bookmarkEnd w:id="21"/>
      <w:r>
        <w:t xml:space="preserve">. </w:t>
      </w:r>
      <w:r w:rsidRPr="005F5532">
        <w:t xml:space="preserve">Summary of predicted Murray Cod responses to flow scenarios </w:t>
      </w:r>
      <w:r>
        <w:t>(</w:t>
      </w:r>
      <w:r w:rsidRPr="005F5532">
        <w:t>Base case</w:t>
      </w:r>
      <w:r>
        <w:t xml:space="preserve"> to O</w:t>
      </w:r>
      <w:r w:rsidRPr="005F5532">
        <w:t>ption</w:t>
      </w:r>
      <w:r>
        <w:t>s</w:t>
      </w:r>
      <w:r w:rsidRPr="005F5532">
        <w:t xml:space="preserve"> </w:t>
      </w:r>
      <w:r>
        <w:t>1–</w:t>
      </w:r>
      <w:r w:rsidRPr="005F5532">
        <w:t>4</w:t>
      </w:r>
      <w:r>
        <w:t>)</w:t>
      </w:r>
      <w:r w:rsidRPr="005F5532">
        <w:t xml:space="preserve"> </w:t>
      </w:r>
      <w:r>
        <w:t xml:space="preserve">aggregated </w:t>
      </w:r>
      <w:r w:rsidRPr="007B7827">
        <w:t xml:space="preserve">across </w:t>
      </w:r>
      <w:r w:rsidRPr="00DD7D8C">
        <w:t>all</w:t>
      </w:r>
      <w:r>
        <w:t xml:space="preserve"> modelled RRCP</w:t>
      </w:r>
      <w:r w:rsidRPr="00DD7D8C">
        <w:t xml:space="preserve"> </w:t>
      </w:r>
      <w:r>
        <w:t>focal zones, together with the Wakool Junction to Wentworth reach</w:t>
      </w:r>
      <w:r w:rsidRPr="00EA2CBF">
        <w:t xml:space="preserve">. </w:t>
      </w:r>
      <w:r w:rsidRPr="009F5A7D">
        <w:t>Each of t</w:t>
      </w:r>
      <w:r w:rsidRPr="00EA2CBF">
        <w:t>he five bar</w:t>
      </w:r>
      <w:r>
        <w:t>s</w:t>
      </w:r>
      <w:r w:rsidRPr="00EA2CBF">
        <w:t xml:space="preserve"> show</w:t>
      </w:r>
      <w:r w:rsidRPr="009F5A7D">
        <w:t>s</w:t>
      </w:r>
      <w:r w:rsidRPr="00EA2CBF">
        <w:t xml:space="preserve"> the expected value (+1 sd) of the mean population size for the adult population </w:t>
      </w:r>
      <w:r w:rsidRPr="009F5A7D">
        <w:t>in</w:t>
      </w:r>
      <w:r w:rsidRPr="00EA2CBF">
        <w:t xml:space="preserve"> the Total RRCP </w:t>
      </w:r>
      <w:r w:rsidRPr="00F07EBE">
        <w:t>Population</w:t>
      </w:r>
      <w:r>
        <w:t>s</w:t>
      </w:r>
      <w:r w:rsidRPr="00EA2CBF">
        <w:t xml:space="preserve">. </w:t>
      </w:r>
      <w:r w:rsidRPr="009F5A7D">
        <w:t>The v</w:t>
      </w:r>
      <w:r w:rsidRPr="00EA2CBF">
        <w:t xml:space="preserve">alues printed on the bars </w:t>
      </w:r>
      <w:r w:rsidRPr="009F5A7D">
        <w:t xml:space="preserve">for </w:t>
      </w:r>
      <w:r w:rsidRPr="00EA2CBF">
        <w:t>Option</w:t>
      </w:r>
      <w:r w:rsidRPr="009F5A7D">
        <w:t>s</w:t>
      </w:r>
      <w:r w:rsidRPr="00EA2CBF">
        <w:t xml:space="preserve"> 1–4 are the </w:t>
      </w:r>
      <w:r w:rsidRPr="009F5A7D">
        <w:t xml:space="preserve">predicted </w:t>
      </w:r>
      <w:r w:rsidRPr="00EA2CBF">
        <w:t xml:space="preserve">percentage </w:t>
      </w:r>
      <w:r w:rsidRPr="009F5A7D">
        <w:t xml:space="preserve">increases in the population above that of the </w:t>
      </w:r>
      <w:r w:rsidRPr="00EA2CBF">
        <w:t>Base case. The expected mean</w:t>
      </w:r>
      <w:r w:rsidRPr="009F5A7D">
        <w:t xml:space="preserve"> adult</w:t>
      </w:r>
      <w:r w:rsidRPr="00EA2CBF">
        <w:t xml:space="preserve"> population size is invariant across all options.</w:t>
      </w:r>
      <w:bookmarkEnd w:id="22"/>
    </w:p>
    <w:p w14:paraId="73623AE4" w14:textId="6A383ADE" w:rsidR="00491210" w:rsidRDefault="00EE200C" w:rsidP="005F1F7F">
      <w:pPr>
        <w:pStyle w:val="Heading3"/>
      </w:pPr>
      <w:bookmarkStart w:id="23" w:name="_Toc116994873"/>
      <w:r w:rsidRPr="6C57B116">
        <w:t>Synthesis</w:t>
      </w:r>
      <w:bookmarkEnd w:id="23"/>
    </w:p>
    <w:p w14:paraId="276B5735" w14:textId="7180E406" w:rsidR="00491210" w:rsidRPr="00475E8B" w:rsidRDefault="00EE200C" w:rsidP="00BE1935">
      <w:pPr>
        <w:pStyle w:val="paragraph"/>
        <w:spacing w:before="0" w:beforeAutospacing="0" w:after="0" w:afterAutospacing="0" w:line="259" w:lineRule="auto"/>
        <w:jc w:val="both"/>
        <w:rPr>
          <w:rFonts w:ascii="Arial" w:eastAsia="Arial" w:hAnsi="Arial" w:cs="Arial"/>
          <w:color w:val="000000"/>
          <w:lang w:eastAsia="en-US"/>
        </w:rPr>
      </w:pPr>
      <w:r w:rsidRPr="3FC79A6E">
        <w:rPr>
          <w:rStyle w:val="normaltextrun"/>
          <w:rFonts w:ascii="Arial" w:hAnsi="Arial" w:cs="Arial"/>
          <w:color w:val="000000"/>
        </w:rPr>
        <w:t xml:space="preserve">Population modelling, supported by long-term modelled flow data, has proven to be a powerful approach to predicting the outcomes </w:t>
      </w:r>
      <w:r>
        <w:rPr>
          <w:rStyle w:val="normaltextrun"/>
          <w:rFonts w:ascii="Arial" w:hAnsi="Arial" w:cs="Arial"/>
          <w:color w:val="000000"/>
        </w:rPr>
        <w:t>for the</w:t>
      </w:r>
      <w:r w:rsidRPr="3FC79A6E">
        <w:rPr>
          <w:rStyle w:val="normaltextrun"/>
          <w:rFonts w:ascii="Arial" w:hAnsi="Arial" w:cs="Arial"/>
          <w:color w:val="000000"/>
        </w:rPr>
        <w:t xml:space="preserve"> RRCP relaxed</w:t>
      </w:r>
      <w:r>
        <w:rPr>
          <w:rStyle w:val="normaltextrun"/>
          <w:rFonts w:ascii="Arial" w:hAnsi="Arial" w:cs="Arial"/>
          <w:color w:val="000000"/>
        </w:rPr>
        <w:t>-flow-constraints</w:t>
      </w:r>
      <w:r w:rsidRPr="3FC79A6E">
        <w:rPr>
          <w:rStyle w:val="normaltextrun"/>
          <w:rFonts w:ascii="Arial" w:hAnsi="Arial" w:cs="Arial"/>
          <w:color w:val="000000"/>
        </w:rPr>
        <w:t xml:space="preserve"> hydrological scenarios for native fish. The modelling predicted clear benefits for Golden Perch from the maximum RRCP flow scenario (Option 4) (</w:t>
      </w:r>
      <w:r>
        <w:rPr>
          <w:rStyle w:val="normaltextrun"/>
          <w:rFonts w:ascii="Arial" w:hAnsi="Arial" w:cs="Arial"/>
          <w:color w:val="000000"/>
        </w:rPr>
        <w:t xml:space="preserve">an </w:t>
      </w:r>
      <w:r w:rsidRPr="3FC79A6E">
        <w:rPr>
          <w:rStyle w:val="normaltextrun"/>
          <w:rFonts w:ascii="Arial" w:hAnsi="Arial" w:cs="Arial"/>
          <w:color w:val="000000"/>
        </w:rPr>
        <w:t xml:space="preserve">average 30% increase </w:t>
      </w:r>
      <w:r>
        <w:rPr>
          <w:rStyle w:val="normaltextrun"/>
          <w:rFonts w:ascii="Arial" w:hAnsi="Arial" w:cs="Arial"/>
          <w:color w:val="000000"/>
        </w:rPr>
        <w:t>in</w:t>
      </w:r>
      <w:r w:rsidRPr="3FC79A6E">
        <w:rPr>
          <w:rStyle w:val="normaltextrun"/>
          <w:rFonts w:ascii="Arial" w:hAnsi="Arial" w:cs="Arial"/>
          <w:color w:val="000000"/>
        </w:rPr>
        <w:t xml:space="preserve"> the expected mean </w:t>
      </w:r>
      <w:r>
        <w:rPr>
          <w:rStyle w:val="normaltextrun"/>
          <w:rFonts w:ascii="Arial" w:hAnsi="Arial" w:cs="Arial"/>
          <w:color w:val="000000"/>
        </w:rPr>
        <w:t xml:space="preserve">adult </w:t>
      </w:r>
      <w:r w:rsidRPr="3FC79A6E">
        <w:rPr>
          <w:rStyle w:val="normaltextrun"/>
          <w:rFonts w:ascii="Arial" w:hAnsi="Arial" w:cs="Arial"/>
          <w:color w:val="000000"/>
        </w:rPr>
        <w:t xml:space="preserve">population size). There were diminishing gains as </w:t>
      </w:r>
      <w:r>
        <w:rPr>
          <w:rStyle w:val="normaltextrun"/>
          <w:rFonts w:ascii="Arial" w:hAnsi="Arial" w:cs="Arial"/>
          <w:color w:val="000000"/>
        </w:rPr>
        <w:t xml:space="preserve">the </w:t>
      </w:r>
      <w:r w:rsidRPr="3FC79A6E">
        <w:rPr>
          <w:rStyle w:val="normaltextrun"/>
          <w:rFonts w:ascii="Arial" w:hAnsi="Arial" w:cs="Arial"/>
          <w:color w:val="000000"/>
        </w:rPr>
        <w:t xml:space="preserve">flow magnitude </w:t>
      </w:r>
      <w:r>
        <w:rPr>
          <w:rStyle w:val="normaltextrun"/>
          <w:rFonts w:ascii="Arial" w:hAnsi="Arial" w:cs="Arial"/>
          <w:color w:val="000000"/>
        </w:rPr>
        <w:t xml:space="preserve">of the </w:t>
      </w:r>
      <w:r w:rsidRPr="3FC79A6E">
        <w:rPr>
          <w:rStyle w:val="normaltextrun"/>
          <w:rFonts w:ascii="Arial" w:hAnsi="Arial" w:cs="Arial"/>
          <w:color w:val="000000"/>
        </w:rPr>
        <w:t xml:space="preserve">scenarios </w:t>
      </w:r>
      <w:r>
        <w:rPr>
          <w:rStyle w:val="normaltextrun"/>
          <w:rFonts w:ascii="Arial" w:hAnsi="Arial" w:cs="Arial"/>
          <w:color w:val="000000"/>
        </w:rPr>
        <w:t>decreas</w:t>
      </w:r>
      <w:r w:rsidRPr="3FC79A6E">
        <w:rPr>
          <w:rStyle w:val="normaltextrun"/>
          <w:rFonts w:ascii="Arial" w:hAnsi="Arial" w:cs="Arial"/>
          <w:color w:val="000000"/>
        </w:rPr>
        <w:t xml:space="preserve">ed. For Murray Cod, the models predicted </w:t>
      </w:r>
      <w:r>
        <w:rPr>
          <w:rStyle w:val="normaltextrun"/>
          <w:rFonts w:ascii="Arial" w:hAnsi="Arial" w:cs="Arial"/>
          <w:color w:val="000000"/>
        </w:rPr>
        <w:t>a lower level of benefit</w:t>
      </w:r>
      <w:r w:rsidRPr="3FC79A6E">
        <w:rPr>
          <w:rStyle w:val="normaltextrun"/>
          <w:rFonts w:ascii="Arial" w:hAnsi="Arial" w:cs="Arial"/>
          <w:color w:val="000000"/>
        </w:rPr>
        <w:t xml:space="preserve"> </w:t>
      </w:r>
      <w:r>
        <w:rPr>
          <w:rStyle w:val="normaltextrun"/>
          <w:rFonts w:ascii="Arial" w:hAnsi="Arial" w:cs="Arial"/>
          <w:color w:val="000000"/>
        </w:rPr>
        <w:t>from</w:t>
      </w:r>
      <w:r w:rsidRPr="3FC79A6E">
        <w:rPr>
          <w:rStyle w:val="normaltextrun"/>
          <w:rFonts w:ascii="Arial" w:hAnsi="Arial" w:cs="Arial"/>
          <w:color w:val="000000"/>
        </w:rPr>
        <w:t xml:space="preserve"> the RRCP </w:t>
      </w:r>
      <w:r>
        <w:rPr>
          <w:rStyle w:val="normaltextrun"/>
          <w:rFonts w:ascii="Arial" w:hAnsi="Arial" w:cs="Arial"/>
          <w:color w:val="000000"/>
        </w:rPr>
        <w:t>relaxed-</w:t>
      </w:r>
      <w:r w:rsidRPr="3FC79A6E">
        <w:rPr>
          <w:rStyle w:val="normaltextrun"/>
          <w:rFonts w:ascii="Arial" w:hAnsi="Arial" w:cs="Arial"/>
          <w:color w:val="000000"/>
        </w:rPr>
        <w:t>flow</w:t>
      </w:r>
      <w:r>
        <w:rPr>
          <w:rStyle w:val="normaltextrun"/>
          <w:rFonts w:ascii="Arial" w:hAnsi="Arial" w:cs="Arial"/>
          <w:color w:val="000000"/>
        </w:rPr>
        <w:t>-constraints</w:t>
      </w:r>
      <w:r w:rsidRPr="3FC79A6E">
        <w:rPr>
          <w:rStyle w:val="normaltextrun"/>
          <w:rFonts w:ascii="Arial" w:hAnsi="Arial" w:cs="Arial"/>
          <w:color w:val="000000"/>
        </w:rPr>
        <w:t xml:space="preserve"> scenarios. This is likely to </w:t>
      </w:r>
      <w:r>
        <w:rPr>
          <w:rStyle w:val="normaltextrun"/>
          <w:rFonts w:ascii="Arial" w:hAnsi="Arial" w:cs="Arial"/>
          <w:color w:val="000000"/>
        </w:rPr>
        <w:t xml:space="preserve">have </w:t>
      </w:r>
      <w:r w:rsidRPr="3FC79A6E">
        <w:rPr>
          <w:rStyle w:val="normaltextrun"/>
          <w:rFonts w:ascii="Arial" w:hAnsi="Arial" w:cs="Arial"/>
          <w:color w:val="000000"/>
        </w:rPr>
        <w:t>be</w:t>
      </w:r>
      <w:r>
        <w:rPr>
          <w:rStyle w:val="normaltextrun"/>
          <w:rFonts w:ascii="Arial" w:hAnsi="Arial" w:cs="Arial"/>
          <w:color w:val="000000"/>
        </w:rPr>
        <w:t>en</w:t>
      </w:r>
      <w:r w:rsidRPr="3FC79A6E">
        <w:rPr>
          <w:rStyle w:val="normaltextrun"/>
          <w:rFonts w:ascii="Arial" w:hAnsi="Arial" w:cs="Arial"/>
          <w:color w:val="000000"/>
        </w:rPr>
        <w:t xml:space="preserve"> due to the lower reliance of Murray Cod on increased discharge (i.e. spring pulses and flooding) for recruitment</w:t>
      </w:r>
      <w:r>
        <w:rPr>
          <w:rStyle w:val="normaltextrun"/>
          <w:rFonts w:ascii="Arial" w:hAnsi="Arial" w:cs="Arial"/>
          <w:color w:val="000000"/>
        </w:rPr>
        <w:t>,</w:t>
      </w:r>
      <w:r w:rsidRPr="3FC79A6E">
        <w:rPr>
          <w:rStyle w:val="normaltextrun"/>
          <w:rFonts w:ascii="Arial" w:hAnsi="Arial" w:cs="Arial"/>
          <w:color w:val="000000"/>
        </w:rPr>
        <w:t xml:space="preserve"> and </w:t>
      </w:r>
      <w:r>
        <w:rPr>
          <w:rStyle w:val="normaltextrun"/>
          <w:rFonts w:ascii="Arial" w:hAnsi="Arial" w:cs="Arial"/>
          <w:color w:val="000000"/>
        </w:rPr>
        <w:t xml:space="preserve">to </w:t>
      </w:r>
      <w:r w:rsidRPr="3FC79A6E">
        <w:rPr>
          <w:rStyle w:val="normaltextrun"/>
          <w:rFonts w:ascii="Arial" w:hAnsi="Arial" w:cs="Arial"/>
          <w:color w:val="000000"/>
        </w:rPr>
        <w:t>their high sensitivity to hypoxic blackwater events. For the RRCP program, relaxed</w:t>
      </w:r>
      <w:r>
        <w:rPr>
          <w:rStyle w:val="normaltextrun"/>
          <w:rFonts w:ascii="Arial" w:hAnsi="Arial" w:cs="Arial"/>
          <w:color w:val="000000"/>
        </w:rPr>
        <w:t xml:space="preserve"> flow </w:t>
      </w:r>
      <w:r w:rsidRPr="3FC79A6E">
        <w:rPr>
          <w:rStyle w:val="normaltextrun"/>
          <w:rFonts w:ascii="Arial" w:hAnsi="Arial" w:cs="Arial"/>
          <w:color w:val="000000"/>
        </w:rPr>
        <w:t>constraints result in clear predicted benefits to Golden Perch populations</w:t>
      </w:r>
      <w:r>
        <w:rPr>
          <w:rStyle w:val="normaltextrun"/>
          <w:rFonts w:ascii="Arial" w:hAnsi="Arial" w:cs="Arial"/>
          <w:color w:val="000000"/>
        </w:rPr>
        <w:t>,</w:t>
      </w:r>
      <w:r w:rsidRPr="3FC79A6E">
        <w:rPr>
          <w:rStyle w:val="normaltextrun"/>
          <w:rFonts w:ascii="Arial" w:hAnsi="Arial" w:cs="Arial"/>
          <w:color w:val="000000"/>
        </w:rPr>
        <w:t xml:space="preserve"> and likely other flow-dependent species</w:t>
      </w:r>
      <w:r>
        <w:rPr>
          <w:rStyle w:val="normaltextrun"/>
          <w:rFonts w:ascii="Arial" w:hAnsi="Arial" w:cs="Arial"/>
          <w:color w:val="000000"/>
        </w:rPr>
        <w:t>,</w:t>
      </w:r>
      <w:r w:rsidRPr="3FC79A6E">
        <w:rPr>
          <w:rStyle w:val="normaltextrun"/>
          <w:rFonts w:ascii="Arial" w:hAnsi="Arial" w:cs="Arial"/>
          <w:color w:val="000000"/>
        </w:rPr>
        <w:t xml:space="preserve"> and constitute a major recovery pathway</w:t>
      </w:r>
      <w:r w:rsidRPr="3FC79A6E">
        <w:rPr>
          <w:rStyle w:val="eop"/>
          <w:rFonts w:ascii="Arial" w:hAnsi="Arial" w:cs="Arial"/>
          <w:color w:val="000000"/>
        </w:rPr>
        <w:t>.</w:t>
      </w:r>
      <w:r w:rsidRPr="00BE1935">
        <w:rPr>
          <w:rFonts w:ascii="Arial" w:eastAsia="Arial" w:hAnsi="Arial" w:cs="Arial"/>
          <w:color w:val="000000"/>
          <w:lang w:eastAsia="en-US"/>
        </w:rPr>
        <w:t xml:space="preserve"> </w:t>
      </w:r>
      <w:r>
        <w:rPr>
          <w:rFonts w:ascii="Arial" w:eastAsia="Arial" w:hAnsi="Arial" w:cs="Arial"/>
          <w:color w:val="000000"/>
          <w:lang w:eastAsia="en-US"/>
        </w:rPr>
        <w:t>Managed flows greater than 45,000 ML day</w:t>
      </w:r>
      <w:r>
        <w:rPr>
          <w:rFonts w:ascii="Arial" w:eastAsia="Arial" w:hAnsi="Arial" w:cs="Arial"/>
          <w:color w:val="000000"/>
          <w:vertAlign w:val="superscript"/>
          <w:lang w:eastAsia="en-US"/>
        </w:rPr>
        <w:t>–1</w:t>
      </w:r>
      <w:r>
        <w:rPr>
          <w:rFonts w:ascii="Arial" w:eastAsia="Arial" w:hAnsi="Arial" w:cs="Arial"/>
          <w:color w:val="000000"/>
          <w:lang w:eastAsia="en-US"/>
        </w:rPr>
        <w:t xml:space="preserve"> (</w:t>
      </w:r>
      <w:r w:rsidRPr="00FE31F3">
        <w:rPr>
          <w:rFonts w:ascii="Arial" w:eastAsia="Arial" w:hAnsi="Arial" w:cs="Arial"/>
          <w:color w:val="000000"/>
          <w:lang w:eastAsia="en-US"/>
        </w:rPr>
        <w:t xml:space="preserve">the highest proposed flow limit at Yarrawonga) </w:t>
      </w:r>
      <w:r>
        <w:rPr>
          <w:rFonts w:ascii="Arial" w:eastAsia="Arial" w:hAnsi="Arial" w:cs="Arial"/>
          <w:color w:val="000000"/>
          <w:lang w:eastAsia="en-US"/>
        </w:rPr>
        <w:t>were not modelled under the present program and may have even greater benefits for native fishes. Modelling the effects of flow rates under climate change would also be instructive for predicting future population trends.</w:t>
      </w:r>
    </w:p>
    <w:p w14:paraId="47BC0DEA" w14:textId="70EB06C5" w:rsidR="00491210" w:rsidRPr="00F602FE" w:rsidRDefault="00EE200C" w:rsidP="005F1F7F">
      <w:pPr>
        <w:pStyle w:val="Heading3"/>
      </w:pPr>
      <w:bookmarkStart w:id="24" w:name="_Toc116994874"/>
      <w:r w:rsidRPr="00F602FE">
        <w:rPr>
          <w:rStyle w:val="normaltextrun"/>
        </w:rPr>
        <w:t>Model validation</w:t>
      </w:r>
      <w:bookmarkEnd w:id="24"/>
    </w:p>
    <w:p w14:paraId="3E1DA2E8" w14:textId="320F9F88" w:rsidR="00491210" w:rsidRDefault="00EE200C" w:rsidP="3FC79A6E">
      <w:pPr>
        <w:spacing w:after="0" w:line="259" w:lineRule="auto"/>
        <w:jc w:val="both"/>
        <w:rPr>
          <w:rStyle w:val="normaltextrun"/>
          <w:rFonts w:eastAsia="Arial"/>
          <w:sz w:val="22"/>
          <w:szCs w:val="22"/>
        </w:rPr>
      </w:pPr>
      <w:r w:rsidRPr="3FC79A6E">
        <w:rPr>
          <w:rStyle w:val="normaltextrun"/>
          <w:rFonts w:eastAsia="Arial"/>
          <w:sz w:val="22"/>
          <w:szCs w:val="22"/>
        </w:rPr>
        <w:t xml:space="preserve">While population models are useful </w:t>
      </w:r>
      <w:r>
        <w:rPr>
          <w:rStyle w:val="normaltextrun"/>
          <w:rFonts w:eastAsia="Arial"/>
          <w:sz w:val="22"/>
          <w:szCs w:val="22"/>
        </w:rPr>
        <w:t>for informing</w:t>
      </w:r>
      <w:r w:rsidRPr="3FC79A6E">
        <w:rPr>
          <w:rStyle w:val="normaltextrun"/>
          <w:rFonts w:eastAsia="Arial"/>
          <w:sz w:val="22"/>
          <w:szCs w:val="22"/>
        </w:rPr>
        <w:t xml:space="preserve"> decision</w:t>
      </w:r>
      <w:r>
        <w:rPr>
          <w:rStyle w:val="normaltextrun"/>
          <w:rFonts w:eastAsia="Arial"/>
          <w:sz w:val="22"/>
          <w:szCs w:val="22"/>
        </w:rPr>
        <w:t>-</w:t>
      </w:r>
      <w:r w:rsidRPr="3FC79A6E">
        <w:rPr>
          <w:rStyle w:val="normaltextrun"/>
          <w:rFonts w:eastAsia="Arial"/>
          <w:sz w:val="22"/>
          <w:szCs w:val="22"/>
        </w:rPr>
        <w:t xml:space="preserve">making, they do not perfectly reflect reality. </w:t>
      </w:r>
      <w:r>
        <w:rPr>
          <w:rStyle w:val="normaltextrun"/>
          <w:rFonts w:eastAsia="Arial"/>
          <w:sz w:val="22"/>
          <w:szCs w:val="22"/>
        </w:rPr>
        <w:t>Hence</w:t>
      </w:r>
      <w:r w:rsidRPr="3FC79A6E">
        <w:rPr>
          <w:rStyle w:val="normaltextrun"/>
          <w:rFonts w:eastAsia="Arial"/>
          <w:sz w:val="22"/>
          <w:szCs w:val="22"/>
        </w:rPr>
        <w:t xml:space="preserve">, it is important to show that </w:t>
      </w:r>
      <w:r>
        <w:rPr>
          <w:rStyle w:val="normaltextrun"/>
          <w:rFonts w:eastAsia="Arial"/>
          <w:sz w:val="22"/>
          <w:szCs w:val="22"/>
        </w:rPr>
        <w:t>models are</w:t>
      </w:r>
      <w:r w:rsidRPr="3FC79A6E">
        <w:rPr>
          <w:rStyle w:val="normaltextrun"/>
          <w:rFonts w:eastAsia="Arial"/>
          <w:sz w:val="22"/>
          <w:szCs w:val="22"/>
        </w:rPr>
        <w:t xml:space="preserve"> sufficiently realistic to meet </w:t>
      </w:r>
      <w:r>
        <w:rPr>
          <w:rStyle w:val="normaltextrun"/>
          <w:rFonts w:eastAsia="Arial"/>
          <w:sz w:val="22"/>
          <w:szCs w:val="22"/>
        </w:rPr>
        <w:t>their</w:t>
      </w:r>
      <w:r w:rsidRPr="3FC79A6E">
        <w:rPr>
          <w:rStyle w:val="normaltextrun"/>
          <w:rFonts w:eastAsia="Arial"/>
          <w:sz w:val="22"/>
          <w:szCs w:val="22"/>
        </w:rPr>
        <w:t xml:space="preserve"> intended purposes and can be used as part of the decision-making process. A detailed model validation exercise was undertaken</w:t>
      </w:r>
      <w:r>
        <w:rPr>
          <w:rStyle w:val="normaltextrun"/>
          <w:rFonts w:eastAsia="Arial"/>
          <w:sz w:val="22"/>
          <w:szCs w:val="22"/>
        </w:rPr>
        <w:t xml:space="preserve"> by </w:t>
      </w:r>
      <w:r w:rsidRPr="3FC79A6E">
        <w:rPr>
          <w:rStyle w:val="normaltextrun"/>
          <w:rFonts w:eastAsia="Arial"/>
          <w:sz w:val="22"/>
          <w:szCs w:val="22"/>
        </w:rPr>
        <w:t xml:space="preserve">comparing the predictions of the population models </w:t>
      </w:r>
      <w:r>
        <w:rPr>
          <w:rStyle w:val="normaltextrun"/>
          <w:rFonts w:eastAsia="Arial"/>
          <w:sz w:val="22"/>
          <w:szCs w:val="22"/>
        </w:rPr>
        <w:t>with empirical field survey</w:t>
      </w:r>
      <w:r w:rsidRPr="3FC79A6E">
        <w:rPr>
          <w:rStyle w:val="normaltextrun"/>
          <w:rFonts w:eastAsia="Arial"/>
          <w:sz w:val="22"/>
          <w:szCs w:val="22"/>
        </w:rPr>
        <w:t xml:space="preserve"> data </w:t>
      </w:r>
      <w:r>
        <w:rPr>
          <w:rStyle w:val="normaltextrun"/>
          <w:rFonts w:eastAsia="Arial"/>
          <w:sz w:val="22"/>
          <w:szCs w:val="22"/>
        </w:rPr>
        <w:t>(</w:t>
      </w:r>
      <w:r w:rsidRPr="3FC79A6E">
        <w:rPr>
          <w:rStyle w:val="normaltextrun"/>
          <w:rFonts w:eastAsia="Arial"/>
          <w:sz w:val="22"/>
          <w:szCs w:val="22"/>
        </w:rPr>
        <w:t xml:space="preserve">provided by the Arthur Rylah Institute </w:t>
      </w:r>
      <w:r>
        <w:rPr>
          <w:rStyle w:val="normaltextrun"/>
          <w:rFonts w:eastAsia="Arial"/>
          <w:sz w:val="22"/>
          <w:szCs w:val="22"/>
        </w:rPr>
        <w:t xml:space="preserve">for Environmental Research (ARI) </w:t>
      </w:r>
      <w:r w:rsidRPr="3FC79A6E">
        <w:rPr>
          <w:rStyle w:val="normaltextrun"/>
          <w:rFonts w:eastAsia="Arial"/>
          <w:sz w:val="22"/>
          <w:szCs w:val="22"/>
        </w:rPr>
        <w:t xml:space="preserve">and </w:t>
      </w:r>
      <w:r>
        <w:rPr>
          <w:rStyle w:val="normaltextrun"/>
          <w:rFonts w:eastAsia="Arial"/>
          <w:sz w:val="22"/>
          <w:szCs w:val="22"/>
        </w:rPr>
        <w:t xml:space="preserve">the NSW </w:t>
      </w:r>
      <w:r w:rsidRPr="00B90921">
        <w:rPr>
          <w:color w:val="000000"/>
          <w:sz w:val="22"/>
          <w:szCs w:val="22"/>
        </w:rPr>
        <w:t xml:space="preserve">Department of Primary Industries – </w:t>
      </w:r>
      <w:r w:rsidRPr="00DB74B0">
        <w:rPr>
          <w:color w:val="000000"/>
          <w:sz w:val="22"/>
          <w:szCs w:val="22"/>
        </w:rPr>
        <w:t xml:space="preserve">Narrandera </w:t>
      </w:r>
      <w:r w:rsidRPr="00B90921">
        <w:rPr>
          <w:color w:val="000000"/>
          <w:sz w:val="22"/>
          <w:szCs w:val="22"/>
        </w:rPr>
        <w:t>Fisheries</w:t>
      </w:r>
      <w:r>
        <w:rPr>
          <w:color w:val="000000"/>
          <w:sz w:val="22"/>
          <w:szCs w:val="22"/>
        </w:rPr>
        <w:t xml:space="preserve"> Centre (DPI Fisheries))</w:t>
      </w:r>
      <w:r>
        <w:rPr>
          <w:rStyle w:val="normaltextrun"/>
          <w:rFonts w:eastAsia="Arial"/>
          <w:sz w:val="22"/>
          <w:szCs w:val="22"/>
        </w:rPr>
        <w:t xml:space="preserve"> for </w:t>
      </w:r>
      <w:r w:rsidRPr="3FC79A6E">
        <w:rPr>
          <w:rStyle w:val="normaltextrun"/>
          <w:rFonts w:eastAsia="Arial"/>
          <w:sz w:val="22"/>
          <w:szCs w:val="22"/>
        </w:rPr>
        <w:t>several focal reaches</w:t>
      </w:r>
      <w:r>
        <w:rPr>
          <w:rStyle w:val="normaltextrun"/>
          <w:rFonts w:eastAsia="Arial"/>
          <w:sz w:val="22"/>
          <w:szCs w:val="22"/>
        </w:rPr>
        <w:t xml:space="preserve"> (</w:t>
      </w:r>
      <w:r w:rsidRPr="00E264FD">
        <w:rPr>
          <w:rStyle w:val="normaltextrun"/>
          <w:rFonts w:eastAsia="Arial"/>
          <w:sz w:val="22"/>
          <w:szCs w:val="22"/>
        </w:rPr>
        <w:fldChar w:fldCharType="begin"/>
      </w:r>
      <w:r w:rsidRPr="00E264FD">
        <w:rPr>
          <w:rStyle w:val="normaltextrun"/>
          <w:rFonts w:eastAsia="Arial"/>
          <w:sz w:val="22"/>
          <w:szCs w:val="22"/>
        </w:rPr>
        <w:instrText xml:space="preserve"> REF _Ref116997093 \h </w:instrText>
      </w:r>
      <w:r>
        <w:rPr>
          <w:rStyle w:val="normaltextrun"/>
          <w:rFonts w:eastAsia="Arial"/>
          <w:sz w:val="22"/>
          <w:szCs w:val="22"/>
        </w:rPr>
        <w:instrText xml:space="preserve"> \* MERGEFORMAT </w:instrText>
      </w:r>
      <w:r w:rsidRPr="00E264FD">
        <w:rPr>
          <w:rStyle w:val="normaltextrun"/>
          <w:rFonts w:eastAsia="Arial"/>
          <w:sz w:val="22"/>
          <w:szCs w:val="22"/>
        </w:rPr>
      </w:r>
      <w:r w:rsidRPr="00E264FD">
        <w:rPr>
          <w:rStyle w:val="normaltextrun"/>
          <w:rFonts w:eastAsia="Arial"/>
          <w:sz w:val="22"/>
          <w:szCs w:val="22"/>
        </w:rPr>
        <w:fldChar w:fldCharType="separate"/>
      </w:r>
      <w:r w:rsidR="005B672A" w:rsidRPr="005B672A">
        <w:rPr>
          <w:rFonts w:eastAsia="Arial"/>
          <w:bCs/>
          <w:sz w:val="22"/>
          <w:szCs w:val="22"/>
          <w:lang w:val="en-US"/>
        </w:rPr>
        <w:t>Appendix 6: Validation</w:t>
      </w:r>
      <w:r w:rsidRPr="00E264FD">
        <w:rPr>
          <w:rStyle w:val="normaltextrun"/>
          <w:rFonts w:eastAsia="Arial"/>
          <w:sz w:val="22"/>
          <w:szCs w:val="22"/>
        </w:rPr>
        <w:fldChar w:fldCharType="end"/>
      </w:r>
      <w:r>
        <w:rPr>
          <w:rStyle w:val="normaltextrun"/>
          <w:rFonts w:eastAsia="Arial"/>
          <w:sz w:val="22"/>
          <w:szCs w:val="22"/>
        </w:rPr>
        <w:t>)</w:t>
      </w:r>
      <w:r w:rsidRPr="3FC79A6E">
        <w:rPr>
          <w:rStyle w:val="normaltextrun"/>
          <w:rFonts w:eastAsia="Arial"/>
          <w:sz w:val="22"/>
          <w:szCs w:val="22"/>
        </w:rPr>
        <w:t xml:space="preserve">. For both Golden Perch and Murray Cod, there were reasonable correlations between </w:t>
      </w:r>
      <w:r>
        <w:rPr>
          <w:rStyle w:val="normaltextrun"/>
          <w:rFonts w:eastAsia="Arial"/>
          <w:sz w:val="22"/>
          <w:szCs w:val="22"/>
        </w:rPr>
        <w:t xml:space="preserve">the </w:t>
      </w:r>
      <w:r w:rsidRPr="3FC79A6E">
        <w:rPr>
          <w:rStyle w:val="normaltextrun"/>
          <w:rFonts w:eastAsia="Arial"/>
          <w:sz w:val="22"/>
          <w:szCs w:val="22"/>
        </w:rPr>
        <w:t xml:space="preserve">model predictions and </w:t>
      </w:r>
      <w:r>
        <w:rPr>
          <w:rStyle w:val="normaltextrun"/>
          <w:rFonts w:eastAsia="Arial"/>
          <w:sz w:val="22"/>
          <w:szCs w:val="22"/>
        </w:rPr>
        <w:t xml:space="preserve">the </w:t>
      </w:r>
      <w:r w:rsidRPr="3FC79A6E">
        <w:rPr>
          <w:rStyle w:val="normaltextrun"/>
          <w:rFonts w:eastAsia="Arial"/>
          <w:sz w:val="22"/>
          <w:szCs w:val="22"/>
        </w:rPr>
        <w:t xml:space="preserve">observed datasets, and in general both showed similar temporal trends, especially in more comprehensive datasets such as </w:t>
      </w:r>
      <w:r>
        <w:rPr>
          <w:rStyle w:val="normaltextrun"/>
          <w:rFonts w:eastAsia="Arial"/>
          <w:sz w:val="22"/>
          <w:szCs w:val="22"/>
        </w:rPr>
        <w:t xml:space="preserve">that of </w:t>
      </w:r>
      <w:r w:rsidRPr="3FC79A6E">
        <w:rPr>
          <w:rStyle w:val="normaltextrun"/>
          <w:rFonts w:eastAsia="Arial"/>
          <w:sz w:val="22"/>
          <w:szCs w:val="22"/>
        </w:rPr>
        <w:t>the Yarrawonga</w:t>
      </w:r>
      <w:r>
        <w:rPr>
          <w:rStyle w:val="normaltextrun"/>
          <w:rFonts w:eastAsia="Arial"/>
          <w:sz w:val="22"/>
          <w:szCs w:val="22"/>
        </w:rPr>
        <w:t xml:space="preserve"> </w:t>
      </w:r>
      <w:r w:rsidRPr="3FC79A6E">
        <w:rPr>
          <w:rStyle w:val="normaltextrun"/>
          <w:rFonts w:eastAsia="Arial"/>
          <w:sz w:val="22"/>
          <w:szCs w:val="22"/>
        </w:rPr>
        <w:t>to</w:t>
      </w:r>
      <w:r>
        <w:rPr>
          <w:rStyle w:val="normaltextrun"/>
          <w:rFonts w:eastAsia="Arial"/>
          <w:sz w:val="22"/>
          <w:szCs w:val="22"/>
        </w:rPr>
        <w:t xml:space="preserve"> </w:t>
      </w:r>
      <w:r w:rsidRPr="3FC79A6E">
        <w:rPr>
          <w:rStyle w:val="normaltextrun"/>
          <w:rFonts w:eastAsia="Arial"/>
          <w:sz w:val="22"/>
          <w:szCs w:val="22"/>
        </w:rPr>
        <w:t>Torrumbarry reach for Golden Perch. Where misalignments</w:t>
      </w:r>
      <w:r>
        <w:rPr>
          <w:rStyle w:val="normaltextrun"/>
          <w:rFonts w:eastAsia="Arial"/>
          <w:sz w:val="22"/>
          <w:szCs w:val="22"/>
        </w:rPr>
        <w:t xml:space="preserve"> between model predictions and empirical datasets were</w:t>
      </w:r>
      <w:r w:rsidRPr="3FC79A6E">
        <w:rPr>
          <w:rStyle w:val="normaltextrun"/>
          <w:rFonts w:eastAsia="Arial"/>
          <w:sz w:val="22"/>
          <w:szCs w:val="22"/>
        </w:rPr>
        <w:t xml:space="preserve"> observed, these </w:t>
      </w:r>
      <w:r>
        <w:rPr>
          <w:rStyle w:val="normaltextrun"/>
          <w:rFonts w:eastAsia="Arial"/>
          <w:sz w:val="22"/>
          <w:szCs w:val="22"/>
        </w:rPr>
        <w:t>we</w:t>
      </w:r>
      <w:r w:rsidRPr="3FC79A6E">
        <w:rPr>
          <w:rStyle w:val="normaltextrun"/>
          <w:rFonts w:eastAsia="Arial"/>
          <w:sz w:val="22"/>
          <w:szCs w:val="22"/>
        </w:rPr>
        <w:t xml:space="preserve">re likely due to factors </w:t>
      </w:r>
      <w:r>
        <w:rPr>
          <w:rStyle w:val="normaltextrun"/>
          <w:rFonts w:eastAsia="Arial"/>
          <w:sz w:val="22"/>
          <w:szCs w:val="22"/>
        </w:rPr>
        <w:t xml:space="preserve">that were </w:t>
      </w:r>
      <w:r w:rsidRPr="3FC79A6E">
        <w:rPr>
          <w:rStyle w:val="normaltextrun"/>
          <w:rFonts w:eastAsia="Arial"/>
          <w:sz w:val="22"/>
          <w:szCs w:val="22"/>
        </w:rPr>
        <w:t xml:space="preserve">known to have occurred </w:t>
      </w:r>
      <w:r>
        <w:rPr>
          <w:rStyle w:val="normaltextrun"/>
          <w:rFonts w:eastAsia="Arial"/>
          <w:sz w:val="22"/>
          <w:szCs w:val="22"/>
        </w:rPr>
        <w:t>but</w:t>
      </w:r>
      <w:r w:rsidRPr="3FC79A6E">
        <w:rPr>
          <w:rStyle w:val="normaltextrun"/>
          <w:rFonts w:eastAsia="Arial"/>
          <w:sz w:val="22"/>
          <w:szCs w:val="22"/>
        </w:rPr>
        <w:t xml:space="preserve"> </w:t>
      </w:r>
      <w:r>
        <w:rPr>
          <w:rStyle w:val="normaltextrun"/>
          <w:rFonts w:eastAsia="Arial"/>
          <w:sz w:val="22"/>
          <w:szCs w:val="22"/>
        </w:rPr>
        <w:t xml:space="preserve">were </w:t>
      </w:r>
      <w:r w:rsidRPr="3FC79A6E">
        <w:rPr>
          <w:rStyle w:val="normaltextrun"/>
          <w:rFonts w:eastAsia="Arial"/>
          <w:sz w:val="22"/>
          <w:szCs w:val="22"/>
        </w:rPr>
        <w:t xml:space="preserve">not currently considered in the model construct </w:t>
      </w:r>
      <w:r>
        <w:rPr>
          <w:rStyle w:val="normaltextrun"/>
          <w:rFonts w:eastAsia="Arial"/>
          <w:sz w:val="22"/>
          <w:szCs w:val="22"/>
        </w:rPr>
        <w:t>(</w:t>
      </w:r>
      <w:r w:rsidRPr="3FC79A6E">
        <w:rPr>
          <w:rStyle w:val="normaltextrun"/>
          <w:rFonts w:eastAsia="Arial"/>
          <w:sz w:val="22"/>
          <w:szCs w:val="22"/>
        </w:rPr>
        <w:t xml:space="preserve">e.g. blackwater events and stocking for Golden Perch), or </w:t>
      </w:r>
      <w:r>
        <w:rPr>
          <w:rStyle w:val="normaltextrun"/>
          <w:rFonts w:eastAsia="Arial"/>
          <w:sz w:val="22"/>
          <w:szCs w:val="22"/>
        </w:rPr>
        <w:t xml:space="preserve">they </w:t>
      </w:r>
      <w:r w:rsidRPr="3FC79A6E">
        <w:rPr>
          <w:rStyle w:val="normaltextrun"/>
          <w:rFonts w:eastAsia="Arial"/>
          <w:sz w:val="22"/>
          <w:szCs w:val="22"/>
        </w:rPr>
        <w:t>indicate</w:t>
      </w:r>
      <w:r>
        <w:rPr>
          <w:rStyle w:val="normaltextrun"/>
          <w:rFonts w:eastAsia="Arial"/>
          <w:sz w:val="22"/>
          <w:szCs w:val="22"/>
        </w:rPr>
        <w:t>d</w:t>
      </w:r>
      <w:r w:rsidRPr="3FC79A6E">
        <w:rPr>
          <w:rStyle w:val="normaltextrun"/>
          <w:rFonts w:eastAsia="Arial"/>
          <w:sz w:val="22"/>
          <w:szCs w:val="22"/>
        </w:rPr>
        <w:t xml:space="preserve"> that some refinement of the model rules (especially </w:t>
      </w:r>
      <w:r>
        <w:rPr>
          <w:rStyle w:val="normaltextrun"/>
          <w:rFonts w:eastAsia="Arial"/>
          <w:sz w:val="22"/>
          <w:szCs w:val="22"/>
        </w:rPr>
        <w:t xml:space="preserve">the </w:t>
      </w:r>
      <w:r w:rsidRPr="3FC79A6E">
        <w:rPr>
          <w:rStyle w:val="normaltextrun"/>
          <w:rFonts w:eastAsia="Arial"/>
          <w:sz w:val="22"/>
          <w:szCs w:val="22"/>
        </w:rPr>
        <w:t xml:space="preserve">movement rules for Golden Perch) or </w:t>
      </w:r>
      <w:r>
        <w:rPr>
          <w:rStyle w:val="normaltextrun"/>
          <w:rFonts w:eastAsia="Arial"/>
          <w:sz w:val="22"/>
          <w:szCs w:val="22"/>
        </w:rPr>
        <w:t xml:space="preserve">the </w:t>
      </w:r>
      <w:r w:rsidRPr="3FC79A6E">
        <w:rPr>
          <w:rStyle w:val="normaltextrun"/>
          <w:rFonts w:eastAsia="Arial"/>
          <w:sz w:val="22"/>
          <w:szCs w:val="22"/>
        </w:rPr>
        <w:t>model inputs (especially blackwater</w:t>
      </w:r>
      <w:r>
        <w:rPr>
          <w:rStyle w:val="normaltextrun"/>
          <w:rFonts w:eastAsia="Arial"/>
          <w:sz w:val="22"/>
          <w:szCs w:val="22"/>
        </w:rPr>
        <w:t xml:space="preserve"> events</w:t>
      </w:r>
      <w:r w:rsidRPr="3FC79A6E">
        <w:rPr>
          <w:rStyle w:val="normaltextrun"/>
          <w:rFonts w:eastAsia="Arial"/>
          <w:sz w:val="22"/>
          <w:szCs w:val="22"/>
        </w:rPr>
        <w:t xml:space="preserve">) would be beneficial. In some instances, misalignments </w:t>
      </w:r>
      <w:r>
        <w:rPr>
          <w:rStyle w:val="normaltextrun"/>
          <w:rFonts w:eastAsia="Arial"/>
          <w:sz w:val="22"/>
          <w:szCs w:val="22"/>
        </w:rPr>
        <w:t>may also have been</w:t>
      </w:r>
      <w:r w:rsidRPr="3FC79A6E">
        <w:rPr>
          <w:rStyle w:val="normaltextrun"/>
          <w:rFonts w:eastAsia="Arial"/>
          <w:sz w:val="22"/>
          <w:szCs w:val="22"/>
        </w:rPr>
        <w:t xml:space="preserve"> due to factors causing variability in the empirical data, such as changes in </w:t>
      </w:r>
      <w:r>
        <w:rPr>
          <w:rStyle w:val="normaltextrun"/>
          <w:rFonts w:eastAsia="Arial"/>
          <w:sz w:val="22"/>
          <w:szCs w:val="22"/>
        </w:rPr>
        <w:t xml:space="preserve">electrofishing </w:t>
      </w:r>
      <w:r w:rsidRPr="3FC79A6E">
        <w:rPr>
          <w:rStyle w:val="normaltextrun"/>
          <w:rFonts w:eastAsia="Arial"/>
          <w:sz w:val="22"/>
          <w:szCs w:val="22"/>
        </w:rPr>
        <w:t>detection</w:t>
      </w:r>
      <w:r>
        <w:rPr>
          <w:rStyle w:val="normaltextrun"/>
          <w:rFonts w:eastAsia="Arial"/>
          <w:sz w:val="22"/>
          <w:szCs w:val="22"/>
        </w:rPr>
        <w:t xml:space="preserve"> as a function of changes in flow level</w:t>
      </w:r>
      <w:r w:rsidRPr="3FC79A6E">
        <w:rPr>
          <w:rStyle w:val="normaltextrun"/>
          <w:rFonts w:eastAsia="Arial"/>
          <w:sz w:val="22"/>
          <w:szCs w:val="22"/>
        </w:rPr>
        <w:t xml:space="preserve">. Future refinements of the model construct and model inputs would likely increase certainty that the models can accurately predict </w:t>
      </w:r>
      <w:r>
        <w:rPr>
          <w:rStyle w:val="normaltextrun"/>
          <w:rFonts w:eastAsia="Arial"/>
          <w:sz w:val="22"/>
          <w:szCs w:val="22"/>
        </w:rPr>
        <w:t>the outcomes of various flow</w:t>
      </w:r>
      <w:r w:rsidRPr="3FC79A6E">
        <w:rPr>
          <w:rStyle w:val="normaltextrun"/>
          <w:rFonts w:eastAsia="Arial"/>
          <w:sz w:val="22"/>
          <w:szCs w:val="22"/>
        </w:rPr>
        <w:t xml:space="preserve"> scenarios, especially in reaches where </w:t>
      </w:r>
      <w:r>
        <w:rPr>
          <w:rStyle w:val="normaltextrun"/>
          <w:rFonts w:eastAsia="Arial"/>
          <w:sz w:val="22"/>
          <w:szCs w:val="22"/>
        </w:rPr>
        <w:t xml:space="preserve">the </w:t>
      </w:r>
      <w:r w:rsidRPr="3FC79A6E">
        <w:rPr>
          <w:rStyle w:val="normaltextrun"/>
          <w:rFonts w:eastAsia="Arial"/>
          <w:sz w:val="22"/>
          <w:szCs w:val="22"/>
        </w:rPr>
        <w:t xml:space="preserve">misalignments were most significant (e.g. </w:t>
      </w:r>
      <w:r>
        <w:rPr>
          <w:rStyle w:val="normaltextrun"/>
          <w:rFonts w:eastAsia="Arial"/>
          <w:sz w:val="22"/>
          <w:szCs w:val="22"/>
        </w:rPr>
        <w:t xml:space="preserve">in the </w:t>
      </w:r>
      <w:r w:rsidRPr="3FC79A6E">
        <w:rPr>
          <w:rStyle w:val="normaltextrun"/>
          <w:rFonts w:eastAsia="Arial"/>
          <w:sz w:val="22"/>
          <w:szCs w:val="22"/>
        </w:rPr>
        <w:t>Gundagai</w:t>
      </w:r>
      <w:r>
        <w:rPr>
          <w:rStyle w:val="normaltextrun"/>
          <w:rFonts w:eastAsia="Arial"/>
          <w:sz w:val="22"/>
          <w:szCs w:val="22"/>
        </w:rPr>
        <w:t xml:space="preserve"> </w:t>
      </w:r>
      <w:r w:rsidRPr="3FC79A6E">
        <w:rPr>
          <w:rStyle w:val="normaltextrun"/>
          <w:rFonts w:eastAsia="Arial"/>
          <w:sz w:val="22"/>
          <w:szCs w:val="22"/>
        </w:rPr>
        <w:t>to</w:t>
      </w:r>
      <w:r>
        <w:rPr>
          <w:rStyle w:val="normaltextrun"/>
          <w:rFonts w:eastAsia="Arial"/>
          <w:sz w:val="22"/>
          <w:szCs w:val="22"/>
        </w:rPr>
        <w:t xml:space="preserve"> </w:t>
      </w:r>
      <w:r w:rsidRPr="3FC79A6E">
        <w:rPr>
          <w:rStyle w:val="normaltextrun"/>
          <w:rFonts w:eastAsia="Arial"/>
          <w:sz w:val="22"/>
          <w:szCs w:val="22"/>
        </w:rPr>
        <w:t xml:space="preserve">Hay reach for Golden Perch, </w:t>
      </w:r>
      <w:r>
        <w:rPr>
          <w:rStyle w:val="normaltextrun"/>
          <w:rFonts w:eastAsia="Arial"/>
          <w:sz w:val="22"/>
          <w:szCs w:val="22"/>
        </w:rPr>
        <w:t xml:space="preserve">and in the </w:t>
      </w:r>
      <w:r w:rsidRPr="3FC79A6E">
        <w:rPr>
          <w:rStyle w:val="normaltextrun"/>
          <w:rFonts w:eastAsia="Arial"/>
          <w:sz w:val="22"/>
          <w:szCs w:val="22"/>
        </w:rPr>
        <w:t xml:space="preserve">Edward River reach for both species). Model validation is critical but rarely undertaken, often due to a lack of independent datasets </w:t>
      </w:r>
      <w:r>
        <w:rPr>
          <w:rStyle w:val="normaltextrun"/>
          <w:rFonts w:eastAsia="Arial"/>
          <w:sz w:val="22"/>
          <w:szCs w:val="22"/>
        </w:rPr>
        <w:t xml:space="preserve">against which </w:t>
      </w:r>
      <w:r w:rsidRPr="3FC79A6E">
        <w:rPr>
          <w:rStyle w:val="normaltextrun"/>
          <w:rFonts w:eastAsia="Arial"/>
          <w:sz w:val="22"/>
          <w:szCs w:val="22"/>
        </w:rPr>
        <w:t>to compare model predictions. Our approach, utilising long-term datasets</w:t>
      </w:r>
      <w:r>
        <w:rPr>
          <w:rStyle w:val="normaltextrun"/>
          <w:rFonts w:eastAsia="Arial"/>
          <w:sz w:val="22"/>
          <w:szCs w:val="22"/>
        </w:rPr>
        <w:t>,</w:t>
      </w:r>
      <w:r w:rsidRPr="3FC79A6E">
        <w:rPr>
          <w:rStyle w:val="normaltextrun"/>
          <w:rFonts w:eastAsia="Arial"/>
          <w:sz w:val="22"/>
          <w:szCs w:val="22"/>
        </w:rPr>
        <w:t xml:space="preserve"> provides detailed insight into </w:t>
      </w:r>
      <w:r>
        <w:rPr>
          <w:rStyle w:val="normaltextrun"/>
          <w:rFonts w:eastAsia="Arial"/>
          <w:sz w:val="22"/>
          <w:szCs w:val="22"/>
        </w:rPr>
        <w:t>the locat</w:t>
      </w:r>
      <w:r w:rsidRPr="3FC79A6E">
        <w:rPr>
          <w:rStyle w:val="normaltextrun"/>
          <w:rFonts w:eastAsia="Arial"/>
          <w:sz w:val="22"/>
          <w:szCs w:val="22"/>
        </w:rPr>
        <w:t xml:space="preserve">ions </w:t>
      </w:r>
      <w:r>
        <w:rPr>
          <w:rStyle w:val="normaltextrun"/>
          <w:rFonts w:eastAsia="Arial"/>
          <w:sz w:val="22"/>
          <w:szCs w:val="22"/>
        </w:rPr>
        <w:t>for which the</w:t>
      </w:r>
      <w:r w:rsidRPr="3FC79A6E">
        <w:rPr>
          <w:rStyle w:val="normaltextrun"/>
          <w:rFonts w:eastAsia="Arial"/>
          <w:sz w:val="22"/>
          <w:szCs w:val="22"/>
        </w:rPr>
        <w:t xml:space="preserve"> population modelling results can be interpreted with a higher degree of certainty than</w:t>
      </w:r>
      <w:r>
        <w:rPr>
          <w:rStyle w:val="normaltextrun"/>
          <w:rFonts w:eastAsia="Arial"/>
          <w:sz w:val="22"/>
          <w:szCs w:val="22"/>
        </w:rPr>
        <w:t xml:space="preserve"> </w:t>
      </w:r>
      <w:r w:rsidRPr="3FC79A6E">
        <w:rPr>
          <w:rStyle w:val="normaltextrun"/>
          <w:rFonts w:eastAsia="Arial"/>
          <w:sz w:val="22"/>
          <w:szCs w:val="22"/>
        </w:rPr>
        <w:t>where more caution is needed.</w:t>
      </w:r>
    </w:p>
    <w:p w14:paraId="27A41186" w14:textId="77777777" w:rsidR="00491210" w:rsidRPr="007931EF" w:rsidRDefault="00EE200C" w:rsidP="005F1F7F">
      <w:pPr>
        <w:pStyle w:val="Heading3"/>
      </w:pPr>
      <w:bookmarkStart w:id="25" w:name="_Toc116994875"/>
      <w:r w:rsidRPr="007931EF">
        <w:lastRenderedPageBreak/>
        <w:t>Recommendations</w:t>
      </w:r>
      <w:bookmarkEnd w:id="25"/>
    </w:p>
    <w:p w14:paraId="07EB8B43" w14:textId="40CD1542" w:rsidR="00491210" w:rsidRDefault="00EE200C" w:rsidP="00EE2691">
      <w:pPr>
        <w:pStyle w:val="PopModbodytext"/>
        <w:rPr>
          <w:rStyle w:val="normaltextrun"/>
          <w:rFonts w:eastAsia="Arial"/>
          <w:b/>
          <w:sz w:val="24"/>
          <w:szCs w:val="24"/>
          <w:lang w:eastAsia="en-US"/>
        </w:rPr>
      </w:pPr>
      <w:r w:rsidRPr="00EE2691">
        <w:rPr>
          <w:rStyle w:val="normaltextrun"/>
          <w:rFonts w:eastAsiaTheme="minorHAnsi"/>
        </w:rPr>
        <w:t xml:space="preserve">In relation to the four RRCP flow scenarios examined, the population model predictions for Golden Perch </w:t>
      </w:r>
      <w:r>
        <w:rPr>
          <w:rStyle w:val="normaltextrun"/>
        </w:rPr>
        <w:t>indic</w:t>
      </w:r>
      <w:r w:rsidRPr="00EE2691">
        <w:rPr>
          <w:rStyle w:val="normaltextrun"/>
          <w:rFonts w:eastAsiaTheme="minorHAnsi"/>
        </w:rPr>
        <w:t>ate that</w:t>
      </w:r>
      <w:r>
        <w:rPr>
          <w:rStyle w:val="normaltextrun"/>
        </w:rPr>
        <w:t xml:space="preserve">, </w:t>
      </w:r>
      <w:r w:rsidRPr="00DB74B0">
        <w:rPr>
          <w:rStyle w:val="normaltextrun"/>
          <w:rFonts w:eastAsiaTheme="minorHAnsi"/>
        </w:rPr>
        <w:t>in the RRCP reaches of the Murray and Murrumbidgee rivers</w:t>
      </w:r>
      <w:r>
        <w:rPr>
          <w:rStyle w:val="normaltextrun"/>
        </w:rPr>
        <w:t>,</w:t>
      </w:r>
      <w:r w:rsidRPr="00EE2691">
        <w:rPr>
          <w:rStyle w:val="normaltextrun"/>
          <w:rFonts w:eastAsiaTheme="minorHAnsi"/>
        </w:rPr>
        <w:t xml:space="preserve"> the RRCP hydrological scenario </w:t>
      </w:r>
      <w:r>
        <w:rPr>
          <w:rStyle w:val="normaltextrun"/>
          <w:rFonts w:eastAsiaTheme="minorHAnsi"/>
        </w:rPr>
        <w:t xml:space="preserve">of </w:t>
      </w:r>
      <w:r w:rsidRPr="00EE2691">
        <w:rPr>
          <w:rStyle w:val="normaltextrun"/>
          <w:rFonts w:eastAsiaTheme="minorHAnsi"/>
        </w:rPr>
        <w:t>45,000 ML</w:t>
      </w:r>
      <w:r>
        <w:rPr>
          <w:rStyle w:val="normaltextrun"/>
        </w:rPr>
        <w:t> </w:t>
      </w:r>
      <w:r w:rsidRPr="00EE2691">
        <w:rPr>
          <w:rStyle w:val="normaltextrun"/>
          <w:rFonts w:eastAsiaTheme="minorHAnsi"/>
        </w:rPr>
        <w:t>day</w:t>
      </w:r>
      <w:r w:rsidRPr="00FD071B">
        <w:rPr>
          <w:rStyle w:val="normaltextrun"/>
          <w:rFonts w:eastAsiaTheme="minorHAnsi"/>
          <w:vertAlign w:val="superscript"/>
        </w:rPr>
        <w:t>–1</w:t>
      </w:r>
      <w:r w:rsidRPr="00EE2691">
        <w:rPr>
          <w:rStyle w:val="normaltextrun"/>
          <w:rFonts w:eastAsiaTheme="minorHAnsi"/>
        </w:rPr>
        <w:t xml:space="preserve"> </w:t>
      </w:r>
      <w:r>
        <w:rPr>
          <w:rStyle w:val="normaltextrun"/>
          <w:rFonts w:eastAsiaTheme="minorHAnsi"/>
        </w:rPr>
        <w:t xml:space="preserve">at Yarrawonga and </w:t>
      </w:r>
      <w:r w:rsidRPr="00EE2691">
        <w:rPr>
          <w:rStyle w:val="normaltextrun"/>
          <w:rFonts w:eastAsiaTheme="minorHAnsi"/>
        </w:rPr>
        <w:t>4</w:t>
      </w:r>
      <w:r>
        <w:rPr>
          <w:rStyle w:val="normaltextrun"/>
          <w:rFonts w:eastAsiaTheme="minorHAnsi"/>
        </w:rPr>
        <w:t>0</w:t>
      </w:r>
      <w:r w:rsidRPr="00EE2691">
        <w:rPr>
          <w:rStyle w:val="normaltextrun"/>
          <w:rFonts w:eastAsiaTheme="minorHAnsi"/>
        </w:rPr>
        <w:t>,000 ML</w:t>
      </w:r>
      <w:r>
        <w:rPr>
          <w:rStyle w:val="normaltextrun"/>
        </w:rPr>
        <w:t> </w:t>
      </w:r>
      <w:r w:rsidRPr="00EE2691">
        <w:rPr>
          <w:rStyle w:val="normaltextrun"/>
          <w:rFonts w:eastAsiaTheme="minorHAnsi"/>
        </w:rPr>
        <w:t>day</w:t>
      </w:r>
      <w:r w:rsidRPr="00FD071B">
        <w:rPr>
          <w:rStyle w:val="normaltextrun"/>
          <w:rFonts w:eastAsiaTheme="minorHAnsi"/>
          <w:vertAlign w:val="superscript"/>
        </w:rPr>
        <w:t>–1</w:t>
      </w:r>
      <w:r w:rsidRPr="00EE2691">
        <w:rPr>
          <w:rStyle w:val="normaltextrun"/>
          <w:rFonts w:eastAsiaTheme="minorHAnsi"/>
        </w:rPr>
        <w:t xml:space="preserve"> </w:t>
      </w:r>
      <w:r>
        <w:rPr>
          <w:rStyle w:val="normaltextrun"/>
          <w:rFonts w:eastAsiaTheme="minorHAnsi"/>
        </w:rPr>
        <w:t>at Doctors Point and Wagga Wagga (</w:t>
      </w:r>
      <w:r w:rsidRPr="00EE2691">
        <w:rPr>
          <w:rStyle w:val="normaltextrun"/>
          <w:rFonts w:eastAsiaTheme="minorHAnsi"/>
        </w:rPr>
        <w:t>i.e</w:t>
      </w:r>
      <w:r>
        <w:rPr>
          <w:rStyle w:val="normaltextrun"/>
          <w:rFonts w:eastAsiaTheme="minorHAnsi"/>
        </w:rPr>
        <w:t xml:space="preserve">. </w:t>
      </w:r>
      <w:r w:rsidRPr="00EE2691">
        <w:rPr>
          <w:rStyle w:val="normaltextrun"/>
          <w:rFonts w:eastAsiaTheme="minorHAnsi"/>
        </w:rPr>
        <w:t>Option 4) has the greatest benefits overall (</w:t>
      </w:r>
      <w:r>
        <w:rPr>
          <w:rStyle w:val="normaltextrun"/>
        </w:rPr>
        <w:t xml:space="preserve">an </w:t>
      </w:r>
      <w:r w:rsidRPr="00EE2691">
        <w:rPr>
          <w:rStyle w:val="normaltextrun"/>
          <w:rFonts w:eastAsiaTheme="minorHAnsi"/>
        </w:rPr>
        <w:t xml:space="preserve">average 30% expected increase in mean </w:t>
      </w:r>
      <w:r>
        <w:rPr>
          <w:rStyle w:val="normaltextrun"/>
        </w:rPr>
        <w:t xml:space="preserve">adult </w:t>
      </w:r>
      <w:r w:rsidRPr="00EE2691">
        <w:rPr>
          <w:rStyle w:val="normaltextrun"/>
          <w:rFonts w:eastAsiaTheme="minorHAnsi"/>
        </w:rPr>
        <w:t>population size, and up to 49% for some spatial areas</w:t>
      </w:r>
      <w:r>
        <w:rPr>
          <w:rStyle w:val="normaltextrun"/>
        </w:rPr>
        <w:t>,</w:t>
      </w:r>
      <w:r w:rsidRPr="00EE2691">
        <w:rPr>
          <w:rStyle w:val="normaltextrun"/>
          <w:rFonts w:eastAsiaTheme="minorHAnsi"/>
        </w:rPr>
        <w:t xml:space="preserve"> compared with the Base case</w:t>
      </w:r>
      <w:r>
        <w:rPr>
          <w:rStyle w:val="normaltextrun"/>
        </w:rPr>
        <w:t>)</w:t>
      </w:r>
      <w:r w:rsidRPr="00EE2691">
        <w:rPr>
          <w:rStyle w:val="normaltextrun"/>
          <w:rFonts w:eastAsiaTheme="minorHAnsi"/>
        </w:rPr>
        <w:t xml:space="preserve">. </w:t>
      </w:r>
      <w:r>
        <w:rPr>
          <w:rStyle w:val="normaltextrun"/>
          <w:rFonts w:eastAsiaTheme="minorHAnsi"/>
        </w:rPr>
        <w:t>For</w:t>
      </w:r>
      <w:r w:rsidRPr="00EE2691">
        <w:rPr>
          <w:rStyle w:val="normaltextrun"/>
          <w:rFonts w:eastAsiaTheme="minorHAnsi"/>
        </w:rPr>
        <w:t xml:space="preserve"> the NSW DPE</w:t>
      </w:r>
      <w:r w:rsidRPr="00FD071B">
        <w:rPr>
          <w:rStyle w:val="normaltextrun"/>
          <w:rFonts w:eastAsiaTheme="minorHAnsi"/>
        </w:rPr>
        <w:t xml:space="preserve">, we recommend that RRCP flow scenario Option 4 is likely to be </w:t>
      </w:r>
      <w:r>
        <w:rPr>
          <w:rStyle w:val="normaltextrun"/>
          <w:rFonts w:eastAsiaTheme="minorHAnsi"/>
        </w:rPr>
        <w:t xml:space="preserve">the </w:t>
      </w:r>
      <w:r w:rsidRPr="00FD071B">
        <w:rPr>
          <w:rStyle w:val="normaltextrun"/>
          <w:rFonts w:eastAsiaTheme="minorHAnsi"/>
        </w:rPr>
        <w:t>most beneficial for Golden Perch populations in the future.</w:t>
      </w:r>
    </w:p>
    <w:p w14:paraId="642342D9" w14:textId="7BE39640" w:rsidR="00491210" w:rsidRDefault="00EE200C" w:rsidP="00FD071B">
      <w:pPr>
        <w:pStyle w:val="PopModbodytext"/>
        <w:rPr>
          <w:rStyle w:val="normaltextrun"/>
          <w:sz w:val="20"/>
          <w:szCs w:val="24"/>
          <w:lang w:eastAsia="en-US"/>
        </w:rPr>
      </w:pPr>
      <w:r>
        <w:rPr>
          <w:rStyle w:val="normaltextrun"/>
        </w:rPr>
        <w:t>The population modelling has revealed several of the important pathways/mechanisms</w:t>
      </w:r>
      <w:r w:rsidRPr="3FC79A6E">
        <w:rPr>
          <w:rStyle w:val="normaltextrun"/>
        </w:rPr>
        <w:t xml:space="preserve"> </w:t>
      </w:r>
      <w:r>
        <w:rPr>
          <w:rStyle w:val="normaltextrun"/>
        </w:rPr>
        <w:t>that help to support Golden Perch populations, including emigration between the Lower Murray–Darling Basin system and upstream tributaries, such as the Murray River above Torrumbarry, the Edward and Wakool rivers, and the Murrumbidgee system. The population models identified the flows and spatial areas that can influence these processes, indicating a strong link between the scenarios and outcomes supporting native fish recovery.</w:t>
      </w:r>
    </w:p>
    <w:p w14:paraId="71D57035" w14:textId="465EEFDB" w:rsidR="00491210" w:rsidRPr="00475E8B" w:rsidRDefault="00EE200C" w:rsidP="00FD071B">
      <w:pPr>
        <w:pStyle w:val="PopModbodytext"/>
        <w:rPr>
          <w:rFonts w:eastAsia="Arial"/>
          <w:lang w:eastAsia="en-US"/>
        </w:rPr>
      </w:pPr>
      <w:r>
        <w:rPr>
          <w:rStyle w:val="normaltextrun"/>
        </w:rPr>
        <w:t>For Murray Cod, the population models indicated that avoiding hypoxic blackwater is the most influential factor in recovering populations. We recommend utilising this knowledge in annual watering plans to better support broad fish population dynamics.</w:t>
      </w:r>
    </w:p>
    <w:p w14:paraId="4E1988DC" w14:textId="0E3CF64E" w:rsidR="00491210" w:rsidRPr="00C51675" w:rsidRDefault="00EE200C" w:rsidP="00FD071B">
      <w:pPr>
        <w:pStyle w:val="Heading3"/>
      </w:pPr>
      <w:bookmarkStart w:id="26" w:name="_Toc116994876"/>
      <w:r w:rsidRPr="00C51675">
        <w:t>Supporting recommendations</w:t>
      </w:r>
      <w:bookmarkEnd w:id="26"/>
    </w:p>
    <w:p w14:paraId="63783DB1" w14:textId="422EBC3C" w:rsidR="00491210" w:rsidRPr="00475E8B" w:rsidRDefault="00EE200C" w:rsidP="00D80B94">
      <w:pPr>
        <w:pStyle w:val="paragraph"/>
        <w:spacing w:before="0" w:beforeAutospacing="0" w:after="0" w:afterAutospacing="0" w:line="259" w:lineRule="auto"/>
        <w:jc w:val="both"/>
        <w:rPr>
          <w:rFonts w:ascii="Arial" w:eastAsia="Arial" w:hAnsi="Arial" w:cs="Arial"/>
          <w:color w:val="000000"/>
          <w:lang w:eastAsia="en-US"/>
        </w:rPr>
      </w:pPr>
      <w:r w:rsidRPr="007857D1">
        <w:rPr>
          <w:rStyle w:val="normaltextrun"/>
          <w:rFonts w:ascii="Arial" w:eastAsia="Arial" w:hAnsi="Arial" w:cs="Arial"/>
          <w:lang w:eastAsia="en-US"/>
        </w:rPr>
        <w:t xml:space="preserve">The </w:t>
      </w:r>
      <w:r>
        <w:rPr>
          <w:rStyle w:val="normaltextrun"/>
          <w:rFonts w:ascii="Arial" w:eastAsia="Arial" w:hAnsi="Arial" w:cs="Arial"/>
          <w:lang w:eastAsia="en-US"/>
        </w:rPr>
        <w:t xml:space="preserve">population </w:t>
      </w:r>
      <w:r w:rsidRPr="007857D1">
        <w:rPr>
          <w:rStyle w:val="normaltextrun"/>
          <w:rFonts w:ascii="Arial" w:eastAsia="Arial" w:hAnsi="Arial" w:cs="Arial"/>
          <w:lang w:eastAsia="en-US"/>
        </w:rPr>
        <w:t>model</w:t>
      </w:r>
      <w:r>
        <w:rPr>
          <w:rStyle w:val="normaltextrun"/>
          <w:rFonts w:ascii="Arial" w:eastAsia="Arial" w:hAnsi="Arial" w:cs="Arial"/>
          <w:lang w:eastAsia="en-US"/>
        </w:rPr>
        <w:t xml:space="preserve">s for Golden Perch and Murray Cod represent some of the most sophisticated tools for exploring future scenarios and likely ecological responses to a broad range of management interventions. Further technical refinements are suggested (e.g. the addition of key missing spatial areas, such as the Goulburn River and the Menindee Lakes, as well as modifications to the flow–ecology drivers), as are additional flow scenarios (e.g. </w:t>
      </w:r>
      <w:r w:rsidRPr="00D1452A">
        <w:rPr>
          <w:rStyle w:val="normaltextrun"/>
          <w:rFonts w:ascii="Arial" w:eastAsia="Arial" w:hAnsi="Arial" w:cs="Arial"/>
          <w:lang w:eastAsia="en-US"/>
        </w:rPr>
        <w:t>without</w:t>
      </w:r>
      <w:r>
        <w:rPr>
          <w:rStyle w:val="normaltextrun"/>
          <w:rFonts w:ascii="Arial" w:eastAsia="Arial" w:hAnsi="Arial" w:cs="Arial"/>
          <w:lang w:eastAsia="en-US"/>
        </w:rPr>
        <w:t>-</w:t>
      </w:r>
      <w:r w:rsidRPr="00D1452A">
        <w:rPr>
          <w:rStyle w:val="normaltextrun"/>
          <w:rFonts w:ascii="Arial" w:eastAsia="Arial" w:hAnsi="Arial" w:cs="Arial"/>
          <w:lang w:eastAsia="en-US"/>
        </w:rPr>
        <w:t>development flow time series</w:t>
      </w:r>
      <w:r>
        <w:rPr>
          <w:rStyle w:val="normaltextrun"/>
          <w:rFonts w:ascii="Arial" w:eastAsia="Arial" w:hAnsi="Arial" w:cs="Arial"/>
          <w:lang w:eastAsia="en-US"/>
        </w:rPr>
        <w:t xml:space="preserve"> that is</w:t>
      </w:r>
      <w:r w:rsidRPr="00D1452A">
        <w:rPr>
          <w:rStyle w:val="normaltextrun"/>
          <w:rFonts w:ascii="Arial" w:eastAsia="Arial" w:hAnsi="Arial" w:cs="Arial"/>
          <w:lang w:eastAsia="en-US"/>
        </w:rPr>
        <w:t xml:space="preserve"> flows </w:t>
      </w:r>
      <w:r>
        <w:rPr>
          <w:rStyle w:val="normaltextrun"/>
          <w:rFonts w:ascii="Arial" w:eastAsia="Arial" w:hAnsi="Arial" w:cs="Arial"/>
          <w:lang w:eastAsia="en-US"/>
        </w:rPr>
        <w:t>without</w:t>
      </w:r>
      <w:r w:rsidRPr="00D1452A">
        <w:rPr>
          <w:rStyle w:val="normaltextrun"/>
          <w:rFonts w:ascii="Arial" w:eastAsia="Arial" w:hAnsi="Arial" w:cs="Arial"/>
          <w:lang w:eastAsia="en-US"/>
        </w:rPr>
        <w:t xml:space="preserve"> dams and extraction for consumptive use</w:t>
      </w:r>
      <w:r>
        <w:rPr>
          <w:rStyle w:val="normaltextrun"/>
          <w:rFonts w:ascii="Arial" w:eastAsia="Arial" w:hAnsi="Arial" w:cs="Arial"/>
          <w:lang w:eastAsia="en-US"/>
        </w:rPr>
        <w:t xml:space="preserve"> as well as climate change scenarios). Subsequent application of the models may provide much-needed insights into the drivers of fish population dynamics over broad spatial and temporal scales, shedding further light on the likely outcomes of the proposed pathways for fish recovery.</w:t>
      </w:r>
    </w:p>
    <w:p w14:paraId="737AE8B5" w14:textId="77777777" w:rsidR="00491210" w:rsidRDefault="00491210" w:rsidP="00D80B94">
      <w:pPr>
        <w:pStyle w:val="paragraph"/>
        <w:spacing w:before="0" w:beforeAutospacing="0" w:after="0" w:afterAutospacing="0" w:line="259" w:lineRule="auto"/>
        <w:jc w:val="both"/>
        <w:rPr>
          <w:rStyle w:val="normaltextrun"/>
          <w:b/>
          <w:color w:val="000000"/>
        </w:rPr>
      </w:pPr>
    </w:p>
    <w:p w14:paraId="715AA20F" w14:textId="7526FB12" w:rsidR="00491210" w:rsidRDefault="00491210">
      <w:pPr>
        <w:pStyle w:val="Heading1-Numbered"/>
        <w:numPr>
          <w:ilvl w:val="0"/>
          <w:numId w:val="0"/>
        </w:numPr>
        <w:sectPr w:rsidR="00491210" w:rsidSect="002357AB">
          <w:headerReference w:type="even" r:id="rId49"/>
          <w:headerReference w:type="default" r:id="rId50"/>
          <w:headerReference w:type="first" r:id="rId51"/>
          <w:footerReference w:type="first" r:id="rId52"/>
          <w:pgSz w:w="11907" w:h="16840" w:code="9"/>
          <w:pgMar w:top="1134" w:right="1134" w:bottom="1134" w:left="1134" w:header="709" w:footer="567" w:gutter="0"/>
          <w:pgNumType w:fmt="lowerRoman"/>
          <w:cols w:space="708"/>
          <w:formProt w:val="0"/>
          <w:docGrid w:linePitch="360"/>
        </w:sectPr>
      </w:pPr>
    </w:p>
    <w:p w14:paraId="02B4C75B" w14:textId="3D080E0A" w:rsidR="00491210" w:rsidRPr="006E320C" w:rsidRDefault="00EE200C">
      <w:pPr>
        <w:pStyle w:val="Heading1-Numbered"/>
      </w:pPr>
      <w:bookmarkStart w:id="27" w:name="_Toc286018760"/>
      <w:bookmarkStart w:id="28" w:name="_Toc409798397"/>
      <w:bookmarkStart w:id="29" w:name="_Toc90388546"/>
      <w:bookmarkStart w:id="30" w:name="_Toc116994877"/>
      <w:r w:rsidRPr="006E320C">
        <w:lastRenderedPageBreak/>
        <w:t>Introduction</w:t>
      </w:r>
      <w:bookmarkEnd w:id="27"/>
      <w:bookmarkEnd w:id="28"/>
      <w:bookmarkEnd w:id="29"/>
      <w:bookmarkEnd w:id="30"/>
    </w:p>
    <w:p w14:paraId="1A7A2488" w14:textId="4698A17B" w:rsidR="00491210" w:rsidRDefault="00EE200C" w:rsidP="008C2F3C">
      <w:pPr>
        <w:spacing w:before="120" w:after="240"/>
        <w:jc w:val="both"/>
        <w:rPr>
          <w:color w:val="000000"/>
          <w:sz w:val="22"/>
          <w:szCs w:val="22"/>
          <w:lang w:eastAsia="en-AU"/>
        </w:rPr>
      </w:pPr>
      <w:r>
        <w:rPr>
          <w:color w:val="000000"/>
          <w:sz w:val="22"/>
          <w:szCs w:val="22"/>
          <w:lang w:eastAsia="en-AU"/>
        </w:rPr>
        <w:t>C</w:t>
      </w:r>
      <w:r w:rsidRPr="0D5E8F24">
        <w:rPr>
          <w:color w:val="000000"/>
          <w:sz w:val="22"/>
          <w:szCs w:val="22"/>
          <w:lang w:eastAsia="en-AU"/>
        </w:rPr>
        <w:t>onnectivity between rivers and their adjacent wetlands and floodplains</w:t>
      </w:r>
      <w:r w:rsidRPr="0D5E8F24" w:rsidDel="00A94E0A">
        <w:rPr>
          <w:color w:val="000000"/>
          <w:sz w:val="22"/>
          <w:szCs w:val="22"/>
          <w:lang w:eastAsia="en-AU"/>
        </w:rPr>
        <w:t xml:space="preserve"> </w:t>
      </w:r>
      <w:r>
        <w:rPr>
          <w:color w:val="000000"/>
          <w:sz w:val="22"/>
          <w:szCs w:val="22"/>
          <w:lang w:eastAsia="en-AU"/>
        </w:rPr>
        <w:t>is a</w:t>
      </w:r>
      <w:r w:rsidRPr="0D5E8F24">
        <w:rPr>
          <w:color w:val="000000"/>
          <w:sz w:val="22"/>
          <w:szCs w:val="22"/>
          <w:lang w:eastAsia="en-AU"/>
        </w:rPr>
        <w:t xml:space="preserve">n important feature of healthy, functioning freshwater ecosystems. These connections support important ecological, hydrological and chemical processes. However, many rivers </w:t>
      </w:r>
      <w:r>
        <w:rPr>
          <w:color w:val="000000"/>
          <w:sz w:val="22"/>
          <w:szCs w:val="22"/>
          <w:lang w:eastAsia="en-AU"/>
        </w:rPr>
        <w:t xml:space="preserve">globally </w:t>
      </w:r>
      <w:r w:rsidRPr="0D5E8F24">
        <w:rPr>
          <w:color w:val="000000"/>
          <w:sz w:val="22"/>
          <w:szCs w:val="22"/>
          <w:lang w:eastAsia="en-AU"/>
        </w:rPr>
        <w:t xml:space="preserve">are no longer connected with floodplains and wetlands for as often or </w:t>
      </w:r>
      <w:r>
        <w:rPr>
          <w:color w:val="000000"/>
          <w:sz w:val="22"/>
          <w:szCs w:val="22"/>
          <w:lang w:eastAsia="en-AU"/>
        </w:rPr>
        <w:t xml:space="preserve">as </w:t>
      </w:r>
      <w:r w:rsidRPr="0D5E8F24">
        <w:rPr>
          <w:color w:val="000000"/>
          <w:sz w:val="22"/>
          <w:szCs w:val="22"/>
          <w:lang w:eastAsia="en-AU"/>
        </w:rPr>
        <w:t xml:space="preserve">long as they need to be, and these important </w:t>
      </w:r>
      <w:r>
        <w:rPr>
          <w:color w:val="000000"/>
          <w:sz w:val="22"/>
          <w:szCs w:val="22"/>
          <w:lang w:eastAsia="en-AU"/>
        </w:rPr>
        <w:t>processe</w:t>
      </w:r>
      <w:r w:rsidRPr="0D5E8F24">
        <w:rPr>
          <w:color w:val="000000"/>
          <w:sz w:val="22"/>
          <w:szCs w:val="22"/>
          <w:lang w:eastAsia="en-AU"/>
        </w:rPr>
        <w:t>s are lost or compromised. Also, many rivers are managed in the context of balancing competing human and environmental needs for water (</w:t>
      </w:r>
      <w:r w:rsidRPr="00AB6EF7">
        <w:rPr>
          <w:color w:val="222222"/>
          <w:sz w:val="22"/>
          <w:szCs w:val="22"/>
          <w:shd w:val="clear" w:color="auto" w:fill="FFFFFF"/>
        </w:rPr>
        <w:t>Vörösmarty</w:t>
      </w:r>
      <w:r w:rsidRPr="0D5E8F24">
        <w:rPr>
          <w:color w:val="000000"/>
          <w:sz w:val="22"/>
          <w:szCs w:val="22"/>
          <w:lang w:eastAsia="en-AU"/>
        </w:rPr>
        <w:t xml:space="preserve"> et al. 2010). Consequently, the health of many river systems has declined.</w:t>
      </w:r>
    </w:p>
    <w:p w14:paraId="5CE5E07E" w14:textId="7DA01821" w:rsidR="00491210" w:rsidRPr="00B41D56" w:rsidRDefault="00EE200C" w:rsidP="008C2F3C">
      <w:pPr>
        <w:spacing w:before="120" w:after="240"/>
        <w:jc w:val="both"/>
        <w:rPr>
          <w:color w:val="000000"/>
          <w:sz w:val="22"/>
          <w:szCs w:val="22"/>
          <w:lang w:eastAsia="en-AU"/>
        </w:rPr>
      </w:pPr>
      <w:r w:rsidRPr="3FC79A6E">
        <w:rPr>
          <w:rFonts w:eastAsia="Arial"/>
          <w:color w:val="000000"/>
          <w:sz w:val="22"/>
          <w:szCs w:val="22"/>
          <w:lang w:eastAsia="en-AU"/>
        </w:rPr>
        <w:t>To help restore river</w:t>
      </w:r>
      <w:r>
        <w:rPr>
          <w:rFonts w:eastAsia="Arial"/>
          <w:color w:val="000000"/>
          <w:sz w:val="22"/>
          <w:szCs w:val="22"/>
          <w:lang w:eastAsia="en-AU"/>
        </w:rPr>
        <w:t>s in Australia’s Murray–Darling Basin</w:t>
      </w:r>
      <w:r w:rsidRPr="3FC79A6E">
        <w:rPr>
          <w:rFonts w:eastAsia="Arial"/>
          <w:color w:val="000000"/>
          <w:sz w:val="22"/>
          <w:szCs w:val="22"/>
          <w:lang w:eastAsia="en-AU"/>
        </w:rPr>
        <w:t xml:space="preserve">, flexibility </w:t>
      </w:r>
      <w:r>
        <w:rPr>
          <w:rFonts w:eastAsia="Arial"/>
          <w:color w:val="000000"/>
          <w:sz w:val="22"/>
          <w:szCs w:val="22"/>
          <w:lang w:eastAsia="en-AU"/>
        </w:rPr>
        <w:t>in</w:t>
      </w:r>
      <w:r w:rsidRPr="3FC79A6E">
        <w:rPr>
          <w:rFonts w:eastAsia="Arial"/>
          <w:color w:val="000000"/>
          <w:sz w:val="22"/>
          <w:szCs w:val="22"/>
          <w:lang w:eastAsia="en-AU"/>
        </w:rPr>
        <w:t xml:space="preserve"> manag</w:t>
      </w:r>
      <w:r>
        <w:rPr>
          <w:rFonts w:eastAsia="Arial"/>
          <w:color w:val="000000"/>
          <w:sz w:val="22"/>
          <w:szCs w:val="22"/>
          <w:lang w:eastAsia="en-AU"/>
        </w:rPr>
        <w:t>ing the</w:t>
      </w:r>
      <w:r w:rsidRPr="3FC79A6E">
        <w:rPr>
          <w:rFonts w:eastAsia="Arial"/>
          <w:color w:val="000000"/>
          <w:sz w:val="22"/>
          <w:szCs w:val="22"/>
          <w:lang w:eastAsia="en-AU"/>
        </w:rPr>
        <w:t xml:space="preserve"> flows to support both human and environmental needs</w:t>
      </w:r>
      <w:r>
        <w:rPr>
          <w:rFonts w:eastAsia="Arial"/>
          <w:color w:val="000000"/>
          <w:sz w:val="22"/>
          <w:szCs w:val="22"/>
          <w:lang w:eastAsia="en-AU"/>
        </w:rPr>
        <w:t xml:space="preserve"> is required</w:t>
      </w:r>
      <w:r w:rsidRPr="0D5E8F24">
        <w:rPr>
          <w:color w:val="000000"/>
          <w:sz w:val="22"/>
          <w:szCs w:val="22"/>
          <w:lang w:eastAsia="en-AU"/>
        </w:rPr>
        <w:t xml:space="preserve"> (Dudgeon et al. 2006</w:t>
      </w:r>
      <w:r>
        <w:rPr>
          <w:color w:val="000000"/>
          <w:sz w:val="22"/>
          <w:szCs w:val="22"/>
          <w:lang w:eastAsia="en-AU"/>
        </w:rPr>
        <w:t xml:space="preserve">; </w:t>
      </w:r>
      <w:r w:rsidRPr="00AB6EF7">
        <w:rPr>
          <w:color w:val="222222"/>
          <w:sz w:val="22"/>
          <w:szCs w:val="22"/>
          <w:shd w:val="clear" w:color="auto" w:fill="FFFFFF"/>
        </w:rPr>
        <w:t>Vörösmarty</w:t>
      </w:r>
      <w:r w:rsidRPr="0D5E8F24">
        <w:rPr>
          <w:color w:val="000000"/>
          <w:sz w:val="22"/>
          <w:szCs w:val="22"/>
          <w:lang w:eastAsia="en-AU"/>
        </w:rPr>
        <w:t xml:space="preserve"> et al. 2010). As part of meeting this challenge, the </w:t>
      </w:r>
      <w:r>
        <w:rPr>
          <w:color w:val="000000"/>
          <w:sz w:val="22"/>
          <w:szCs w:val="22"/>
          <w:lang w:eastAsia="en-AU"/>
        </w:rPr>
        <w:t>New South Wales (</w:t>
      </w:r>
      <w:r w:rsidRPr="0D5E8F24">
        <w:rPr>
          <w:color w:val="000000"/>
          <w:sz w:val="22"/>
          <w:szCs w:val="22"/>
          <w:lang w:eastAsia="en-AU"/>
        </w:rPr>
        <w:t>NSW</w:t>
      </w:r>
      <w:r>
        <w:rPr>
          <w:color w:val="000000"/>
          <w:sz w:val="22"/>
          <w:szCs w:val="22"/>
          <w:lang w:eastAsia="en-AU"/>
        </w:rPr>
        <w:t>)</w:t>
      </w:r>
      <w:r w:rsidRPr="0D5E8F24">
        <w:rPr>
          <w:color w:val="000000"/>
          <w:sz w:val="22"/>
          <w:szCs w:val="22"/>
          <w:lang w:eastAsia="en-AU"/>
        </w:rPr>
        <w:t xml:space="preserve"> government is </w:t>
      </w:r>
      <w:r>
        <w:rPr>
          <w:color w:val="000000"/>
          <w:sz w:val="22"/>
          <w:szCs w:val="22"/>
          <w:lang w:eastAsia="en-AU"/>
        </w:rPr>
        <w:t>considering</w:t>
      </w:r>
      <w:r w:rsidRPr="0D5E8F24">
        <w:rPr>
          <w:color w:val="000000"/>
          <w:sz w:val="22"/>
          <w:szCs w:val="22"/>
          <w:lang w:eastAsia="en-AU"/>
        </w:rPr>
        <w:t xml:space="preserve"> the Reconnecting River Country Program (RRCP) in Southern NSW, in three focal regions: </w:t>
      </w:r>
      <w:r>
        <w:rPr>
          <w:color w:val="000000"/>
          <w:sz w:val="22"/>
          <w:szCs w:val="22"/>
          <w:lang w:eastAsia="en-AU"/>
        </w:rPr>
        <w:t xml:space="preserve">Murray River from </w:t>
      </w:r>
      <w:r w:rsidRPr="0D5E8F24">
        <w:rPr>
          <w:color w:val="000000"/>
          <w:sz w:val="22"/>
          <w:szCs w:val="22"/>
          <w:lang w:eastAsia="en-AU"/>
        </w:rPr>
        <w:t xml:space="preserve">Hume to Yarrawonga, </w:t>
      </w:r>
      <w:r>
        <w:rPr>
          <w:color w:val="000000"/>
          <w:sz w:val="22"/>
          <w:szCs w:val="22"/>
          <w:lang w:eastAsia="en-AU"/>
        </w:rPr>
        <w:t xml:space="preserve">Murray River from </w:t>
      </w:r>
      <w:r w:rsidRPr="0D5E8F24">
        <w:rPr>
          <w:color w:val="000000"/>
          <w:sz w:val="22"/>
          <w:szCs w:val="22"/>
          <w:lang w:eastAsia="en-AU"/>
        </w:rPr>
        <w:t>Yarrawonga to Wakool and Murrumbidgee River</w:t>
      </w:r>
      <w:r>
        <w:rPr>
          <w:color w:val="000000"/>
          <w:sz w:val="22"/>
          <w:szCs w:val="22"/>
          <w:lang w:eastAsia="en-AU"/>
        </w:rPr>
        <w:t xml:space="preserve"> system (downstream of </w:t>
      </w:r>
      <w:r>
        <w:rPr>
          <w:rFonts w:eastAsia="Arial"/>
          <w:color w:val="000000"/>
          <w:sz w:val="22"/>
          <w:szCs w:val="22"/>
        </w:rPr>
        <w:t>major storages: Burrunjuck and Blowering dams)</w:t>
      </w:r>
      <w:r w:rsidRPr="0D5E8F24">
        <w:rPr>
          <w:color w:val="000000"/>
          <w:sz w:val="22"/>
          <w:szCs w:val="22"/>
          <w:lang w:eastAsia="en-AU"/>
        </w:rPr>
        <w:t xml:space="preserve">. The RRCP will consider the physical, policy and operational constraints that limit the flow of these river systems, and how these constraints can be best managed to support healthy, productive waterways. The RRCP is part of a broader program, the Sustainable Diversion Limit Adjustment Mechanism (SDLAM), and the RRCP and other SDLAM Supply Measures will allow for more </w:t>
      </w:r>
      <w:r>
        <w:rPr>
          <w:color w:val="000000"/>
          <w:sz w:val="22"/>
          <w:szCs w:val="22"/>
          <w:lang w:eastAsia="en-AU"/>
        </w:rPr>
        <w:t>effective</w:t>
      </w:r>
      <w:r w:rsidRPr="0D5E8F24">
        <w:rPr>
          <w:color w:val="000000"/>
          <w:sz w:val="22"/>
          <w:szCs w:val="22"/>
          <w:lang w:eastAsia="en-AU"/>
        </w:rPr>
        <w:t xml:space="preserve"> use of water for the environment. Relaxing constraints may allow environmental watering </w:t>
      </w:r>
      <w:r>
        <w:rPr>
          <w:color w:val="000000"/>
          <w:sz w:val="22"/>
          <w:szCs w:val="22"/>
          <w:lang w:eastAsia="en-AU"/>
        </w:rPr>
        <w:t xml:space="preserve">to deliver higher flow peaks </w:t>
      </w:r>
      <w:r w:rsidRPr="0D5E8F24">
        <w:rPr>
          <w:color w:val="000000"/>
          <w:sz w:val="22"/>
          <w:szCs w:val="22"/>
          <w:lang w:eastAsia="en-AU"/>
        </w:rPr>
        <w:t>and hence</w:t>
      </w:r>
      <w:r>
        <w:rPr>
          <w:color w:val="000000"/>
          <w:sz w:val="22"/>
          <w:szCs w:val="22"/>
          <w:lang w:eastAsia="en-AU"/>
        </w:rPr>
        <w:t xml:space="preserve"> the potential to</w:t>
      </w:r>
      <w:r w:rsidRPr="0D5E8F24">
        <w:rPr>
          <w:color w:val="000000"/>
          <w:sz w:val="22"/>
          <w:szCs w:val="22"/>
          <w:lang w:eastAsia="en-AU"/>
        </w:rPr>
        <w:t xml:space="preserve"> improve </w:t>
      </w:r>
      <w:r>
        <w:rPr>
          <w:color w:val="000000"/>
          <w:sz w:val="22"/>
          <w:szCs w:val="22"/>
          <w:lang w:eastAsia="en-AU"/>
        </w:rPr>
        <w:t xml:space="preserve">native fish </w:t>
      </w:r>
      <w:r w:rsidRPr="0D5E8F24">
        <w:rPr>
          <w:color w:val="000000"/>
          <w:sz w:val="22"/>
          <w:szCs w:val="22"/>
          <w:lang w:eastAsia="en-AU"/>
        </w:rPr>
        <w:t xml:space="preserve">outcomes in the southern-connected </w:t>
      </w:r>
      <w:r>
        <w:rPr>
          <w:color w:val="000000"/>
          <w:sz w:val="22"/>
          <w:szCs w:val="22"/>
          <w:lang w:eastAsia="en-AU"/>
        </w:rPr>
        <w:t>Murray–Darling</w:t>
      </w:r>
      <w:r w:rsidRPr="0D5E8F24">
        <w:rPr>
          <w:color w:val="000000"/>
          <w:sz w:val="22"/>
          <w:szCs w:val="22"/>
          <w:lang w:eastAsia="en-AU"/>
        </w:rPr>
        <w:t xml:space="preserve"> Basin, as well as the more efficient use of water.</w:t>
      </w:r>
    </w:p>
    <w:p w14:paraId="79E221E7" w14:textId="1E8E18F7" w:rsidR="00491210" w:rsidRPr="00B41D56" w:rsidRDefault="00EE200C" w:rsidP="008C2F3C">
      <w:pPr>
        <w:spacing w:before="120" w:after="240"/>
        <w:jc w:val="both"/>
        <w:rPr>
          <w:color w:val="000000"/>
          <w:sz w:val="22"/>
          <w:szCs w:val="22"/>
          <w:lang w:eastAsia="en-AU"/>
        </w:rPr>
      </w:pPr>
      <w:r w:rsidRPr="38AC6F21">
        <w:rPr>
          <w:sz w:val="22"/>
          <w:szCs w:val="22"/>
          <w:lang w:eastAsia="en-AU"/>
        </w:rPr>
        <w:t xml:space="preserve">Decisions about how to best balance economic, social, cultural and environmental outcomes in the RRCP will be made based on </w:t>
      </w:r>
      <w:r>
        <w:rPr>
          <w:rFonts w:eastAsia="Arial"/>
          <w:color w:val="000000"/>
          <w:sz w:val="22"/>
          <w:szCs w:val="22"/>
          <w:lang w:eastAsia="en-AU"/>
        </w:rPr>
        <w:t>comprehensive assessments of potential benefits and costs/impacts, an options evaluation process and community engagement and collaboration on program design.</w:t>
      </w:r>
      <w:r w:rsidRPr="38AC6F21">
        <w:rPr>
          <w:sz w:val="22"/>
          <w:szCs w:val="22"/>
          <w:lang w:eastAsia="en-AU"/>
        </w:rPr>
        <w:t xml:space="preserve"> </w:t>
      </w:r>
      <w:r w:rsidRPr="38AC6F21">
        <w:rPr>
          <w:color w:val="000000"/>
          <w:sz w:val="22"/>
          <w:szCs w:val="22"/>
          <w:lang w:eastAsia="en-AU"/>
        </w:rPr>
        <w:t>DPE Biodiversity, Conservation and Science (B</w:t>
      </w:r>
      <w:r>
        <w:rPr>
          <w:color w:val="000000"/>
          <w:sz w:val="22"/>
          <w:szCs w:val="22"/>
          <w:lang w:eastAsia="en-AU"/>
        </w:rPr>
        <w:t>CS</w:t>
      </w:r>
      <w:r w:rsidRPr="38AC6F21">
        <w:rPr>
          <w:color w:val="000000"/>
          <w:sz w:val="22"/>
          <w:szCs w:val="22"/>
          <w:lang w:eastAsia="en-AU"/>
        </w:rPr>
        <w:t xml:space="preserve">) is leading the assessment of the environmental benefits of RRCP projects for native vegetation, native fish, waterbirds and ecosystem function (productivity), and </w:t>
      </w:r>
      <w:r>
        <w:rPr>
          <w:color w:val="000000"/>
          <w:sz w:val="22"/>
          <w:szCs w:val="22"/>
          <w:lang w:eastAsia="en-AU"/>
        </w:rPr>
        <w:t>potential risks such as potential increase in Common Carp (</w:t>
      </w:r>
      <w:r w:rsidRPr="0008239B">
        <w:rPr>
          <w:i/>
          <w:iCs/>
          <w:color w:val="000000"/>
          <w:sz w:val="22"/>
          <w:szCs w:val="22"/>
          <w:lang w:eastAsia="en-AU"/>
        </w:rPr>
        <w:t>Cyprinus carpio</w:t>
      </w:r>
      <w:r>
        <w:rPr>
          <w:color w:val="000000"/>
          <w:sz w:val="22"/>
          <w:szCs w:val="22"/>
          <w:lang w:eastAsia="en-AU"/>
        </w:rPr>
        <w:t xml:space="preserve">) populations, invasive weed spread and hypoxic blackwater events. </w:t>
      </w:r>
      <w:r w:rsidRPr="0008239B">
        <w:rPr>
          <w:color w:val="000000"/>
          <w:sz w:val="22"/>
          <w:szCs w:val="22"/>
          <w:lang w:eastAsia="en-AU"/>
        </w:rPr>
        <w:t>These assessments are part of the initial stage of the Reconnecting River Country Program, during which a range of flow and mitigation options are explored; benefits and costs/impacts of these options are assessed and the program socialised with a broad range of stakeholders.</w:t>
      </w:r>
    </w:p>
    <w:p w14:paraId="2EF2BB52" w14:textId="4A446C9A" w:rsidR="00491210" w:rsidRPr="002F4E30" w:rsidRDefault="00EE200C" w:rsidP="008C2F3C">
      <w:pPr>
        <w:spacing w:before="240" w:after="240"/>
        <w:jc w:val="both"/>
        <w:rPr>
          <w:rFonts w:ascii="Times New Roman" w:hAnsi="Times New Roman" w:cs="Times New Roman"/>
          <w:sz w:val="24"/>
          <w:lang w:eastAsia="en-AU"/>
        </w:rPr>
      </w:pPr>
      <w:r w:rsidRPr="2C4978F2">
        <w:rPr>
          <w:color w:val="000000"/>
          <w:sz w:val="22"/>
          <w:szCs w:val="22"/>
          <w:lang w:eastAsia="en-AU"/>
        </w:rPr>
        <w:t>Environmental benefits assessments will provide quantitative predictions of the likely medium- to long-term ecological responses to RRCP flow limit options, using the best available science at a range of spatial scales. The outputs will help the RRCP projects by:</w:t>
      </w:r>
    </w:p>
    <w:p w14:paraId="31090D9C" w14:textId="54064C88" w:rsidR="00491210" w:rsidRPr="002F4E30" w:rsidRDefault="00EE200C" w:rsidP="008C2F3C">
      <w:pPr>
        <w:spacing w:before="120"/>
        <w:jc w:val="both"/>
        <w:rPr>
          <w:rFonts w:ascii="Times New Roman" w:hAnsi="Times New Roman" w:cs="Times New Roman"/>
          <w:sz w:val="24"/>
          <w:lang w:eastAsia="en-AU"/>
        </w:rPr>
      </w:pPr>
      <w:r>
        <w:rPr>
          <w:color w:val="000000"/>
          <w:sz w:val="22"/>
          <w:szCs w:val="22"/>
          <w:lang w:eastAsia="en-AU"/>
        </w:rPr>
        <w:t>(</w:t>
      </w:r>
      <w:r w:rsidRPr="2C4978F2">
        <w:rPr>
          <w:color w:val="000000"/>
          <w:sz w:val="22"/>
          <w:szCs w:val="22"/>
          <w:lang w:eastAsia="en-AU"/>
        </w:rPr>
        <w:t>a)</w:t>
      </w:r>
      <w:r>
        <w:rPr>
          <w:color w:val="000000"/>
          <w:sz w:val="22"/>
          <w:szCs w:val="22"/>
          <w:lang w:eastAsia="en-AU"/>
        </w:rPr>
        <w:t xml:space="preserve"> </w:t>
      </w:r>
      <w:r w:rsidRPr="2C4978F2">
        <w:rPr>
          <w:color w:val="000000"/>
          <w:sz w:val="22"/>
          <w:szCs w:val="22"/>
          <w:lang w:eastAsia="en-AU"/>
        </w:rPr>
        <w:t>informing evaluation of project flow limit options and government decision making on the preferred flow limits in the future</w:t>
      </w:r>
      <w:r>
        <w:rPr>
          <w:color w:val="000000"/>
          <w:sz w:val="22"/>
          <w:szCs w:val="22"/>
          <w:lang w:eastAsia="en-AU"/>
        </w:rPr>
        <w:t>;</w:t>
      </w:r>
    </w:p>
    <w:p w14:paraId="435BE4D3" w14:textId="5BE83259" w:rsidR="00491210" w:rsidRPr="002F4E30" w:rsidRDefault="00EE200C" w:rsidP="008C2F3C">
      <w:pPr>
        <w:spacing w:before="120"/>
        <w:jc w:val="both"/>
        <w:rPr>
          <w:rFonts w:ascii="Times New Roman" w:hAnsi="Times New Roman" w:cs="Times New Roman"/>
          <w:sz w:val="24"/>
          <w:lang w:eastAsia="en-AU"/>
        </w:rPr>
      </w:pPr>
      <w:r>
        <w:rPr>
          <w:color w:val="000000"/>
          <w:sz w:val="22"/>
          <w:szCs w:val="22"/>
          <w:lang w:eastAsia="en-AU"/>
        </w:rPr>
        <w:t>(</w:t>
      </w:r>
      <w:r w:rsidRPr="60D1C489">
        <w:rPr>
          <w:color w:val="000000"/>
          <w:sz w:val="22"/>
          <w:szCs w:val="22"/>
          <w:lang w:eastAsia="en-AU"/>
        </w:rPr>
        <w:t>b)</w:t>
      </w:r>
      <w:r>
        <w:rPr>
          <w:color w:val="000000"/>
          <w:sz w:val="22"/>
          <w:szCs w:val="22"/>
          <w:lang w:eastAsia="en-AU"/>
        </w:rPr>
        <w:t xml:space="preserve"> </w:t>
      </w:r>
      <w:r w:rsidRPr="60D1C489">
        <w:rPr>
          <w:color w:val="000000"/>
          <w:sz w:val="22"/>
          <w:szCs w:val="22"/>
          <w:lang w:eastAsia="en-AU"/>
        </w:rPr>
        <w:t>building stakeholder and community understanding and confidence in the range of likely environmental benefits and risks of relaxing constraints;</w:t>
      </w:r>
    </w:p>
    <w:p w14:paraId="5AD837DE" w14:textId="0710F099" w:rsidR="00491210" w:rsidRDefault="00EE200C" w:rsidP="008C2F3C">
      <w:pPr>
        <w:spacing w:before="120"/>
        <w:jc w:val="both"/>
        <w:rPr>
          <w:color w:val="000000"/>
          <w:sz w:val="22"/>
          <w:szCs w:val="22"/>
          <w:lang w:eastAsia="en-AU"/>
        </w:rPr>
      </w:pPr>
      <w:r>
        <w:rPr>
          <w:color w:val="000000"/>
          <w:sz w:val="22"/>
          <w:szCs w:val="22"/>
          <w:lang w:eastAsia="en-AU"/>
        </w:rPr>
        <w:t>(</w:t>
      </w:r>
      <w:r w:rsidRPr="2C4978F2">
        <w:rPr>
          <w:color w:val="000000"/>
          <w:sz w:val="22"/>
          <w:szCs w:val="22"/>
          <w:lang w:eastAsia="en-AU"/>
        </w:rPr>
        <w:t>c)</w:t>
      </w:r>
      <w:r>
        <w:rPr>
          <w:color w:val="000000"/>
          <w:sz w:val="22"/>
          <w:szCs w:val="22"/>
          <w:lang w:eastAsia="en-AU"/>
        </w:rPr>
        <w:t xml:space="preserve"> </w:t>
      </w:r>
      <w:r w:rsidRPr="2C4978F2">
        <w:rPr>
          <w:color w:val="000000"/>
          <w:sz w:val="22"/>
          <w:szCs w:val="22"/>
          <w:lang w:eastAsia="en-AU"/>
        </w:rPr>
        <w:t>defining the project benefits for inclusion in Strategic and Final Business Cases; and</w:t>
      </w:r>
    </w:p>
    <w:p w14:paraId="6BA26328" w14:textId="0B1C8CC4" w:rsidR="00491210" w:rsidRPr="002F4E30" w:rsidRDefault="00EE200C" w:rsidP="008C2F3C">
      <w:pPr>
        <w:spacing w:before="120" w:after="240"/>
        <w:jc w:val="both"/>
        <w:rPr>
          <w:rFonts w:ascii="Times New Roman" w:hAnsi="Times New Roman" w:cs="Times New Roman"/>
          <w:sz w:val="24"/>
          <w:lang w:eastAsia="en-AU"/>
        </w:rPr>
      </w:pPr>
      <w:r>
        <w:rPr>
          <w:color w:val="000000"/>
          <w:sz w:val="22"/>
          <w:szCs w:val="22"/>
          <w:lang w:eastAsia="en-AU"/>
        </w:rPr>
        <w:t>(</w:t>
      </w:r>
      <w:r w:rsidRPr="2C4978F2">
        <w:rPr>
          <w:color w:val="000000"/>
          <w:sz w:val="22"/>
          <w:szCs w:val="22"/>
          <w:lang w:eastAsia="en-AU"/>
        </w:rPr>
        <w:t>d)</w:t>
      </w:r>
      <w:r>
        <w:rPr>
          <w:color w:val="000000"/>
          <w:sz w:val="22"/>
          <w:szCs w:val="22"/>
          <w:lang w:eastAsia="en-AU"/>
        </w:rPr>
        <w:t xml:space="preserve"> </w:t>
      </w:r>
      <w:r w:rsidRPr="2C4978F2">
        <w:rPr>
          <w:color w:val="000000"/>
          <w:sz w:val="22"/>
          <w:szCs w:val="22"/>
          <w:lang w:eastAsia="en-AU"/>
        </w:rPr>
        <w:t>potentially informing the SDLAM reconciliation process.</w:t>
      </w:r>
    </w:p>
    <w:p w14:paraId="205822C1" w14:textId="5B533FA6" w:rsidR="00491210" w:rsidRDefault="00EE200C" w:rsidP="002F22EB">
      <w:pPr>
        <w:pStyle w:val="PopModbodytext"/>
      </w:pPr>
      <w:r w:rsidRPr="0D5E8F24">
        <w:t xml:space="preserve">The relaxation of constraints in the RRCP project is expected to have positive outcomes for native fish in these areas and across the </w:t>
      </w:r>
      <w:r>
        <w:t>Southern</w:t>
      </w:r>
      <w:r w:rsidRPr="0D5E8F24">
        <w:t xml:space="preserve"> MDB by providing improved connectivity with floodplains and between habitats, increasing productivity and food availability, and enhancing instream conditions for movement and spawning in the Murray and Murrumbidgee </w:t>
      </w:r>
      <w:r>
        <w:t xml:space="preserve">rivers and their </w:t>
      </w:r>
      <w:r w:rsidRPr="0D5E8F24">
        <w:t>floodplain anabranches and creeks. However, the benefits of re</w:t>
      </w:r>
      <w:r>
        <w:t>laxing</w:t>
      </w:r>
      <w:r w:rsidRPr="0D5E8F24">
        <w:t xml:space="preserve"> constraints will likely vary based on the water requirements of different species, along with how different management approaches change hydrological conditions in general, and connections between rivers, wetlands and floodplains more </w:t>
      </w:r>
      <w:r w:rsidRPr="0D5E8F24">
        <w:lastRenderedPageBreak/>
        <w:t>specifically. Information about how native fish species might respond to different flow scenarios is therefore an important input into the RRCP decision-making process.</w:t>
      </w:r>
    </w:p>
    <w:p w14:paraId="33E41DE9" w14:textId="05D94C40" w:rsidR="00491210" w:rsidRDefault="00EE200C" w:rsidP="002F22EB">
      <w:pPr>
        <w:pStyle w:val="PopModbodytext"/>
      </w:pPr>
      <w:r w:rsidRPr="13609C11">
        <w:t>The ARI has undertaken extensive</w:t>
      </w:r>
      <w:r>
        <w:t xml:space="preserve"> and peer reviewed</w:t>
      </w:r>
      <w:r w:rsidRPr="13609C11">
        <w:t xml:space="preserve"> work using stochastic population models to provide medium- to long-term quantitative predictions of fish population responses to a range of management actions, including the provision of environmental water (Sherman et al. 2007; Koehn and Todd 2012; Todd et al. 2018). The models and approaches used in these studies can be modified and applied to the RRCP project flow options in the Murray and Murrumbidgee catchments.</w:t>
      </w:r>
    </w:p>
    <w:p w14:paraId="1567BB5E" w14:textId="39A6F2BA" w:rsidR="00491210" w:rsidRDefault="00EE200C" w:rsidP="00F03F09">
      <w:pPr>
        <w:pStyle w:val="PopModbodytext"/>
        <w:rPr>
          <w:rFonts w:eastAsia="Arial"/>
        </w:rPr>
      </w:pPr>
      <w:r w:rsidRPr="05D19AF3">
        <w:t xml:space="preserve">The objective of this project is to use stochastic population models to provide quantitative </w:t>
      </w:r>
      <w:r>
        <w:t>predictions</w:t>
      </w:r>
      <w:r w:rsidRPr="05D19AF3">
        <w:t xml:space="preserve"> of the likely medium-to long-term changes to populations of Golden Perch (</w:t>
      </w:r>
      <w:r w:rsidRPr="05D19AF3">
        <w:rPr>
          <w:i/>
        </w:rPr>
        <w:t>Macquaria ambigua</w:t>
      </w:r>
      <w:r w:rsidRPr="05D19AF3">
        <w:t xml:space="preserve">) </w:t>
      </w:r>
      <w:r>
        <w:t xml:space="preserve">and </w:t>
      </w:r>
      <w:r w:rsidRPr="05D19AF3">
        <w:t>Murray Cod (</w:t>
      </w:r>
      <w:r w:rsidRPr="05D19AF3">
        <w:rPr>
          <w:i/>
        </w:rPr>
        <w:t>Maccullochella peelii</w:t>
      </w:r>
      <w:r w:rsidRPr="05D19AF3">
        <w:t>)</w:t>
      </w:r>
      <w:r>
        <w:t xml:space="preserve"> </w:t>
      </w:r>
      <w:r w:rsidRPr="05D19AF3">
        <w:t>(this report)</w:t>
      </w:r>
      <w:r>
        <w:t>,</w:t>
      </w:r>
      <w:r w:rsidRPr="05D19AF3">
        <w:t xml:space="preserve"> and non-native Carp (</w:t>
      </w:r>
      <w:r>
        <w:t>Wootton et al. in prep.</w:t>
      </w:r>
      <w:r w:rsidRPr="05D19AF3">
        <w:t>) to RRCP project flow limit options in the Murray and Murrumbidgee catchments</w:t>
      </w:r>
      <w:r>
        <w:t xml:space="preserve"> for NSW DPE</w:t>
      </w:r>
      <w:r w:rsidRPr="05D19AF3">
        <w:t xml:space="preserve">. </w:t>
      </w:r>
      <w:r w:rsidRPr="05D19AF3">
        <w:rPr>
          <w:rFonts w:eastAsia="Arial"/>
        </w:rPr>
        <w:t xml:space="preserve">These models predict Golden Perch, Murray Cod and Carp population responses at a range of spatial scales to enable evaluation of likely </w:t>
      </w:r>
      <w:r>
        <w:rPr>
          <w:rFonts w:eastAsia="Arial"/>
        </w:rPr>
        <w:t xml:space="preserve">risks and </w:t>
      </w:r>
      <w:r w:rsidRPr="05D19AF3">
        <w:rPr>
          <w:rFonts w:eastAsia="Arial"/>
        </w:rPr>
        <w:t>benefits of RRCP flow limit options within each project area.</w:t>
      </w:r>
      <w:r>
        <w:rPr>
          <w:rFonts w:eastAsia="Arial"/>
        </w:rPr>
        <w:t xml:space="preserve"> Note that Carp modelling is presented in a separate report </w:t>
      </w:r>
      <w:r w:rsidRPr="05D19AF3">
        <w:t>(</w:t>
      </w:r>
      <w:r>
        <w:t>Wootton et al. in prep.</w:t>
      </w:r>
      <w:r w:rsidRPr="05D19AF3">
        <w:t>)</w:t>
      </w:r>
      <w:r>
        <w:rPr>
          <w:rFonts w:eastAsia="Arial"/>
        </w:rPr>
        <w:t>.</w:t>
      </w:r>
    </w:p>
    <w:p w14:paraId="186AEB68" w14:textId="6EA75821" w:rsidR="00491210" w:rsidRDefault="00EE200C" w:rsidP="00F03F09">
      <w:pPr>
        <w:pStyle w:val="PopModbodytext"/>
      </w:pPr>
      <w:r w:rsidRPr="35AC703F">
        <w:t>This report first provides background information about stochastic population models and how they were broadly used in this project. It then describes:</w:t>
      </w:r>
    </w:p>
    <w:p w14:paraId="4CB8BC1B" w14:textId="2FEE4A53" w:rsidR="00491210" w:rsidRDefault="00EE200C" w:rsidP="00836EC5">
      <w:pPr>
        <w:pStyle w:val="ListParagraph"/>
        <w:numPr>
          <w:ilvl w:val="0"/>
          <w:numId w:val="40"/>
        </w:numPr>
        <w:spacing w:after="0"/>
        <w:rPr>
          <w:rFonts w:ascii="Arial" w:eastAsia="Arial" w:hAnsi="Arial"/>
          <w:color w:val="000000"/>
          <w:sz w:val="22"/>
          <w:szCs w:val="22"/>
        </w:rPr>
      </w:pPr>
      <w:r>
        <w:rPr>
          <w:rFonts w:ascii="Arial" w:eastAsia="Arial" w:hAnsi="Arial"/>
          <w:color w:val="000000"/>
          <w:sz w:val="22"/>
          <w:szCs w:val="22"/>
        </w:rPr>
        <w:t>f</w:t>
      </w:r>
      <w:r w:rsidRPr="35AC703F">
        <w:rPr>
          <w:rFonts w:ascii="Arial" w:eastAsia="Arial" w:hAnsi="Arial"/>
          <w:color w:val="000000"/>
          <w:sz w:val="22"/>
          <w:szCs w:val="22"/>
        </w:rPr>
        <w:t>ish population model development and application within the project area</w:t>
      </w:r>
    </w:p>
    <w:p w14:paraId="589DCB2E" w14:textId="599FB9DE" w:rsidR="00491210" w:rsidRDefault="00EE200C" w:rsidP="00836EC5">
      <w:pPr>
        <w:pStyle w:val="ListParagraph"/>
        <w:numPr>
          <w:ilvl w:val="0"/>
          <w:numId w:val="40"/>
        </w:numPr>
        <w:spacing w:after="0"/>
        <w:rPr>
          <w:rFonts w:ascii="Arial" w:eastAsia="Arial" w:hAnsi="Arial"/>
          <w:color w:val="000000"/>
          <w:sz w:val="22"/>
          <w:szCs w:val="22"/>
        </w:rPr>
      </w:pPr>
      <w:r>
        <w:rPr>
          <w:rFonts w:ascii="Arial" w:eastAsia="Arial" w:hAnsi="Arial"/>
          <w:color w:val="000000"/>
          <w:sz w:val="22"/>
          <w:szCs w:val="22"/>
        </w:rPr>
        <w:t>h</w:t>
      </w:r>
      <w:r w:rsidRPr="13609C11">
        <w:rPr>
          <w:rFonts w:ascii="Arial" w:eastAsia="Arial" w:hAnsi="Arial"/>
          <w:color w:val="000000"/>
          <w:sz w:val="22"/>
          <w:szCs w:val="22"/>
        </w:rPr>
        <w:t>ow the latest scientific knowledge was incorporated into the project via technical workshops</w:t>
      </w:r>
    </w:p>
    <w:p w14:paraId="173051B7" w14:textId="60FFF9AE" w:rsidR="00491210" w:rsidRDefault="00EE200C" w:rsidP="00836EC5">
      <w:pPr>
        <w:pStyle w:val="ListParagraph"/>
        <w:numPr>
          <w:ilvl w:val="0"/>
          <w:numId w:val="40"/>
        </w:numPr>
        <w:spacing w:after="0"/>
        <w:rPr>
          <w:rFonts w:ascii="Arial" w:eastAsia="Arial" w:hAnsi="Arial"/>
          <w:color w:val="000000"/>
          <w:sz w:val="22"/>
          <w:szCs w:val="22"/>
        </w:rPr>
      </w:pPr>
      <w:r>
        <w:rPr>
          <w:rFonts w:ascii="Arial" w:eastAsia="Arial" w:hAnsi="Arial"/>
          <w:color w:val="000000"/>
          <w:sz w:val="22"/>
          <w:szCs w:val="22"/>
        </w:rPr>
        <w:t>k</w:t>
      </w:r>
      <w:r w:rsidRPr="35AC703F">
        <w:rPr>
          <w:rFonts w:ascii="Arial" w:eastAsia="Arial" w:hAnsi="Arial"/>
          <w:color w:val="000000"/>
          <w:sz w:val="22"/>
          <w:szCs w:val="22"/>
        </w:rPr>
        <w:t>ey findings and results, in terms of predicted responses of the two focal species to different potential future flow scenarios under the RRCP</w:t>
      </w:r>
    </w:p>
    <w:p w14:paraId="347B0355" w14:textId="321628BA" w:rsidR="00491210" w:rsidRDefault="00EE200C" w:rsidP="00836EC5">
      <w:pPr>
        <w:pStyle w:val="ListParagraph"/>
        <w:numPr>
          <w:ilvl w:val="0"/>
          <w:numId w:val="40"/>
        </w:numPr>
        <w:spacing w:after="0"/>
        <w:rPr>
          <w:rFonts w:ascii="Arial" w:eastAsia="Arial" w:hAnsi="Arial"/>
          <w:color w:val="000000"/>
          <w:sz w:val="22"/>
          <w:szCs w:val="22"/>
        </w:rPr>
      </w:pPr>
      <w:r>
        <w:rPr>
          <w:rFonts w:ascii="Arial" w:eastAsia="Arial" w:hAnsi="Arial"/>
          <w:color w:val="000000"/>
          <w:sz w:val="22"/>
          <w:szCs w:val="22"/>
        </w:rPr>
        <w:t>t</w:t>
      </w:r>
      <w:r w:rsidRPr="35AC703F">
        <w:rPr>
          <w:rFonts w:ascii="Arial" w:eastAsia="Arial" w:hAnsi="Arial"/>
          <w:color w:val="000000"/>
          <w:sz w:val="22"/>
          <w:szCs w:val="22"/>
        </w:rPr>
        <w:t>he limitations of the modelling process, and underlying assumptions when interpreting results</w:t>
      </w:r>
    </w:p>
    <w:p w14:paraId="0E0128A7" w14:textId="13BE78D4" w:rsidR="00491210" w:rsidRPr="007C54A1" w:rsidRDefault="00EE200C" w:rsidP="00753F5C">
      <w:pPr>
        <w:pStyle w:val="Heading2-Numbered"/>
      </w:pPr>
      <w:bookmarkStart w:id="31" w:name="_Toc110837292"/>
      <w:bookmarkStart w:id="32" w:name="_Toc90388547"/>
      <w:bookmarkStart w:id="33" w:name="_Toc116994878"/>
      <w:bookmarkEnd w:id="31"/>
      <w:r>
        <w:t>Background to population models</w:t>
      </w:r>
      <w:bookmarkEnd w:id="32"/>
      <w:r>
        <w:t xml:space="preserve"> and model outputs</w:t>
      </w:r>
      <w:bookmarkEnd w:id="33"/>
    </w:p>
    <w:p w14:paraId="515C3A73" w14:textId="7BF6B586" w:rsidR="00491210" w:rsidRDefault="00EE200C" w:rsidP="2C4978F2">
      <w:pPr>
        <w:spacing w:before="240" w:after="240"/>
        <w:jc w:val="both"/>
        <w:rPr>
          <w:color w:val="2C2B2B"/>
          <w:sz w:val="22"/>
          <w:szCs w:val="22"/>
          <w:lang w:eastAsia="en-AU"/>
        </w:rPr>
      </w:pPr>
      <w:r w:rsidRPr="2C4978F2">
        <w:rPr>
          <w:color w:val="2C2B2B"/>
          <w:sz w:val="22"/>
          <w:szCs w:val="22"/>
          <w:lang w:eastAsia="en-AU"/>
        </w:rPr>
        <w:t xml:space="preserve">Population models are an important mathematical tool widely used in conservation and natural resource management. ARI has developed and used the predictive capacity of population models for a variety of native fish and crustacean species to demonstrate likely outcomes </w:t>
      </w:r>
      <w:r>
        <w:rPr>
          <w:color w:val="2C2B2B"/>
          <w:sz w:val="22"/>
          <w:szCs w:val="22"/>
          <w:lang w:eastAsia="en-AU"/>
        </w:rPr>
        <w:t>for</w:t>
      </w:r>
      <w:r w:rsidRPr="2C4978F2">
        <w:rPr>
          <w:color w:val="2C2B2B"/>
          <w:sz w:val="22"/>
          <w:szCs w:val="22"/>
          <w:lang w:eastAsia="en-AU"/>
        </w:rPr>
        <w:t xml:space="preserve"> management interventions at a range of spatial and temporal scales (Todd et al. 2005</w:t>
      </w:r>
      <w:r>
        <w:rPr>
          <w:color w:val="2C2B2B"/>
          <w:sz w:val="22"/>
          <w:szCs w:val="22"/>
          <w:lang w:eastAsia="en-AU"/>
        </w:rPr>
        <w:t>,</w:t>
      </w:r>
      <w:r w:rsidRPr="2C4978F2">
        <w:rPr>
          <w:color w:val="2C2B2B"/>
          <w:sz w:val="22"/>
          <w:szCs w:val="22"/>
          <w:lang w:eastAsia="en-AU"/>
        </w:rPr>
        <w:t xml:space="preserve"> 2017</w:t>
      </w:r>
      <w:r>
        <w:rPr>
          <w:color w:val="2C2B2B"/>
          <w:sz w:val="22"/>
          <w:szCs w:val="22"/>
          <w:lang w:eastAsia="en-AU"/>
        </w:rPr>
        <w:t>,</w:t>
      </w:r>
      <w:r w:rsidRPr="2C4978F2">
        <w:rPr>
          <w:color w:val="2C2B2B"/>
          <w:sz w:val="22"/>
          <w:szCs w:val="22"/>
          <w:lang w:eastAsia="en-AU"/>
        </w:rPr>
        <w:t xml:space="preserve"> 2018</w:t>
      </w:r>
      <w:r>
        <w:rPr>
          <w:color w:val="2C2B2B"/>
          <w:sz w:val="22"/>
          <w:szCs w:val="22"/>
          <w:lang w:eastAsia="en-AU"/>
        </w:rPr>
        <w:t>,</w:t>
      </w:r>
      <w:r w:rsidRPr="2C4978F2">
        <w:rPr>
          <w:color w:val="2C2B2B"/>
          <w:sz w:val="22"/>
          <w:szCs w:val="22"/>
          <w:lang w:eastAsia="en-AU"/>
        </w:rPr>
        <w:t xml:space="preserve"> 2020; Sherman et al. 2007). In addition, population models have also been used to simulate population trajectories of non-native fish under a range of hydrological scenarios (Forsyth et al. 2013; Koehn et al. 2018; Brown et al. 2020; Stuart et al. 2021a).</w:t>
      </w:r>
    </w:p>
    <w:p w14:paraId="5A3B4091" w14:textId="38E714E1" w:rsidR="00491210" w:rsidRDefault="00EE200C" w:rsidP="358D0A8B">
      <w:pPr>
        <w:spacing w:before="240" w:after="240"/>
        <w:jc w:val="both"/>
        <w:rPr>
          <w:color w:val="2C2B2B"/>
          <w:sz w:val="22"/>
          <w:szCs w:val="22"/>
          <w:lang w:eastAsia="en-AU"/>
        </w:rPr>
      </w:pPr>
      <w:r w:rsidRPr="358D0A8B">
        <w:rPr>
          <w:color w:val="2C2B2B"/>
          <w:sz w:val="22"/>
          <w:szCs w:val="22"/>
          <w:lang w:eastAsia="en-AU"/>
        </w:rPr>
        <w:t>Population models provide an immediate opportunity to predictively explore likely outcomes for the specified range of RRCP flow scenarios and thus provide managers with a reliable mechanism for prioritising flows that restore native fish communities. Quantitative predictions of fish population responses at medium</w:t>
      </w:r>
      <w:r>
        <w:rPr>
          <w:color w:val="2C2B2B"/>
          <w:sz w:val="22"/>
          <w:szCs w:val="22"/>
          <w:lang w:eastAsia="en-AU"/>
        </w:rPr>
        <w:t>-</w:t>
      </w:r>
      <w:r w:rsidRPr="358D0A8B">
        <w:rPr>
          <w:color w:val="2C2B2B"/>
          <w:sz w:val="22"/>
          <w:szCs w:val="22"/>
          <w:lang w:eastAsia="en-AU"/>
        </w:rPr>
        <w:t xml:space="preserve"> to long-term temporal scales (10</w:t>
      </w:r>
      <w:r>
        <w:rPr>
          <w:color w:val="2C2B2B"/>
          <w:sz w:val="22"/>
          <w:szCs w:val="22"/>
          <w:lang w:eastAsia="en-AU"/>
        </w:rPr>
        <w:t>–12</w:t>
      </w:r>
      <w:r w:rsidRPr="358D0A8B">
        <w:rPr>
          <w:color w:val="2C2B2B"/>
          <w:sz w:val="22"/>
          <w:szCs w:val="22"/>
          <w:lang w:eastAsia="en-AU"/>
        </w:rPr>
        <w:t>0</w:t>
      </w:r>
      <w:r>
        <w:rPr>
          <w:color w:val="2C2B2B"/>
          <w:sz w:val="22"/>
          <w:szCs w:val="22"/>
          <w:lang w:eastAsia="en-AU"/>
        </w:rPr>
        <w:t> </w:t>
      </w:r>
      <w:r w:rsidRPr="358D0A8B">
        <w:rPr>
          <w:color w:val="2C2B2B"/>
          <w:sz w:val="22"/>
          <w:szCs w:val="22"/>
          <w:lang w:eastAsia="en-AU"/>
        </w:rPr>
        <w:t>years) to relaxed</w:t>
      </w:r>
      <w:r>
        <w:rPr>
          <w:color w:val="2C2B2B"/>
          <w:sz w:val="22"/>
          <w:szCs w:val="22"/>
          <w:lang w:eastAsia="en-AU"/>
        </w:rPr>
        <w:t>-</w:t>
      </w:r>
      <w:r w:rsidRPr="358D0A8B">
        <w:rPr>
          <w:color w:val="2C2B2B"/>
          <w:sz w:val="22"/>
          <w:szCs w:val="22"/>
          <w:lang w:eastAsia="en-AU"/>
        </w:rPr>
        <w:t>flow</w:t>
      </w:r>
      <w:r>
        <w:rPr>
          <w:color w:val="2C2B2B"/>
          <w:sz w:val="22"/>
          <w:szCs w:val="22"/>
          <w:lang w:eastAsia="en-AU"/>
        </w:rPr>
        <w:t>-</w:t>
      </w:r>
      <w:r w:rsidRPr="358D0A8B">
        <w:rPr>
          <w:color w:val="2C2B2B"/>
          <w:sz w:val="22"/>
          <w:szCs w:val="22"/>
          <w:lang w:eastAsia="en-AU"/>
        </w:rPr>
        <w:t xml:space="preserve">constraints </w:t>
      </w:r>
      <w:r>
        <w:rPr>
          <w:color w:val="2C2B2B"/>
          <w:sz w:val="22"/>
          <w:szCs w:val="22"/>
          <w:lang w:eastAsia="en-AU"/>
        </w:rPr>
        <w:t xml:space="preserve">scenarios </w:t>
      </w:r>
      <w:r w:rsidRPr="358D0A8B">
        <w:rPr>
          <w:color w:val="2C2B2B"/>
          <w:sz w:val="22"/>
          <w:szCs w:val="22"/>
          <w:lang w:eastAsia="en-AU"/>
        </w:rPr>
        <w:t>were made for rivers in the Murray and Murrumbidgee catchments. This include</w:t>
      </w:r>
      <w:r>
        <w:rPr>
          <w:color w:val="2C2B2B"/>
          <w:sz w:val="22"/>
          <w:szCs w:val="22"/>
          <w:lang w:eastAsia="en-AU"/>
        </w:rPr>
        <w:t>d</w:t>
      </w:r>
      <w:r w:rsidRPr="358D0A8B">
        <w:rPr>
          <w:color w:val="2C2B2B"/>
          <w:sz w:val="22"/>
          <w:szCs w:val="22"/>
          <w:lang w:eastAsia="en-AU"/>
        </w:rPr>
        <w:t xml:space="preserve"> an evaluation of relative population responses under </w:t>
      </w:r>
      <w:r>
        <w:rPr>
          <w:color w:val="2C2B2B"/>
          <w:sz w:val="22"/>
          <w:szCs w:val="22"/>
          <w:lang w:eastAsia="en-AU"/>
        </w:rPr>
        <w:t>the various</w:t>
      </w:r>
      <w:r w:rsidRPr="358D0A8B">
        <w:rPr>
          <w:color w:val="2C2B2B"/>
          <w:sz w:val="22"/>
          <w:szCs w:val="22"/>
          <w:lang w:eastAsia="en-AU"/>
        </w:rPr>
        <w:t xml:space="preserve"> RRCP flow limit options. Population models are a representation of the </w:t>
      </w:r>
      <w:r>
        <w:rPr>
          <w:color w:val="2C2B2B"/>
          <w:sz w:val="22"/>
          <w:szCs w:val="22"/>
          <w:lang w:eastAsia="en-AU"/>
        </w:rPr>
        <w:t>‘</w:t>
      </w:r>
      <w:r w:rsidRPr="358D0A8B">
        <w:rPr>
          <w:color w:val="2C2B2B"/>
          <w:sz w:val="22"/>
          <w:szCs w:val="22"/>
          <w:lang w:eastAsia="en-AU"/>
        </w:rPr>
        <w:t>real</w:t>
      </w:r>
      <w:r>
        <w:rPr>
          <w:color w:val="2C2B2B"/>
          <w:sz w:val="22"/>
          <w:szCs w:val="22"/>
          <w:lang w:eastAsia="en-AU"/>
        </w:rPr>
        <w:t>’</w:t>
      </w:r>
      <w:r w:rsidRPr="358D0A8B">
        <w:rPr>
          <w:color w:val="2C2B2B"/>
          <w:sz w:val="22"/>
          <w:szCs w:val="22"/>
          <w:lang w:eastAsia="en-AU"/>
        </w:rPr>
        <w:t xml:space="preserve"> world and hence </w:t>
      </w:r>
      <w:r>
        <w:rPr>
          <w:color w:val="2C2B2B"/>
          <w:sz w:val="22"/>
          <w:szCs w:val="22"/>
          <w:lang w:eastAsia="en-AU"/>
        </w:rPr>
        <w:t xml:space="preserve">can </w:t>
      </w:r>
      <w:r w:rsidRPr="358D0A8B">
        <w:rPr>
          <w:color w:val="2C2B2B"/>
          <w:sz w:val="22"/>
          <w:szCs w:val="22"/>
          <w:lang w:eastAsia="en-AU"/>
        </w:rPr>
        <w:t>also account for other major factors that influence population processes, such as fish passage, angler harvest</w:t>
      </w:r>
      <w:r>
        <w:rPr>
          <w:color w:val="2C2B2B"/>
          <w:sz w:val="22"/>
          <w:szCs w:val="22"/>
          <w:lang w:eastAsia="en-AU"/>
        </w:rPr>
        <w:t>,</w:t>
      </w:r>
      <w:r w:rsidRPr="358D0A8B">
        <w:rPr>
          <w:color w:val="2C2B2B"/>
          <w:sz w:val="22"/>
          <w:szCs w:val="22"/>
          <w:lang w:eastAsia="en-AU"/>
        </w:rPr>
        <w:t xml:space="preserve"> and cold-water pollution.</w:t>
      </w:r>
    </w:p>
    <w:p w14:paraId="2E28DF02" w14:textId="161D1EA7" w:rsidR="00491210" w:rsidRDefault="00EE200C" w:rsidP="13609C11">
      <w:pPr>
        <w:spacing w:before="240" w:after="240"/>
        <w:jc w:val="both"/>
        <w:rPr>
          <w:color w:val="2C2B2B"/>
          <w:sz w:val="22"/>
          <w:szCs w:val="22"/>
          <w:lang w:eastAsia="en-AU"/>
        </w:rPr>
      </w:pPr>
      <w:r w:rsidRPr="13609C11">
        <w:rPr>
          <w:color w:val="2C2B2B"/>
          <w:sz w:val="22"/>
          <w:szCs w:val="22"/>
          <w:lang w:eastAsia="en-AU"/>
        </w:rPr>
        <w:t xml:space="preserve">Construction of the population models relies on collaborative approaches </w:t>
      </w:r>
      <w:r>
        <w:rPr>
          <w:color w:val="2C2B2B"/>
          <w:sz w:val="22"/>
          <w:szCs w:val="22"/>
          <w:lang w:eastAsia="en-AU"/>
        </w:rPr>
        <w:t>by</w:t>
      </w:r>
      <w:r w:rsidRPr="13609C11">
        <w:rPr>
          <w:color w:val="2C2B2B"/>
          <w:sz w:val="22"/>
          <w:szCs w:val="22"/>
          <w:lang w:eastAsia="en-AU"/>
        </w:rPr>
        <w:t xml:space="preserve"> fish ecologists, modellers, river managers and other subject-matter experts (</w:t>
      </w:r>
      <w:r>
        <w:rPr>
          <w:color w:val="2C2B2B"/>
          <w:sz w:val="22"/>
          <w:szCs w:val="22"/>
          <w:lang w:eastAsia="en-AU"/>
        </w:rPr>
        <w:t>e.g.</w:t>
      </w:r>
      <w:r w:rsidRPr="13609C11">
        <w:rPr>
          <w:color w:val="2C2B2B"/>
          <w:sz w:val="22"/>
          <w:szCs w:val="22"/>
          <w:lang w:eastAsia="en-AU"/>
        </w:rPr>
        <w:t xml:space="preserve"> blackwater and productivity ecologists) to collectively build an understanding of how river systems operate. </w:t>
      </w:r>
      <w:r>
        <w:rPr>
          <w:color w:val="2C2B2B"/>
          <w:sz w:val="22"/>
          <w:szCs w:val="22"/>
          <w:lang w:eastAsia="en-AU"/>
        </w:rPr>
        <w:t>A</w:t>
      </w:r>
      <w:r w:rsidRPr="13609C11">
        <w:rPr>
          <w:color w:val="2C2B2B"/>
          <w:sz w:val="22"/>
          <w:szCs w:val="22"/>
          <w:lang w:eastAsia="en-AU"/>
        </w:rPr>
        <w:t xml:space="preserve"> conceptual model </w:t>
      </w:r>
      <w:r>
        <w:rPr>
          <w:color w:val="2C2B2B"/>
          <w:sz w:val="22"/>
          <w:szCs w:val="22"/>
          <w:lang w:eastAsia="en-AU"/>
        </w:rPr>
        <w:t xml:space="preserve">is developed </w:t>
      </w:r>
      <w:r w:rsidRPr="13609C11">
        <w:rPr>
          <w:color w:val="2C2B2B"/>
          <w:sz w:val="22"/>
          <w:szCs w:val="22"/>
          <w:lang w:eastAsia="en-AU"/>
        </w:rPr>
        <w:t xml:space="preserve">that </w:t>
      </w:r>
      <w:r>
        <w:rPr>
          <w:color w:val="2C2B2B"/>
          <w:sz w:val="22"/>
          <w:szCs w:val="22"/>
          <w:lang w:eastAsia="en-AU"/>
        </w:rPr>
        <w:t>uses</w:t>
      </w:r>
      <w:r w:rsidRPr="13609C11">
        <w:rPr>
          <w:color w:val="2C2B2B"/>
          <w:sz w:val="22"/>
          <w:szCs w:val="22"/>
          <w:lang w:eastAsia="en-AU"/>
        </w:rPr>
        <w:t xml:space="preserve"> </w:t>
      </w:r>
      <w:r>
        <w:rPr>
          <w:color w:val="2C2B2B"/>
          <w:sz w:val="22"/>
          <w:szCs w:val="22"/>
          <w:lang w:eastAsia="en-AU"/>
        </w:rPr>
        <w:t xml:space="preserve">knowledge of </w:t>
      </w:r>
      <w:r w:rsidRPr="13609C11">
        <w:rPr>
          <w:color w:val="2C2B2B"/>
          <w:sz w:val="22"/>
          <w:szCs w:val="22"/>
          <w:lang w:eastAsia="en-AU"/>
        </w:rPr>
        <w:t>the species</w:t>
      </w:r>
      <w:r>
        <w:rPr>
          <w:color w:val="2C2B2B"/>
          <w:sz w:val="22"/>
          <w:szCs w:val="22"/>
          <w:lang w:eastAsia="en-AU"/>
        </w:rPr>
        <w:t>’</w:t>
      </w:r>
      <w:r w:rsidRPr="13609C11">
        <w:rPr>
          <w:color w:val="2C2B2B"/>
          <w:sz w:val="22"/>
          <w:szCs w:val="22"/>
          <w:lang w:eastAsia="en-AU"/>
        </w:rPr>
        <w:t xml:space="preserve"> ecology </w:t>
      </w:r>
      <w:r>
        <w:rPr>
          <w:color w:val="2C2B2B"/>
          <w:sz w:val="22"/>
          <w:szCs w:val="22"/>
          <w:lang w:eastAsia="en-AU"/>
        </w:rPr>
        <w:t>to design</w:t>
      </w:r>
      <w:r w:rsidRPr="13609C11">
        <w:rPr>
          <w:color w:val="2C2B2B"/>
          <w:sz w:val="22"/>
          <w:szCs w:val="22"/>
          <w:lang w:eastAsia="en-AU"/>
        </w:rPr>
        <w:t xml:space="preserve"> management operations that inform the structure of the population models. As each management and spatiotemporal question is unique, the population models are adapted for project-specific objectives, fish species</w:t>
      </w:r>
      <w:r>
        <w:rPr>
          <w:color w:val="2C2B2B"/>
          <w:sz w:val="22"/>
          <w:szCs w:val="22"/>
          <w:lang w:eastAsia="en-AU"/>
        </w:rPr>
        <w:t>,</w:t>
      </w:r>
      <w:r w:rsidRPr="13609C11">
        <w:rPr>
          <w:color w:val="2C2B2B"/>
          <w:sz w:val="22"/>
          <w:szCs w:val="22"/>
          <w:lang w:eastAsia="en-AU"/>
        </w:rPr>
        <w:t xml:space="preserve"> and sites. Model outputs can be expressed as distribution comparisons, or abundances of adult or juvenile fish over biologically relevant spatial areas and time</w:t>
      </w:r>
      <w:r>
        <w:rPr>
          <w:color w:val="2C2B2B"/>
          <w:sz w:val="22"/>
          <w:szCs w:val="22"/>
          <w:lang w:eastAsia="en-AU"/>
        </w:rPr>
        <w:t xml:space="preserve"> </w:t>
      </w:r>
      <w:r w:rsidRPr="13609C11">
        <w:rPr>
          <w:color w:val="2C2B2B"/>
          <w:sz w:val="22"/>
          <w:szCs w:val="22"/>
          <w:lang w:eastAsia="en-AU"/>
        </w:rPr>
        <w:t>frames.</w:t>
      </w:r>
    </w:p>
    <w:p w14:paraId="51E845D9" w14:textId="62FC64D7" w:rsidR="00491210" w:rsidRPr="002F4E30" w:rsidRDefault="00EE200C" w:rsidP="6C57B116">
      <w:pPr>
        <w:spacing w:before="240" w:after="240"/>
        <w:jc w:val="both"/>
        <w:rPr>
          <w:rFonts w:ascii="Times New Roman" w:hAnsi="Times New Roman" w:cs="Times New Roman"/>
          <w:sz w:val="24"/>
          <w:lang w:eastAsia="en-AU"/>
        </w:rPr>
      </w:pPr>
      <w:r w:rsidRPr="6C57B116">
        <w:rPr>
          <w:color w:val="2C2B2B"/>
          <w:sz w:val="22"/>
          <w:szCs w:val="22"/>
          <w:lang w:eastAsia="en-AU"/>
        </w:rPr>
        <w:lastRenderedPageBreak/>
        <w:t xml:space="preserve">Population models can afford a high level of scientific credibility, rank outcomes and reduce uncertainty for proposed works, especially </w:t>
      </w:r>
      <w:r>
        <w:rPr>
          <w:color w:val="2C2B2B"/>
          <w:sz w:val="22"/>
          <w:szCs w:val="22"/>
          <w:lang w:eastAsia="en-AU"/>
        </w:rPr>
        <w:t xml:space="preserve">in situations </w:t>
      </w:r>
      <w:r w:rsidRPr="6C57B116">
        <w:rPr>
          <w:color w:val="2C2B2B"/>
          <w:sz w:val="22"/>
          <w:szCs w:val="22"/>
          <w:lang w:eastAsia="en-AU"/>
        </w:rPr>
        <w:t>where collecting field data is impractical. Hence, mathematical models provide one of the most cost-effective ways to predict environmental outcomes for various proposed management regimes. Examples of the types of outputs, their interpretations</w:t>
      </w:r>
      <w:r>
        <w:rPr>
          <w:color w:val="2C2B2B"/>
          <w:sz w:val="22"/>
          <w:szCs w:val="22"/>
          <w:lang w:eastAsia="en-AU"/>
        </w:rPr>
        <w:t>,</w:t>
      </w:r>
      <w:r w:rsidRPr="6C57B116">
        <w:rPr>
          <w:color w:val="2C2B2B"/>
          <w:sz w:val="22"/>
          <w:szCs w:val="22"/>
          <w:lang w:eastAsia="en-AU"/>
        </w:rPr>
        <w:t xml:space="preserve"> and implications for river operations from the modelling</w:t>
      </w:r>
      <w:r w:rsidRPr="6C57B116">
        <w:rPr>
          <w:color w:val="000000"/>
          <w:sz w:val="22"/>
          <w:szCs w:val="22"/>
          <w:lang w:eastAsia="en-AU"/>
        </w:rPr>
        <w:t xml:space="preserve"> include:</w:t>
      </w:r>
    </w:p>
    <w:p w14:paraId="56CC8925" w14:textId="5403D67B" w:rsidR="00491210" w:rsidRPr="002F4E30" w:rsidRDefault="00EE200C" w:rsidP="00836EC5">
      <w:pPr>
        <w:numPr>
          <w:ilvl w:val="0"/>
          <w:numId w:val="36"/>
        </w:numPr>
        <w:spacing w:before="240" w:after="0"/>
        <w:jc w:val="both"/>
        <w:textAlignment w:val="baseline"/>
        <w:rPr>
          <w:color w:val="2C2B2B"/>
          <w:sz w:val="22"/>
          <w:szCs w:val="22"/>
          <w:lang w:eastAsia="en-AU"/>
        </w:rPr>
      </w:pPr>
      <w:r>
        <w:rPr>
          <w:color w:val="2C2B2B"/>
          <w:sz w:val="22"/>
          <w:szCs w:val="22"/>
          <w:lang w:eastAsia="en-AU"/>
        </w:rPr>
        <w:t>f</w:t>
      </w:r>
      <w:r w:rsidRPr="60D1C489">
        <w:rPr>
          <w:color w:val="2C2B2B"/>
          <w:sz w:val="22"/>
          <w:szCs w:val="22"/>
          <w:lang w:eastAsia="en-AU"/>
        </w:rPr>
        <w:t xml:space="preserve">ish population (abundance) trajectories for each </w:t>
      </w:r>
      <w:r w:rsidRPr="60D1C489">
        <w:rPr>
          <w:color w:val="000000"/>
          <w:sz w:val="22"/>
          <w:szCs w:val="22"/>
          <w:lang w:eastAsia="en-AU"/>
        </w:rPr>
        <w:t>of the proposed relaxed</w:t>
      </w:r>
      <w:r>
        <w:rPr>
          <w:color w:val="000000"/>
          <w:sz w:val="22"/>
          <w:szCs w:val="22"/>
          <w:lang w:eastAsia="en-AU"/>
        </w:rPr>
        <w:t>-</w:t>
      </w:r>
      <w:r w:rsidRPr="60D1C489">
        <w:rPr>
          <w:color w:val="000000"/>
          <w:sz w:val="22"/>
          <w:szCs w:val="22"/>
          <w:lang w:eastAsia="en-AU"/>
        </w:rPr>
        <w:t>flow</w:t>
      </w:r>
      <w:r>
        <w:rPr>
          <w:color w:val="000000"/>
          <w:sz w:val="22"/>
          <w:szCs w:val="22"/>
          <w:lang w:eastAsia="en-AU"/>
        </w:rPr>
        <w:t>-</w:t>
      </w:r>
      <w:r w:rsidRPr="60D1C489">
        <w:rPr>
          <w:color w:val="000000"/>
          <w:sz w:val="22"/>
          <w:szCs w:val="22"/>
          <w:lang w:eastAsia="en-AU"/>
        </w:rPr>
        <w:t>constraints</w:t>
      </w:r>
      <w:r>
        <w:rPr>
          <w:color w:val="000000"/>
          <w:sz w:val="22"/>
          <w:szCs w:val="22"/>
          <w:lang w:eastAsia="en-AU"/>
        </w:rPr>
        <w:t xml:space="preserve"> scenarios</w:t>
      </w:r>
      <w:r w:rsidRPr="60D1C489">
        <w:rPr>
          <w:color w:val="000000"/>
          <w:sz w:val="22"/>
          <w:szCs w:val="22"/>
          <w:lang w:eastAsia="en-AU"/>
        </w:rPr>
        <w:t xml:space="preserve"> in the Murray and Murrumbidgee </w:t>
      </w:r>
      <w:r w:rsidRPr="00FD6913">
        <w:rPr>
          <w:color w:val="000000"/>
          <w:sz w:val="22"/>
          <w:szCs w:val="22"/>
          <w:lang w:eastAsia="en-AU"/>
        </w:rPr>
        <w:t xml:space="preserve">catchments </w:t>
      </w:r>
      <w:r w:rsidRPr="00FD6913">
        <w:rPr>
          <w:color w:val="2C2B2B"/>
          <w:sz w:val="22"/>
          <w:szCs w:val="22"/>
          <w:lang w:eastAsia="en-AU"/>
        </w:rPr>
        <w:t>(</w:t>
      </w:r>
      <w:r>
        <w:rPr>
          <w:color w:val="2C2B2B"/>
          <w:sz w:val="22"/>
          <w:szCs w:val="22"/>
          <w:lang w:eastAsia="en-AU"/>
        </w:rPr>
        <w:t xml:space="preserve">see </w:t>
      </w:r>
      <w:r w:rsidRPr="00FD6913">
        <w:rPr>
          <w:color w:val="2C2B2B"/>
          <w:sz w:val="22"/>
          <w:szCs w:val="22"/>
          <w:lang w:eastAsia="en-AU"/>
        </w:rPr>
        <w:fldChar w:fldCharType="begin"/>
      </w:r>
      <w:r w:rsidRPr="00FD6913">
        <w:rPr>
          <w:color w:val="2C2B2B"/>
          <w:sz w:val="22"/>
          <w:szCs w:val="22"/>
          <w:lang w:eastAsia="en-AU"/>
        </w:rPr>
        <w:instrText xml:space="preserve"> REF _Ref104150706 \h  \* MERGEFORMAT </w:instrText>
      </w:r>
      <w:r w:rsidRPr="00FD6913">
        <w:rPr>
          <w:color w:val="2C2B2B"/>
          <w:sz w:val="22"/>
          <w:szCs w:val="22"/>
          <w:lang w:eastAsia="en-AU"/>
        </w:rPr>
      </w:r>
      <w:r w:rsidRPr="00FD6913">
        <w:rPr>
          <w:color w:val="2C2B2B"/>
          <w:sz w:val="22"/>
          <w:szCs w:val="22"/>
          <w:lang w:eastAsia="en-AU"/>
        </w:rPr>
        <w:fldChar w:fldCharType="separate"/>
      </w:r>
      <w:r w:rsidR="005B672A" w:rsidRPr="005B672A">
        <w:rPr>
          <w:sz w:val="22"/>
          <w:szCs w:val="22"/>
        </w:rPr>
        <w:t xml:space="preserve">Figure </w:t>
      </w:r>
      <w:r w:rsidR="005B672A" w:rsidRPr="005B672A">
        <w:rPr>
          <w:noProof/>
          <w:sz w:val="22"/>
          <w:szCs w:val="22"/>
        </w:rPr>
        <w:t>1</w:t>
      </w:r>
      <w:r w:rsidRPr="00FD6913">
        <w:rPr>
          <w:color w:val="2C2B2B"/>
          <w:sz w:val="22"/>
          <w:szCs w:val="22"/>
          <w:lang w:eastAsia="en-AU"/>
        </w:rPr>
        <w:fldChar w:fldCharType="end"/>
      </w:r>
      <w:r w:rsidRPr="00FD6913">
        <w:rPr>
          <w:color w:val="2C2B2B"/>
          <w:sz w:val="22"/>
          <w:szCs w:val="22"/>
          <w:lang w:eastAsia="en-AU"/>
        </w:rPr>
        <w:t xml:space="preserve"> for</w:t>
      </w:r>
      <w:r w:rsidRPr="60D1C489">
        <w:rPr>
          <w:color w:val="2C2B2B"/>
          <w:sz w:val="22"/>
          <w:szCs w:val="22"/>
          <w:lang w:eastAsia="en-AU"/>
        </w:rPr>
        <w:t xml:space="preserve"> a conceptual example) that will allow managers to make a comparison between the </w:t>
      </w:r>
      <w:r w:rsidRPr="4D01078A">
        <w:rPr>
          <w:color w:val="2C2B2B"/>
          <w:sz w:val="22"/>
          <w:szCs w:val="22"/>
          <w:lang w:eastAsia="en-AU"/>
        </w:rPr>
        <w:t xml:space="preserve">likely </w:t>
      </w:r>
      <w:r w:rsidRPr="60D1C489">
        <w:rPr>
          <w:color w:val="2C2B2B"/>
          <w:sz w:val="22"/>
          <w:szCs w:val="22"/>
          <w:lang w:eastAsia="en-AU"/>
        </w:rPr>
        <w:t>benefits of each</w:t>
      </w:r>
    </w:p>
    <w:p w14:paraId="7FB63F2F" w14:textId="45DEBF11" w:rsidR="00491210" w:rsidRPr="002F4E30" w:rsidRDefault="00EE200C" w:rsidP="00836EC5">
      <w:pPr>
        <w:numPr>
          <w:ilvl w:val="0"/>
          <w:numId w:val="36"/>
        </w:numPr>
        <w:spacing w:after="0"/>
        <w:jc w:val="both"/>
        <w:textAlignment w:val="baseline"/>
        <w:rPr>
          <w:color w:val="2C2B2B"/>
          <w:sz w:val="22"/>
          <w:szCs w:val="22"/>
          <w:lang w:eastAsia="en-AU"/>
        </w:rPr>
      </w:pPr>
      <w:r>
        <w:rPr>
          <w:rFonts w:ascii="Times New Roman" w:hAnsi="Times New Roman" w:cs="Times New Roman"/>
          <w:color w:val="2C2B2B"/>
          <w:sz w:val="14"/>
          <w:szCs w:val="14"/>
          <w:lang w:eastAsia="en-AU"/>
        </w:rPr>
        <w:t xml:space="preserve"> </w:t>
      </w:r>
      <w:r>
        <w:rPr>
          <w:color w:val="2C2B2B"/>
          <w:sz w:val="22"/>
          <w:szCs w:val="22"/>
          <w:lang w:eastAsia="en-AU"/>
        </w:rPr>
        <w:t>o</w:t>
      </w:r>
      <w:r w:rsidRPr="4F8AEDB5">
        <w:rPr>
          <w:color w:val="2C2B2B"/>
          <w:sz w:val="22"/>
          <w:szCs w:val="22"/>
          <w:lang w:eastAsia="en-AU"/>
        </w:rPr>
        <w:t xml:space="preserve">utputs of </w:t>
      </w:r>
      <w:r>
        <w:rPr>
          <w:color w:val="2C2B2B"/>
          <w:sz w:val="22"/>
          <w:szCs w:val="22"/>
          <w:lang w:eastAsia="en-AU"/>
        </w:rPr>
        <w:t>various</w:t>
      </w:r>
      <w:r w:rsidRPr="4F8AEDB5">
        <w:rPr>
          <w:color w:val="2C2B2B"/>
          <w:sz w:val="22"/>
          <w:szCs w:val="22"/>
          <w:lang w:eastAsia="en-AU"/>
        </w:rPr>
        <w:t xml:space="preserve"> fish population measures (e.g. </w:t>
      </w:r>
      <w:r>
        <w:rPr>
          <w:color w:val="2C2B2B"/>
          <w:sz w:val="22"/>
          <w:szCs w:val="22"/>
          <w:lang w:eastAsia="en-AU"/>
        </w:rPr>
        <w:t xml:space="preserve">age classes, </w:t>
      </w:r>
      <w:r w:rsidRPr="6F0B8BF3">
        <w:rPr>
          <w:color w:val="2C2B2B"/>
          <w:sz w:val="22"/>
          <w:szCs w:val="22"/>
          <w:lang w:eastAsia="en-AU"/>
        </w:rPr>
        <w:t>size</w:t>
      </w:r>
      <w:r>
        <w:rPr>
          <w:color w:val="2C2B2B"/>
          <w:sz w:val="22"/>
          <w:szCs w:val="22"/>
          <w:lang w:eastAsia="en-AU"/>
        </w:rPr>
        <w:t xml:space="preserve"> classes, </w:t>
      </w:r>
      <w:r w:rsidRPr="4F8AEDB5">
        <w:rPr>
          <w:color w:val="2C2B2B"/>
          <w:sz w:val="22"/>
          <w:szCs w:val="22"/>
          <w:lang w:eastAsia="en-AU"/>
        </w:rPr>
        <w:t xml:space="preserve">numbers of adults or </w:t>
      </w:r>
      <w:r>
        <w:rPr>
          <w:color w:val="2C2B2B"/>
          <w:sz w:val="22"/>
          <w:szCs w:val="22"/>
          <w:lang w:eastAsia="en-AU"/>
        </w:rPr>
        <w:t>recruit</w:t>
      </w:r>
      <w:r w:rsidRPr="4F8AEDB5">
        <w:rPr>
          <w:color w:val="2C2B2B"/>
          <w:sz w:val="22"/>
          <w:szCs w:val="22"/>
          <w:lang w:eastAsia="en-AU"/>
        </w:rPr>
        <w:t>s)</w:t>
      </w:r>
    </w:p>
    <w:p w14:paraId="0DA2D9C0" w14:textId="37405E69" w:rsidR="00491210" w:rsidRPr="002F4E30" w:rsidRDefault="00EE200C" w:rsidP="00836EC5">
      <w:pPr>
        <w:numPr>
          <w:ilvl w:val="0"/>
          <w:numId w:val="36"/>
        </w:numPr>
        <w:spacing w:after="0"/>
        <w:jc w:val="both"/>
        <w:textAlignment w:val="baseline"/>
        <w:rPr>
          <w:color w:val="2C2B2B"/>
          <w:sz w:val="22"/>
          <w:szCs w:val="22"/>
          <w:lang w:eastAsia="en-AU"/>
        </w:rPr>
      </w:pPr>
      <w:r>
        <w:rPr>
          <w:color w:val="2C2B2B"/>
          <w:sz w:val="22"/>
          <w:szCs w:val="22"/>
          <w:lang w:eastAsia="en-AU"/>
        </w:rPr>
        <w:t>s</w:t>
      </w:r>
      <w:r w:rsidRPr="4F8AEDB5">
        <w:rPr>
          <w:color w:val="2C2B2B"/>
          <w:sz w:val="22"/>
          <w:szCs w:val="22"/>
          <w:lang w:eastAsia="en-AU"/>
        </w:rPr>
        <w:t>cientifically robust interpretations and explanations of results (including uncertainty, sensitivity and power analysis), and clear explanations of benefits of the restoration options</w:t>
      </w:r>
    </w:p>
    <w:p w14:paraId="3B884EFA" w14:textId="4A53FCE6" w:rsidR="00491210" w:rsidRDefault="00EE200C" w:rsidP="00836EC5">
      <w:pPr>
        <w:numPr>
          <w:ilvl w:val="0"/>
          <w:numId w:val="36"/>
        </w:numPr>
        <w:spacing w:after="240"/>
        <w:jc w:val="both"/>
        <w:textAlignment w:val="baseline"/>
        <w:rPr>
          <w:color w:val="2C2B2B"/>
          <w:sz w:val="22"/>
          <w:szCs w:val="22"/>
          <w:lang w:eastAsia="en-AU"/>
        </w:rPr>
      </w:pPr>
      <w:r>
        <w:rPr>
          <w:color w:val="2C2B2B"/>
          <w:sz w:val="22"/>
          <w:szCs w:val="22"/>
          <w:lang w:eastAsia="en-AU"/>
        </w:rPr>
        <w:t>r</w:t>
      </w:r>
      <w:r w:rsidRPr="13609C11">
        <w:rPr>
          <w:color w:val="2C2B2B"/>
          <w:sz w:val="22"/>
          <w:szCs w:val="22"/>
          <w:lang w:eastAsia="en-AU"/>
        </w:rPr>
        <w:t xml:space="preserve">obust and transparent evaluation of </w:t>
      </w:r>
      <w:r w:rsidRPr="13609C11">
        <w:rPr>
          <w:color w:val="000000"/>
          <w:sz w:val="22"/>
          <w:szCs w:val="22"/>
          <w:lang w:eastAsia="en-AU"/>
        </w:rPr>
        <w:t xml:space="preserve">the population responses </w:t>
      </w:r>
      <w:r>
        <w:rPr>
          <w:color w:val="000000"/>
          <w:sz w:val="22"/>
          <w:szCs w:val="22"/>
          <w:lang w:eastAsia="en-AU"/>
        </w:rPr>
        <w:t xml:space="preserve">(relative to Baseflow) </w:t>
      </w:r>
      <w:r w:rsidRPr="13609C11">
        <w:rPr>
          <w:color w:val="000000"/>
          <w:sz w:val="22"/>
          <w:szCs w:val="22"/>
          <w:lang w:eastAsia="en-AU"/>
        </w:rPr>
        <w:t xml:space="preserve">to the </w:t>
      </w:r>
      <w:r>
        <w:rPr>
          <w:color w:val="000000"/>
          <w:sz w:val="22"/>
          <w:szCs w:val="22"/>
          <w:lang w:eastAsia="en-AU"/>
        </w:rPr>
        <w:t xml:space="preserve">various </w:t>
      </w:r>
      <w:r w:rsidRPr="13609C11">
        <w:rPr>
          <w:color w:val="000000"/>
          <w:sz w:val="22"/>
          <w:szCs w:val="22"/>
          <w:lang w:eastAsia="en-AU"/>
        </w:rPr>
        <w:t xml:space="preserve">RRCP flow scenarios and hydrological </w:t>
      </w:r>
      <w:r w:rsidRPr="13609C11">
        <w:rPr>
          <w:color w:val="2C2B2B"/>
          <w:sz w:val="22"/>
          <w:szCs w:val="22"/>
          <w:lang w:eastAsia="en-AU"/>
        </w:rPr>
        <w:t xml:space="preserve">recommendations </w:t>
      </w:r>
      <w:r>
        <w:rPr>
          <w:color w:val="2C2B2B"/>
          <w:sz w:val="22"/>
          <w:szCs w:val="22"/>
          <w:lang w:eastAsia="en-AU"/>
        </w:rPr>
        <w:t>designed to</w:t>
      </w:r>
      <w:r w:rsidRPr="13609C11">
        <w:rPr>
          <w:color w:val="2C2B2B"/>
          <w:sz w:val="22"/>
          <w:szCs w:val="22"/>
          <w:lang w:eastAsia="en-AU"/>
        </w:rPr>
        <w:t xml:space="preserve"> enable native fish population recovery.</w:t>
      </w:r>
    </w:p>
    <w:p w14:paraId="24E33848" w14:textId="77777777" w:rsidR="00491210" w:rsidRPr="002F4E30" w:rsidRDefault="00491210" w:rsidP="00CE6CAC">
      <w:pPr>
        <w:spacing w:after="240"/>
        <w:jc w:val="both"/>
        <w:textAlignment w:val="baseline"/>
        <w:rPr>
          <w:color w:val="2C2B2B"/>
          <w:sz w:val="22"/>
          <w:szCs w:val="22"/>
          <w:lang w:eastAsia="en-AU"/>
        </w:rPr>
      </w:pPr>
    </w:p>
    <w:p w14:paraId="0F7EB36E" w14:textId="7D820454" w:rsidR="00491210" w:rsidRDefault="003E1401" w:rsidP="00E07D27">
      <w:pPr>
        <w:keepNext/>
        <w:spacing w:before="240" w:after="240"/>
        <w:ind w:left="360"/>
        <w:jc w:val="both"/>
      </w:pPr>
      <w:r>
        <w:rPr>
          <w:noProof/>
          <w:lang w:eastAsia="en-AU"/>
        </w:rPr>
        <w:t xml:space="preserve"> </w:t>
      </w:r>
    </w:p>
    <w:p w14:paraId="3BAFFFA8" w14:textId="4E630DA6" w:rsidR="00491210" w:rsidRPr="004F43AA" w:rsidRDefault="00EE200C" w:rsidP="00F602FE">
      <w:pPr>
        <w:pStyle w:val="Caption-Figure"/>
      </w:pPr>
      <w:bookmarkStart w:id="34" w:name="_Ref104150706"/>
      <w:bookmarkStart w:id="35" w:name="_Toc116994971"/>
      <w:r>
        <w:t xml:space="preserve">Figure </w:t>
      </w:r>
      <w:r>
        <w:fldChar w:fldCharType="begin"/>
      </w:r>
      <w:r>
        <w:instrText>SEQ Figure \* ARABIC</w:instrText>
      </w:r>
      <w:r>
        <w:fldChar w:fldCharType="separate"/>
      </w:r>
      <w:r w:rsidR="005B672A">
        <w:rPr>
          <w:noProof/>
        </w:rPr>
        <w:t>1</w:t>
      </w:r>
      <w:r>
        <w:fldChar w:fldCharType="end"/>
      </w:r>
      <w:bookmarkEnd w:id="34"/>
      <w:r>
        <w:t>.</w:t>
      </w:r>
      <w:bookmarkStart w:id="36" w:name="_Toc86343777"/>
      <w:r w:rsidRPr="4F8AEDB5">
        <w:t xml:space="preserve"> A conceptual example to demonstrate </w:t>
      </w:r>
      <w:r>
        <w:t xml:space="preserve">the </w:t>
      </w:r>
      <w:r w:rsidRPr="4F8AEDB5">
        <w:t>model outputs of population trajectories for four different management scenarios, with each coloured line representing a different management scenario (or a combination thereof).</w:t>
      </w:r>
      <w:r w:rsidRPr="00EA2CBF">
        <w:t xml:space="preserve"> Three of the scenarios start with comparable population sizes, before one decreases (red), and the other two increase but at different rates (green and blue). The size of the population stays relatively consistent through time in the fourth scenario (light brown).</w:t>
      </w:r>
      <w:bookmarkEnd w:id="35"/>
      <w:bookmarkEnd w:id="36"/>
    </w:p>
    <w:p w14:paraId="28639EC1" w14:textId="5E88909E" w:rsidR="00491210" w:rsidRPr="002F4E30" w:rsidRDefault="00EE200C" w:rsidP="00273264">
      <w:pPr>
        <w:spacing w:before="240" w:after="240"/>
        <w:jc w:val="both"/>
        <w:rPr>
          <w:color w:val="2C2B2B"/>
          <w:sz w:val="22"/>
          <w:szCs w:val="22"/>
          <w:lang w:eastAsia="en-AU"/>
        </w:rPr>
      </w:pPr>
      <w:r>
        <w:rPr>
          <w:color w:val="2C2B2B"/>
          <w:sz w:val="22"/>
          <w:szCs w:val="22"/>
          <w:lang w:eastAsia="en-AU"/>
        </w:rPr>
        <w:t xml:space="preserve">The population models developed to assess the </w:t>
      </w:r>
      <w:r w:rsidRPr="358D0A8B">
        <w:rPr>
          <w:color w:val="2C2B2B"/>
          <w:sz w:val="22"/>
          <w:szCs w:val="22"/>
          <w:lang w:eastAsia="en-AU"/>
        </w:rPr>
        <w:t xml:space="preserve">specified range of RRCP flow scenarios </w:t>
      </w:r>
      <w:r>
        <w:rPr>
          <w:color w:val="2C2B2B"/>
          <w:sz w:val="22"/>
          <w:szCs w:val="22"/>
          <w:lang w:eastAsia="en-AU"/>
        </w:rPr>
        <w:t xml:space="preserve">are stochastic population models, which means that some of the parameters vary randomly to account for natural variation within the modelled system. For each scenario assessed, 1000 iterations of the model were processed to explore the underlying variation of the model, thus generating 1000 different population trajectories. See </w:t>
      </w:r>
      <w:r w:rsidRPr="00FD6913">
        <w:rPr>
          <w:color w:val="2C2B2B"/>
          <w:sz w:val="22"/>
          <w:szCs w:val="22"/>
          <w:lang w:eastAsia="en-AU"/>
        </w:rPr>
        <w:fldChar w:fldCharType="begin"/>
      </w:r>
      <w:r w:rsidRPr="00FD6913">
        <w:rPr>
          <w:color w:val="2C2B2B"/>
          <w:sz w:val="22"/>
          <w:szCs w:val="22"/>
          <w:lang w:eastAsia="en-AU"/>
        </w:rPr>
        <w:instrText xml:space="preserve"> REF _Ref104150794 \h </w:instrText>
      </w:r>
      <w:r>
        <w:rPr>
          <w:color w:val="2C2B2B"/>
          <w:sz w:val="22"/>
          <w:szCs w:val="22"/>
          <w:lang w:eastAsia="en-AU"/>
        </w:rPr>
        <w:instrText xml:space="preserve"> \* MERGEFORMAT </w:instrText>
      </w:r>
      <w:r w:rsidRPr="00FD6913">
        <w:rPr>
          <w:color w:val="2C2B2B"/>
          <w:sz w:val="22"/>
          <w:szCs w:val="22"/>
          <w:lang w:eastAsia="en-AU"/>
        </w:rPr>
      </w:r>
      <w:r w:rsidRPr="00FD6913">
        <w:rPr>
          <w:color w:val="2C2B2B"/>
          <w:sz w:val="22"/>
          <w:szCs w:val="22"/>
          <w:lang w:eastAsia="en-AU"/>
        </w:rPr>
        <w:fldChar w:fldCharType="separate"/>
      </w:r>
      <w:r w:rsidR="005B672A" w:rsidRPr="005B672A">
        <w:rPr>
          <w:noProof/>
          <w:sz w:val="22"/>
          <w:szCs w:val="22"/>
        </w:rPr>
        <w:t>Figure</w:t>
      </w:r>
      <w:r w:rsidR="005B672A" w:rsidRPr="005B672A">
        <w:rPr>
          <w:sz w:val="22"/>
        </w:rPr>
        <w:t xml:space="preserve"> </w:t>
      </w:r>
      <w:r w:rsidR="005B672A" w:rsidRPr="005B672A">
        <w:rPr>
          <w:noProof/>
          <w:sz w:val="22"/>
          <w:szCs w:val="22"/>
        </w:rPr>
        <w:t>2</w:t>
      </w:r>
      <w:r w:rsidRPr="00FD6913">
        <w:rPr>
          <w:color w:val="2C2B2B"/>
          <w:sz w:val="22"/>
          <w:szCs w:val="22"/>
          <w:lang w:eastAsia="en-AU"/>
        </w:rPr>
        <w:fldChar w:fldCharType="end"/>
      </w:r>
      <w:r w:rsidRPr="00FD6913">
        <w:rPr>
          <w:color w:val="2C2B2B"/>
          <w:sz w:val="22"/>
          <w:szCs w:val="22"/>
          <w:lang w:eastAsia="en-AU"/>
        </w:rPr>
        <w:t xml:space="preserve"> </w:t>
      </w:r>
      <w:r>
        <w:rPr>
          <w:color w:val="2C2B2B"/>
          <w:sz w:val="22"/>
          <w:szCs w:val="22"/>
          <w:lang w:eastAsia="en-AU"/>
        </w:rPr>
        <w:t xml:space="preserve">for examples of a single trajectory, 10 trajectories, 100 trajectories and 1000 trajectories. The output from 1000 trajectories is summarised in </w:t>
      </w:r>
      <w:r w:rsidRPr="00FD6913">
        <w:rPr>
          <w:color w:val="2C2B2B"/>
          <w:sz w:val="22"/>
          <w:szCs w:val="22"/>
          <w:lang w:eastAsia="en-AU"/>
        </w:rPr>
        <w:fldChar w:fldCharType="begin"/>
      </w:r>
      <w:r w:rsidRPr="00FD6913">
        <w:rPr>
          <w:color w:val="2C2B2B"/>
          <w:sz w:val="22"/>
          <w:szCs w:val="22"/>
          <w:lang w:eastAsia="en-AU"/>
        </w:rPr>
        <w:instrText xml:space="preserve"> REF _Ref104150835 \h </w:instrText>
      </w:r>
      <w:r>
        <w:rPr>
          <w:color w:val="2C2B2B"/>
          <w:sz w:val="22"/>
          <w:szCs w:val="22"/>
          <w:lang w:eastAsia="en-AU"/>
        </w:rPr>
        <w:instrText xml:space="preserve"> \* MERGEFORMAT </w:instrText>
      </w:r>
      <w:r w:rsidRPr="00FD6913">
        <w:rPr>
          <w:color w:val="2C2B2B"/>
          <w:sz w:val="22"/>
          <w:szCs w:val="22"/>
          <w:lang w:eastAsia="en-AU"/>
        </w:rPr>
      </w:r>
      <w:r w:rsidRPr="00FD6913">
        <w:rPr>
          <w:color w:val="2C2B2B"/>
          <w:sz w:val="22"/>
          <w:szCs w:val="22"/>
          <w:lang w:eastAsia="en-AU"/>
        </w:rPr>
        <w:fldChar w:fldCharType="separate"/>
      </w:r>
      <w:r w:rsidR="005B672A" w:rsidRPr="005B672A">
        <w:rPr>
          <w:sz w:val="22"/>
          <w:szCs w:val="22"/>
        </w:rPr>
        <w:t xml:space="preserve">Figure </w:t>
      </w:r>
      <w:r w:rsidR="005B672A" w:rsidRPr="005B672A">
        <w:rPr>
          <w:noProof/>
          <w:sz w:val="22"/>
          <w:szCs w:val="22"/>
        </w:rPr>
        <w:t>3</w:t>
      </w:r>
      <w:r w:rsidRPr="00FD6913">
        <w:rPr>
          <w:color w:val="2C2B2B"/>
          <w:sz w:val="22"/>
          <w:szCs w:val="22"/>
          <w:lang w:eastAsia="en-AU"/>
        </w:rPr>
        <w:fldChar w:fldCharType="end"/>
      </w:r>
      <w:r>
        <w:rPr>
          <w:color w:val="2C2B2B"/>
          <w:sz w:val="22"/>
          <w:szCs w:val="22"/>
          <w:lang w:eastAsia="en-AU"/>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3"/>
        <w:gridCol w:w="236"/>
      </w:tblGrid>
      <w:tr w:rsidR="002E2BB9" w14:paraId="79C956FA" w14:textId="77777777" w:rsidTr="00DA5456">
        <w:tc>
          <w:tcPr>
            <w:tcW w:w="4893" w:type="dxa"/>
          </w:tcPr>
          <w:p w14:paraId="26B42E12" w14:textId="45725B1D" w:rsidR="00491210" w:rsidRDefault="003E1401" w:rsidP="00AB320F">
            <w:pPr>
              <w:keepNext/>
              <w:spacing w:after="0"/>
              <w:jc w:val="both"/>
            </w:pPr>
            <w:r>
              <w:rPr>
                <w:noProof/>
                <w:lang w:eastAsia="en-AU"/>
              </w:rPr>
              <w:t xml:space="preserve"> </w:t>
            </w:r>
          </w:p>
        </w:tc>
        <w:tc>
          <w:tcPr>
            <w:tcW w:w="236" w:type="dxa"/>
          </w:tcPr>
          <w:p w14:paraId="6958412D" w14:textId="56E14FFE" w:rsidR="00491210" w:rsidRDefault="003E1401" w:rsidP="00AB320F">
            <w:pPr>
              <w:keepNext/>
              <w:spacing w:after="0"/>
              <w:jc w:val="both"/>
            </w:pPr>
            <w:r>
              <w:rPr>
                <w:noProof/>
                <w:lang w:eastAsia="en-AU"/>
              </w:rPr>
              <w:t xml:space="preserve"> </w:t>
            </w:r>
          </w:p>
        </w:tc>
      </w:tr>
      <w:tr w:rsidR="002E2BB9" w14:paraId="4EACF0DB" w14:textId="77777777" w:rsidTr="00DA5456">
        <w:tc>
          <w:tcPr>
            <w:tcW w:w="4893" w:type="dxa"/>
          </w:tcPr>
          <w:p w14:paraId="3C1AA9C9" w14:textId="0E8B44E9" w:rsidR="00491210" w:rsidRDefault="003E1401" w:rsidP="00AB320F">
            <w:pPr>
              <w:keepNext/>
              <w:spacing w:after="0"/>
              <w:jc w:val="both"/>
            </w:pPr>
            <w:r>
              <w:rPr>
                <w:noProof/>
                <w:lang w:eastAsia="en-AU"/>
              </w:rPr>
              <w:t xml:space="preserve"> </w:t>
            </w:r>
          </w:p>
        </w:tc>
        <w:tc>
          <w:tcPr>
            <w:tcW w:w="236" w:type="dxa"/>
          </w:tcPr>
          <w:p w14:paraId="65F04C53" w14:textId="086C1DC3" w:rsidR="00491210" w:rsidRDefault="003E1401" w:rsidP="00AB320F">
            <w:pPr>
              <w:keepNext/>
              <w:spacing w:after="0"/>
              <w:jc w:val="both"/>
            </w:pPr>
            <w:r>
              <w:rPr>
                <w:noProof/>
                <w:lang w:eastAsia="en-AU"/>
              </w:rPr>
              <w:t xml:space="preserve"> </w:t>
            </w:r>
          </w:p>
        </w:tc>
      </w:tr>
    </w:tbl>
    <w:p w14:paraId="20E0119B" w14:textId="61FBD5F8" w:rsidR="00491210" w:rsidRPr="004F43AA" w:rsidRDefault="00EE200C" w:rsidP="00F602FE">
      <w:pPr>
        <w:pStyle w:val="Caption-Figure"/>
      </w:pPr>
      <w:bookmarkStart w:id="37" w:name="_Ref104150794"/>
      <w:bookmarkStart w:id="38" w:name="_Toc116994972"/>
      <w:r>
        <w:t xml:space="preserve">Figure </w:t>
      </w:r>
      <w:r>
        <w:fldChar w:fldCharType="begin"/>
      </w:r>
      <w:r>
        <w:instrText>SEQ Figure \* ARABIC</w:instrText>
      </w:r>
      <w:r>
        <w:fldChar w:fldCharType="separate"/>
      </w:r>
      <w:r w:rsidR="005B672A">
        <w:rPr>
          <w:noProof/>
        </w:rPr>
        <w:t>2</w:t>
      </w:r>
      <w:r>
        <w:fldChar w:fldCharType="end"/>
      </w:r>
      <w:bookmarkEnd w:id="37"/>
      <w:r>
        <w:t xml:space="preserve">. </w:t>
      </w:r>
      <w:r w:rsidRPr="00757F17">
        <w:t>Top left: a single trajectory for the Total RRCP Populations of Golden Perch for the Base case scenario; top right: 10 trajectories for the Total RRCP Populations of Golden Perch for the Base case scenario; bottom left: 100 trajectories for the Total RRCP Populations of Golden Perch for the Base case scenario; and bottom right: 1000 trajectories for the Total RRCP Populations of Golden Perch for the Base case scenario</w:t>
      </w:r>
      <w:r>
        <w:t>, with the mean trajectory across all model iterations indicated in black</w:t>
      </w:r>
      <w:r w:rsidRPr="00757F17">
        <w:t>.</w:t>
      </w:r>
      <w:bookmarkEnd w:id="38"/>
    </w:p>
    <w:p w14:paraId="2902DE2F" w14:textId="4254455C" w:rsidR="00491210" w:rsidRDefault="003E1401" w:rsidP="0075764F">
      <w:pPr>
        <w:keepNext/>
        <w:spacing w:after="0"/>
        <w:jc w:val="both"/>
      </w:pPr>
      <w:r>
        <w:rPr>
          <w:noProof/>
          <w:lang w:eastAsia="en-AU"/>
        </w:rPr>
        <w:t xml:space="preserve"> </w:t>
      </w:r>
    </w:p>
    <w:p w14:paraId="71000B84" w14:textId="5EB80310" w:rsidR="00491210" w:rsidRDefault="00EE200C" w:rsidP="00F602FE">
      <w:pPr>
        <w:pStyle w:val="Caption-Figure"/>
      </w:pPr>
      <w:bookmarkStart w:id="39" w:name="_Ref104150835"/>
      <w:bookmarkStart w:id="40" w:name="_Toc116994973"/>
      <w:r w:rsidRPr="00650092">
        <w:t xml:space="preserve">Figure </w:t>
      </w:r>
      <w:r w:rsidRPr="00650092">
        <w:fldChar w:fldCharType="begin"/>
      </w:r>
      <w:r w:rsidRPr="00650092">
        <w:instrText>SEQ Figure \* ARABIC</w:instrText>
      </w:r>
      <w:r w:rsidRPr="00650092">
        <w:fldChar w:fldCharType="separate"/>
      </w:r>
      <w:r w:rsidR="005B672A">
        <w:rPr>
          <w:noProof/>
        </w:rPr>
        <w:t>3</w:t>
      </w:r>
      <w:r w:rsidRPr="00650092">
        <w:fldChar w:fldCharType="end"/>
      </w:r>
      <w:bookmarkEnd w:id="39"/>
      <w:r w:rsidRPr="00650092">
        <w:t xml:space="preserve">. Summary of 1000 trajectories for the Total RRCP </w:t>
      </w:r>
      <w:r w:rsidRPr="00757F17">
        <w:t xml:space="preserve">Populations of </w:t>
      </w:r>
      <w:r w:rsidRPr="00650092">
        <w:t xml:space="preserve">Golden Perch for the Base case scenario. The black line indicates the mean adult population size through time; blue lines indicate ±1 standard deviation from the mean; and the red dotted lines indicate the maximum and minimum </w:t>
      </w:r>
      <w:r>
        <w:t>across all</w:t>
      </w:r>
      <w:r w:rsidRPr="00650092">
        <w:t xml:space="preserve"> trajectories through time.</w:t>
      </w:r>
      <w:bookmarkEnd w:id="40"/>
    </w:p>
    <w:p w14:paraId="29C6C535" w14:textId="10C9215E" w:rsidR="00491210" w:rsidRDefault="00EE200C" w:rsidP="00273264">
      <w:pPr>
        <w:spacing w:before="240" w:after="240"/>
        <w:jc w:val="both"/>
        <w:rPr>
          <w:color w:val="2C2B2B"/>
          <w:sz w:val="22"/>
          <w:szCs w:val="22"/>
          <w:lang w:eastAsia="en-AU"/>
        </w:rPr>
      </w:pPr>
      <w:r>
        <w:rPr>
          <w:color w:val="2C2B2B"/>
          <w:sz w:val="22"/>
          <w:szCs w:val="22"/>
          <w:lang w:eastAsia="en-AU"/>
        </w:rPr>
        <w:t>To compare the base case scenario with the four options, we present the mean trajectories of five scenarios in one graph, even though this approach does not fully capture the variation around the mean trajectories. A common approach to assist in comparing various scenarios is to compile the distribution of minimum population sizes for each scenario. The minimum population size from each trajectory is recorded and converted into a cumulative distribution, forming the distribution of the minimum population sizes. Graphing these distributions provides a visual comparison of each scenario that</w:t>
      </w:r>
      <w:r w:rsidRPr="358D0A8B">
        <w:rPr>
          <w:color w:val="2C2B2B"/>
          <w:sz w:val="22"/>
          <w:szCs w:val="22"/>
          <w:lang w:eastAsia="en-AU"/>
        </w:rPr>
        <w:t xml:space="preserve"> transparently contrasts the likely benefits or detriments</w:t>
      </w:r>
      <w:r>
        <w:rPr>
          <w:color w:val="2C2B2B"/>
          <w:sz w:val="22"/>
          <w:szCs w:val="22"/>
          <w:lang w:eastAsia="en-AU"/>
        </w:rPr>
        <w:t xml:space="preserve"> of each scenario. A conceptual example of these contrasts is provided in </w:t>
      </w:r>
      <w:r w:rsidRPr="00A1141A">
        <w:rPr>
          <w:color w:val="2C2B2B"/>
          <w:sz w:val="22"/>
          <w:szCs w:val="22"/>
          <w:lang w:eastAsia="en-AU"/>
        </w:rPr>
        <w:fldChar w:fldCharType="begin"/>
      </w:r>
      <w:r w:rsidRPr="00A1141A">
        <w:rPr>
          <w:color w:val="2C2B2B"/>
          <w:sz w:val="22"/>
          <w:szCs w:val="22"/>
          <w:lang w:eastAsia="en-AU"/>
        </w:rPr>
        <w:instrText xml:space="preserve"> REF _Ref104150864 \h  \* MERGEFORMAT </w:instrText>
      </w:r>
      <w:r w:rsidRPr="00A1141A">
        <w:rPr>
          <w:color w:val="2C2B2B"/>
          <w:sz w:val="22"/>
          <w:szCs w:val="22"/>
          <w:lang w:eastAsia="en-AU"/>
        </w:rPr>
      </w:r>
      <w:r w:rsidRPr="00A1141A">
        <w:rPr>
          <w:color w:val="2C2B2B"/>
          <w:sz w:val="22"/>
          <w:szCs w:val="22"/>
          <w:lang w:eastAsia="en-AU"/>
        </w:rPr>
        <w:fldChar w:fldCharType="separate"/>
      </w:r>
      <w:r w:rsidR="005B672A" w:rsidRPr="005B672A">
        <w:rPr>
          <w:noProof/>
          <w:sz w:val="22"/>
          <w:szCs w:val="22"/>
        </w:rPr>
        <w:t>Figure</w:t>
      </w:r>
      <w:r w:rsidR="005B672A" w:rsidRPr="005B672A">
        <w:rPr>
          <w:sz w:val="22"/>
          <w:szCs w:val="22"/>
        </w:rPr>
        <w:t xml:space="preserve"> </w:t>
      </w:r>
      <w:r w:rsidR="005B672A" w:rsidRPr="005B672A">
        <w:rPr>
          <w:noProof/>
          <w:sz w:val="22"/>
          <w:szCs w:val="22"/>
        </w:rPr>
        <w:t>4</w:t>
      </w:r>
      <w:r w:rsidRPr="00A1141A">
        <w:rPr>
          <w:color w:val="2C2B2B"/>
          <w:sz w:val="22"/>
          <w:szCs w:val="22"/>
          <w:lang w:eastAsia="en-AU"/>
        </w:rPr>
        <w:fldChar w:fldCharType="end"/>
      </w:r>
      <w:r w:rsidRPr="00FD6913">
        <w:rPr>
          <w:color w:val="2C2B2B"/>
          <w:sz w:val="22"/>
          <w:szCs w:val="22"/>
          <w:lang w:eastAsia="en-AU"/>
        </w:rPr>
        <w:t xml:space="preserve"> and </w:t>
      </w:r>
      <w:r w:rsidRPr="00FD6913">
        <w:rPr>
          <w:color w:val="2C2B2B"/>
          <w:sz w:val="22"/>
          <w:szCs w:val="22"/>
          <w:lang w:eastAsia="en-AU"/>
        </w:rPr>
        <w:fldChar w:fldCharType="begin"/>
      </w:r>
      <w:r w:rsidRPr="00FD6913">
        <w:rPr>
          <w:color w:val="2C2B2B"/>
          <w:sz w:val="22"/>
          <w:szCs w:val="22"/>
          <w:lang w:eastAsia="en-AU"/>
        </w:rPr>
        <w:instrText xml:space="preserve"> REF _Ref104150873 \h </w:instrText>
      </w:r>
      <w:r>
        <w:rPr>
          <w:color w:val="2C2B2B"/>
          <w:sz w:val="22"/>
          <w:szCs w:val="22"/>
          <w:lang w:eastAsia="en-AU"/>
        </w:rPr>
        <w:instrText xml:space="preserve"> \* MERGEFORMAT </w:instrText>
      </w:r>
      <w:r w:rsidRPr="00FD6913">
        <w:rPr>
          <w:color w:val="2C2B2B"/>
          <w:sz w:val="22"/>
          <w:szCs w:val="22"/>
          <w:lang w:eastAsia="en-AU"/>
        </w:rPr>
      </w:r>
      <w:r w:rsidRPr="00FD6913">
        <w:rPr>
          <w:color w:val="2C2B2B"/>
          <w:sz w:val="22"/>
          <w:szCs w:val="22"/>
          <w:lang w:eastAsia="en-AU"/>
        </w:rPr>
        <w:fldChar w:fldCharType="separate"/>
      </w:r>
      <w:r w:rsidR="005B672A" w:rsidRPr="005B672A">
        <w:rPr>
          <w:noProof/>
          <w:sz w:val="22"/>
          <w:szCs w:val="22"/>
        </w:rPr>
        <w:t>Figure</w:t>
      </w:r>
      <w:r w:rsidR="005B672A" w:rsidRPr="005B672A">
        <w:rPr>
          <w:sz w:val="22"/>
        </w:rPr>
        <w:t xml:space="preserve"> </w:t>
      </w:r>
      <w:r w:rsidR="005B672A" w:rsidRPr="005B672A">
        <w:rPr>
          <w:noProof/>
          <w:sz w:val="22"/>
          <w:szCs w:val="22"/>
        </w:rPr>
        <w:t>5</w:t>
      </w:r>
      <w:r w:rsidRPr="00FD6913">
        <w:rPr>
          <w:color w:val="2C2B2B"/>
          <w:sz w:val="22"/>
          <w:szCs w:val="22"/>
          <w:lang w:eastAsia="en-AU"/>
        </w:rPr>
        <w:fldChar w:fldCharType="end"/>
      </w:r>
      <w:r>
        <w:rPr>
          <w:color w:val="2C2B2B"/>
          <w:sz w:val="22"/>
          <w:szCs w:val="22"/>
          <w:lang w:eastAsia="en-AU"/>
        </w:rPr>
        <w:t xml:space="preserve">. </w:t>
      </w:r>
      <w:r w:rsidRPr="358D0A8B">
        <w:rPr>
          <w:color w:val="2C2B2B"/>
          <w:sz w:val="22"/>
          <w:szCs w:val="22"/>
          <w:lang w:eastAsia="en-AU"/>
        </w:rPr>
        <w:t xml:space="preserve">Such </w:t>
      </w:r>
      <w:r>
        <w:rPr>
          <w:color w:val="2C2B2B"/>
          <w:sz w:val="22"/>
          <w:szCs w:val="22"/>
          <w:lang w:eastAsia="en-AU"/>
        </w:rPr>
        <w:t>distributions</w:t>
      </w:r>
      <w:r w:rsidRPr="358D0A8B">
        <w:rPr>
          <w:color w:val="2C2B2B"/>
          <w:sz w:val="22"/>
          <w:szCs w:val="22"/>
          <w:lang w:eastAsia="en-AU"/>
        </w:rPr>
        <w:t xml:space="preserve"> can indicate </w:t>
      </w:r>
      <w:r>
        <w:rPr>
          <w:color w:val="2C2B2B"/>
          <w:sz w:val="22"/>
          <w:szCs w:val="22"/>
          <w:lang w:eastAsia="en-AU"/>
        </w:rPr>
        <w:t xml:space="preserve">effectiveness at </w:t>
      </w:r>
      <w:r w:rsidRPr="358D0A8B">
        <w:rPr>
          <w:color w:val="2C2B2B"/>
          <w:sz w:val="22"/>
          <w:szCs w:val="22"/>
          <w:lang w:eastAsia="en-AU"/>
        </w:rPr>
        <w:t xml:space="preserve">meeting a specified threshold population level and can be used to </w:t>
      </w:r>
      <w:r>
        <w:rPr>
          <w:color w:val="2C2B2B"/>
          <w:sz w:val="22"/>
          <w:szCs w:val="22"/>
          <w:lang w:eastAsia="en-AU"/>
        </w:rPr>
        <w:t>evaluate the likely success or failure of a given scenario</w:t>
      </w:r>
      <w:r w:rsidRPr="358D0A8B">
        <w:rPr>
          <w:color w:val="2C2B2B"/>
          <w:sz w:val="22"/>
          <w:szCs w:val="22"/>
          <w:lang w:eastAsia="en-AU"/>
        </w:rPr>
        <w:t>.</w:t>
      </w:r>
      <w:r>
        <w:rPr>
          <w:color w:val="2C2B2B"/>
          <w:sz w:val="22"/>
          <w:szCs w:val="22"/>
          <w:lang w:eastAsia="en-AU"/>
        </w:rPr>
        <w:t xml:space="preserve"> A distribution of minimum population sizes </w:t>
      </w:r>
      <w:r w:rsidRPr="7ADEDDC3">
        <w:rPr>
          <w:color w:val="2C2B2B"/>
          <w:sz w:val="22"/>
          <w:szCs w:val="22"/>
          <w:lang w:eastAsia="en-AU"/>
        </w:rPr>
        <w:t xml:space="preserve">closer to zero represents </w:t>
      </w:r>
      <w:r>
        <w:rPr>
          <w:color w:val="2C2B2B"/>
          <w:sz w:val="22"/>
          <w:szCs w:val="22"/>
          <w:lang w:eastAsia="en-AU"/>
        </w:rPr>
        <w:t xml:space="preserve">a </w:t>
      </w:r>
      <w:r w:rsidRPr="7ADEDDC3">
        <w:rPr>
          <w:color w:val="2C2B2B"/>
          <w:sz w:val="22"/>
          <w:szCs w:val="22"/>
          <w:lang w:eastAsia="en-AU"/>
        </w:rPr>
        <w:t xml:space="preserve">higher </w:t>
      </w:r>
      <w:r>
        <w:rPr>
          <w:color w:val="2C2B2B"/>
          <w:sz w:val="22"/>
          <w:szCs w:val="22"/>
          <w:lang w:eastAsia="en-AU"/>
        </w:rPr>
        <w:t>likelihood of the population being lower compared with a distribution</w:t>
      </w:r>
      <w:r w:rsidRPr="7ADEDDC3">
        <w:rPr>
          <w:color w:val="2C2B2B"/>
          <w:sz w:val="22"/>
          <w:szCs w:val="22"/>
          <w:lang w:eastAsia="en-AU"/>
        </w:rPr>
        <w:t xml:space="preserve"> further from </w:t>
      </w:r>
      <w:r w:rsidRPr="7ADEDDC3">
        <w:rPr>
          <w:color w:val="2C2B2B"/>
          <w:sz w:val="22"/>
          <w:szCs w:val="22"/>
          <w:lang w:eastAsia="en-AU"/>
        </w:rPr>
        <w:lastRenderedPageBreak/>
        <w:t>zero</w:t>
      </w:r>
      <w:r>
        <w:rPr>
          <w:color w:val="2C2B2B"/>
          <w:sz w:val="22"/>
          <w:szCs w:val="22"/>
          <w:lang w:eastAsia="en-AU"/>
        </w:rPr>
        <w:t>,</w:t>
      </w:r>
      <w:r w:rsidRPr="7ADEDDC3">
        <w:rPr>
          <w:color w:val="2C2B2B"/>
          <w:sz w:val="22"/>
          <w:szCs w:val="22"/>
          <w:lang w:eastAsia="en-AU"/>
        </w:rPr>
        <w:t xml:space="preserve"> </w:t>
      </w:r>
      <w:r>
        <w:rPr>
          <w:color w:val="2C2B2B"/>
          <w:sz w:val="22"/>
          <w:szCs w:val="22"/>
          <w:lang w:eastAsia="en-AU"/>
        </w:rPr>
        <w:t xml:space="preserve">which has a comparative likelihood of the population being higher </w:t>
      </w:r>
      <w:r w:rsidRPr="7ADEDDC3">
        <w:rPr>
          <w:color w:val="2C2B2B"/>
          <w:sz w:val="22"/>
          <w:szCs w:val="22"/>
          <w:lang w:eastAsia="en-AU"/>
        </w:rPr>
        <w:t xml:space="preserve">(preferred outcome; see </w:t>
      </w:r>
      <w:r w:rsidRPr="00A1141A">
        <w:rPr>
          <w:color w:val="2C2B2B"/>
          <w:sz w:val="22"/>
          <w:szCs w:val="22"/>
          <w:lang w:eastAsia="en-AU"/>
        </w:rPr>
        <w:fldChar w:fldCharType="begin"/>
      </w:r>
      <w:r w:rsidRPr="00A1141A">
        <w:rPr>
          <w:color w:val="2C2B2B"/>
          <w:sz w:val="22"/>
          <w:szCs w:val="22"/>
          <w:lang w:eastAsia="en-AU"/>
        </w:rPr>
        <w:instrText xml:space="preserve"> REF _Ref104150873 \h  \* MERGEFORMAT </w:instrText>
      </w:r>
      <w:r w:rsidRPr="00A1141A">
        <w:rPr>
          <w:color w:val="2C2B2B"/>
          <w:sz w:val="22"/>
          <w:szCs w:val="22"/>
          <w:lang w:eastAsia="en-AU"/>
        </w:rPr>
      </w:r>
      <w:r w:rsidRPr="00A1141A">
        <w:rPr>
          <w:color w:val="2C2B2B"/>
          <w:sz w:val="22"/>
          <w:szCs w:val="22"/>
          <w:lang w:eastAsia="en-AU"/>
        </w:rPr>
        <w:fldChar w:fldCharType="separate"/>
      </w:r>
      <w:r w:rsidR="005B672A" w:rsidRPr="005B672A">
        <w:rPr>
          <w:noProof/>
          <w:sz w:val="22"/>
          <w:szCs w:val="22"/>
        </w:rPr>
        <w:t>Figure</w:t>
      </w:r>
      <w:r w:rsidR="005B672A" w:rsidRPr="005B672A">
        <w:rPr>
          <w:sz w:val="22"/>
          <w:szCs w:val="22"/>
        </w:rPr>
        <w:t xml:space="preserve"> </w:t>
      </w:r>
      <w:r w:rsidR="005B672A" w:rsidRPr="005B672A">
        <w:rPr>
          <w:noProof/>
          <w:sz w:val="22"/>
          <w:szCs w:val="22"/>
        </w:rPr>
        <w:t>5</w:t>
      </w:r>
      <w:r w:rsidRPr="00A1141A">
        <w:rPr>
          <w:color w:val="2C2B2B"/>
          <w:sz w:val="22"/>
          <w:szCs w:val="22"/>
          <w:lang w:eastAsia="en-AU"/>
        </w:rPr>
        <w:fldChar w:fldCharType="end"/>
      </w:r>
      <w:r w:rsidRPr="00A1141A">
        <w:rPr>
          <w:color w:val="000000"/>
          <w:sz w:val="22"/>
          <w:szCs w:val="22"/>
          <w:lang w:eastAsia="en-AU"/>
        </w:rPr>
        <w:t xml:space="preserve"> and </w:t>
      </w:r>
      <w:r w:rsidRPr="00A1141A">
        <w:rPr>
          <w:color w:val="000000"/>
          <w:sz w:val="22"/>
          <w:szCs w:val="22"/>
          <w:lang w:eastAsia="en-AU"/>
        </w:rPr>
        <w:fldChar w:fldCharType="begin"/>
      </w:r>
      <w:r w:rsidRPr="00A1141A">
        <w:rPr>
          <w:color w:val="000000"/>
          <w:sz w:val="22"/>
          <w:szCs w:val="22"/>
          <w:lang w:eastAsia="en-AU"/>
        </w:rPr>
        <w:instrText xml:space="preserve"> REF _Ref104150986 \h  \* MERGEFORMAT </w:instrText>
      </w:r>
      <w:r w:rsidRPr="00A1141A">
        <w:rPr>
          <w:color w:val="000000"/>
          <w:sz w:val="22"/>
          <w:szCs w:val="22"/>
          <w:lang w:eastAsia="en-AU"/>
        </w:rPr>
      </w:r>
      <w:r w:rsidRPr="00A1141A">
        <w:rPr>
          <w:color w:val="000000"/>
          <w:sz w:val="22"/>
          <w:szCs w:val="22"/>
          <w:lang w:eastAsia="en-AU"/>
        </w:rPr>
        <w:fldChar w:fldCharType="separate"/>
      </w:r>
      <w:r w:rsidR="005B672A" w:rsidRPr="005B672A">
        <w:rPr>
          <w:noProof/>
          <w:sz w:val="22"/>
          <w:szCs w:val="22"/>
        </w:rPr>
        <w:t>Figure</w:t>
      </w:r>
      <w:r w:rsidR="005B672A" w:rsidRPr="005B672A">
        <w:rPr>
          <w:sz w:val="22"/>
          <w:szCs w:val="22"/>
        </w:rPr>
        <w:t xml:space="preserve"> </w:t>
      </w:r>
      <w:r w:rsidR="005B672A" w:rsidRPr="005B672A">
        <w:rPr>
          <w:noProof/>
          <w:sz w:val="22"/>
          <w:szCs w:val="22"/>
        </w:rPr>
        <w:t>6</w:t>
      </w:r>
      <w:r w:rsidRPr="00A1141A">
        <w:rPr>
          <w:color w:val="000000"/>
          <w:sz w:val="22"/>
          <w:szCs w:val="22"/>
          <w:lang w:eastAsia="en-AU"/>
        </w:rPr>
        <w:fldChar w:fldCharType="end"/>
      </w:r>
      <w:r w:rsidRPr="00FD6913">
        <w:rPr>
          <w:color w:val="2C2B2B"/>
          <w:sz w:val="22"/>
          <w:szCs w:val="22"/>
          <w:lang w:eastAsia="en-AU"/>
        </w:rPr>
        <w:t>)</w:t>
      </w:r>
      <w:r w:rsidRPr="7ADEDDC3">
        <w:rPr>
          <w:color w:val="2C2B2B"/>
          <w:sz w:val="22"/>
          <w:szCs w:val="22"/>
          <w:lang w:eastAsia="en-AU"/>
        </w:rPr>
        <w:t xml:space="preserve">. </w:t>
      </w:r>
      <w:r>
        <w:rPr>
          <w:color w:val="2C2B2B"/>
          <w:sz w:val="22"/>
          <w:szCs w:val="22"/>
          <w:lang w:eastAsia="en-AU"/>
        </w:rPr>
        <w:t xml:space="preserve">As the distribution of the minimum populations sizes is a cumulative probability distribution, it is possible to calculate the expected value of the minimum population sizes, and to compare these values among the various scenarios, as well as to calculate the percentage change (see e.g. </w:t>
      </w:r>
      <w:r w:rsidRPr="00644C78">
        <w:rPr>
          <w:color w:val="2C2B2B"/>
          <w:sz w:val="22"/>
          <w:szCs w:val="22"/>
          <w:lang w:eastAsia="en-AU"/>
        </w:rPr>
        <w:fldChar w:fldCharType="begin"/>
      </w:r>
      <w:r w:rsidRPr="00644C78">
        <w:rPr>
          <w:color w:val="2C2B2B"/>
          <w:sz w:val="22"/>
          <w:szCs w:val="22"/>
          <w:lang w:eastAsia="en-AU"/>
        </w:rPr>
        <w:instrText xml:space="preserve"> REF _Ref104151027 \h </w:instrText>
      </w:r>
      <w:r>
        <w:rPr>
          <w:color w:val="2C2B2B"/>
          <w:sz w:val="22"/>
          <w:szCs w:val="22"/>
          <w:lang w:eastAsia="en-AU"/>
        </w:rPr>
        <w:instrText xml:space="preserve"> \* MERGEFORMAT </w:instrText>
      </w:r>
      <w:r w:rsidRPr="00644C78">
        <w:rPr>
          <w:color w:val="2C2B2B"/>
          <w:sz w:val="22"/>
          <w:szCs w:val="22"/>
          <w:lang w:eastAsia="en-AU"/>
        </w:rPr>
      </w:r>
      <w:r w:rsidRPr="00644C78">
        <w:rPr>
          <w:color w:val="2C2B2B"/>
          <w:sz w:val="22"/>
          <w:szCs w:val="22"/>
          <w:lang w:eastAsia="en-AU"/>
        </w:rPr>
        <w:fldChar w:fldCharType="separate"/>
      </w:r>
      <w:r w:rsidR="005B672A" w:rsidRPr="005B672A">
        <w:rPr>
          <w:sz w:val="22"/>
          <w:szCs w:val="22"/>
        </w:rPr>
        <w:t xml:space="preserve">Figure </w:t>
      </w:r>
      <w:r w:rsidR="005B672A" w:rsidRPr="005B672A">
        <w:rPr>
          <w:noProof/>
          <w:sz w:val="22"/>
          <w:szCs w:val="22"/>
        </w:rPr>
        <w:t>7</w:t>
      </w:r>
      <w:r w:rsidRPr="00644C78">
        <w:rPr>
          <w:color w:val="2C2B2B"/>
          <w:sz w:val="22"/>
          <w:szCs w:val="22"/>
          <w:lang w:eastAsia="en-AU"/>
        </w:rPr>
        <w:fldChar w:fldCharType="end"/>
      </w:r>
      <w:r>
        <w:rPr>
          <w:color w:val="2C2B2B"/>
          <w:sz w:val="22"/>
          <w:szCs w:val="22"/>
          <w:lang w:eastAsia="en-AU"/>
        </w:rPr>
        <w:t xml:space="preserve">). Finally, it is possible to examine a variety of criteria with which to partition the data; for instance, the 10% quantile population size may be used instead of the minimum population size, as may the mean population size, or the maximum population size. See </w:t>
      </w:r>
      <w:r w:rsidRPr="00A1141A">
        <w:rPr>
          <w:color w:val="2C2B2B"/>
          <w:sz w:val="22"/>
          <w:szCs w:val="22"/>
          <w:lang w:eastAsia="en-AU"/>
        </w:rPr>
        <w:fldChar w:fldCharType="begin"/>
      </w:r>
      <w:r w:rsidRPr="00A1141A">
        <w:rPr>
          <w:color w:val="2C2B2B"/>
          <w:sz w:val="22"/>
          <w:szCs w:val="22"/>
          <w:lang w:eastAsia="en-AU"/>
        </w:rPr>
        <w:instrText xml:space="preserve"> REF _Ref104151036 \h  \* MERGEFORMAT </w:instrText>
      </w:r>
      <w:r w:rsidRPr="00A1141A">
        <w:rPr>
          <w:color w:val="2C2B2B"/>
          <w:sz w:val="22"/>
          <w:szCs w:val="22"/>
          <w:lang w:eastAsia="en-AU"/>
        </w:rPr>
      </w:r>
      <w:r w:rsidRPr="00A1141A">
        <w:rPr>
          <w:color w:val="2C2B2B"/>
          <w:sz w:val="22"/>
          <w:szCs w:val="22"/>
          <w:lang w:eastAsia="en-AU"/>
        </w:rPr>
        <w:fldChar w:fldCharType="separate"/>
      </w:r>
      <w:r w:rsidR="005B672A" w:rsidRPr="005B672A">
        <w:rPr>
          <w:noProof/>
          <w:sz w:val="22"/>
          <w:szCs w:val="22"/>
        </w:rPr>
        <w:t>Figure</w:t>
      </w:r>
      <w:r w:rsidR="005B672A" w:rsidRPr="005B672A">
        <w:rPr>
          <w:sz w:val="22"/>
          <w:szCs w:val="22"/>
        </w:rPr>
        <w:t xml:space="preserve"> </w:t>
      </w:r>
      <w:r w:rsidR="005B672A" w:rsidRPr="005B672A">
        <w:rPr>
          <w:noProof/>
          <w:sz w:val="22"/>
          <w:szCs w:val="22"/>
        </w:rPr>
        <w:t>8</w:t>
      </w:r>
      <w:r w:rsidRPr="00A1141A">
        <w:rPr>
          <w:color w:val="2C2B2B"/>
          <w:sz w:val="22"/>
          <w:szCs w:val="22"/>
          <w:lang w:eastAsia="en-AU"/>
        </w:rPr>
        <w:fldChar w:fldCharType="end"/>
      </w:r>
      <w:r w:rsidRPr="00A1141A">
        <w:rPr>
          <w:color w:val="2C2B2B"/>
          <w:sz w:val="22"/>
          <w:szCs w:val="22"/>
          <w:lang w:eastAsia="en-AU"/>
        </w:rPr>
        <w:t xml:space="preserve"> to </w:t>
      </w:r>
      <w:r w:rsidRPr="00B119E7">
        <w:rPr>
          <w:sz w:val="22"/>
        </w:rPr>
        <w:fldChar w:fldCharType="begin"/>
      </w:r>
      <w:r w:rsidRPr="00F226C4">
        <w:rPr>
          <w:noProof/>
          <w:sz w:val="22"/>
          <w:szCs w:val="22"/>
        </w:rPr>
        <w:instrText xml:space="preserve"> REF _Ref104151049 \h  \* MERGEFORMAT </w:instrText>
      </w:r>
      <w:r w:rsidRPr="00B119E7">
        <w:rPr>
          <w:sz w:val="22"/>
        </w:rPr>
      </w:r>
      <w:r w:rsidRPr="00B119E7">
        <w:rPr>
          <w:sz w:val="22"/>
        </w:rPr>
        <w:fldChar w:fldCharType="separate"/>
      </w:r>
      <w:r w:rsidR="005B672A" w:rsidRPr="005B672A">
        <w:rPr>
          <w:noProof/>
          <w:sz w:val="22"/>
          <w:szCs w:val="22"/>
        </w:rPr>
        <w:t>Figure 11</w:t>
      </w:r>
      <w:r w:rsidRPr="00B119E7">
        <w:rPr>
          <w:sz w:val="22"/>
        </w:rPr>
        <w:fldChar w:fldCharType="end"/>
      </w:r>
      <w:r w:rsidRPr="00B119E7">
        <w:rPr>
          <w:sz w:val="22"/>
        </w:rPr>
        <w:t xml:space="preserve"> for examples</w:t>
      </w:r>
      <w:r w:rsidRPr="00644C78">
        <w:rPr>
          <w:color w:val="2C2B2B"/>
          <w:sz w:val="22"/>
          <w:szCs w:val="22"/>
          <w:lang w:eastAsia="en-AU"/>
        </w:rPr>
        <w:t xml:space="preserve"> of us</w:t>
      </w:r>
      <w:r>
        <w:rPr>
          <w:color w:val="2C2B2B"/>
          <w:sz w:val="22"/>
          <w:szCs w:val="22"/>
          <w:lang w:eastAsia="en-AU"/>
        </w:rPr>
        <w:t>e of</w:t>
      </w:r>
      <w:r w:rsidRPr="00644C78">
        <w:rPr>
          <w:color w:val="2C2B2B"/>
          <w:sz w:val="22"/>
          <w:szCs w:val="22"/>
          <w:lang w:eastAsia="en-AU"/>
        </w:rPr>
        <w:t xml:space="preserve"> the distribution of the mean and maximum population sizes.</w:t>
      </w:r>
      <w:bookmarkStart w:id="41" w:name="_Hlk102981315"/>
    </w:p>
    <w:p w14:paraId="3D131BF6" w14:textId="2EB5FFDA" w:rsidR="00491210" w:rsidRPr="00644C78" w:rsidRDefault="00EE200C" w:rsidP="00273264">
      <w:pPr>
        <w:spacing w:before="240" w:after="240"/>
        <w:jc w:val="both"/>
        <w:rPr>
          <w:rFonts w:ascii="Times New Roman" w:hAnsi="Times New Roman" w:cs="Times New Roman"/>
          <w:sz w:val="22"/>
          <w:szCs w:val="22"/>
          <w:lang w:eastAsia="en-AU"/>
        </w:rPr>
      </w:pPr>
      <w:r>
        <w:rPr>
          <w:color w:val="2C2B2B"/>
          <w:sz w:val="22"/>
          <w:szCs w:val="22"/>
          <w:lang w:eastAsia="en-AU"/>
        </w:rPr>
        <w:t>In this report, m</w:t>
      </w:r>
      <w:r w:rsidRPr="00644C78">
        <w:rPr>
          <w:color w:val="2C2B2B"/>
          <w:sz w:val="22"/>
          <w:szCs w:val="22"/>
          <w:lang w:eastAsia="en-AU"/>
        </w:rPr>
        <w:t xml:space="preserve">odelled outputs are summarised by presenting graphs of: the mean trajectories </w:t>
      </w:r>
      <w:r>
        <w:rPr>
          <w:color w:val="2C2B2B"/>
          <w:sz w:val="22"/>
          <w:szCs w:val="22"/>
          <w:lang w:eastAsia="en-AU"/>
        </w:rPr>
        <w:t>of the RRCP</w:t>
      </w:r>
      <w:r w:rsidRPr="00644C78">
        <w:rPr>
          <w:sz w:val="22"/>
          <w:szCs w:val="22"/>
        </w:rPr>
        <w:t xml:space="preserve"> </w:t>
      </w:r>
      <w:r w:rsidRPr="00644C78">
        <w:rPr>
          <w:color w:val="2C2B2B"/>
          <w:sz w:val="22"/>
          <w:szCs w:val="22"/>
          <w:lang w:eastAsia="en-AU"/>
        </w:rPr>
        <w:t xml:space="preserve">flow scenarios </w:t>
      </w:r>
      <w:r>
        <w:rPr>
          <w:color w:val="2C2B2B"/>
          <w:sz w:val="22"/>
          <w:szCs w:val="22"/>
          <w:lang w:eastAsia="en-AU"/>
        </w:rPr>
        <w:t>(</w:t>
      </w:r>
      <w:r w:rsidRPr="00644C78">
        <w:rPr>
          <w:color w:val="2C2B2B"/>
          <w:sz w:val="22"/>
          <w:szCs w:val="22"/>
          <w:lang w:eastAsia="en-AU"/>
        </w:rPr>
        <w:t xml:space="preserve">Base case </w:t>
      </w:r>
      <w:r>
        <w:rPr>
          <w:color w:val="2C2B2B"/>
          <w:sz w:val="22"/>
          <w:szCs w:val="22"/>
          <w:lang w:eastAsia="en-AU"/>
        </w:rPr>
        <w:t>and Options 1–4)</w:t>
      </w:r>
      <w:r w:rsidRPr="00644C78">
        <w:rPr>
          <w:color w:val="2C2B2B"/>
          <w:sz w:val="22"/>
          <w:szCs w:val="22"/>
          <w:lang w:eastAsia="en-AU"/>
        </w:rPr>
        <w:t xml:space="preserve"> (similar to </w:t>
      </w:r>
      <w:r w:rsidRPr="00644C78">
        <w:rPr>
          <w:color w:val="2C2B2B"/>
          <w:sz w:val="22"/>
          <w:szCs w:val="22"/>
          <w:lang w:eastAsia="en-AU"/>
        </w:rPr>
        <w:fldChar w:fldCharType="begin"/>
      </w:r>
      <w:r w:rsidRPr="00644C78">
        <w:rPr>
          <w:color w:val="2C2B2B"/>
          <w:sz w:val="22"/>
          <w:szCs w:val="22"/>
          <w:lang w:eastAsia="en-AU"/>
        </w:rPr>
        <w:instrText xml:space="preserve"> REF _Ref104150864 \h </w:instrText>
      </w:r>
      <w:r>
        <w:rPr>
          <w:color w:val="2C2B2B"/>
          <w:sz w:val="22"/>
          <w:szCs w:val="22"/>
          <w:lang w:eastAsia="en-AU"/>
        </w:rPr>
        <w:instrText xml:space="preserve"> \* MERGEFORMAT </w:instrText>
      </w:r>
      <w:r w:rsidRPr="00644C78">
        <w:rPr>
          <w:color w:val="2C2B2B"/>
          <w:sz w:val="22"/>
          <w:szCs w:val="22"/>
          <w:lang w:eastAsia="en-AU"/>
        </w:rPr>
      </w:r>
      <w:r w:rsidRPr="00644C78">
        <w:rPr>
          <w:color w:val="2C2B2B"/>
          <w:sz w:val="22"/>
          <w:szCs w:val="22"/>
          <w:lang w:eastAsia="en-AU"/>
        </w:rPr>
        <w:fldChar w:fldCharType="separate"/>
      </w:r>
      <w:r w:rsidR="005B672A" w:rsidRPr="005B672A">
        <w:rPr>
          <w:sz w:val="22"/>
          <w:szCs w:val="22"/>
        </w:rPr>
        <w:t xml:space="preserve">Figure </w:t>
      </w:r>
      <w:r w:rsidR="005B672A" w:rsidRPr="005B672A">
        <w:rPr>
          <w:noProof/>
          <w:sz w:val="22"/>
          <w:szCs w:val="22"/>
        </w:rPr>
        <w:t>4</w:t>
      </w:r>
      <w:r w:rsidRPr="00644C78">
        <w:rPr>
          <w:color w:val="2C2B2B"/>
          <w:sz w:val="22"/>
          <w:szCs w:val="22"/>
          <w:lang w:eastAsia="en-AU"/>
        </w:rPr>
        <w:fldChar w:fldCharType="end"/>
      </w:r>
      <w:r w:rsidRPr="00644C78">
        <w:rPr>
          <w:color w:val="2C2B2B"/>
          <w:sz w:val="22"/>
          <w:szCs w:val="22"/>
          <w:lang w:eastAsia="en-AU"/>
        </w:rPr>
        <w:t xml:space="preserve">); </w:t>
      </w:r>
      <w:r>
        <w:rPr>
          <w:color w:val="2C2B2B"/>
          <w:sz w:val="22"/>
          <w:szCs w:val="22"/>
          <w:lang w:eastAsia="en-AU"/>
        </w:rPr>
        <w:t>distributions of the mean of each trajectory of the RRCP</w:t>
      </w:r>
      <w:r w:rsidRPr="00644C78">
        <w:rPr>
          <w:sz w:val="22"/>
          <w:szCs w:val="22"/>
        </w:rPr>
        <w:t xml:space="preserve"> </w:t>
      </w:r>
      <w:r w:rsidRPr="00644C78">
        <w:rPr>
          <w:color w:val="2C2B2B"/>
          <w:sz w:val="22"/>
          <w:szCs w:val="22"/>
          <w:lang w:eastAsia="en-AU"/>
        </w:rPr>
        <w:t xml:space="preserve">flow scenarios </w:t>
      </w:r>
      <w:r>
        <w:rPr>
          <w:color w:val="2C2B2B"/>
          <w:sz w:val="22"/>
          <w:szCs w:val="22"/>
          <w:lang w:eastAsia="en-AU"/>
        </w:rPr>
        <w:t>(</w:t>
      </w:r>
      <w:r w:rsidRPr="00644C78">
        <w:rPr>
          <w:color w:val="2C2B2B"/>
          <w:sz w:val="22"/>
          <w:szCs w:val="22"/>
          <w:lang w:eastAsia="en-AU"/>
        </w:rPr>
        <w:t xml:space="preserve">Base case </w:t>
      </w:r>
      <w:r>
        <w:rPr>
          <w:color w:val="2C2B2B"/>
          <w:sz w:val="22"/>
          <w:szCs w:val="22"/>
          <w:lang w:eastAsia="en-AU"/>
        </w:rPr>
        <w:t>and</w:t>
      </w:r>
      <w:r w:rsidRPr="00644C78">
        <w:rPr>
          <w:color w:val="2C2B2B"/>
          <w:sz w:val="22"/>
          <w:szCs w:val="22"/>
          <w:lang w:eastAsia="en-AU"/>
        </w:rPr>
        <w:t xml:space="preserve"> Option</w:t>
      </w:r>
      <w:r>
        <w:rPr>
          <w:color w:val="2C2B2B"/>
          <w:sz w:val="22"/>
          <w:szCs w:val="22"/>
          <w:lang w:eastAsia="en-AU"/>
        </w:rPr>
        <w:t>s 1–</w:t>
      </w:r>
      <w:r w:rsidRPr="00644C78">
        <w:rPr>
          <w:color w:val="2C2B2B"/>
          <w:sz w:val="22"/>
          <w:szCs w:val="22"/>
          <w:lang w:eastAsia="en-AU"/>
        </w:rPr>
        <w:t>4</w:t>
      </w:r>
      <w:r>
        <w:rPr>
          <w:color w:val="2C2B2B"/>
          <w:sz w:val="22"/>
          <w:szCs w:val="22"/>
          <w:lang w:eastAsia="en-AU"/>
        </w:rPr>
        <w:t>)</w:t>
      </w:r>
      <w:r w:rsidRPr="00644C78">
        <w:rPr>
          <w:color w:val="2C2B2B"/>
          <w:sz w:val="22"/>
          <w:szCs w:val="22"/>
          <w:lang w:eastAsia="en-AU"/>
        </w:rPr>
        <w:t xml:space="preserve"> </w:t>
      </w:r>
      <w:r>
        <w:rPr>
          <w:color w:val="2C2B2B"/>
          <w:sz w:val="22"/>
          <w:szCs w:val="22"/>
          <w:lang w:eastAsia="en-AU"/>
        </w:rPr>
        <w:t>(</w:t>
      </w:r>
      <w:r w:rsidRPr="00644C78">
        <w:rPr>
          <w:color w:val="2C2B2B"/>
          <w:sz w:val="22"/>
          <w:szCs w:val="22"/>
          <w:lang w:eastAsia="en-AU"/>
        </w:rPr>
        <w:t>similar to</w:t>
      </w:r>
      <w:r>
        <w:rPr>
          <w:color w:val="2C2B2B"/>
          <w:sz w:val="22"/>
          <w:szCs w:val="22"/>
          <w:lang w:eastAsia="en-AU"/>
        </w:rPr>
        <w:t xml:space="preserve"> </w:t>
      </w:r>
      <w:r w:rsidRPr="00C96187">
        <w:rPr>
          <w:color w:val="2C2B2B"/>
          <w:sz w:val="22"/>
          <w:szCs w:val="22"/>
          <w:lang w:eastAsia="en-AU"/>
        </w:rPr>
        <w:fldChar w:fldCharType="begin"/>
      </w:r>
      <w:r w:rsidRPr="00C96187">
        <w:rPr>
          <w:color w:val="2C2B2B"/>
          <w:sz w:val="22"/>
          <w:szCs w:val="22"/>
          <w:lang w:eastAsia="en-AU"/>
        </w:rPr>
        <w:instrText xml:space="preserve"> REF _Ref104151036 \h </w:instrText>
      </w:r>
      <w:r>
        <w:rPr>
          <w:color w:val="2C2B2B"/>
          <w:sz w:val="22"/>
          <w:szCs w:val="22"/>
          <w:lang w:eastAsia="en-AU"/>
        </w:rPr>
        <w:instrText xml:space="preserve"> \* MERGEFORMAT </w:instrText>
      </w:r>
      <w:r w:rsidRPr="00C96187">
        <w:rPr>
          <w:color w:val="2C2B2B"/>
          <w:sz w:val="22"/>
          <w:szCs w:val="22"/>
          <w:lang w:eastAsia="en-AU"/>
        </w:rPr>
      </w:r>
      <w:r w:rsidRPr="00C96187">
        <w:rPr>
          <w:color w:val="2C2B2B"/>
          <w:sz w:val="22"/>
          <w:szCs w:val="22"/>
          <w:lang w:eastAsia="en-AU"/>
        </w:rPr>
        <w:fldChar w:fldCharType="separate"/>
      </w:r>
      <w:r w:rsidR="005B672A" w:rsidRPr="005B672A">
        <w:rPr>
          <w:sz w:val="22"/>
          <w:szCs w:val="22"/>
        </w:rPr>
        <w:t xml:space="preserve">Figure </w:t>
      </w:r>
      <w:r w:rsidR="005B672A" w:rsidRPr="005B672A">
        <w:rPr>
          <w:noProof/>
          <w:sz w:val="22"/>
          <w:szCs w:val="22"/>
        </w:rPr>
        <w:t>8</w:t>
      </w:r>
      <w:r w:rsidRPr="00C96187">
        <w:rPr>
          <w:color w:val="2C2B2B"/>
          <w:sz w:val="22"/>
          <w:szCs w:val="22"/>
          <w:lang w:eastAsia="en-AU"/>
        </w:rPr>
        <w:fldChar w:fldCharType="end"/>
      </w:r>
      <w:r>
        <w:rPr>
          <w:color w:val="2C2B2B"/>
          <w:sz w:val="22"/>
          <w:szCs w:val="22"/>
          <w:lang w:eastAsia="en-AU"/>
        </w:rPr>
        <w:t>); and</w:t>
      </w:r>
      <w:r w:rsidRPr="00644C78">
        <w:rPr>
          <w:color w:val="2C2B2B"/>
          <w:sz w:val="22"/>
          <w:szCs w:val="22"/>
          <w:lang w:eastAsia="en-AU"/>
        </w:rPr>
        <w:t xml:space="preserve"> bar charts of the expected mean population size</w:t>
      </w:r>
      <w:r>
        <w:rPr>
          <w:color w:val="2C2B2B"/>
          <w:sz w:val="22"/>
          <w:szCs w:val="22"/>
          <w:lang w:eastAsia="en-AU"/>
        </w:rPr>
        <w:t>,</w:t>
      </w:r>
      <w:r w:rsidRPr="00644C78">
        <w:rPr>
          <w:color w:val="2C2B2B"/>
          <w:sz w:val="22"/>
          <w:szCs w:val="22"/>
          <w:lang w:eastAsia="en-AU"/>
        </w:rPr>
        <w:t xml:space="preserve"> with percentage change from the Base case scenario, for the </w:t>
      </w:r>
      <w:r>
        <w:rPr>
          <w:color w:val="2C2B2B"/>
          <w:sz w:val="22"/>
          <w:szCs w:val="22"/>
          <w:lang w:eastAsia="en-AU"/>
        </w:rPr>
        <w:t>RRCP flow scenarios</w:t>
      </w:r>
      <w:r w:rsidRPr="00644C78">
        <w:rPr>
          <w:color w:val="2C2B2B"/>
          <w:sz w:val="22"/>
          <w:szCs w:val="22"/>
          <w:lang w:eastAsia="en-AU"/>
        </w:rPr>
        <w:t xml:space="preserve"> </w:t>
      </w:r>
      <w:r>
        <w:rPr>
          <w:color w:val="2C2B2B"/>
          <w:sz w:val="22"/>
          <w:szCs w:val="22"/>
          <w:lang w:eastAsia="en-AU"/>
        </w:rPr>
        <w:t>(</w:t>
      </w:r>
      <w:r w:rsidRPr="00644C78">
        <w:rPr>
          <w:color w:val="2C2B2B"/>
          <w:sz w:val="22"/>
          <w:szCs w:val="22"/>
          <w:lang w:eastAsia="en-AU"/>
        </w:rPr>
        <w:t>Option</w:t>
      </w:r>
      <w:r>
        <w:rPr>
          <w:color w:val="2C2B2B"/>
          <w:sz w:val="22"/>
          <w:szCs w:val="22"/>
          <w:lang w:eastAsia="en-AU"/>
        </w:rPr>
        <w:t>s 1–</w:t>
      </w:r>
      <w:r w:rsidRPr="00644C78">
        <w:rPr>
          <w:color w:val="2C2B2B"/>
          <w:sz w:val="22"/>
          <w:szCs w:val="22"/>
          <w:lang w:eastAsia="en-AU"/>
        </w:rPr>
        <w:t>4</w:t>
      </w:r>
      <w:r>
        <w:rPr>
          <w:color w:val="2C2B2B"/>
          <w:sz w:val="22"/>
          <w:szCs w:val="22"/>
          <w:lang w:eastAsia="en-AU"/>
        </w:rPr>
        <w:t>)</w:t>
      </w:r>
      <w:r w:rsidRPr="00644C78">
        <w:rPr>
          <w:color w:val="2C2B2B"/>
          <w:sz w:val="22"/>
          <w:szCs w:val="22"/>
          <w:lang w:eastAsia="en-AU"/>
        </w:rPr>
        <w:t xml:space="preserve"> (similar to </w:t>
      </w:r>
      <w:r w:rsidRPr="00644C78">
        <w:rPr>
          <w:color w:val="2C2B2B"/>
          <w:sz w:val="22"/>
          <w:szCs w:val="22"/>
          <w:lang w:eastAsia="en-AU"/>
        </w:rPr>
        <w:fldChar w:fldCharType="begin"/>
      </w:r>
      <w:r w:rsidRPr="00644C78">
        <w:rPr>
          <w:color w:val="2C2B2B"/>
          <w:sz w:val="22"/>
          <w:szCs w:val="22"/>
          <w:lang w:eastAsia="en-AU"/>
        </w:rPr>
        <w:instrText xml:space="preserve"> REF _Ref104151291 \h </w:instrText>
      </w:r>
      <w:r>
        <w:rPr>
          <w:color w:val="2C2B2B"/>
          <w:sz w:val="22"/>
          <w:szCs w:val="22"/>
          <w:lang w:eastAsia="en-AU"/>
        </w:rPr>
        <w:instrText xml:space="preserve"> \* MERGEFORMAT </w:instrText>
      </w:r>
      <w:r w:rsidRPr="00644C78">
        <w:rPr>
          <w:color w:val="2C2B2B"/>
          <w:sz w:val="22"/>
          <w:szCs w:val="22"/>
          <w:lang w:eastAsia="en-AU"/>
        </w:rPr>
      </w:r>
      <w:r w:rsidRPr="00644C78">
        <w:rPr>
          <w:color w:val="2C2B2B"/>
          <w:sz w:val="22"/>
          <w:szCs w:val="22"/>
          <w:lang w:eastAsia="en-AU"/>
        </w:rPr>
        <w:fldChar w:fldCharType="separate"/>
      </w:r>
      <w:r w:rsidR="005B672A" w:rsidRPr="005B672A">
        <w:rPr>
          <w:sz w:val="22"/>
          <w:szCs w:val="22"/>
        </w:rPr>
        <w:t xml:space="preserve">Figure </w:t>
      </w:r>
      <w:r w:rsidR="005B672A" w:rsidRPr="005B672A">
        <w:rPr>
          <w:noProof/>
          <w:sz w:val="22"/>
          <w:szCs w:val="22"/>
        </w:rPr>
        <w:t>9</w:t>
      </w:r>
      <w:r w:rsidRPr="00644C78">
        <w:rPr>
          <w:color w:val="2C2B2B"/>
          <w:sz w:val="22"/>
          <w:szCs w:val="22"/>
          <w:lang w:eastAsia="en-AU"/>
        </w:rPr>
        <w:fldChar w:fldCharType="end"/>
      </w:r>
      <w:r w:rsidRPr="00644C78">
        <w:rPr>
          <w:color w:val="2C2B2B"/>
          <w:sz w:val="22"/>
          <w:szCs w:val="22"/>
          <w:lang w:eastAsia="en-AU"/>
        </w:rPr>
        <w:t xml:space="preserve">). All other </w:t>
      </w:r>
      <w:r>
        <w:rPr>
          <w:color w:val="2C2B2B"/>
          <w:sz w:val="22"/>
          <w:szCs w:val="22"/>
          <w:lang w:eastAsia="en-AU"/>
        </w:rPr>
        <w:t xml:space="preserve">model </w:t>
      </w:r>
      <w:r w:rsidRPr="00644C78">
        <w:rPr>
          <w:color w:val="2C2B2B"/>
          <w:sz w:val="22"/>
          <w:szCs w:val="22"/>
          <w:lang w:eastAsia="en-AU"/>
        </w:rPr>
        <w:t>output</w:t>
      </w:r>
      <w:r>
        <w:rPr>
          <w:color w:val="2C2B2B"/>
          <w:sz w:val="22"/>
          <w:szCs w:val="22"/>
          <w:lang w:eastAsia="en-AU"/>
        </w:rPr>
        <w:t>s can</w:t>
      </w:r>
      <w:r w:rsidRPr="00644C78">
        <w:rPr>
          <w:color w:val="2C2B2B"/>
          <w:sz w:val="22"/>
          <w:szCs w:val="22"/>
          <w:lang w:eastAsia="en-AU"/>
        </w:rPr>
        <w:t xml:space="preserve"> be found in the </w:t>
      </w:r>
      <w:r>
        <w:rPr>
          <w:color w:val="2C2B2B"/>
          <w:sz w:val="22"/>
          <w:szCs w:val="22"/>
          <w:lang w:eastAsia="en-AU"/>
        </w:rPr>
        <w:t>A</w:t>
      </w:r>
      <w:r w:rsidRPr="00644C78">
        <w:rPr>
          <w:color w:val="2C2B2B"/>
          <w:sz w:val="22"/>
          <w:szCs w:val="22"/>
          <w:lang w:eastAsia="en-AU"/>
        </w:rPr>
        <w:t>ppendices.</w:t>
      </w:r>
    </w:p>
    <w:bookmarkEnd w:id="41"/>
    <w:p w14:paraId="6280894E" w14:textId="2C22D642" w:rsidR="00491210" w:rsidRDefault="003E1401" w:rsidP="0075764F">
      <w:pPr>
        <w:keepNext/>
        <w:spacing w:after="0"/>
        <w:jc w:val="both"/>
      </w:pPr>
      <w:r>
        <w:rPr>
          <w:noProof/>
          <w:lang w:eastAsia="en-AU"/>
        </w:rPr>
        <w:t xml:space="preserve"> </w:t>
      </w:r>
    </w:p>
    <w:p w14:paraId="76F4966B" w14:textId="4A378606" w:rsidR="00491210" w:rsidRPr="004F43AA" w:rsidRDefault="00EE200C" w:rsidP="00F602FE">
      <w:pPr>
        <w:pStyle w:val="Caption-Figure"/>
      </w:pPr>
      <w:bookmarkStart w:id="42" w:name="_Ref104150864"/>
      <w:bookmarkStart w:id="43" w:name="_Toc116994974"/>
      <w:r>
        <w:t xml:space="preserve">Figure </w:t>
      </w:r>
      <w:r>
        <w:fldChar w:fldCharType="begin"/>
      </w:r>
      <w:r>
        <w:instrText>SEQ Figure \* ARABIC</w:instrText>
      </w:r>
      <w:r>
        <w:fldChar w:fldCharType="separate"/>
      </w:r>
      <w:r w:rsidR="005B672A">
        <w:rPr>
          <w:noProof/>
        </w:rPr>
        <w:t>4</w:t>
      </w:r>
      <w:r>
        <w:fldChar w:fldCharType="end"/>
      </w:r>
      <w:bookmarkEnd w:id="42"/>
      <w:r>
        <w:t>.</w:t>
      </w:r>
      <w:r w:rsidRPr="358D0A8B">
        <w:t xml:space="preserve"> An example of </w:t>
      </w:r>
      <w:r>
        <w:t>the mean adult population trajectories for three hypothetical scenarios</w:t>
      </w:r>
      <w:r w:rsidRPr="00EA2CBF">
        <w:t xml:space="preserve">. </w:t>
      </w:r>
      <w:r w:rsidRPr="00AE0CE6">
        <w:t>The green line indicates the population outcome with optimised management, the blue line the population outcome with management addressing some threats, and the red line the poorest population outcome.</w:t>
      </w:r>
      <w:bookmarkEnd w:id="43"/>
    </w:p>
    <w:p w14:paraId="34D147BF" w14:textId="58C13608" w:rsidR="00491210" w:rsidRDefault="003E1401" w:rsidP="0075764F">
      <w:pPr>
        <w:keepNext/>
        <w:spacing w:after="0"/>
        <w:jc w:val="both"/>
      </w:pPr>
      <w:r>
        <w:rPr>
          <w:noProof/>
          <w:lang w:eastAsia="en-AU"/>
        </w:rPr>
        <w:t xml:space="preserve"> </w:t>
      </w:r>
    </w:p>
    <w:p w14:paraId="654D959C" w14:textId="1C0AD58A" w:rsidR="00491210" w:rsidRDefault="00EE200C" w:rsidP="00F602FE">
      <w:pPr>
        <w:pStyle w:val="Caption-Figure"/>
        <w:rPr>
          <w:b w:val="0"/>
        </w:rPr>
      </w:pPr>
      <w:bookmarkStart w:id="44" w:name="_Ref104150873"/>
      <w:bookmarkStart w:id="45" w:name="_Toc116994975"/>
      <w:r>
        <w:t xml:space="preserve">Figure </w:t>
      </w:r>
      <w:r>
        <w:fldChar w:fldCharType="begin"/>
      </w:r>
      <w:r>
        <w:instrText>SEQ Figure \* ARABIC</w:instrText>
      </w:r>
      <w:r>
        <w:fldChar w:fldCharType="separate"/>
      </w:r>
      <w:r w:rsidR="005B672A">
        <w:rPr>
          <w:noProof/>
        </w:rPr>
        <w:t>5</w:t>
      </w:r>
      <w:r>
        <w:fldChar w:fldCharType="end"/>
      </w:r>
      <w:bookmarkEnd w:id="44"/>
      <w:r>
        <w:t>.</w:t>
      </w:r>
      <w:bookmarkStart w:id="46" w:name="_Toc86343778"/>
      <w:r w:rsidRPr="358D0A8B">
        <w:t xml:space="preserve"> An example of </w:t>
      </w:r>
      <w:r>
        <w:t xml:space="preserve">the utility of comparing the distributions of the minimum population sizes for the three hypothetical scenarios in </w:t>
      </w:r>
      <w:r>
        <w:fldChar w:fldCharType="begin"/>
      </w:r>
      <w:r>
        <w:instrText xml:space="preserve"> REF _Ref104150864 \h </w:instrText>
      </w:r>
      <w:r>
        <w:fldChar w:fldCharType="separate"/>
      </w:r>
      <w:r w:rsidR="005B672A">
        <w:t xml:space="preserve">Figure </w:t>
      </w:r>
      <w:r w:rsidR="005B672A">
        <w:rPr>
          <w:noProof/>
        </w:rPr>
        <w:t>4</w:t>
      </w:r>
      <w:r>
        <w:fldChar w:fldCharType="end"/>
      </w:r>
      <w:r>
        <w:t>.</w:t>
      </w:r>
      <w:r w:rsidRPr="00E534DA">
        <w:t xml:space="preserve"> The green line indicates the population outcome with optimised management, the blue line the population outcome with management addressing some threats, and the red line the poorest population outcome. These distributions represent the likelihood of the population falling below an identified minimum threshold, with theoretical extinction occurring when this falls to zero.</w:t>
      </w:r>
      <w:bookmarkEnd w:id="45"/>
      <w:bookmarkEnd w:id="46"/>
    </w:p>
    <w:p w14:paraId="10163392" w14:textId="77777777" w:rsidR="00491210" w:rsidRPr="00E2785E" w:rsidRDefault="00491210" w:rsidP="00E534DA"/>
    <w:p w14:paraId="103DDBD6" w14:textId="260A1720" w:rsidR="00491210" w:rsidRDefault="003E1401" w:rsidP="0075764F">
      <w:pPr>
        <w:keepNext/>
        <w:spacing w:after="0"/>
        <w:jc w:val="both"/>
      </w:pPr>
      <w:r>
        <w:rPr>
          <w:noProof/>
          <w:lang w:eastAsia="en-AU"/>
        </w:rPr>
        <w:t xml:space="preserve"> </w:t>
      </w:r>
    </w:p>
    <w:p w14:paraId="49885EA4" w14:textId="18BF8B78" w:rsidR="00491210" w:rsidRDefault="00EE200C" w:rsidP="00F602FE">
      <w:pPr>
        <w:pStyle w:val="Caption-Figure"/>
      </w:pPr>
      <w:bookmarkStart w:id="47" w:name="_Ref104150986"/>
      <w:bookmarkStart w:id="48" w:name="_Toc116994976"/>
      <w:r>
        <w:t xml:space="preserve">Figure </w:t>
      </w:r>
      <w:r>
        <w:rPr>
          <w:b w:val="0"/>
          <w:bCs w:val="0"/>
        </w:rPr>
        <w:fldChar w:fldCharType="begin"/>
      </w:r>
      <w:r>
        <w:instrText>SEQ Figure \* ARABIC</w:instrText>
      </w:r>
      <w:r>
        <w:rPr>
          <w:b w:val="0"/>
          <w:bCs w:val="0"/>
        </w:rPr>
        <w:fldChar w:fldCharType="separate"/>
      </w:r>
      <w:r w:rsidR="005B672A">
        <w:rPr>
          <w:noProof/>
        </w:rPr>
        <w:t>6</w:t>
      </w:r>
      <w:r>
        <w:rPr>
          <w:b w:val="0"/>
          <w:bCs w:val="0"/>
        </w:rPr>
        <w:fldChar w:fldCharType="end"/>
      </w:r>
      <w:bookmarkEnd w:id="47"/>
      <w:r>
        <w:t>.</w:t>
      </w:r>
      <w:r w:rsidRPr="358D0A8B">
        <w:t xml:space="preserve"> </w:t>
      </w:r>
      <w:r w:rsidRPr="000045DD">
        <w:t xml:space="preserve">Indicative </w:t>
      </w:r>
      <w:r>
        <w:t>consequences when comparing the cumulative distributions of the minimum population sizes for the three hypothetical scenarios in Figure 4</w:t>
      </w:r>
      <w:r w:rsidRPr="358D0A8B">
        <w:t>.</w:t>
      </w:r>
      <w:bookmarkEnd w:id="48"/>
      <w:r w:rsidRPr="00EA2CBF">
        <w:rPr>
          <w:b w:val="0"/>
        </w:rPr>
        <w:t xml:space="preserve"> </w:t>
      </w:r>
    </w:p>
    <w:p w14:paraId="77A64066" w14:textId="07B07522" w:rsidR="00491210" w:rsidRDefault="003E1401" w:rsidP="0075764F">
      <w:pPr>
        <w:keepNext/>
        <w:spacing w:after="0"/>
        <w:jc w:val="both"/>
      </w:pPr>
      <w:r>
        <w:rPr>
          <w:noProof/>
          <w:lang w:eastAsia="en-AU"/>
        </w:rPr>
        <w:t xml:space="preserve"> </w:t>
      </w:r>
    </w:p>
    <w:p w14:paraId="29BD562C" w14:textId="129476DA" w:rsidR="00491210" w:rsidRPr="00EA2CBF" w:rsidRDefault="00EE200C" w:rsidP="00F602FE">
      <w:pPr>
        <w:pStyle w:val="Caption-Figure"/>
      </w:pPr>
      <w:bookmarkStart w:id="49" w:name="_Ref104151027"/>
      <w:bookmarkStart w:id="50" w:name="_Toc116994977"/>
      <w:r>
        <w:t xml:space="preserve">Figure </w:t>
      </w:r>
      <w:r>
        <w:rPr>
          <w:b w:val="0"/>
          <w:bCs w:val="0"/>
        </w:rPr>
        <w:fldChar w:fldCharType="begin"/>
      </w:r>
      <w:r>
        <w:instrText>SEQ Figure \* ARABIC</w:instrText>
      </w:r>
      <w:r>
        <w:rPr>
          <w:b w:val="0"/>
          <w:bCs w:val="0"/>
        </w:rPr>
        <w:fldChar w:fldCharType="separate"/>
      </w:r>
      <w:r w:rsidR="005B672A">
        <w:rPr>
          <w:noProof/>
        </w:rPr>
        <w:t>7</w:t>
      </w:r>
      <w:r>
        <w:rPr>
          <w:b w:val="0"/>
          <w:bCs w:val="0"/>
        </w:rPr>
        <w:fldChar w:fldCharType="end"/>
      </w:r>
      <w:bookmarkEnd w:id="49"/>
      <w:r w:rsidRPr="005F5532">
        <w:t>.</w:t>
      </w:r>
      <w:bookmarkStart w:id="51" w:name="_Toc86343779"/>
      <w:r w:rsidRPr="005F5532">
        <w:t xml:space="preserve"> </w:t>
      </w:r>
      <w:bookmarkEnd w:id="51"/>
      <w:r w:rsidRPr="005F5532">
        <w:t>Bar chart of the expected minimum population size (+1 sd)</w:t>
      </w:r>
      <w:r>
        <w:t xml:space="preserve"> for the three hypothetical scenarios in Figure 4,</w:t>
      </w:r>
      <w:r w:rsidRPr="005F5532">
        <w:t xml:space="preserve"> where the percentage difference is always in reference to the </w:t>
      </w:r>
      <w:r>
        <w:t xml:space="preserve">comparator (red) </w:t>
      </w:r>
      <w:r w:rsidRPr="005F5532">
        <w:t>on the left</w:t>
      </w:r>
      <w:r>
        <w:t>;</w:t>
      </w:r>
      <w:r w:rsidRPr="005F5532">
        <w:t xml:space="preserve"> for model outputs this will be in comparison </w:t>
      </w:r>
      <w:r>
        <w:t>with</w:t>
      </w:r>
      <w:r w:rsidRPr="005F5532">
        <w:t xml:space="preserve"> the Base case scenario</w:t>
      </w:r>
      <w:r w:rsidRPr="00EA2CBF">
        <w:t xml:space="preserve">. </w:t>
      </w:r>
      <w:r>
        <w:t>The g</w:t>
      </w:r>
      <w:r w:rsidRPr="00EF02F1">
        <w:t xml:space="preserve">reen </w:t>
      </w:r>
      <w:r>
        <w:t xml:space="preserve">bar </w:t>
      </w:r>
      <w:r w:rsidRPr="00EF02F1">
        <w:t xml:space="preserve">indicates the population outcome with optimised management, </w:t>
      </w:r>
      <w:r>
        <w:t xml:space="preserve">the </w:t>
      </w:r>
      <w:r w:rsidRPr="00EF02F1">
        <w:t>blue</w:t>
      </w:r>
      <w:r>
        <w:t xml:space="preserve"> bar indicates</w:t>
      </w:r>
      <w:r w:rsidRPr="00EF02F1">
        <w:t xml:space="preserve"> the population outcome with management addressing some threats</w:t>
      </w:r>
      <w:r>
        <w:t>, and the red bar indicates the comparator or Base case scenario</w:t>
      </w:r>
      <w:r w:rsidRPr="00EF02F1">
        <w:t>.</w:t>
      </w:r>
      <w:bookmarkEnd w:id="50"/>
    </w:p>
    <w:p w14:paraId="0FA391FF" w14:textId="77777777" w:rsidR="00491210" w:rsidRDefault="00491210" w:rsidP="00F602FE">
      <w:pPr>
        <w:pStyle w:val="Caption-Figure"/>
        <w:rPr>
          <w:color w:val="00B2A8"/>
        </w:rPr>
      </w:pPr>
    </w:p>
    <w:p w14:paraId="5BD177D8" w14:textId="2E92BF9F" w:rsidR="00491210" w:rsidRDefault="003E1401" w:rsidP="0075764F">
      <w:pPr>
        <w:keepNext/>
      </w:pPr>
      <w:r>
        <w:rPr>
          <w:noProof/>
          <w:lang w:eastAsia="en-AU"/>
        </w:rPr>
        <w:t xml:space="preserve"> </w:t>
      </w:r>
    </w:p>
    <w:p w14:paraId="1124A401" w14:textId="0EF6065B" w:rsidR="00491210" w:rsidRPr="00EA2CBF" w:rsidRDefault="00EE200C" w:rsidP="00F602FE">
      <w:pPr>
        <w:pStyle w:val="Caption-Figure"/>
      </w:pPr>
      <w:bookmarkStart w:id="52" w:name="_Ref104151036"/>
      <w:bookmarkStart w:id="53" w:name="_Toc116994978"/>
      <w:r>
        <w:t xml:space="preserve">Figure </w:t>
      </w:r>
      <w:r>
        <w:rPr>
          <w:b w:val="0"/>
          <w:bCs w:val="0"/>
        </w:rPr>
        <w:fldChar w:fldCharType="begin"/>
      </w:r>
      <w:r>
        <w:instrText>SEQ Figure \* ARABIC</w:instrText>
      </w:r>
      <w:r>
        <w:rPr>
          <w:b w:val="0"/>
          <w:bCs w:val="0"/>
        </w:rPr>
        <w:fldChar w:fldCharType="separate"/>
      </w:r>
      <w:r w:rsidR="005B672A">
        <w:rPr>
          <w:noProof/>
        </w:rPr>
        <w:t>8</w:t>
      </w:r>
      <w:r>
        <w:rPr>
          <w:b w:val="0"/>
          <w:bCs w:val="0"/>
        </w:rPr>
        <w:fldChar w:fldCharType="end"/>
      </w:r>
      <w:bookmarkEnd w:id="52"/>
      <w:r>
        <w:t>.</w:t>
      </w:r>
      <w:r w:rsidRPr="358D0A8B">
        <w:t xml:space="preserve"> </w:t>
      </w:r>
      <w:r w:rsidRPr="000045DD">
        <w:t xml:space="preserve">Indicative </w:t>
      </w:r>
      <w:r>
        <w:t>consequences when comparing the distributions of the mean population sizes for the three hypothetical scenarios in Figure 4</w:t>
      </w:r>
      <w:r w:rsidRPr="00EA2CBF">
        <w:t>.</w:t>
      </w:r>
      <w:bookmarkEnd w:id="53"/>
      <w:r w:rsidRPr="00EA2CBF">
        <w:t xml:space="preserve"> </w:t>
      </w:r>
    </w:p>
    <w:p w14:paraId="6C52CE8B" w14:textId="50D30777" w:rsidR="00491210" w:rsidRDefault="003E1401" w:rsidP="0075764F">
      <w:pPr>
        <w:keepNext/>
      </w:pPr>
      <w:r>
        <w:rPr>
          <w:noProof/>
          <w:lang w:eastAsia="en-AU"/>
        </w:rPr>
        <w:t xml:space="preserve"> </w:t>
      </w:r>
    </w:p>
    <w:p w14:paraId="007259C9" w14:textId="24D60A3C" w:rsidR="00491210" w:rsidRPr="00EA2CBF" w:rsidRDefault="00EE200C" w:rsidP="00F602FE">
      <w:pPr>
        <w:pStyle w:val="Caption-Figure"/>
      </w:pPr>
      <w:bookmarkStart w:id="54" w:name="_Ref104151291"/>
      <w:bookmarkStart w:id="55" w:name="_Toc116994979"/>
      <w:r>
        <w:t xml:space="preserve">Figure </w:t>
      </w:r>
      <w:r>
        <w:rPr>
          <w:b w:val="0"/>
          <w:bCs w:val="0"/>
        </w:rPr>
        <w:fldChar w:fldCharType="begin"/>
      </w:r>
      <w:r>
        <w:instrText>SEQ Figure \* ARABIC</w:instrText>
      </w:r>
      <w:r>
        <w:rPr>
          <w:b w:val="0"/>
          <w:bCs w:val="0"/>
        </w:rPr>
        <w:fldChar w:fldCharType="separate"/>
      </w:r>
      <w:r w:rsidR="005B672A">
        <w:rPr>
          <w:noProof/>
        </w:rPr>
        <w:t>9</w:t>
      </w:r>
      <w:r>
        <w:rPr>
          <w:b w:val="0"/>
          <w:bCs w:val="0"/>
        </w:rPr>
        <w:fldChar w:fldCharType="end"/>
      </w:r>
      <w:bookmarkEnd w:id="54"/>
      <w:r w:rsidRPr="004B52D5">
        <w:t>. Bar chart of the expected mean population size (+1 sd)</w:t>
      </w:r>
      <w:r>
        <w:t xml:space="preserve"> for the three hypothetical scenarios in Figure 4,</w:t>
      </w:r>
      <w:r w:rsidRPr="004B52D5">
        <w:t xml:space="preserve"> where the percentage difference is always in </w:t>
      </w:r>
      <w:r w:rsidRPr="005F5532">
        <w:t xml:space="preserve">reference to the </w:t>
      </w:r>
      <w:r>
        <w:t xml:space="preserve">comparator (red) </w:t>
      </w:r>
      <w:r w:rsidRPr="005F5532">
        <w:t>on the left</w:t>
      </w:r>
      <w:r>
        <w:t>;</w:t>
      </w:r>
      <w:r w:rsidRPr="005F5532">
        <w:t xml:space="preserve"> for model outputs this will be in comparison </w:t>
      </w:r>
      <w:r>
        <w:t>with</w:t>
      </w:r>
      <w:r w:rsidRPr="005F5532">
        <w:t xml:space="preserve"> the Base case scenario</w:t>
      </w:r>
      <w:r w:rsidRPr="00EA2CBF">
        <w:t xml:space="preserve">. </w:t>
      </w:r>
      <w:r>
        <w:t>The g</w:t>
      </w:r>
      <w:r w:rsidRPr="00EF02F1">
        <w:t xml:space="preserve">reen </w:t>
      </w:r>
      <w:r>
        <w:t xml:space="preserve">bar </w:t>
      </w:r>
      <w:r w:rsidRPr="00EF02F1">
        <w:t xml:space="preserve">indicates the population outcome with optimised management, </w:t>
      </w:r>
      <w:r>
        <w:t xml:space="preserve">the </w:t>
      </w:r>
      <w:r w:rsidRPr="00EF02F1">
        <w:t>blue</w:t>
      </w:r>
      <w:r>
        <w:t xml:space="preserve"> bar indicates</w:t>
      </w:r>
      <w:r w:rsidRPr="00EF02F1">
        <w:t xml:space="preserve"> the population outcome with management addressing some threats</w:t>
      </w:r>
      <w:r>
        <w:t>, and the red bar indicates the comparator or Base case scenario</w:t>
      </w:r>
      <w:r w:rsidRPr="00EF02F1">
        <w:t>.</w:t>
      </w:r>
      <w:bookmarkEnd w:id="55"/>
    </w:p>
    <w:p w14:paraId="45B46EF7" w14:textId="77777777" w:rsidR="00491210" w:rsidRDefault="00491210" w:rsidP="00F602FE">
      <w:pPr>
        <w:pStyle w:val="Caption-Figure"/>
        <w:rPr>
          <w:color w:val="00B2A8"/>
        </w:rPr>
      </w:pPr>
    </w:p>
    <w:p w14:paraId="5313B9C6" w14:textId="7CF6A29F" w:rsidR="00491210" w:rsidRDefault="003E1401" w:rsidP="0075764F">
      <w:pPr>
        <w:keepNext/>
        <w:spacing w:after="0"/>
        <w:jc w:val="both"/>
      </w:pPr>
      <w:r>
        <w:rPr>
          <w:noProof/>
          <w:lang w:eastAsia="en-AU"/>
        </w:rPr>
        <w:t xml:space="preserve"> </w:t>
      </w:r>
    </w:p>
    <w:p w14:paraId="3611C0D7" w14:textId="7A66BE8B" w:rsidR="00491210" w:rsidRPr="00EA2CBF" w:rsidRDefault="00EE200C" w:rsidP="00F602FE">
      <w:pPr>
        <w:pStyle w:val="Caption-Figure"/>
      </w:pPr>
      <w:bookmarkStart w:id="56" w:name="_Toc116994980"/>
      <w:r>
        <w:t xml:space="preserve">Figure </w:t>
      </w:r>
      <w:r>
        <w:rPr>
          <w:b w:val="0"/>
          <w:bCs w:val="0"/>
        </w:rPr>
        <w:fldChar w:fldCharType="begin"/>
      </w:r>
      <w:r>
        <w:instrText>SEQ Figure \* ARABIC</w:instrText>
      </w:r>
      <w:r>
        <w:rPr>
          <w:b w:val="0"/>
          <w:bCs w:val="0"/>
        </w:rPr>
        <w:fldChar w:fldCharType="separate"/>
      </w:r>
      <w:r w:rsidR="005B672A">
        <w:rPr>
          <w:noProof/>
        </w:rPr>
        <w:t>10</w:t>
      </w:r>
      <w:r>
        <w:rPr>
          <w:b w:val="0"/>
          <w:bCs w:val="0"/>
        </w:rPr>
        <w:fldChar w:fldCharType="end"/>
      </w:r>
      <w:r>
        <w:t>. Indicative consequences when comparing the cumulative distributions of the maximum population sizes for the three hypothetical scenarios in Figure 4</w:t>
      </w:r>
      <w:r w:rsidRPr="00EA2CBF">
        <w:t>.</w:t>
      </w:r>
      <w:bookmarkEnd w:id="56"/>
      <w:r w:rsidRPr="00EA2CBF">
        <w:t xml:space="preserve"> </w:t>
      </w:r>
    </w:p>
    <w:p w14:paraId="79090B44" w14:textId="01DE5A91" w:rsidR="00491210" w:rsidRDefault="003E1401" w:rsidP="0075764F">
      <w:pPr>
        <w:keepNext/>
        <w:spacing w:after="0"/>
        <w:jc w:val="both"/>
      </w:pPr>
      <w:r>
        <w:rPr>
          <w:noProof/>
          <w:lang w:eastAsia="en-AU"/>
        </w:rPr>
        <w:lastRenderedPageBreak/>
        <w:t xml:space="preserve"> </w:t>
      </w:r>
    </w:p>
    <w:p w14:paraId="01351909" w14:textId="7B374C70" w:rsidR="00491210" w:rsidRPr="00633448" w:rsidRDefault="00EE200C" w:rsidP="008E29E3">
      <w:pPr>
        <w:pStyle w:val="PopModbodytext"/>
        <w:rPr>
          <w:b/>
          <w:bCs/>
          <w:color w:val="00B2A9" w:themeColor="accent1"/>
          <w:sz w:val="20"/>
          <w:szCs w:val="20"/>
        </w:rPr>
      </w:pPr>
      <w:bookmarkStart w:id="57" w:name="_Ref104151049"/>
      <w:r w:rsidRPr="00633448">
        <w:rPr>
          <w:b/>
          <w:bCs/>
          <w:color w:val="00B2A9" w:themeColor="accent1"/>
          <w:sz w:val="20"/>
          <w:szCs w:val="20"/>
        </w:rPr>
        <w:t xml:space="preserve">Figure </w:t>
      </w:r>
      <w:r w:rsidRPr="00633448">
        <w:rPr>
          <w:b/>
          <w:bCs/>
          <w:color w:val="00B2A9" w:themeColor="accent1"/>
          <w:sz w:val="20"/>
          <w:szCs w:val="20"/>
        </w:rPr>
        <w:fldChar w:fldCharType="begin"/>
      </w:r>
      <w:r w:rsidRPr="00633448">
        <w:rPr>
          <w:b/>
          <w:bCs/>
          <w:color w:val="00B2A9" w:themeColor="accent1"/>
          <w:sz w:val="20"/>
          <w:szCs w:val="20"/>
        </w:rPr>
        <w:instrText>SEQ Figure \* ARABIC</w:instrText>
      </w:r>
      <w:r w:rsidRPr="00633448">
        <w:rPr>
          <w:b/>
          <w:bCs/>
          <w:color w:val="00B2A9" w:themeColor="accent1"/>
          <w:sz w:val="20"/>
          <w:szCs w:val="20"/>
        </w:rPr>
        <w:fldChar w:fldCharType="separate"/>
      </w:r>
      <w:r w:rsidR="005B672A">
        <w:rPr>
          <w:b/>
          <w:bCs/>
          <w:noProof/>
          <w:color w:val="00B2A9" w:themeColor="accent1"/>
          <w:sz w:val="20"/>
          <w:szCs w:val="20"/>
        </w:rPr>
        <w:t>11</w:t>
      </w:r>
      <w:r w:rsidRPr="00633448">
        <w:rPr>
          <w:b/>
          <w:bCs/>
          <w:color w:val="00B2A9" w:themeColor="accent1"/>
          <w:sz w:val="20"/>
          <w:szCs w:val="20"/>
        </w:rPr>
        <w:fldChar w:fldCharType="end"/>
      </w:r>
      <w:bookmarkEnd w:id="57"/>
      <w:r w:rsidRPr="00633448">
        <w:rPr>
          <w:b/>
          <w:bCs/>
          <w:color w:val="00B2A9" w:themeColor="accent1"/>
          <w:sz w:val="20"/>
          <w:szCs w:val="20"/>
        </w:rPr>
        <w:t>. Bar chart of the expected maximum population size (+1 sd) for three hypothetical scenarios in Figure 4, where the percentage difference is in reference to the comparator (red) on the left; for model outputs this will be in comparison with the Base case scenario. The green bar indicates the population outcome with optimised management, the blue bar indicates the population outcome with management addressing some threats, and the red bar indicates the comparator or Base case scenario.</w:t>
      </w:r>
    </w:p>
    <w:p w14:paraId="54E48CD9" w14:textId="61379F06" w:rsidR="00491210" w:rsidRPr="007C54A1" w:rsidRDefault="00EE200C" w:rsidP="00753F5C">
      <w:pPr>
        <w:pStyle w:val="Heading2-Numbered"/>
      </w:pPr>
      <w:bookmarkStart w:id="58" w:name="_Toc116994879"/>
      <w:r>
        <w:t>Validation</w:t>
      </w:r>
      <w:bookmarkEnd w:id="58"/>
    </w:p>
    <w:bookmarkEnd w:id="13"/>
    <w:p w14:paraId="76310BD6" w14:textId="02AC83C7" w:rsidR="00491210" w:rsidRDefault="00EE200C" w:rsidP="002751B2">
      <w:pPr>
        <w:spacing w:before="240" w:after="240"/>
        <w:jc w:val="both"/>
        <w:rPr>
          <w:color w:val="2C2B2B"/>
          <w:sz w:val="22"/>
          <w:szCs w:val="22"/>
          <w:lang w:eastAsia="en-AU"/>
        </w:rPr>
      </w:pPr>
      <w:r w:rsidRPr="002751B2">
        <w:rPr>
          <w:color w:val="2C2B2B"/>
          <w:sz w:val="22"/>
          <w:szCs w:val="22"/>
          <w:lang w:eastAsia="en-AU"/>
        </w:rPr>
        <w:t xml:space="preserve">While current knowledge and theories are </w:t>
      </w:r>
      <w:r>
        <w:rPr>
          <w:color w:val="2C2B2B"/>
          <w:sz w:val="22"/>
          <w:szCs w:val="22"/>
          <w:lang w:eastAsia="en-AU"/>
        </w:rPr>
        <w:t xml:space="preserve">frequently </w:t>
      </w:r>
      <w:r w:rsidRPr="002751B2">
        <w:rPr>
          <w:color w:val="2C2B2B"/>
          <w:sz w:val="22"/>
          <w:szCs w:val="22"/>
          <w:lang w:eastAsia="en-AU"/>
        </w:rPr>
        <w:t>embedded in models, no model will perfectly reflect reality (McCarthy et al. 2001</w:t>
      </w:r>
      <w:r>
        <w:rPr>
          <w:color w:val="2C2B2B"/>
          <w:sz w:val="22"/>
          <w:szCs w:val="22"/>
          <w:lang w:eastAsia="en-AU"/>
        </w:rPr>
        <w:t xml:space="preserve">; </w:t>
      </w:r>
      <w:r w:rsidRPr="002751B2">
        <w:rPr>
          <w:color w:val="2C2B2B"/>
          <w:sz w:val="22"/>
          <w:szCs w:val="22"/>
          <w:lang w:eastAsia="en-AU"/>
        </w:rPr>
        <w:t>Deitz</w:t>
      </w:r>
      <w:r>
        <w:rPr>
          <w:color w:val="2C2B2B"/>
          <w:sz w:val="22"/>
          <w:szCs w:val="22"/>
          <w:lang w:eastAsia="en-AU"/>
        </w:rPr>
        <w:t>e</w:t>
      </w:r>
      <w:r w:rsidRPr="002751B2">
        <w:rPr>
          <w:color w:val="2C2B2B"/>
          <w:sz w:val="22"/>
          <w:szCs w:val="22"/>
          <w:lang w:eastAsia="en-AU"/>
        </w:rPr>
        <w:t xml:space="preserve"> et al. 2018). </w:t>
      </w:r>
      <w:r>
        <w:rPr>
          <w:color w:val="2C2B2B"/>
          <w:sz w:val="22"/>
          <w:szCs w:val="22"/>
          <w:lang w:eastAsia="en-AU"/>
        </w:rPr>
        <w:t>The</w:t>
      </w:r>
      <w:r w:rsidRPr="002751B2">
        <w:rPr>
          <w:color w:val="2C2B2B"/>
          <w:sz w:val="22"/>
          <w:szCs w:val="22"/>
          <w:lang w:eastAsia="en-AU"/>
        </w:rPr>
        <w:t xml:space="preserve"> challenge is</w:t>
      </w:r>
      <w:r>
        <w:rPr>
          <w:color w:val="2C2B2B"/>
          <w:sz w:val="22"/>
          <w:szCs w:val="22"/>
          <w:lang w:eastAsia="en-AU"/>
        </w:rPr>
        <w:t>,</w:t>
      </w:r>
      <w:r w:rsidRPr="002751B2">
        <w:rPr>
          <w:color w:val="2C2B2B"/>
          <w:sz w:val="22"/>
          <w:szCs w:val="22"/>
          <w:lang w:eastAsia="en-AU"/>
        </w:rPr>
        <w:t xml:space="preserve"> therefore</w:t>
      </w:r>
      <w:r>
        <w:rPr>
          <w:color w:val="2C2B2B"/>
          <w:sz w:val="22"/>
          <w:szCs w:val="22"/>
          <w:lang w:eastAsia="en-AU"/>
        </w:rPr>
        <w:t>,</w:t>
      </w:r>
      <w:r w:rsidRPr="002751B2">
        <w:rPr>
          <w:color w:val="2C2B2B"/>
          <w:sz w:val="22"/>
          <w:szCs w:val="22"/>
          <w:lang w:eastAsia="en-AU"/>
        </w:rPr>
        <w:t xml:space="preserve"> to show that a model is sufficiently realistic to meet its intended purpose(s) (Rykiel 1996) and can be confidently used as part of a decision</w:t>
      </w:r>
      <w:r>
        <w:rPr>
          <w:color w:val="2C2B2B"/>
          <w:sz w:val="22"/>
          <w:szCs w:val="22"/>
          <w:lang w:eastAsia="en-AU"/>
        </w:rPr>
        <w:t>-</w:t>
      </w:r>
      <w:r w:rsidRPr="002751B2">
        <w:rPr>
          <w:color w:val="2C2B2B"/>
          <w:sz w:val="22"/>
          <w:szCs w:val="22"/>
          <w:lang w:eastAsia="en-AU"/>
        </w:rPr>
        <w:t>making process</w:t>
      </w:r>
      <w:r>
        <w:rPr>
          <w:color w:val="2C2B2B"/>
          <w:sz w:val="22"/>
          <w:szCs w:val="22"/>
          <w:lang w:eastAsia="en-AU"/>
        </w:rPr>
        <w:t xml:space="preserve"> that will achieve the desired conservation outcomes</w:t>
      </w:r>
      <w:r w:rsidRPr="002751B2">
        <w:rPr>
          <w:color w:val="2C2B2B"/>
          <w:sz w:val="22"/>
          <w:szCs w:val="22"/>
          <w:lang w:eastAsia="en-AU"/>
        </w:rPr>
        <w:t xml:space="preserve">. Without </w:t>
      </w:r>
      <w:r>
        <w:rPr>
          <w:color w:val="2C2B2B"/>
          <w:sz w:val="22"/>
          <w:szCs w:val="22"/>
          <w:lang w:eastAsia="en-AU"/>
        </w:rPr>
        <w:t>addressing this challenge</w:t>
      </w:r>
      <w:r w:rsidRPr="002751B2">
        <w:rPr>
          <w:color w:val="2C2B2B"/>
          <w:sz w:val="22"/>
          <w:szCs w:val="22"/>
          <w:lang w:eastAsia="en-AU"/>
        </w:rPr>
        <w:t>, there is a risk of the model being used to inform erroneous decisions (Augusiak et al. 2013), which could have detrimental, costly</w:t>
      </w:r>
      <w:r>
        <w:rPr>
          <w:color w:val="2C2B2B"/>
          <w:sz w:val="22"/>
          <w:szCs w:val="22"/>
          <w:lang w:eastAsia="en-AU"/>
        </w:rPr>
        <w:t>,</w:t>
      </w:r>
      <w:r w:rsidRPr="002751B2">
        <w:rPr>
          <w:color w:val="2C2B2B"/>
          <w:sz w:val="22"/>
          <w:szCs w:val="22"/>
          <w:lang w:eastAsia="en-AU"/>
        </w:rPr>
        <w:t xml:space="preserve"> or irreversible consequences (Getz et al. 2018). Therefore, it is important to validate models </w:t>
      </w:r>
      <w:r>
        <w:rPr>
          <w:color w:val="2C2B2B"/>
          <w:sz w:val="22"/>
          <w:szCs w:val="22"/>
          <w:lang w:eastAsia="en-AU"/>
        </w:rPr>
        <w:t xml:space="preserve">in order </w:t>
      </w:r>
      <w:r w:rsidRPr="002751B2">
        <w:rPr>
          <w:color w:val="2C2B2B"/>
          <w:sz w:val="22"/>
          <w:szCs w:val="22"/>
          <w:lang w:eastAsia="en-AU"/>
        </w:rPr>
        <w:t>to determine the accuracy</w:t>
      </w:r>
      <w:r>
        <w:rPr>
          <w:color w:val="2C2B2B"/>
          <w:sz w:val="22"/>
          <w:szCs w:val="22"/>
          <w:lang w:eastAsia="en-AU"/>
        </w:rPr>
        <w:t xml:space="preserve"> of predicted outcomes</w:t>
      </w:r>
      <w:r w:rsidRPr="002751B2">
        <w:rPr>
          <w:color w:val="2C2B2B"/>
          <w:sz w:val="22"/>
          <w:szCs w:val="22"/>
          <w:lang w:eastAsia="en-AU"/>
        </w:rPr>
        <w:t>, and their ability to capture functional relationships and emergent phenomena (McCarthy et al. 2001; Deitze et al. 2018). While validati</w:t>
      </w:r>
      <w:r>
        <w:rPr>
          <w:color w:val="2C2B2B"/>
          <w:sz w:val="22"/>
          <w:szCs w:val="22"/>
          <w:lang w:eastAsia="en-AU"/>
        </w:rPr>
        <w:t>on of</w:t>
      </w:r>
      <w:r w:rsidRPr="002751B2">
        <w:rPr>
          <w:color w:val="2C2B2B"/>
          <w:sz w:val="22"/>
          <w:szCs w:val="22"/>
          <w:lang w:eastAsia="en-AU"/>
        </w:rPr>
        <w:t xml:space="preserve"> the main predictions of </w:t>
      </w:r>
      <w:r>
        <w:rPr>
          <w:color w:val="2C2B2B"/>
          <w:sz w:val="22"/>
          <w:szCs w:val="22"/>
          <w:lang w:eastAsia="en-AU"/>
        </w:rPr>
        <w:t>a</w:t>
      </w:r>
      <w:r w:rsidRPr="002751B2">
        <w:rPr>
          <w:color w:val="2C2B2B"/>
          <w:sz w:val="22"/>
          <w:szCs w:val="22"/>
          <w:lang w:eastAsia="en-AU"/>
        </w:rPr>
        <w:t xml:space="preserve"> model is important, ideally the assumptions made </w:t>
      </w:r>
      <w:r>
        <w:rPr>
          <w:color w:val="2C2B2B"/>
          <w:sz w:val="22"/>
          <w:szCs w:val="22"/>
          <w:lang w:eastAsia="en-AU"/>
        </w:rPr>
        <w:t>(</w:t>
      </w:r>
      <w:r w:rsidRPr="002751B2">
        <w:rPr>
          <w:color w:val="2C2B2B"/>
          <w:sz w:val="22"/>
          <w:szCs w:val="22"/>
          <w:lang w:eastAsia="en-AU"/>
        </w:rPr>
        <w:t>in terms of model structure and conceptual knowledge</w:t>
      </w:r>
      <w:r>
        <w:rPr>
          <w:color w:val="2C2B2B"/>
          <w:sz w:val="22"/>
          <w:szCs w:val="22"/>
          <w:lang w:eastAsia="en-AU"/>
        </w:rPr>
        <w:t>)</w:t>
      </w:r>
      <w:r w:rsidRPr="002751B2">
        <w:rPr>
          <w:color w:val="2C2B2B"/>
          <w:sz w:val="22"/>
          <w:szCs w:val="22"/>
          <w:lang w:eastAsia="en-AU"/>
        </w:rPr>
        <w:t xml:space="preserve"> and the secondary predictions (</w:t>
      </w:r>
      <w:r>
        <w:rPr>
          <w:color w:val="2C2B2B"/>
          <w:sz w:val="22"/>
          <w:szCs w:val="22"/>
          <w:lang w:eastAsia="en-AU"/>
        </w:rPr>
        <w:t>i.e</w:t>
      </w:r>
      <w:r w:rsidRPr="002751B2">
        <w:rPr>
          <w:color w:val="2C2B2B"/>
          <w:sz w:val="22"/>
          <w:szCs w:val="22"/>
          <w:lang w:eastAsia="en-AU"/>
        </w:rPr>
        <w:t>. outputs that are not standard or used to make management decisions</w:t>
      </w:r>
      <w:r>
        <w:rPr>
          <w:color w:val="2C2B2B"/>
          <w:sz w:val="22"/>
          <w:szCs w:val="22"/>
          <w:lang w:eastAsia="en-AU"/>
        </w:rPr>
        <w:t>) should be assessed to u</w:t>
      </w:r>
      <w:r w:rsidRPr="002751B2">
        <w:rPr>
          <w:color w:val="2C2B2B"/>
          <w:sz w:val="22"/>
          <w:szCs w:val="22"/>
          <w:lang w:eastAsia="en-AU"/>
        </w:rPr>
        <w:t xml:space="preserve">nderstand the reliability of the model </w:t>
      </w:r>
      <w:r>
        <w:rPr>
          <w:color w:val="2C2B2B"/>
          <w:sz w:val="22"/>
          <w:szCs w:val="22"/>
          <w:lang w:eastAsia="en-AU"/>
        </w:rPr>
        <w:t>(</w:t>
      </w:r>
      <w:r w:rsidRPr="002751B2">
        <w:rPr>
          <w:color w:val="2C2B2B"/>
          <w:sz w:val="22"/>
          <w:szCs w:val="22"/>
          <w:lang w:eastAsia="en-AU"/>
        </w:rPr>
        <w:t>Bart 1995).</w:t>
      </w:r>
    </w:p>
    <w:p w14:paraId="52A01AC2" w14:textId="07504C9B" w:rsidR="00491210" w:rsidRDefault="00EE200C" w:rsidP="002751B2">
      <w:pPr>
        <w:spacing w:before="240" w:after="240"/>
        <w:jc w:val="both"/>
        <w:rPr>
          <w:color w:val="2C2B2B"/>
          <w:sz w:val="22"/>
          <w:szCs w:val="22"/>
          <w:lang w:eastAsia="en-AU"/>
        </w:rPr>
      </w:pPr>
      <w:r w:rsidRPr="002751B2">
        <w:rPr>
          <w:color w:val="2C2B2B"/>
          <w:sz w:val="22"/>
          <w:szCs w:val="22"/>
          <w:lang w:eastAsia="en-AU"/>
        </w:rPr>
        <w:t>A powerful way of assessing model performance is to check model predictions against data that are independent from the model</w:t>
      </w:r>
      <w:r>
        <w:rPr>
          <w:color w:val="2C2B2B"/>
          <w:sz w:val="22"/>
          <w:szCs w:val="22"/>
          <w:lang w:eastAsia="en-AU"/>
        </w:rPr>
        <w:t>-</w:t>
      </w:r>
      <w:r w:rsidRPr="002751B2">
        <w:rPr>
          <w:color w:val="2C2B2B"/>
          <w:sz w:val="22"/>
          <w:szCs w:val="22"/>
          <w:lang w:eastAsia="en-AU"/>
        </w:rPr>
        <w:t>fitting process (Deitz</w:t>
      </w:r>
      <w:r>
        <w:rPr>
          <w:color w:val="2C2B2B"/>
          <w:sz w:val="22"/>
          <w:szCs w:val="22"/>
          <w:lang w:eastAsia="en-AU"/>
        </w:rPr>
        <w:t>e</w:t>
      </w:r>
      <w:r w:rsidRPr="002751B2">
        <w:rPr>
          <w:color w:val="2C2B2B"/>
          <w:sz w:val="22"/>
          <w:szCs w:val="22"/>
          <w:lang w:eastAsia="en-AU"/>
        </w:rPr>
        <w:t xml:space="preserve"> et al. 2018). This independence is important</w:t>
      </w:r>
      <w:r>
        <w:rPr>
          <w:color w:val="2C2B2B"/>
          <w:sz w:val="22"/>
          <w:szCs w:val="22"/>
          <w:lang w:eastAsia="en-AU"/>
        </w:rPr>
        <w:t>, because</w:t>
      </w:r>
      <w:r w:rsidRPr="002751B2">
        <w:rPr>
          <w:color w:val="2C2B2B"/>
          <w:sz w:val="22"/>
          <w:szCs w:val="22"/>
          <w:lang w:eastAsia="en-AU"/>
        </w:rPr>
        <w:t xml:space="preserve"> it eliminates the possibility of model circularity influencing </w:t>
      </w:r>
      <w:r>
        <w:rPr>
          <w:color w:val="2C2B2B"/>
          <w:sz w:val="22"/>
          <w:szCs w:val="22"/>
          <w:lang w:eastAsia="en-AU"/>
        </w:rPr>
        <w:t xml:space="preserve">the </w:t>
      </w:r>
      <w:r w:rsidRPr="002751B2">
        <w:rPr>
          <w:color w:val="2C2B2B"/>
          <w:sz w:val="22"/>
          <w:szCs w:val="22"/>
          <w:lang w:eastAsia="en-AU"/>
        </w:rPr>
        <w:t xml:space="preserve">validation operations, whereby model predictions may reflect the training data rather than </w:t>
      </w:r>
      <w:r>
        <w:rPr>
          <w:color w:val="2C2B2B"/>
          <w:sz w:val="22"/>
          <w:szCs w:val="22"/>
          <w:lang w:eastAsia="en-AU"/>
        </w:rPr>
        <w:t xml:space="preserve">be </w:t>
      </w:r>
      <w:r w:rsidRPr="002751B2">
        <w:rPr>
          <w:color w:val="2C2B2B"/>
          <w:sz w:val="22"/>
          <w:szCs w:val="22"/>
          <w:lang w:eastAsia="en-AU"/>
        </w:rPr>
        <w:t xml:space="preserve">an accurate representation of </w:t>
      </w:r>
      <w:r>
        <w:rPr>
          <w:color w:val="2C2B2B"/>
          <w:sz w:val="22"/>
          <w:szCs w:val="22"/>
          <w:lang w:eastAsia="en-AU"/>
        </w:rPr>
        <w:t xml:space="preserve">the </w:t>
      </w:r>
      <w:r w:rsidRPr="002751B2">
        <w:rPr>
          <w:color w:val="2C2B2B"/>
          <w:sz w:val="22"/>
          <w:szCs w:val="22"/>
          <w:lang w:eastAsia="en-AU"/>
        </w:rPr>
        <w:t xml:space="preserve">population processes. For several of the RRCP </w:t>
      </w:r>
      <w:r>
        <w:rPr>
          <w:color w:val="2C2B2B"/>
          <w:sz w:val="22"/>
          <w:szCs w:val="22"/>
          <w:lang w:eastAsia="en-AU"/>
        </w:rPr>
        <w:t>focal zones</w:t>
      </w:r>
      <w:r w:rsidRPr="002751B2">
        <w:rPr>
          <w:color w:val="2C2B2B"/>
          <w:sz w:val="22"/>
          <w:szCs w:val="22"/>
          <w:lang w:eastAsia="en-AU"/>
        </w:rPr>
        <w:t xml:space="preserve">, there has been extensive sampling of fish populations since 2000 by scientists from NSW Fisheries and the </w:t>
      </w:r>
      <w:r>
        <w:rPr>
          <w:color w:val="2C2B2B"/>
          <w:sz w:val="22"/>
          <w:szCs w:val="22"/>
          <w:lang w:eastAsia="en-AU"/>
        </w:rPr>
        <w:t>ARI</w:t>
      </w:r>
      <w:r w:rsidRPr="002751B2">
        <w:rPr>
          <w:color w:val="2C2B2B"/>
          <w:sz w:val="22"/>
          <w:szCs w:val="22"/>
          <w:lang w:eastAsia="en-AU"/>
        </w:rPr>
        <w:t xml:space="preserve">. </w:t>
      </w:r>
      <w:r>
        <w:rPr>
          <w:color w:val="2C2B2B"/>
          <w:sz w:val="22"/>
          <w:szCs w:val="22"/>
          <w:lang w:eastAsia="en-AU"/>
        </w:rPr>
        <w:t>Model validation is frequently not undertaken, usually</w:t>
      </w:r>
      <w:r w:rsidRPr="002751B2">
        <w:rPr>
          <w:color w:val="2C2B2B"/>
          <w:sz w:val="22"/>
          <w:szCs w:val="22"/>
          <w:lang w:eastAsia="en-AU"/>
        </w:rPr>
        <w:t xml:space="preserve"> because of a lack of independent datasets for comparison</w:t>
      </w:r>
      <w:r>
        <w:rPr>
          <w:color w:val="2C2B2B"/>
          <w:sz w:val="22"/>
          <w:szCs w:val="22"/>
          <w:lang w:eastAsia="en-AU"/>
        </w:rPr>
        <w:t xml:space="preserve"> (Todd et al. 2008; </w:t>
      </w:r>
      <w:r w:rsidRPr="007857D1">
        <w:rPr>
          <w:color w:val="000000"/>
          <w:sz w:val="22"/>
          <w:szCs w:val="22"/>
          <w:lang w:eastAsia="en-AU"/>
        </w:rPr>
        <w:t>Rogosch</w:t>
      </w:r>
      <w:r>
        <w:rPr>
          <w:color w:val="000000"/>
          <w:sz w:val="22"/>
          <w:szCs w:val="22"/>
          <w:lang w:eastAsia="en-AU"/>
        </w:rPr>
        <w:t xml:space="preserve"> et al. 2019)</w:t>
      </w:r>
      <w:r w:rsidRPr="002751B2">
        <w:rPr>
          <w:color w:val="2C2B2B"/>
          <w:sz w:val="22"/>
          <w:szCs w:val="22"/>
          <w:lang w:eastAsia="en-AU"/>
        </w:rPr>
        <w:t xml:space="preserve">. Having access to these long-term datasets therefore represents an important, and quite unique opportunity to compare the predictions of the native fish population models </w:t>
      </w:r>
      <w:r>
        <w:rPr>
          <w:color w:val="2C2B2B"/>
          <w:sz w:val="22"/>
          <w:szCs w:val="22"/>
          <w:lang w:eastAsia="en-AU"/>
        </w:rPr>
        <w:t xml:space="preserve">of the </w:t>
      </w:r>
      <w:r w:rsidRPr="002751B2">
        <w:rPr>
          <w:color w:val="2C2B2B"/>
          <w:sz w:val="22"/>
          <w:szCs w:val="22"/>
          <w:lang w:eastAsia="en-AU"/>
        </w:rPr>
        <w:t xml:space="preserve">RRCP </w:t>
      </w:r>
      <w:r>
        <w:rPr>
          <w:color w:val="2C2B2B"/>
          <w:sz w:val="22"/>
          <w:szCs w:val="22"/>
          <w:lang w:eastAsia="en-AU"/>
        </w:rPr>
        <w:t>scenarios</w:t>
      </w:r>
      <w:r w:rsidRPr="002751B2">
        <w:rPr>
          <w:color w:val="2C2B2B"/>
          <w:sz w:val="22"/>
          <w:szCs w:val="22"/>
          <w:lang w:eastAsia="en-AU"/>
        </w:rPr>
        <w:t xml:space="preserve"> with data that are independent from the model</w:t>
      </w:r>
      <w:r>
        <w:rPr>
          <w:color w:val="2C2B2B"/>
          <w:sz w:val="22"/>
          <w:szCs w:val="22"/>
          <w:lang w:eastAsia="en-AU"/>
        </w:rPr>
        <w:t>-</w:t>
      </w:r>
      <w:r w:rsidRPr="002751B2">
        <w:rPr>
          <w:color w:val="2C2B2B"/>
          <w:sz w:val="22"/>
          <w:szCs w:val="22"/>
          <w:lang w:eastAsia="en-AU"/>
        </w:rPr>
        <w:t>fitting process.</w:t>
      </w:r>
    </w:p>
    <w:p w14:paraId="094328CE" w14:textId="7577F888" w:rsidR="00491210" w:rsidRPr="002751B2" w:rsidRDefault="00EE200C" w:rsidP="002751B2">
      <w:pPr>
        <w:spacing w:before="240" w:after="240"/>
        <w:jc w:val="both"/>
        <w:rPr>
          <w:color w:val="2C2B2B"/>
          <w:sz w:val="22"/>
          <w:szCs w:val="22"/>
          <w:lang w:eastAsia="en-AU"/>
        </w:rPr>
      </w:pPr>
      <w:r w:rsidRPr="002751B2">
        <w:rPr>
          <w:color w:val="2C2B2B"/>
          <w:sz w:val="22"/>
          <w:szCs w:val="22"/>
          <w:lang w:eastAsia="en-AU"/>
        </w:rPr>
        <w:t xml:space="preserve">Model validation </w:t>
      </w:r>
      <w:r>
        <w:rPr>
          <w:color w:val="2C2B2B"/>
          <w:sz w:val="22"/>
          <w:szCs w:val="22"/>
          <w:lang w:eastAsia="en-AU"/>
        </w:rPr>
        <w:t>i</w:t>
      </w:r>
      <w:r w:rsidRPr="002751B2">
        <w:rPr>
          <w:color w:val="2C2B2B"/>
          <w:sz w:val="22"/>
          <w:szCs w:val="22"/>
          <w:lang w:eastAsia="en-AU"/>
        </w:rPr>
        <w:t xml:space="preserve">s an important component of the project, using an approach developed by members of the core RRCP </w:t>
      </w:r>
      <w:r>
        <w:rPr>
          <w:color w:val="2C2B2B"/>
          <w:sz w:val="22"/>
          <w:szCs w:val="22"/>
          <w:lang w:eastAsia="en-AU"/>
        </w:rPr>
        <w:t>ARI Project</w:t>
      </w:r>
      <w:r w:rsidRPr="002751B2">
        <w:rPr>
          <w:color w:val="2C2B2B"/>
          <w:sz w:val="22"/>
          <w:szCs w:val="22"/>
          <w:lang w:eastAsia="en-AU"/>
        </w:rPr>
        <w:t xml:space="preserve"> </w:t>
      </w:r>
      <w:r>
        <w:rPr>
          <w:color w:val="2C2B2B"/>
          <w:sz w:val="22"/>
          <w:szCs w:val="22"/>
          <w:lang w:eastAsia="en-AU"/>
        </w:rPr>
        <w:t>T</w:t>
      </w:r>
      <w:r w:rsidRPr="002751B2">
        <w:rPr>
          <w:color w:val="2C2B2B"/>
          <w:sz w:val="22"/>
          <w:szCs w:val="22"/>
          <w:lang w:eastAsia="en-AU"/>
        </w:rPr>
        <w:t>eam, with input from a wider group of fish ecology and biostatistical experts from ARI (Jarod Lyon</w:t>
      </w:r>
      <w:r>
        <w:rPr>
          <w:color w:val="2C2B2B"/>
          <w:sz w:val="22"/>
          <w:szCs w:val="22"/>
          <w:lang w:eastAsia="en-AU"/>
        </w:rPr>
        <w:t>,</w:t>
      </w:r>
      <w:r w:rsidRPr="002751B2">
        <w:rPr>
          <w:color w:val="2C2B2B"/>
          <w:sz w:val="22"/>
          <w:szCs w:val="22"/>
          <w:lang w:eastAsia="en-AU"/>
        </w:rPr>
        <w:t xml:space="preserve"> Zeb Tonkin, Jian Yen), NSW Fisheries (Jason Thiem) and the University of Melbourne (Mick McCarthy, a globally renowned quantitative ecologist with experience in validating population models). The two RRCP </w:t>
      </w:r>
      <w:r>
        <w:rPr>
          <w:color w:val="2C2B2B"/>
          <w:sz w:val="22"/>
          <w:szCs w:val="22"/>
          <w:lang w:eastAsia="en-AU"/>
        </w:rPr>
        <w:t>ARI Project T</w:t>
      </w:r>
      <w:r w:rsidRPr="002751B2">
        <w:rPr>
          <w:color w:val="2C2B2B"/>
          <w:sz w:val="22"/>
          <w:szCs w:val="22"/>
          <w:lang w:eastAsia="en-AU"/>
        </w:rPr>
        <w:t>eam members responsible for leading the validation component (Ben Fanson and Rob</w:t>
      </w:r>
      <w:r>
        <w:rPr>
          <w:color w:val="2C2B2B"/>
          <w:sz w:val="22"/>
          <w:szCs w:val="22"/>
          <w:lang w:eastAsia="en-AU"/>
        </w:rPr>
        <w:t>in</w:t>
      </w:r>
      <w:r w:rsidRPr="002751B2">
        <w:rPr>
          <w:color w:val="2C2B2B"/>
          <w:sz w:val="22"/>
          <w:szCs w:val="22"/>
          <w:lang w:eastAsia="en-AU"/>
        </w:rPr>
        <w:t xml:space="preserve"> Hale) were not involved in the construction </w:t>
      </w:r>
      <w:r>
        <w:rPr>
          <w:color w:val="2C2B2B"/>
          <w:sz w:val="22"/>
          <w:szCs w:val="22"/>
          <w:lang w:eastAsia="en-AU"/>
        </w:rPr>
        <w:t xml:space="preserve">or </w:t>
      </w:r>
      <w:r w:rsidRPr="002751B2">
        <w:rPr>
          <w:color w:val="2C2B2B"/>
          <w:sz w:val="22"/>
          <w:szCs w:val="22"/>
          <w:lang w:eastAsia="en-AU"/>
        </w:rPr>
        <w:t>development of the stochastic population models.</w:t>
      </w:r>
    </w:p>
    <w:p w14:paraId="5386ED74" w14:textId="491FC8E0" w:rsidR="00491210" w:rsidRPr="002751B2" w:rsidRDefault="00EE200C" w:rsidP="002751B2">
      <w:pPr>
        <w:spacing w:before="240" w:after="240"/>
        <w:jc w:val="both"/>
        <w:rPr>
          <w:color w:val="2C2B2B"/>
          <w:sz w:val="22"/>
          <w:szCs w:val="22"/>
          <w:lang w:eastAsia="en-AU"/>
        </w:rPr>
      </w:pPr>
      <w:r w:rsidRPr="002751B2">
        <w:rPr>
          <w:color w:val="2C2B2B"/>
          <w:sz w:val="22"/>
          <w:szCs w:val="22"/>
          <w:lang w:eastAsia="en-AU"/>
        </w:rPr>
        <w:t xml:space="preserve">As the validation component of this study </w:t>
      </w:r>
      <w:r>
        <w:rPr>
          <w:color w:val="2C2B2B"/>
          <w:sz w:val="22"/>
          <w:szCs w:val="22"/>
          <w:lang w:eastAsia="en-AU"/>
        </w:rPr>
        <w:t>wa</w:t>
      </w:r>
      <w:r w:rsidRPr="002751B2">
        <w:rPr>
          <w:color w:val="2C2B2B"/>
          <w:sz w:val="22"/>
          <w:szCs w:val="22"/>
          <w:lang w:eastAsia="en-AU"/>
        </w:rPr>
        <w:t xml:space="preserve">s reliant on the outputs of the modelling, both the methodology </w:t>
      </w:r>
      <w:r>
        <w:rPr>
          <w:color w:val="2C2B2B"/>
          <w:sz w:val="22"/>
          <w:szCs w:val="22"/>
          <w:lang w:eastAsia="en-AU"/>
        </w:rPr>
        <w:t xml:space="preserve">for </w:t>
      </w:r>
      <w:r w:rsidRPr="002751B2">
        <w:rPr>
          <w:color w:val="2C2B2B"/>
          <w:sz w:val="22"/>
          <w:szCs w:val="22"/>
          <w:lang w:eastAsia="en-AU"/>
        </w:rPr>
        <w:t xml:space="preserve">and </w:t>
      </w:r>
      <w:r>
        <w:rPr>
          <w:color w:val="2C2B2B"/>
          <w:sz w:val="22"/>
          <w:szCs w:val="22"/>
          <w:lang w:eastAsia="en-AU"/>
        </w:rPr>
        <w:t xml:space="preserve">the </w:t>
      </w:r>
      <w:r w:rsidRPr="002751B2">
        <w:rPr>
          <w:color w:val="2C2B2B"/>
          <w:sz w:val="22"/>
          <w:szCs w:val="22"/>
          <w:lang w:eastAsia="en-AU"/>
        </w:rPr>
        <w:t>results of th</w:t>
      </w:r>
      <w:r>
        <w:rPr>
          <w:color w:val="2C2B2B"/>
          <w:sz w:val="22"/>
          <w:szCs w:val="22"/>
          <w:lang w:eastAsia="en-AU"/>
        </w:rPr>
        <w:t>e</w:t>
      </w:r>
      <w:r w:rsidRPr="002751B2">
        <w:rPr>
          <w:color w:val="2C2B2B"/>
          <w:sz w:val="22"/>
          <w:szCs w:val="22"/>
          <w:lang w:eastAsia="en-AU"/>
        </w:rPr>
        <w:t xml:space="preserve"> validation process </w:t>
      </w:r>
      <w:r>
        <w:rPr>
          <w:color w:val="2C2B2B"/>
          <w:sz w:val="22"/>
          <w:szCs w:val="22"/>
          <w:lang w:eastAsia="en-AU"/>
        </w:rPr>
        <w:t>have been</w:t>
      </w:r>
      <w:r w:rsidRPr="002751B2">
        <w:rPr>
          <w:color w:val="2C2B2B"/>
          <w:sz w:val="22"/>
          <w:szCs w:val="22"/>
          <w:lang w:eastAsia="en-AU"/>
        </w:rPr>
        <w:t xml:space="preserve"> included in the Results section, with key results </w:t>
      </w:r>
      <w:r>
        <w:rPr>
          <w:color w:val="2C2B2B"/>
          <w:sz w:val="22"/>
          <w:szCs w:val="22"/>
          <w:lang w:eastAsia="en-AU"/>
        </w:rPr>
        <w:t>being</w:t>
      </w:r>
      <w:r w:rsidRPr="002751B2">
        <w:rPr>
          <w:color w:val="2C2B2B"/>
          <w:sz w:val="22"/>
          <w:szCs w:val="22"/>
          <w:lang w:eastAsia="en-AU"/>
        </w:rPr>
        <w:t xml:space="preserve"> further explained in the Discussion. This allows the reader to concentrate o</w:t>
      </w:r>
      <w:r>
        <w:rPr>
          <w:color w:val="2C2B2B"/>
          <w:sz w:val="22"/>
          <w:szCs w:val="22"/>
          <w:lang w:eastAsia="en-AU"/>
        </w:rPr>
        <w:t>n</w:t>
      </w:r>
      <w:r w:rsidRPr="002751B2">
        <w:rPr>
          <w:color w:val="2C2B2B"/>
          <w:sz w:val="22"/>
          <w:szCs w:val="22"/>
          <w:lang w:eastAsia="en-AU"/>
        </w:rPr>
        <w:t xml:space="preserve"> the modelling component, then logically move to consider the validation of the</w:t>
      </w:r>
      <w:r>
        <w:rPr>
          <w:color w:val="2C2B2B"/>
          <w:sz w:val="22"/>
          <w:szCs w:val="22"/>
          <w:lang w:eastAsia="en-AU"/>
        </w:rPr>
        <w:t xml:space="preserve"> modelling outcomes</w:t>
      </w:r>
      <w:r w:rsidRPr="002751B2">
        <w:rPr>
          <w:color w:val="2C2B2B"/>
          <w:sz w:val="22"/>
          <w:szCs w:val="22"/>
          <w:lang w:eastAsia="en-AU"/>
        </w:rPr>
        <w:t>.</w:t>
      </w:r>
    </w:p>
    <w:p w14:paraId="6596F014" w14:textId="61DA05BE" w:rsidR="00491210" w:rsidRDefault="00EE200C" w:rsidP="009406FF">
      <w:pPr>
        <w:pStyle w:val="Heading1-Numbered"/>
      </w:pPr>
      <w:r>
        <w:br w:type="page"/>
      </w:r>
      <w:bookmarkStart w:id="59" w:name="_Toc286018763"/>
      <w:bookmarkStart w:id="60" w:name="_Toc116994880"/>
      <w:r>
        <w:lastRenderedPageBreak/>
        <w:t>Method</w:t>
      </w:r>
      <w:bookmarkEnd w:id="59"/>
      <w:r>
        <w:t>s</w:t>
      </w:r>
      <w:bookmarkEnd w:id="60"/>
    </w:p>
    <w:p w14:paraId="64D8631C" w14:textId="77777777" w:rsidR="00491210" w:rsidRPr="007C54A1" w:rsidRDefault="00EE200C" w:rsidP="00753F5C">
      <w:pPr>
        <w:pStyle w:val="Heading2-Numbered"/>
      </w:pPr>
      <w:bookmarkStart w:id="61" w:name="_Toc116994881"/>
      <w:r>
        <w:t>Program logic</w:t>
      </w:r>
      <w:bookmarkEnd w:id="61"/>
    </w:p>
    <w:p w14:paraId="5C5F1691" w14:textId="70B464D9" w:rsidR="00491210" w:rsidRPr="002F4E30" w:rsidRDefault="00EE200C" w:rsidP="13609C11">
      <w:pPr>
        <w:spacing w:before="240" w:after="160"/>
        <w:jc w:val="both"/>
        <w:rPr>
          <w:rFonts w:ascii="Times New Roman" w:hAnsi="Times New Roman" w:cs="Times New Roman"/>
          <w:sz w:val="24"/>
          <w:lang w:eastAsia="en-AU"/>
        </w:rPr>
      </w:pPr>
      <w:r w:rsidRPr="3FC79A6E">
        <w:rPr>
          <w:color w:val="000000"/>
          <w:sz w:val="22"/>
          <w:szCs w:val="22"/>
          <w:lang w:eastAsia="en-AU"/>
        </w:rPr>
        <w:t xml:space="preserve">The population </w:t>
      </w:r>
      <w:r w:rsidRPr="002607BD">
        <w:rPr>
          <w:rFonts w:eastAsia="Arial"/>
          <w:color w:val="000000"/>
          <w:sz w:val="22"/>
          <w:szCs w:val="22"/>
          <w:lang w:eastAsia="en-AU"/>
        </w:rPr>
        <w:t>models</w:t>
      </w:r>
      <w:r w:rsidRPr="3FC79A6E">
        <w:rPr>
          <w:color w:val="000000"/>
          <w:sz w:val="22"/>
          <w:szCs w:val="22"/>
          <w:lang w:eastAsia="en-AU"/>
        </w:rPr>
        <w:t xml:space="preserve"> were developed via an iterative process consisting of: (i) developing and updating species-specific conceptual models via a series of workshops with expert fish ecologists and</w:t>
      </w:r>
      <w:r>
        <w:rPr>
          <w:color w:val="000000"/>
          <w:sz w:val="22"/>
          <w:szCs w:val="22"/>
          <w:lang w:eastAsia="en-AU"/>
        </w:rPr>
        <w:t xml:space="preserve"> environmental water</w:t>
      </w:r>
      <w:r w:rsidRPr="3FC79A6E">
        <w:rPr>
          <w:color w:val="000000"/>
          <w:sz w:val="22"/>
          <w:szCs w:val="22"/>
          <w:lang w:eastAsia="en-AU"/>
        </w:rPr>
        <w:t xml:space="preserve"> managers, (ii) using this knowledge to adap</w:t>
      </w:r>
      <w:r>
        <w:rPr>
          <w:color w:val="000000"/>
          <w:sz w:val="22"/>
          <w:szCs w:val="22"/>
          <w:lang w:eastAsia="en-AU"/>
        </w:rPr>
        <w:t>t</w:t>
      </w:r>
      <w:r w:rsidRPr="3FC79A6E">
        <w:rPr>
          <w:color w:val="000000"/>
          <w:sz w:val="22"/>
          <w:szCs w:val="22"/>
          <w:lang w:eastAsia="en-AU"/>
        </w:rPr>
        <w:t xml:space="preserve"> the population models </w:t>
      </w:r>
      <w:r>
        <w:rPr>
          <w:color w:val="000000"/>
          <w:sz w:val="22"/>
          <w:szCs w:val="22"/>
          <w:lang w:eastAsia="en-AU"/>
        </w:rPr>
        <w:t>for</w:t>
      </w:r>
      <w:r w:rsidRPr="3FC79A6E">
        <w:rPr>
          <w:color w:val="000000"/>
          <w:sz w:val="22"/>
          <w:szCs w:val="22"/>
          <w:lang w:eastAsia="en-AU"/>
        </w:rPr>
        <w:t xml:space="preserve"> each </w:t>
      </w:r>
      <w:r>
        <w:rPr>
          <w:color w:val="000000"/>
          <w:sz w:val="22"/>
          <w:szCs w:val="22"/>
          <w:lang w:eastAsia="en-AU"/>
        </w:rPr>
        <w:t xml:space="preserve">of the </w:t>
      </w:r>
      <w:r w:rsidRPr="3FC79A6E">
        <w:rPr>
          <w:color w:val="000000"/>
          <w:sz w:val="22"/>
          <w:szCs w:val="22"/>
          <w:lang w:eastAsia="en-AU"/>
        </w:rPr>
        <w:t>core RRCP area</w:t>
      </w:r>
      <w:r>
        <w:rPr>
          <w:color w:val="000000"/>
          <w:sz w:val="22"/>
          <w:szCs w:val="22"/>
          <w:lang w:eastAsia="en-AU"/>
        </w:rPr>
        <w:t>s</w:t>
      </w:r>
      <w:r w:rsidRPr="3FC79A6E">
        <w:rPr>
          <w:color w:val="000000"/>
          <w:sz w:val="22"/>
          <w:szCs w:val="22"/>
          <w:lang w:eastAsia="en-AU"/>
        </w:rPr>
        <w:t xml:space="preserve"> and </w:t>
      </w:r>
      <w:r>
        <w:rPr>
          <w:color w:val="000000"/>
          <w:sz w:val="22"/>
          <w:szCs w:val="22"/>
          <w:lang w:eastAsia="en-AU"/>
        </w:rPr>
        <w:t xml:space="preserve">the additional study areas (the Lower Darling and Lower Murray rivers) and </w:t>
      </w:r>
      <w:r w:rsidRPr="3FC79A6E">
        <w:rPr>
          <w:color w:val="000000"/>
          <w:sz w:val="22"/>
          <w:szCs w:val="22"/>
          <w:lang w:eastAsia="en-AU"/>
        </w:rPr>
        <w:t>hydrological scenario</w:t>
      </w:r>
      <w:r>
        <w:rPr>
          <w:color w:val="000000"/>
          <w:sz w:val="22"/>
          <w:szCs w:val="22"/>
          <w:lang w:eastAsia="en-AU"/>
        </w:rPr>
        <w:t>s</w:t>
      </w:r>
      <w:r w:rsidRPr="3FC79A6E">
        <w:rPr>
          <w:color w:val="000000"/>
          <w:sz w:val="22"/>
          <w:szCs w:val="22"/>
          <w:lang w:eastAsia="en-AU"/>
        </w:rPr>
        <w:t>, (iii) incorporat</w:t>
      </w:r>
      <w:r>
        <w:rPr>
          <w:color w:val="000000"/>
          <w:sz w:val="22"/>
          <w:szCs w:val="22"/>
          <w:lang w:eastAsia="en-AU"/>
        </w:rPr>
        <w:t>ing</w:t>
      </w:r>
      <w:r w:rsidRPr="3FC79A6E">
        <w:rPr>
          <w:color w:val="000000"/>
          <w:sz w:val="22"/>
          <w:szCs w:val="22"/>
          <w:lang w:eastAsia="en-AU"/>
        </w:rPr>
        <w:t xml:space="preserve"> life history responses to flow and temperature </w:t>
      </w:r>
      <w:r>
        <w:rPr>
          <w:color w:val="000000"/>
          <w:sz w:val="22"/>
          <w:szCs w:val="22"/>
          <w:lang w:eastAsia="en-AU"/>
        </w:rPr>
        <w:t>cues</w:t>
      </w:r>
      <w:r w:rsidRPr="3FC79A6E">
        <w:rPr>
          <w:color w:val="000000"/>
          <w:sz w:val="22"/>
          <w:szCs w:val="22"/>
          <w:lang w:eastAsia="en-AU"/>
        </w:rPr>
        <w:t>, (iv) includ</w:t>
      </w:r>
      <w:r>
        <w:rPr>
          <w:color w:val="000000"/>
          <w:sz w:val="22"/>
          <w:szCs w:val="22"/>
          <w:lang w:eastAsia="en-AU"/>
        </w:rPr>
        <w:t>ing</w:t>
      </w:r>
      <w:r w:rsidRPr="3FC79A6E">
        <w:rPr>
          <w:color w:val="000000"/>
          <w:sz w:val="22"/>
          <w:szCs w:val="22"/>
          <w:lang w:eastAsia="en-AU"/>
        </w:rPr>
        <w:t xml:space="preserve"> flow</w:t>
      </w:r>
      <w:r>
        <w:rPr>
          <w:color w:val="000000"/>
          <w:sz w:val="22"/>
          <w:szCs w:val="22"/>
          <w:lang w:eastAsia="en-AU"/>
        </w:rPr>
        <w:t>–</w:t>
      </w:r>
      <w:r w:rsidRPr="3FC79A6E">
        <w:rPr>
          <w:color w:val="000000"/>
          <w:sz w:val="22"/>
          <w:szCs w:val="22"/>
          <w:lang w:eastAsia="en-AU"/>
        </w:rPr>
        <w:t>productivity effects, (v) includ</w:t>
      </w:r>
      <w:r>
        <w:rPr>
          <w:color w:val="000000"/>
          <w:sz w:val="22"/>
          <w:szCs w:val="22"/>
          <w:lang w:eastAsia="en-AU"/>
        </w:rPr>
        <w:t>ing</w:t>
      </w:r>
      <w:r w:rsidRPr="3FC79A6E">
        <w:rPr>
          <w:color w:val="000000"/>
          <w:sz w:val="22"/>
          <w:szCs w:val="22"/>
          <w:lang w:eastAsia="en-AU"/>
        </w:rPr>
        <w:t xml:space="preserve"> an anoxic blackwater construct (for Murray Cod only), (vi) defining and reporting </w:t>
      </w:r>
      <w:r>
        <w:rPr>
          <w:color w:val="000000"/>
          <w:sz w:val="22"/>
          <w:szCs w:val="22"/>
          <w:lang w:eastAsia="en-AU"/>
        </w:rPr>
        <w:t xml:space="preserve">the </w:t>
      </w:r>
      <w:r w:rsidRPr="3FC79A6E">
        <w:rPr>
          <w:color w:val="000000"/>
          <w:sz w:val="22"/>
          <w:szCs w:val="22"/>
          <w:lang w:eastAsia="en-AU"/>
        </w:rPr>
        <w:t xml:space="preserve">ecological benefits of </w:t>
      </w:r>
      <w:r>
        <w:rPr>
          <w:color w:val="000000"/>
          <w:sz w:val="22"/>
          <w:szCs w:val="22"/>
          <w:lang w:eastAsia="en-AU"/>
        </w:rPr>
        <w:t xml:space="preserve">the </w:t>
      </w:r>
      <w:r w:rsidRPr="3FC79A6E">
        <w:rPr>
          <w:color w:val="000000"/>
          <w:sz w:val="22"/>
          <w:szCs w:val="22"/>
          <w:lang w:eastAsia="en-AU"/>
        </w:rPr>
        <w:t xml:space="preserve">modelled RRCP flow scenarios, and (vii) </w:t>
      </w:r>
      <w:r>
        <w:rPr>
          <w:color w:val="000000"/>
          <w:sz w:val="22"/>
          <w:szCs w:val="22"/>
          <w:lang w:eastAsia="en-AU"/>
        </w:rPr>
        <w:t>comparing</w:t>
      </w:r>
      <w:r w:rsidRPr="3FC79A6E">
        <w:rPr>
          <w:color w:val="000000"/>
          <w:sz w:val="22"/>
          <w:szCs w:val="22"/>
          <w:lang w:eastAsia="en-AU"/>
        </w:rPr>
        <w:t xml:space="preserve"> model predictions </w:t>
      </w:r>
      <w:r>
        <w:rPr>
          <w:color w:val="000000"/>
          <w:sz w:val="22"/>
          <w:szCs w:val="22"/>
          <w:lang w:eastAsia="en-AU"/>
        </w:rPr>
        <w:t>with</w:t>
      </w:r>
      <w:r w:rsidRPr="3FC79A6E">
        <w:rPr>
          <w:color w:val="000000"/>
          <w:sz w:val="22"/>
          <w:szCs w:val="22"/>
          <w:lang w:eastAsia="en-AU"/>
        </w:rPr>
        <w:t xml:space="preserve"> independent empirical datasets</w:t>
      </w:r>
      <w:r>
        <w:rPr>
          <w:color w:val="000000"/>
          <w:sz w:val="22"/>
          <w:szCs w:val="22"/>
          <w:lang w:eastAsia="en-AU"/>
        </w:rPr>
        <w:t>; (viii) providing advice to NSW DPE regarding the model application and the results</w:t>
      </w:r>
      <w:r w:rsidRPr="3FC79A6E">
        <w:rPr>
          <w:color w:val="000000"/>
          <w:sz w:val="22"/>
          <w:szCs w:val="22"/>
          <w:lang w:eastAsia="en-AU"/>
        </w:rPr>
        <w:t>.</w:t>
      </w:r>
    </w:p>
    <w:p w14:paraId="7149731F" w14:textId="77777777" w:rsidR="00491210" w:rsidRPr="002F4E30" w:rsidRDefault="00EE200C" w:rsidP="00753F5C">
      <w:pPr>
        <w:pStyle w:val="Heading2-Numbered"/>
      </w:pPr>
      <w:bookmarkStart w:id="62" w:name="_Toc116994882"/>
      <w:r>
        <w:t>Fish species</w:t>
      </w:r>
      <w:bookmarkEnd w:id="62"/>
    </w:p>
    <w:p w14:paraId="632F74CB" w14:textId="747AAC18" w:rsidR="00491210" w:rsidRDefault="00EE200C" w:rsidP="2D74987C">
      <w:pPr>
        <w:spacing w:after="0"/>
        <w:jc w:val="both"/>
        <w:rPr>
          <w:color w:val="000000"/>
          <w:sz w:val="22"/>
          <w:szCs w:val="22"/>
          <w:lang w:eastAsia="en-AU"/>
        </w:rPr>
      </w:pPr>
      <w:r w:rsidRPr="00542B6A">
        <w:rPr>
          <w:color w:val="000000"/>
          <w:sz w:val="22"/>
          <w:szCs w:val="22"/>
          <w:lang w:eastAsia="en-AU"/>
        </w:rPr>
        <w:t>The fish population modelling within the RRCP project examined (native) Golden Perch and Murray</w:t>
      </w:r>
      <w:r>
        <w:rPr>
          <w:color w:val="000000"/>
          <w:sz w:val="22"/>
          <w:szCs w:val="22"/>
          <w:lang w:eastAsia="en-AU"/>
        </w:rPr>
        <w:t xml:space="preserve"> Cod</w:t>
      </w:r>
      <w:r w:rsidRPr="13609C11">
        <w:rPr>
          <w:color w:val="000000"/>
          <w:sz w:val="22"/>
          <w:szCs w:val="22"/>
          <w:lang w:eastAsia="en-AU"/>
        </w:rPr>
        <w:t xml:space="preserve"> (</w:t>
      </w:r>
      <w:r>
        <w:rPr>
          <w:color w:val="000000"/>
          <w:sz w:val="22"/>
          <w:szCs w:val="22"/>
          <w:lang w:eastAsia="en-AU"/>
        </w:rPr>
        <w:t xml:space="preserve">the two species of concern in </w:t>
      </w:r>
      <w:r w:rsidRPr="13609C11">
        <w:rPr>
          <w:color w:val="000000"/>
          <w:sz w:val="22"/>
          <w:szCs w:val="22"/>
          <w:lang w:eastAsia="en-AU"/>
        </w:rPr>
        <w:t>this report) and</w:t>
      </w:r>
      <w:r>
        <w:rPr>
          <w:color w:val="000000"/>
          <w:sz w:val="22"/>
          <w:szCs w:val="22"/>
          <w:lang w:eastAsia="en-AU"/>
        </w:rPr>
        <w:t>,</w:t>
      </w:r>
      <w:r w:rsidRPr="13609C11">
        <w:rPr>
          <w:color w:val="000000"/>
          <w:sz w:val="22"/>
          <w:szCs w:val="22"/>
          <w:lang w:eastAsia="en-AU"/>
        </w:rPr>
        <w:t xml:space="preserve"> </w:t>
      </w:r>
      <w:r>
        <w:rPr>
          <w:color w:val="000000"/>
          <w:sz w:val="22"/>
          <w:szCs w:val="22"/>
          <w:lang w:eastAsia="en-AU"/>
        </w:rPr>
        <w:t>in a separate report, (</w:t>
      </w:r>
      <w:r w:rsidRPr="13609C11">
        <w:rPr>
          <w:color w:val="000000"/>
          <w:sz w:val="22"/>
          <w:szCs w:val="22"/>
          <w:lang w:eastAsia="en-AU"/>
        </w:rPr>
        <w:t>non-native</w:t>
      </w:r>
      <w:r>
        <w:rPr>
          <w:color w:val="000000"/>
          <w:sz w:val="22"/>
          <w:szCs w:val="22"/>
          <w:lang w:eastAsia="en-AU"/>
        </w:rPr>
        <w:t>)</w:t>
      </w:r>
      <w:r w:rsidRPr="13609C11">
        <w:rPr>
          <w:color w:val="000000"/>
          <w:sz w:val="22"/>
          <w:szCs w:val="22"/>
          <w:lang w:eastAsia="en-AU"/>
        </w:rPr>
        <w:t xml:space="preserve"> Carp (Wootton et al. </w:t>
      </w:r>
      <w:r w:rsidRPr="00FE31F3">
        <w:rPr>
          <w:color w:val="000000"/>
          <w:sz w:val="22"/>
          <w:szCs w:val="22"/>
          <w:lang w:eastAsia="en-AU"/>
        </w:rPr>
        <w:t>in prep.</w:t>
      </w:r>
      <w:r w:rsidRPr="13609C11">
        <w:rPr>
          <w:color w:val="000000"/>
          <w:sz w:val="22"/>
          <w:szCs w:val="22"/>
          <w:lang w:eastAsia="en-AU"/>
        </w:rPr>
        <w:t>). All three species are widespread in the MDB, and the two native species are highly important to First Nations people as angling and totemic species. Murray Cod has a national conservation listing and hence must be managed for both conservation and recreational fishery objectives (Koehn and Todd 2012). Populations of both native species have declined due to a range of factors, including alienation of floodplains, reduced annual river flows and flow pulses</w:t>
      </w:r>
      <w:r>
        <w:rPr>
          <w:color w:val="000000"/>
          <w:sz w:val="22"/>
          <w:szCs w:val="22"/>
          <w:lang w:eastAsia="en-AU"/>
        </w:rPr>
        <w:t>,</w:t>
      </w:r>
      <w:r w:rsidRPr="13609C11">
        <w:rPr>
          <w:color w:val="000000"/>
          <w:sz w:val="22"/>
          <w:szCs w:val="22"/>
          <w:lang w:eastAsia="en-AU"/>
        </w:rPr>
        <w:t xml:space="preserve"> and loss of lotic (flowing) habitats (Koehn et al. 2020).</w:t>
      </w:r>
    </w:p>
    <w:p w14:paraId="3DAE16B1" w14:textId="77777777" w:rsidR="00491210" w:rsidRPr="007C54A1" w:rsidRDefault="00EE200C" w:rsidP="00753F5C">
      <w:pPr>
        <w:pStyle w:val="Heading2-Numbered"/>
      </w:pPr>
      <w:bookmarkStart w:id="63" w:name="_Toc116994883"/>
      <w:r>
        <w:t>Spatial area and population units</w:t>
      </w:r>
      <w:bookmarkEnd w:id="63"/>
    </w:p>
    <w:p w14:paraId="3A559D48" w14:textId="7518828E" w:rsidR="00491210" w:rsidRDefault="00EE200C" w:rsidP="3FC79A6E">
      <w:pPr>
        <w:spacing w:before="240" w:after="240"/>
        <w:jc w:val="both"/>
        <w:rPr>
          <w:color w:val="000000"/>
          <w:sz w:val="22"/>
          <w:szCs w:val="22"/>
          <w:lang w:eastAsia="en-AU"/>
        </w:rPr>
      </w:pPr>
      <w:r w:rsidRPr="3FC79A6E">
        <w:rPr>
          <w:color w:val="000000"/>
          <w:sz w:val="22"/>
          <w:szCs w:val="22"/>
          <w:lang w:eastAsia="en-AU"/>
        </w:rPr>
        <w:t xml:space="preserve">The models predict Golden Perch, Murray Cod and Carp population responses at a range of spatial scales to </w:t>
      </w:r>
      <w:r>
        <w:rPr>
          <w:color w:val="000000"/>
          <w:sz w:val="22"/>
          <w:szCs w:val="22"/>
          <w:lang w:eastAsia="en-AU"/>
        </w:rPr>
        <w:t xml:space="preserve">predict the effects of the </w:t>
      </w:r>
      <w:r w:rsidRPr="3FC79A6E">
        <w:rPr>
          <w:color w:val="000000"/>
          <w:sz w:val="22"/>
          <w:szCs w:val="22"/>
          <w:lang w:eastAsia="en-AU"/>
        </w:rPr>
        <w:t xml:space="preserve">RRCP flow limit options within each project area. The three core RRCP </w:t>
      </w:r>
      <w:r>
        <w:rPr>
          <w:color w:val="000000"/>
          <w:sz w:val="22"/>
          <w:szCs w:val="22"/>
          <w:lang w:eastAsia="en-AU"/>
        </w:rPr>
        <w:t>focal zones are</w:t>
      </w:r>
      <w:r w:rsidRPr="3FC79A6E">
        <w:rPr>
          <w:color w:val="000000"/>
          <w:sz w:val="22"/>
          <w:szCs w:val="22"/>
          <w:lang w:eastAsia="en-AU"/>
        </w:rPr>
        <w:t>:</w:t>
      </w:r>
    </w:p>
    <w:p w14:paraId="7A20F20A" w14:textId="77777777" w:rsidR="00491210" w:rsidRDefault="00EE200C" w:rsidP="003164AD">
      <w:pPr>
        <w:pStyle w:val="ListParagraph"/>
        <w:numPr>
          <w:ilvl w:val="0"/>
          <w:numId w:val="41"/>
        </w:numPr>
        <w:spacing w:after="0" w:line="259" w:lineRule="auto"/>
        <w:jc w:val="both"/>
        <w:rPr>
          <w:rFonts w:ascii="Arial" w:eastAsia="Arial" w:hAnsi="Arial"/>
          <w:color w:val="000000"/>
          <w:sz w:val="22"/>
          <w:szCs w:val="22"/>
        </w:rPr>
      </w:pPr>
      <w:r w:rsidRPr="3FC79A6E">
        <w:rPr>
          <w:rFonts w:ascii="Arial" w:eastAsia="Arial" w:hAnsi="Arial"/>
          <w:color w:val="000000"/>
          <w:sz w:val="22"/>
          <w:szCs w:val="22"/>
        </w:rPr>
        <w:t>Murray River</w:t>
      </w:r>
      <w:r>
        <w:rPr>
          <w:rFonts w:ascii="Arial" w:eastAsia="Arial" w:hAnsi="Arial"/>
          <w:color w:val="000000"/>
          <w:sz w:val="22"/>
          <w:szCs w:val="22"/>
        </w:rPr>
        <w:t>—</w:t>
      </w:r>
      <w:r w:rsidRPr="3FC79A6E">
        <w:rPr>
          <w:rFonts w:ascii="Arial" w:eastAsia="Arial" w:hAnsi="Arial"/>
          <w:color w:val="000000"/>
          <w:sz w:val="22"/>
          <w:szCs w:val="22"/>
        </w:rPr>
        <w:t>Hume</w:t>
      </w:r>
      <w:r>
        <w:rPr>
          <w:rFonts w:ascii="Arial" w:eastAsia="Arial" w:hAnsi="Arial"/>
          <w:color w:val="000000"/>
          <w:sz w:val="22"/>
          <w:szCs w:val="22"/>
        </w:rPr>
        <w:t xml:space="preserve"> Weir</w:t>
      </w:r>
      <w:r w:rsidRPr="3FC79A6E">
        <w:rPr>
          <w:rFonts w:ascii="Arial" w:eastAsia="Arial" w:hAnsi="Arial"/>
          <w:color w:val="000000"/>
          <w:sz w:val="22"/>
          <w:szCs w:val="22"/>
        </w:rPr>
        <w:t xml:space="preserve"> to Yarrawonga</w:t>
      </w:r>
      <w:r>
        <w:rPr>
          <w:rFonts w:ascii="Arial" w:eastAsia="Arial" w:hAnsi="Arial"/>
          <w:color w:val="000000"/>
          <w:sz w:val="22"/>
          <w:szCs w:val="22"/>
        </w:rPr>
        <w:t xml:space="preserve"> Weir</w:t>
      </w:r>
    </w:p>
    <w:p w14:paraId="5CF26B08" w14:textId="77777777" w:rsidR="00491210" w:rsidRDefault="00EE200C" w:rsidP="003164AD">
      <w:pPr>
        <w:pStyle w:val="ListParagraph"/>
        <w:numPr>
          <w:ilvl w:val="0"/>
          <w:numId w:val="41"/>
        </w:numPr>
        <w:spacing w:after="0" w:line="259" w:lineRule="auto"/>
        <w:jc w:val="both"/>
        <w:rPr>
          <w:rFonts w:ascii="Arial" w:eastAsia="Arial" w:hAnsi="Arial"/>
          <w:color w:val="000000"/>
          <w:sz w:val="22"/>
          <w:szCs w:val="22"/>
        </w:rPr>
      </w:pPr>
      <w:r>
        <w:rPr>
          <w:rFonts w:ascii="Arial" w:eastAsia="Arial" w:hAnsi="Arial"/>
          <w:color w:val="000000"/>
          <w:sz w:val="22"/>
          <w:szCs w:val="22"/>
        </w:rPr>
        <w:t>Murray River—</w:t>
      </w:r>
      <w:r w:rsidRPr="35AC703F">
        <w:rPr>
          <w:rFonts w:ascii="Arial" w:eastAsia="Arial" w:hAnsi="Arial"/>
          <w:color w:val="000000"/>
          <w:sz w:val="22"/>
          <w:szCs w:val="22"/>
        </w:rPr>
        <w:t xml:space="preserve">Yarrawonga to Wakool </w:t>
      </w:r>
      <w:r>
        <w:rPr>
          <w:rFonts w:ascii="Arial" w:eastAsia="Arial" w:hAnsi="Arial"/>
          <w:color w:val="000000"/>
          <w:sz w:val="22"/>
          <w:szCs w:val="22"/>
        </w:rPr>
        <w:t>Junction</w:t>
      </w:r>
    </w:p>
    <w:p w14:paraId="62A97EED" w14:textId="60D53F84" w:rsidR="00491210" w:rsidRPr="00BA14A8" w:rsidRDefault="00EE200C" w:rsidP="00BA14A8">
      <w:pPr>
        <w:pStyle w:val="ListParagraph"/>
        <w:numPr>
          <w:ilvl w:val="0"/>
          <w:numId w:val="41"/>
        </w:numPr>
        <w:spacing w:after="0" w:line="259" w:lineRule="auto"/>
        <w:jc w:val="both"/>
        <w:rPr>
          <w:rFonts w:eastAsia="Arial"/>
          <w:color w:val="000000"/>
          <w:sz w:val="22"/>
          <w:szCs w:val="22"/>
        </w:rPr>
      </w:pPr>
      <w:r w:rsidRPr="3FC79A6E">
        <w:rPr>
          <w:rFonts w:ascii="Arial" w:eastAsia="Arial" w:hAnsi="Arial"/>
          <w:color w:val="000000"/>
          <w:sz w:val="22"/>
          <w:szCs w:val="22"/>
        </w:rPr>
        <w:t>Murrumbidgee River</w:t>
      </w:r>
      <w:r>
        <w:rPr>
          <w:rFonts w:ascii="Arial" w:eastAsia="Arial" w:hAnsi="Arial"/>
          <w:color w:val="000000"/>
          <w:sz w:val="22"/>
          <w:szCs w:val="22"/>
        </w:rPr>
        <w:t>—</w:t>
      </w:r>
      <w:r w:rsidRPr="00D1452A">
        <w:rPr>
          <w:rFonts w:ascii="Arial" w:eastAsia="Arial" w:hAnsi="Arial"/>
          <w:color w:val="000000"/>
          <w:sz w:val="22"/>
          <w:szCs w:val="22"/>
        </w:rPr>
        <w:t xml:space="preserve">Burrinjuck </w:t>
      </w:r>
      <w:r>
        <w:rPr>
          <w:rFonts w:ascii="Arial" w:eastAsia="Arial" w:hAnsi="Arial"/>
          <w:color w:val="000000"/>
          <w:sz w:val="22"/>
          <w:szCs w:val="22"/>
        </w:rPr>
        <w:t>D</w:t>
      </w:r>
      <w:r w:rsidRPr="00D1452A">
        <w:rPr>
          <w:rFonts w:ascii="Arial" w:eastAsia="Arial" w:hAnsi="Arial"/>
          <w:color w:val="000000"/>
          <w:sz w:val="22"/>
          <w:szCs w:val="22"/>
        </w:rPr>
        <w:t>am</w:t>
      </w:r>
      <w:r>
        <w:rPr>
          <w:rFonts w:ascii="Arial" w:eastAsia="Arial" w:hAnsi="Arial"/>
          <w:color w:val="000000"/>
          <w:sz w:val="22"/>
          <w:szCs w:val="22"/>
        </w:rPr>
        <w:t xml:space="preserve"> to Murray Junction</w:t>
      </w:r>
    </w:p>
    <w:p w14:paraId="2EA0744D" w14:textId="436E0C44" w:rsidR="00491210" w:rsidRDefault="00EE200C" w:rsidP="3FC79A6E">
      <w:pPr>
        <w:spacing w:before="240" w:after="240"/>
        <w:jc w:val="both"/>
        <w:rPr>
          <w:color w:val="000000"/>
          <w:sz w:val="22"/>
          <w:szCs w:val="22"/>
          <w:lang w:eastAsia="en-AU"/>
        </w:rPr>
      </w:pPr>
      <w:r w:rsidRPr="005379AC">
        <w:rPr>
          <w:color w:val="000000"/>
          <w:sz w:val="22"/>
          <w:szCs w:val="22"/>
          <w:lang w:eastAsia="en-AU"/>
        </w:rPr>
        <w:t>The RRCP focal zone Yarrawonga to Wakool Junction was modelled as</w:t>
      </w:r>
      <w:r>
        <w:rPr>
          <w:color w:val="000000"/>
          <w:sz w:val="22"/>
          <w:szCs w:val="22"/>
          <w:lang w:eastAsia="en-AU"/>
        </w:rPr>
        <w:t xml:space="preserve"> two separate populations from</w:t>
      </w:r>
      <w:r w:rsidRPr="005379AC">
        <w:rPr>
          <w:color w:val="000000"/>
          <w:sz w:val="22"/>
          <w:szCs w:val="22"/>
          <w:lang w:eastAsia="en-AU"/>
        </w:rPr>
        <w:t xml:space="preserve"> Yarrawonga to Torrumbarry and Torrumbarry to Wentworth.</w:t>
      </w:r>
      <w:r>
        <w:rPr>
          <w:color w:val="000000"/>
          <w:sz w:val="22"/>
          <w:szCs w:val="22"/>
          <w:lang w:eastAsia="en-AU"/>
        </w:rPr>
        <w:t xml:space="preserve"> </w:t>
      </w:r>
      <w:r w:rsidRPr="3FC79A6E">
        <w:rPr>
          <w:color w:val="000000"/>
          <w:sz w:val="22"/>
          <w:szCs w:val="22"/>
          <w:lang w:eastAsia="en-AU"/>
        </w:rPr>
        <w:t xml:space="preserve">To </w:t>
      </w:r>
      <w:r>
        <w:rPr>
          <w:color w:val="000000"/>
          <w:sz w:val="22"/>
          <w:szCs w:val="22"/>
          <w:lang w:eastAsia="en-AU"/>
        </w:rPr>
        <w:t xml:space="preserve">better </w:t>
      </w:r>
      <w:r w:rsidRPr="3FC79A6E">
        <w:rPr>
          <w:color w:val="000000"/>
          <w:sz w:val="22"/>
          <w:szCs w:val="22"/>
          <w:lang w:eastAsia="en-AU"/>
        </w:rPr>
        <w:t xml:space="preserve">represent the ecology of </w:t>
      </w:r>
      <w:r>
        <w:rPr>
          <w:color w:val="000000"/>
          <w:sz w:val="22"/>
          <w:szCs w:val="22"/>
          <w:lang w:eastAsia="en-AU"/>
        </w:rPr>
        <w:t>the two native species</w:t>
      </w:r>
      <w:r w:rsidRPr="3FC79A6E">
        <w:rPr>
          <w:color w:val="000000"/>
          <w:sz w:val="22"/>
          <w:szCs w:val="22"/>
          <w:lang w:eastAsia="en-AU"/>
        </w:rPr>
        <w:t>, the downstream boundary</w:t>
      </w:r>
      <w:r>
        <w:rPr>
          <w:color w:val="000000"/>
          <w:sz w:val="22"/>
          <w:szCs w:val="22"/>
          <w:lang w:eastAsia="en-AU"/>
        </w:rPr>
        <w:t xml:space="preserve"> of Wakool Junction was</w:t>
      </w:r>
      <w:r w:rsidRPr="3FC79A6E">
        <w:rPr>
          <w:color w:val="000000"/>
          <w:sz w:val="22"/>
          <w:szCs w:val="22"/>
          <w:lang w:eastAsia="en-AU"/>
        </w:rPr>
        <w:t xml:space="preserve"> extended to</w:t>
      </w:r>
      <w:r>
        <w:rPr>
          <w:color w:val="000000"/>
          <w:sz w:val="22"/>
          <w:szCs w:val="22"/>
          <w:lang w:eastAsia="en-AU"/>
        </w:rPr>
        <w:t xml:space="preserve"> Wentworth.</w:t>
      </w:r>
      <w:r w:rsidRPr="3FC79A6E">
        <w:rPr>
          <w:color w:val="000000"/>
          <w:sz w:val="22"/>
          <w:szCs w:val="22"/>
          <w:lang w:eastAsia="en-AU"/>
        </w:rPr>
        <w:t xml:space="preserve"> </w:t>
      </w:r>
      <w:r>
        <w:rPr>
          <w:color w:val="000000"/>
          <w:sz w:val="22"/>
          <w:szCs w:val="22"/>
          <w:lang w:eastAsia="en-AU"/>
        </w:rPr>
        <w:t>In addition, a</w:t>
      </w:r>
      <w:r w:rsidRPr="3FC79A6E">
        <w:rPr>
          <w:color w:val="000000"/>
          <w:sz w:val="22"/>
          <w:szCs w:val="22"/>
          <w:lang w:eastAsia="en-AU"/>
        </w:rPr>
        <w:t xml:space="preserve">s Golden Perch are a highly mobile species </w:t>
      </w:r>
      <w:r>
        <w:rPr>
          <w:color w:val="000000"/>
          <w:sz w:val="22"/>
          <w:szCs w:val="22"/>
          <w:lang w:eastAsia="en-AU"/>
        </w:rPr>
        <w:t>(</w:t>
      </w:r>
      <w:r w:rsidRPr="3FC79A6E">
        <w:rPr>
          <w:color w:val="000000"/>
          <w:sz w:val="22"/>
          <w:szCs w:val="22"/>
          <w:lang w:eastAsia="en-AU"/>
        </w:rPr>
        <w:t>known to move large distances</w:t>
      </w:r>
      <w:r>
        <w:rPr>
          <w:color w:val="000000"/>
          <w:sz w:val="22"/>
          <w:szCs w:val="22"/>
          <w:lang w:eastAsia="en-AU"/>
        </w:rPr>
        <w:t>), and</w:t>
      </w:r>
      <w:r w:rsidRPr="3FC79A6E">
        <w:rPr>
          <w:color w:val="000000"/>
          <w:sz w:val="22"/>
          <w:szCs w:val="22"/>
          <w:lang w:eastAsia="en-AU"/>
        </w:rPr>
        <w:t xml:space="preserve"> the </w:t>
      </w:r>
      <w:r>
        <w:rPr>
          <w:color w:val="000000"/>
          <w:sz w:val="22"/>
          <w:szCs w:val="22"/>
          <w:lang w:eastAsia="en-AU"/>
        </w:rPr>
        <w:t>L</w:t>
      </w:r>
      <w:r w:rsidRPr="3FC79A6E">
        <w:rPr>
          <w:color w:val="000000"/>
          <w:sz w:val="22"/>
          <w:szCs w:val="22"/>
          <w:lang w:eastAsia="en-AU"/>
        </w:rPr>
        <w:t xml:space="preserve">ower Murray and </w:t>
      </w:r>
      <w:r>
        <w:rPr>
          <w:color w:val="000000"/>
          <w:sz w:val="22"/>
          <w:szCs w:val="22"/>
          <w:lang w:eastAsia="en-AU"/>
        </w:rPr>
        <w:t>the Lower Darling</w:t>
      </w:r>
      <w:r w:rsidRPr="3FC79A6E">
        <w:rPr>
          <w:color w:val="000000"/>
          <w:sz w:val="22"/>
          <w:szCs w:val="22"/>
          <w:lang w:eastAsia="en-AU"/>
        </w:rPr>
        <w:t xml:space="preserve"> </w:t>
      </w:r>
      <w:r>
        <w:rPr>
          <w:color w:val="000000"/>
          <w:sz w:val="22"/>
          <w:szCs w:val="22"/>
          <w:lang w:eastAsia="en-AU"/>
        </w:rPr>
        <w:t>rivers</w:t>
      </w:r>
      <w:r w:rsidRPr="3FC79A6E">
        <w:rPr>
          <w:color w:val="000000"/>
          <w:sz w:val="22"/>
          <w:szCs w:val="22"/>
          <w:lang w:eastAsia="en-AU"/>
        </w:rPr>
        <w:t xml:space="preserve"> are known to </w:t>
      </w:r>
      <w:r>
        <w:rPr>
          <w:color w:val="000000"/>
          <w:sz w:val="22"/>
          <w:szCs w:val="22"/>
          <w:lang w:eastAsia="en-AU"/>
        </w:rPr>
        <w:t>support</w:t>
      </w:r>
      <w:r w:rsidRPr="3FC79A6E">
        <w:rPr>
          <w:color w:val="000000"/>
          <w:sz w:val="22"/>
          <w:szCs w:val="22"/>
          <w:lang w:eastAsia="en-AU"/>
        </w:rPr>
        <w:t xml:space="preserve"> important populations, the Golden Perch model </w:t>
      </w:r>
      <w:r>
        <w:rPr>
          <w:color w:val="000000"/>
          <w:sz w:val="22"/>
          <w:szCs w:val="22"/>
          <w:lang w:eastAsia="en-AU"/>
        </w:rPr>
        <w:t>wa</w:t>
      </w:r>
      <w:r w:rsidRPr="3FC79A6E">
        <w:rPr>
          <w:color w:val="000000"/>
          <w:sz w:val="22"/>
          <w:szCs w:val="22"/>
          <w:lang w:eastAsia="en-AU"/>
        </w:rPr>
        <w:t xml:space="preserve">s extended to include the Lower Murray (including the lower lakes) and the </w:t>
      </w:r>
      <w:r>
        <w:rPr>
          <w:color w:val="000000"/>
          <w:sz w:val="22"/>
          <w:szCs w:val="22"/>
          <w:lang w:eastAsia="en-AU"/>
        </w:rPr>
        <w:t>Lower Darling</w:t>
      </w:r>
      <w:r w:rsidRPr="3FC79A6E">
        <w:rPr>
          <w:color w:val="000000"/>
          <w:sz w:val="22"/>
          <w:szCs w:val="22"/>
          <w:lang w:eastAsia="en-AU"/>
        </w:rPr>
        <w:t xml:space="preserve"> </w:t>
      </w:r>
      <w:r>
        <w:rPr>
          <w:color w:val="000000"/>
          <w:sz w:val="22"/>
          <w:szCs w:val="22"/>
          <w:lang w:eastAsia="en-AU"/>
        </w:rPr>
        <w:t>rivers</w:t>
      </w:r>
      <w:r w:rsidRPr="00915A3A">
        <w:rPr>
          <w:color w:val="000000"/>
          <w:sz w:val="22"/>
          <w:szCs w:val="22"/>
          <w:lang w:eastAsia="en-AU"/>
        </w:rPr>
        <w:t>. For the purpose</w:t>
      </w:r>
      <w:r>
        <w:rPr>
          <w:color w:val="000000"/>
          <w:sz w:val="22"/>
          <w:szCs w:val="22"/>
          <w:lang w:eastAsia="en-AU"/>
        </w:rPr>
        <w:t>s</w:t>
      </w:r>
      <w:r w:rsidRPr="00915A3A">
        <w:rPr>
          <w:color w:val="000000"/>
          <w:sz w:val="22"/>
          <w:szCs w:val="22"/>
          <w:lang w:eastAsia="en-AU"/>
        </w:rPr>
        <w:t xml:space="preserve"> of this report, we use the term </w:t>
      </w:r>
      <w:r>
        <w:rPr>
          <w:color w:val="000000"/>
          <w:sz w:val="22"/>
          <w:szCs w:val="22"/>
          <w:lang w:eastAsia="en-AU"/>
        </w:rPr>
        <w:t>‘</w:t>
      </w:r>
      <w:r w:rsidRPr="00915A3A">
        <w:rPr>
          <w:color w:val="000000"/>
          <w:sz w:val="22"/>
          <w:szCs w:val="22"/>
          <w:lang w:eastAsia="en-AU"/>
        </w:rPr>
        <w:t>Total RRCP Populations</w:t>
      </w:r>
      <w:r w:rsidRPr="00757F17">
        <w:rPr>
          <w:color w:val="000000"/>
          <w:sz w:val="22"/>
          <w:szCs w:val="22"/>
          <w:lang w:eastAsia="en-AU"/>
        </w:rPr>
        <w:t>’</w:t>
      </w:r>
      <w:r w:rsidRPr="00915A3A">
        <w:rPr>
          <w:color w:val="000000"/>
          <w:sz w:val="22"/>
          <w:szCs w:val="22"/>
          <w:lang w:eastAsia="en-AU"/>
        </w:rPr>
        <w:t xml:space="preserve"> to represent all modelled RRCP </w:t>
      </w:r>
      <w:r>
        <w:rPr>
          <w:color w:val="000000"/>
          <w:sz w:val="22"/>
          <w:szCs w:val="22"/>
          <w:lang w:eastAsia="en-AU"/>
        </w:rPr>
        <w:t>focal zones</w:t>
      </w:r>
      <w:r w:rsidRPr="00915A3A">
        <w:rPr>
          <w:color w:val="000000"/>
          <w:sz w:val="22"/>
          <w:szCs w:val="22"/>
          <w:lang w:eastAsia="en-AU"/>
        </w:rPr>
        <w:t xml:space="preserve"> with the addition of the Murray River downstream from Wakool </w:t>
      </w:r>
      <w:r>
        <w:rPr>
          <w:color w:val="000000"/>
          <w:sz w:val="22"/>
          <w:szCs w:val="22"/>
          <w:lang w:eastAsia="en-AU"/>
        </w:rPr>
        <w:t>Junction</w:t>
      </w:r>
      <w:r w:rsidRPr="00915A3A">
        <w:rPr>
          <w:color w:val="000000"/>
          <w:sz w:val="22"/>
          <w:szCs w:val="22"/>
          <w:lang w:eastAsia="en-AU"/>
        </w:rPr>
        <w:t xml:space="preserve"> to Wentworth</w:t>
      </w:r>
      <w:r>
        <w:rPr>
          <w:color w:val="000000"/>
          <w:sz w:val="22"/>
          <w:szCs w:val="22"/>
          <w:lang w:eastAsia="en-AU"/>
        </w:rPr>
        <w:t xml:space="preserve">. </w:t>
      </w:r>
      <w:r w:rsidRPr="005379AC">
        <w:rPr>
          <w:color w:val="000000"/>
          <w:sz w:val="22"/>
          <w:szCs w:val="22"/>
          <w:lang w:eastAsia="en-AU"/>
        </w:rPr>
        <w:t>All the reaches modelled were included in the following: the Murray River from Lake Hume to the Murray Mouth (Golden Perch), the Murray River from Lake Hume to Wentworth (Murray Cod), the Edward River (both species), the Lower Darling River (Golden Perch), the Murrumbidgee River upstream of Balranald to Gundagai (both species</w:t>
      </w:r>
      <w:r>
        <w:rPr>
          <w:color w:val="000000"/>
          <w:sz w:val="22"/>
          <w:szCs w:val="22"/>
          <w:lang w:eastAsia="en-AU"/>
        </w:rPr>
        <w:t xml:space="preserve"> </w:t>
      </w:r>
      <w:r w:rsidRPr="008D12AA">
        <w:rPr>
          <w:color w:val="000000"/>
          <w:sz w:val="22"/>
          <w:szCs w:val="22"/>
          <w:lang w:eastAsia="en-AU"/>
        </w:rPr>
        <w:t>– fish populations were not modelled upstream of Gundagai to Burrinjuck Dam</w:t>
      </w:r>
      <w:r>
        <w:rPr>
          <w:color w:val="000000"/>
          <w:sz w:val="22"/>
          <w:szCs w:val="22"/>
          <w:lang w:eastAsia="en-AU"/>
        </w:rPr>
        <w:t xml:space="preserve"> due to thermal pollution and this reach not contributing to native fish recovery</w:t>
      </w:r>
      <w:r w:rsidRPr="005379AC">
        <w:rPr>
          <w:color w:val="000000"/>
          <w:sz w:val="22"/>
          <w:szCs w:val="22"/>
          <w:lang w:eastAsia="en-AU"/>
        </w:rPr>
        <w:t>), and Yanco Creek (Murray Cod).</w:t>
      </w:r>
    </w:p>
    <w:p w14:paraId="70177A8B" w14:textId="77777777" w:rsidR="00491210" w:rsidRPr="007C54A1" w:rsidRDefault="00EE200C" w:rsidP="00753F5C">
      <w:pPr>
        <w:pStyle w:val="Heading2-Numbered"/>
      </w:pPr>
      <w:bookmarkStart w:id="64" w:name="_Toc116994884"/>
      <w:r>
        <w:lastRenderedPageBreak/>
        <w:t>Conceptual models</w:t>
      </w:r>
      <w:bookmarkEnd w:id="64"/>
    </w:p>
    <w:p w14:paraId="442157B0" w14:textId="783FEF53" w:rsidR="00491210" w:rsidRPr="00555CC2" w:rsidRDefault="00EE200C" w:rsidP="3FC79A6E">
      <w:pPr>
        <w:spacing w:before="240" w:after="240"/>
        <w:jc w:val="both"/>
        <w:rPr>
          <w:rFonts w:ascii="Times New Roman" w:hAnsi="Times New Roman" w:cs="Times New Roman"/>
          <w:sz w:val="24"/>
          <w:lang w:eastAsia="en-AU"/>
        </w:rPr>
      </w:pPr>
      <w:r w:rsidRPr="3FC79A6E">
        <w:rPr>
          <w:color w:val="000000"/>
          <w:sz w:val="22"/>
          <w:szCs w:val="22"/>
          <w:lang w:eastAsia="en-AU"/>
        </w:rPr>
        <w:t>We examined</w:t>
      </w:r>
      <w:r>
        <w:rPr>
          <w:color w:val="000000"/>
          <w:sz w:val="22"/>
          <w:szCs w:val="22"/>
          <w:lang w:eastAsia="en-AU"/>
        </w:rPr>
        <w:t>,</w:t>
      </w:r>
      <w:r w:rsidRPr="3FC79A6E">
        <w:rPr>
          <w:color w:val="000000"/>
          <w:sz w:val="22"/>
          <w:szCs w:val="22"/>
          <w:lang w:eastAsia="en-AU"/>
        </w:rPr>
        <w:t xml:space="preserve"> collated and reviewed published and unpublished ecological information and knowledge to identify uncertainties and </w:t>
      </w:r>
      <w:r>
        <w:rPr>
          <w:color w:val="000000"/>
          <w:sz w:val="22"/>
          <w:szCs w:val="22"/>
          <w:lang w:eastAsia="en-AU"/>
        </w:rPr>
        <w:t xml:space="preserve">to </w:t>
      </w:r>
      <w:r w:rsidRPr="3FC79A6E">
        <w:rPr>
          <w:color w:val="000000"/>
          <w:sz w:val="22"/>
          <w:szCs w:val="22"/>
          <w:lang w:eastAsia="en-AU"/>
        </w:rPr>
        <w:t xml:space="preserve">develop conceptual models of </w:t>
      </w:r>
      <w:r>
        <w:rPr>
          <w:color w:val="000000"/>
          <w:sz w:val="22"/>
          <w:szCs w:val="22"/>
          <w:lang w:eastAsia="en-AU"/>
        </w:rPr>
        <w:t xml:space="preserve">the </w:t>
      </w:r>
      <w:r w:rsidRPr="3FC79A6E">
        <w:rPr>
          <w:color w:val="000000"/>
          <w:sz w:val="22"/>
          <w:szCs w:val="22"/>
          <w:lang w:eastAsia="en-AU"/>
        </w:rPr>
        <w:t>life</w:t>
      </w:r>
      <w:r>
        <w:rPr>
          <w:color w:val="000000"/>
          <w:sz w:val="22"/>
          <w:szCs w:val="22"/>
          <w:lang w:eastAsia="en-AU"/>
        </w:rPr>
        <w:t xml:space="preserve"> </w:t>
      </w:r>
      <w:r w:rsidRPr="3FC79A6E">
        <w:rPr>
          <w:color w:val="000000"/>
          <w:sz w:val="22"/>
          <w:szCs w:val="22"/>
          <w:lang w:eastAsia="en-AU"/>
        </w:rPr>
        <w:t>histor</w:t>
      </w:r>
      <w:r>
        <w:rPr>
          <w:color w:val="000000"/>
          <w:sz w:val="22"/>
          <w:szCs w:val="22"/>
          <w:lang w:eastAsia="en-AU"/>
        </w:rPr>
        <w:t>ies of Golden Perch and Murray Cod</w:t>
      </w:r>
      <w:r w:rsidRPr="3FC79A6E">
        <w:rPr>
          <w:color w:val="000000"/>
          <w:sz w:val="22"/>
          <w:szCs w:val="22"/>
          <w:lang w:eastAsia="en-AU"/>
        </w:rPr>
        <w:t xml:space="preserve">. </w:t>
      </w:r>
      <w:r>
        <w:rPr>
          <w:color w:val="000000"/>
          <w:sz w:val="22"/>
          <w:szCs w:val="22"/>
          <w:lang w:eastAsia="en-AU"/>
        </w:rPr>
        <w:t xml:space="preserve">Much of the available knowledge has already been gathered (through </w:t>
      </w:r>
      <w:r w:rsidRPr="3FC79A6E">
        <w:rPr>
          <w:color w:val="000000"/>
          <w:sz w:val="22"/>
          <w:szCs w:val="22"/>
          <w:lang w:eastAsia="en-AU"/>
        </w:rPr>
        <w:t>extensive literature searches and workshops</w:t>
      </w:r>
      <w:r>
        <w:rPr>
          <w:color w:val="000000"/>
          <w:sz w:val="22"/>
          <w:szCs w:val="22"/>
          <w:lang w:eastAsia="en-AU"/>
        </w:rPr>
        <w:t>) and</w:t>
      </w:r>
      <w:r w:rsidRPr="3FC79A6E">
        <w:rPr>
          <w:color w:val="000000"/>
          <w:sz w:val="22"/>
          <w:szCs w:val="22"/>
          <w:lang w:eastAsia="en-AU"/>
        </w:rPr>
        <w:t xml:space="preserve"> collated </w:t>
      </w:r>
      <w:r>
        <w:rPr>
          <w:color w:val="000000"/>
          <w:sz w:val="22"/>
          <w:szCs w:val="22"/>
          <w:lang w:eastAsia="en-AU"/>
        </w:rPr>
        <w:t>in recent studies</w:t>
      </w:r>
      <w:r w:rsidRPr="3FC79A6E">
        <w:rPr>
          <w:color w:val="000000"/>
          <w:sz w:val="22"/>
          <w:szCs w:val="22"/>
          <w:lang w:eastAsia="en-AU"/>
        </w:rPr>
        <w:t xml:space="preserve"> (</w:t>
      </w:r>
      <w:r>
        <w:rPr>
          <w:color w:val="000000"/>
          <w:sz w:val="22"/>
          <w:szCs w:val="22"/>
          <w:lang w:eastAsia="en-AU"/>
        </w:rPr>
        <w:t xml:space="preserve">e.g. </w:t>
      </w:r>
      <w:r w:rsidRPr="3FC79A6E">
        <w:rPr>
          <w:color w:val="000000"/>
          <w:sz w:val="22"/>
          <w:szCs w:val="22"/>
          <w:lang w:eastAsia="en-AU"/>
        </w:rPr>
        <w:t xml:space="preserve">Koehn et al. 2020). This information was updated with additional expert opinion in RRCP project workshops in early 2021 to ensure that the latest ecological knowledge relevant to the RRCP sites under consideration could be used. Application of contemporary conceptual models was a critical step, particularly when determining </w:t>
      </w:r>
      <w:r>
        <w:rPr>
          <w:color w:val="000000"/>
          <w:sz w:val="22"/>
          <w:szCs w:val="22"/>
          <w:lang w:eastAsia="en-AU"/>
        </w:rPr>
        <w:t xml:space="preserve">(i) </w:t>
      </w:r>
      <w:r w:rsidRPr="3FC79A6E">
        <w:rPr>
          <w:color w:val="000000"/>
          <w:sz w:val="22"/>
          <w:szCs w:val="22"/>
          <w:lang w:eastAsia="en-AU"/>
        </w:rPr>
        <w:t>the spatial scale of species</w:t>
      </w:r>
      <w:r>
        <w:rPr>
          <w:color w:val="000000"/>
          <w:sz w:val="22"/>
          <w:szCs w:val="22"/>
          <w:lang w:eastAsia="en-AU"/>
        </w:rPr>
        <w:t>’</w:t>
      </w:r>
      <w:r w:rsidRPr="3FC79A6E">
        <w:rPr>
          <w:color w:val="000000"/>
          <w:sz w:val="22"/>
          <w:szCs w:val="22"/>
          <w:lang w:eastAsia="en-AU"/>
        </w:rPr>
        <w:t xml:space="preserve"> movements in relation to the model structure (i.e. metapopulations), </w:t>
      </w:r>
      <w:r>
        <w:rPr>
          <w:color w:val="000000"/>
          <w:sz w:val="22"/>
          <w:szCs w:val="22"/>
          <w:lang w:eastAsia="en-AU"/>
        </w:rPr>
        <w:t xml:space="preserve">(ii) </w:t>
      </w:r>
      <w:r w:rsidRPr="3FC79A6E">
        <w:rPr>
          <w:color w:val="000000"/>
          <w:sz w:val="22"/>
          <w:szCs w:val="22"/>
          <w:lang w:eastAsia="en-AU"/>
        </w:rPr>
        <w:t>parameteri</w:t>
      </w:r>
      <w:r>
        <w:rPr>
          <w:color w:val="000000"/>
          <w:sz w:val="22"/>
          <w:szCs w:val="22"/>
          <w:lang w:eastAsia="en-AU"/>
        </w:rPr>
        <w:t>s</w:t>
      </w:r>
      <w:r w:rsidRPr="3FC79A6E">
        <w:rPr>
          <w:color w:val="000000"/>
          <w:sz w:val="22"/>
          <w:szCs w:val="22"/>
          <w:lang w:eastAsia="en-AU"/>
        </w:rPr>
        <w:t>ation</w:t>
      </w:r>
      <w:r>
        <w:rPr>
          <w:color w:val="000000"/>
          <w:sz w:val="22"/>
          <w:szCs w:val="22"/>
          <w:lang w:eastAsia="en-AU"/>
        </w:rPr>
        <w:t>,</w:t>
      </w:r>
      <w:r w:rsidRPr="3FC79A6E">
        <w:rPr>
          <w:color w:val="000000"/>
          <w:sz w:val="22"/>
          <w:szCs w:val="22"/>
          <w:lang w:eastAsia="en-AU"/>
        </w:rPr>
        <w:t xml:space="preserve"> and </w:t>
      </w:r>
      <w:r>
        <w:rPr>
          <w:color w:val="000000"/>
          <w:sz w:val="22"/>
          <w:szCs w:val="22"/>
          <w:lang w:eastAsia="en-AU"/>
        </w:rPr>
        <w:t xml:space="preserve">(iii) </w:t>
      </w:r>
      <w:r w:rsidRPr="3FC79A6E">
        <w:rPr>
          <w:color w:val="000000"/>
          <w:sz w:val="22"/>
          <w:szCs w:val="22"/>
          <w:lang w:eastAsia="en-AU"/>
        </w:rPr>
        <w:t>management units. For each of the subpopulations, the local context</w:t>
      </w:r>
      <w:r>
        <w:rPr>
          <w:color w:val="000000"/>
          <w:sz w:val="22"/>
          <w:szCs w:val="22"/>
          <w:lang w:eastAsia="en-AU"/>
        </w:rPr>
        <w:t xml:space="preserve"> (including factors </w:t>
      </w:r>
      <w:r w:rsidRPr="3FC79A6E">
        <w:rPr>
          <w:color w:val="000000"/>
          <w:sz w:val="22"/>
          <w:szCs w:val="22"/>
          <w:lang w:eastAsia="en-AU"/>
        </w:rPr>
        <w:t>such as fishway passage</w:t>
      </w:r>
      <w:r>
        <w:rPr>
          <w:color w:val="000000"/>
          <w:sz w:val="22"/>
          <w:szCs w:val="22"/>
          <w:lang w:eastAsia="en-AU"/>
        </w:rPr>
        <w:t xml:space="preserve"> availability</w:t>
      </w:r>
      <w:r w:rsidRPr="3FC79A6E">
        <w:rPr>
          <w:color w:val="000000"/>
          <w:sz w:val="22"/>
          <w:szCs w:val="22"/>
          <w:lang w:eastAsia="en-AU"/>
        </w:rPr>
        <w:t>, flow rates, physical structure</w:t>
      </w:r>
      <w:r>
        <w:rPr>
          <w:color w:val="000000"/>
          <w:sz w:val="22"/>
          <w:szCs w:val="22"/>
          <w:lang w:eastAsia="en-AU"/>
        </w:rPr>
        <w:t xml:space="preserve"> of the environment</w:t>
      </w:r>
      <w:r w:rsidRPr="3FC79A6E">
        <w:rPr>
          <w:color w:val="000000"/>
          <w:sz w:val="22"/>
          <w:szCs w:val="22"/>
          <w:lang w:eastAsia="en-AU"/>
        </w:rPr>
        <w:t>, and fish movement</w:t>
      </w:r>
      <w:r>
        <w:rPr>
          <w:color w:val="000000"/>
          <w:sz w:val="22"/>
          <w:szCs w:val="22"/>
          <w:lang w:eastAsia="en-AU"/>
        </w:rPr>
        <w:t xml:space="preserve"> patterns) was</w:t>
      </w:r>
      <w:r w:rsidRPr="3FC79A6E">
        <w:rPr>
          <w:color w:val="000000"/>
          <w:sz w:val="22"/>
          <w:szCs w:val="22"/>
          <w:lang w:eastAsia="en-AU"/>
        </w:rPr>
        <w:t xml:space="preserve"> </w:t>
      </w:r>
      <w:r w:rsidRPr="00555CC2">
        <w:rPr>
          <w:color w:val="363534" w:themeColor="text1"/>
          <w:sz w:val="22"/>
          <w:szCs w:val="22"/>
          <w:lang w:eastAsia="en-AU"/>
        </w:rPr>
        <w:t>considered.</w:t>
      </w:r>
    </w:p>
    <w:p w14:paraId="2204E8C6" w14:textId="2A3A4D0A" w:rsidR="00491210" w:rsidRPr="00555CC2" w:rsidRDefault="00EE200C" w:rsidP="00204808">
      <w:pPr>
        <w:spacing w:before="240" w:after="240"/>
        <w:jc w:val="both"/>
        <w:rPr>
          <w:color w:val="000000"/>
          <w:sz w:val="22"/>
          <w:szCs w:val="22"/>
          <w:lang w:eastAsia="en-AU"/>
        </w:rPr>
      </w:pPr>
      <w:r w:rsidRPr="00555CC2">
        <w:rPr>
          <w:color w:val="000000"/>
          <w:sz w:val="22"/>
          <w:szCs w:val="22"/>
          <w:lang w:eastAsia="en-AU"/>
        </w:rPr>
        <w:t xml:space="preserve">These conceptual models </w:t>
      </w:r>
      <w:r>
        <w:rPr>
          <w:color w:val="000000"/>
          <w:sz w:val="22"/>
          <w:szCs w:val="22"/>
          <w:lang w:eastAsia="en-AU"/>
        </w:rPr>
        <w:t>in</w:t>
      </w:r>
      <w:r w:rsidRPr="00555CC2">
        <w:rPr>
          <w:color w:val="000000"/>
          <w:sz w:val="22"/>
          <w:szCs w:val="22"/>
          <w:lang w:eastAsia="en-AU"/>
        </w:rPr>
        <w:t>form</w:t>
      </w:r>
      <w:r>
        <w:rPr>
          <w:color w:val="000000"/>
          <w:sz w:val="22"/>
          <w:szCs w:val="22"/>
          <w:lang w:eastAsia="en-AU"/>
        </w:rPr>
        <w:t>ed</w:t>
      </w:r>
      <w:r w:rsidRPr="00555CC2">
        <w:rPr>
          <w:color w:val="000000"/>
          <w:sz w:val="22"/>
          <w:szCs w:val="22"/>
          <w:lang w:eastAsia="en-AU"/>
        </w:rPr>
        <w:t xml:space="preserve"> the structure of the population models and the rules within them, </w:t>
      </w:r>
      <w:r>
        <w:rPr>
          <w:color w:val="000000"/>
          <w:sz w:val="22"/>
          <w:szCs w:val="22"/>
          <w:lang w:eastAsia="en-AU"/>
        </w:rPr>
        <w:t>and in addition revealed</w:t>
      </w:r>
      <w:r w:rsidRPr="00555CC2">
        <w:rPr>
          <w:color w:val="000000"/>
          <w:sz w:val="22"/>
          <w:szCs w:val="22"/>
          <w:lang w:eastAsia="en-AU"/>
        </w:rPr>
        <w:t xml:space="preserve"> the population drivers that m</w:t>
      </w:r>
      <w:r>
        <w:rPr>
          <w:color w:val="000000"/>
          <w:sz w:val="22"/>
          <w:szCs w:val="22"/>
          <w:lang w:eastAsia="en-AU"/>
        </w:rPr>
        <w:t>ight</w:t>
      </w:r>
      <w:r w:rsidRPr="00555CC2">
        <w:rPr>
          <w:color w:val="000000"/>
          <w:sz w:val="22"/>
          <w:szCs w:val="22"/>
          <w:lang w:eastAsia="en-AU"/>
        </w:rPr>
        <w:t xml:space="preserve"> be influenced by the specific flow rules </w:t>
      </w:r>
      <w:r>
        <w:rPr>
          <w:color w:val="000000"/>
          <w:sz w:val="22"/>
          <w:szCs w:val="22"/>
          <w:lang w:eastAsia="en-AU"/>
        </w:rPr>
        <w:t>reflecting</w:t>
      </w:r>
      <w:r w:rsidRPr="00555CC2">
        <w:rPr>
          <w:color w:val="000000"/>
          <w:sz w:val="22"/>
          <w:szCs w:val="22"/>
          <w:lang w:eastAsia="en-AU"/>
        </w:rPr>
        <w:t xml:space="preserve"> the </w:t>
      </w:r>
      <w:r>
        <w:rPr>
          <w:color w:val="000000"/>
          <w:sz w:val="22"/>
          <w:szCs w:val="22"/>
          <w:lang w:eastAsia="en-AU"/>
        </w:rPr>
        <w:t xml:space="preserve">proposed </w:t>
      </w:r>
      <w:r w:rsidRPr="00555CC2">
        <w:rPr>
          <w:color w:val="000000"/>
          <w:sz w:val="22"/>
          <w:szCs w:val="22"/>
          <w:lang w:eastAsia="en-AU"/>
        </w:rPr>
        <w:t xml:space="preserve">RRCP flow changes. For example, knowledge of the movements of Golden Perch </w:t>
      </w:r>
      <w:r>
        <w:rPr>
          <w:color w:val="000000"/>
          <w:sz w:val="22"/>
          <w:szCs w:val="22"/>
          <w:lang w:eastAsia="en-AU"/>
        </w:rPr>
        <w:t>is</w:t>
      </w:r>
      <w:r w:rsidRPr="00555CC2">
        <w:rPr>
          <w:color w:val="000000"/>
          <w:sz w:val="22"/>
          <w:szCs w:val="22"/>
          <w:lang w:eastAsia="en-AU"/>
        </w:rPr>
        <w:t xml:space="preserve"> vital </w:t>
      </w:r>
      <w:r>
        <w:rPr>
          <w:color w:val="000000"/>
          <w:sz w:val="22"/>
          <w:szCs w:val="22"/>
          <w:lang w:eastAsia="en-AU"/>
        </w:rPr>
        <w:t>in</w:t>
      </w:r>
      <w:r w:rsidRPr="00555CC2">
        <w:rPr>
          <w:color w:val="000000"/>
          <w:sz w:val="22"/>
          <w:szCs w:val="22"/>
          <w:lang w:eastAsia="en-AU"/>
        </w:rPr>
        <w:t xml:space="preserve"> establishing rules that </w:t>
      </w:r>
      <w:r>
        <w:rPr>
          <w:color w:val="000000"/>
          <w:sz w:val="22"/>
          <w:szCs w:val="22"/>
          <w:lang w:eastAsia="en-AU"/>
        </w:rPr>
        <w:t xml:space="preserve">will </w:t>
      </w:r>
      <w:r w:rsidRPr="00555CC2">
        <w:rPr>
          <w:color w:val="000000"/>
          <w:sz w:val="22"/>
          <w:szCs w:val="22"/>
          <w:lang w:eastAsia="en-AU"/>
        </w:rPr>
        <w:t xml:space="preserve">allow for the movement of the </w:t>
      </w:r>
      <w:r>
        <w:rPr>
          <w:color w:val="000000"/>
          <w:sz w:val="22"/>
          <w:szCs w:val="22"/>
          <w:lang w:eastAsia="en-AU"/>
        </w:rPr>
        <w:t>various</w:t>
      </w:r>
      <w:r w:rsidRPr="00555CC2">
        <w:rPr>
          <w:color w:val="000000"/>
          <w:sz w:val="22"/>
          <w:szCs w:val="22"/>
          <w:lang w:eastAsia="en-AU"/>
        </w:rPr>
        <w:t xml:space="preserve"> life stages between the river reaches in the meta-population model. Similarly, conceptual understanding of </w:t>
      </w:r>
      <w:r>
        <w:rPr>
          <w:color w:val="000000"/>
          <w:sz w:val="22"/>
          <w:szCs w:val="22"/>
          <w:lang w:eastAsia="en-AU"/>
        </w:rPr>
        <w:t xml:space="preserve">the impacts of </w:t>
      </w:r>
      <w:r w:rsidRPr="00555CC2">
        <w:rPr>
          <w:color w:val="000000"/>
          <w:sz w:val="22"/>
          <w:szCs w:val="22"/>
          <w:lang w:eastAsia="en-AU"/>
        </w:rPr>
        <w:t xml:space="preserve">hypoxic blackwater events are important </w:t>
      </w:r>
      <w:r>
        <w:rPr>
          <w:color w:val="000000"/>
          <w:sz w:val="22"/>
          <w:szCs w:val="22"/>
          <w:lang w:eastAsia="en-AU"/>
        </w:rPr>
        <w:t>in representing</w:t>
      </w:r>
      <w:r w:rsidRPr="00555CC2">
        <w:rPr>
          <w:color w:val="000000"/>
          <w:sz w:val="22"/>
          <w:szCs w:val="22"/>
          <w:lang w:eastAsia="en-AU"/>
        </w:rPr>
        <w:t xml:space="preserve"> Murray Cod population dynami</w:t>
      </w:r>
      <w:r>
        <w:rPr>
          <w:color w:val="000000"/>
          <w:sz w:val="22"/>
          <w:szCs w:val="22"/>
          <w:lang w:eastAsia="en-AU"/>
        </w:rPr>
        <w:t>cs</w:t>
      </w:r>
      <w:r w:rsidRPr="00555CC2">
        <w:rPr>
          <w:color w:val="000000"/>
          <w:sz w:val="22"/>
          <w:szCs w:val="22"/>
          <w:lang w:eastAsia="en-AU"/>
        </w:rPr>
        <w:t>.</w:t>
      </w:r>
    </w:p>
    <w:p w14:paraId="3783999C" w14:textId="49642C12" w:rsidR="00491210" w:rsidRDefault="00EE200C" w:rsidP="00C55DAF">
      <w:pPr>
        <w:pStyle w:val="Heading3-Numbered"/>
      </w:pPr>
      <w:bookmarkStart w:id="65" w:name="_Toc116994885"/>
      <w:r>
        <w:t>Golden Perch conceptual model</w:t>
      </w:r>
      <w:bookmarkEnd w:id="65"/>
    </w:p>
    <w:p w14:paraId="5C9A7EAB" w14:textId="53C9DE2B" w:rsidR="00491210" w:rsidRDefault="00EE200C" w:rsidP="00C55DAF">
      <w:pPr>
        <w:pStyle w:val="PopModbodytext"/>
      </w:pPr>
      <w:r w:rsidRPr="4F8AEDB5">
        <w:t xml:space="preserve">Golden Perch </w:t>
      </w:r>
      <w:r>
        <w:t>are</w:t>
      </w:r>
      <w:r w:rsidRPr="4F8AEDB5">
        <w:t xml:space="preserve"> a flow pulse specialist</w:t>
      </w:r>
      <w:r>
        <w:t>,</w:t>
      </w:r>
      <w:r w:rsidRPr="4F8AEDB5">
        <w:t xml:space="preserve"> with many components of their life cycle </w:t>
      </w:r>
      <w:r>
        <w:t xml:space="preserve">being </w:t>
      </w:r>
      <w:r w:rsidRPr="4F8AEDB5">
        <w:t xml:space="preserve">driven by river flow and hydraulic diversity (Koehn et al. 2020). They require increases in discharge to initiate spawning (Lake 1967) and thus are a </w:t>
      </w:r>
      <w:r>
        <w:t>good</w:t>
      </w:r>
      <w:r w:rsidRPr="4F8AEDB5">
        <w:t xml:space="preserve"> candidate for </w:t>
      </w:r>
      <w:r>
        <w:t xml:space="preserve">exploring </w:t>
      </w:r>
      <w:r w:rsidRPr="4F8AEDB5">
        <w:t>flow</w:t>
      </w:r>
      <w:r>
        <w:t>–</w:t>
      </w:r>
      <w:r w:rsidRPr="4F8AEDB5">
        <w:t>ecology modelling questions. As sub-adults and adults, Golden Perch are a highly mobile species,</w:t>
      </w:r>
      <w:r>
        <w:t xml:space="preserve"> </w:t>
      </w:r>
      <w:r w:rsidRPr="00204808">
        <w:t xml:space="preserve">with movements </w:t>
      </w:r>
      <w:r>
        <w:t xml:space="preserve">being </w:t>
      </w:r>
      <w:r w:rsidRPr="00204808">
        <w:t>triggered by fluctuations in discharge,</w:t>
      </w:r>
      <w:r w:rsidRPr="4F8AEDB5">
        <w:t xml:space="preserve"> </w:t>
      </w:r>
      <w:r>
        <w:t xml:space="preserve">and they </w:t>
      </w:r>
      <w:r w:rsidRPr="4F8AEDB5">
        <w:t>often undertak</w:t>
      </w:r>
      <w:r>
        <w:t>e</w:t>
      </w:r>
      <w:r w:rsidRPr="4F8AEDB5">
        <w:t xml:space="preserve"> river valley and intervalley movements (O</w:t>
      </w:r>
      <w:r>
        <w:t>’</w:t>
      </w:r>
      <w:r w:rsidRPr="4F8AEDB5">
        <w:t xml:space="preserve">Connor et al. 2005; Koehn and Nicol 2016; Zampatti et al. 2019). </w:t>
      </w:r>
      <w:r>
        <w:t>Their l</w:t>
      </w:r>
      <w:r w:rsidRPr="4F8AEDB5">
        <w:t>arvae can also drift long distances downstream</w:t>
      </w:r>
      <w:r>
        <w:t>,</w:t>
      </w:r>
      <w:r w:rsidRPr="4F8AEDB5">
        <w:t xml:space="preserve"> and strong recruitment is associated with dense plankton communities, often in floodplain lakes and </w:t>
      </w:r>
      <w:r>
        <w:t xml:space="preserve">in </w:t>
      </w:r>
      <w:r w:rsidRPr="4F8AEDB5">
        <w:t>the lower reaches of rivers (Sharpe 2011; Stuart and Sharpe 2020; Zampatti et al. 2021).</w:t>
      </w:r>
      <w:r>
        <w:t xml:space="preserve"> The various proposed</w:t>
      </w:r>
      <w:r w:rsidRPr="00204808">
        <w:t xml:space="preserve"> RRCP flow scenarios are thus likely to broadly impact the expression of Golden Perch populations</w:t>
      </w:r>
      <w:r>
        <w:t xml:space="preserve"> throughout their life history:</w:t>
      </w:r>
      <w:r w:rsidRPr="00204808">
        <w:t xml:space="preserve"> these impacts were e</w:t>
      </w:r>
      <w:r>
        <w:t>xplor</w:t>
      </w:r>
      <w:r w:rsidRPr="00204808">
        <w:t>ed via model rules developed for each population unit (see sections 2.</w:t>
      </w:r>
      <w:r>
        <w:t xml:space="preserve">8 </w:t>
      </w:r>
      <w:r w:rsidRPr="00204808">
        <w:t xml:space="preserve">and Appendix 2 for details). For example, increased flows under </w:t>
      </w:r>
      <w:r>
        <w:t>the various</w:t>
      </w:r>
      <w:r w:rsidRPr="00204808">
        <w:t xml:space="preserve"> RRCP flow scenarios above </w:t>
      </w:r>
      <w:r>
        <w:t>the B</w:t>
      </w:r>
      <w:r w:rsidRPr="00204808">
        <w:t xml:space="preserve">ase case levels are likely to affect the timing and intensity of spawning, </w:t>
      </w:r>
      <w:r>
        <w:t xml:space="preserve">the </w:t>
      </w:r>
      <w:r w:rsidRPr="00204808">
        <w:t>rates of larval drift</w:t>
      </w:r>
      <w:r>
        <w:t>,</w:t>
      </w:r>
      <w:r w:rsidRPr="00204808">
        <w:t xml:space="preserve"> and the timing and volume of movement events.</w:t>
      </w:r>
      <w:r w:rsidRPr="4F8AEDB5">
        <w:t xml:space="preserve"> </w:t>
      </w:r>
      <w:r>
        <w:t>A species with a</w:t>
      </w:r>
      <w:r w:rsidRPr="4F8AEDB5">
        <w:t xml:space="preserve"> life</w:t>
      </w:r>
      <w:r>
        <w:t xml:space="preserve"> </w:t>
      </w:r>
      <w:r w:rsidRPr="4F8AEDB5">
        <w:t xml:space="preserve">history spanning large spatial scales </w:t>
      </w:r>
      <w:r>
        <w:t>requires</w:t>
      </w:r>
      <w:r w:rsidRPr="4F8AEDB5">
        <w:t xml:space="preserve"> </w:t>
      </w:r>
      <w:r>
        <w:t>modelling</w:t>
      </w:r>
      <w:r w:rsidRPr="4F8AEDB5">
        <w:t xml:space="preserve"> of </w:t>
      </w:r>
      <w:r>
        <w:t xml:space="preserve">a </w:t>
      </w:r>
      <w:r w:rsidRPr="4F8AEDB5">
        <w:t xml:space="preserve">metapopulation (i.e. a population of populations) </w:t>
      </w:r>
      <w:r>
        <w:t xml:space="preserve">in order </w:t>
      </w:r>
      <w:r w:rsidRPr="4F8AEDB5">
        <w:t xml:space="preserve">to confidently capture </w:t>
      </w:r>
      <w:r>
        <w:t xml:space="preserve">its </w:t>
      </w:r>
      <w:r w:rsidRPr="4F8AEDB5">
        <w:t>population dynami</w:t>
      </w:r>
      <w:r>
        <w:t>cs</w:t>
      </w:r>
      <w:r w:rsidRPr="4F8AEDB5">
        <w:t xml:space="preserve"> (i.e. movement) between discrete areas</w:t>
      </w:r>
      <w:r>
        <w:t>: Golden Perch do not successfully recruit in all areas (i.e. form sinks in some areas), but move from known recruitment areas (source areas) to sink areas as part of their life history strategy (</w:t>
      </w:r>
      <w:r w:rsidRPr="00321E3B">
        <w:fldChar w:fldCharType="begin"/>
      </w:r>
      <w:r w:rsidRPr="00321E3B">
        <w:instrText xml:space="preserve"> REF _Ref104370296 \h </w:instrText>
      </w:r>
      <w:r>
        <w:instrText xml:space="preserve"> \* MERGEFORMAT </w:instrText>
      </w:r>
      <w:r w:rsidRPr="00321E3B">
        <w:fldChar w:fldCharType="separate"/>
      </w:r>
      <w:r w:rsidR="005B672A">
        <w:t>Figure 12</w:t>
      </w:r>
      <w:r w:rsidRPr="00321E3B">
        <w:fldChar w:fldCharType="end"/>
      </w:r>
      <w:r>
        <w:t>)</w:t>
      </w:r>
      <w:r w:rsidRPr="4F8AEDB5">
        <w:t>. Thus, a metapopulation model was used</w:t>
      </w:r>
      <w:r>
        <w:t>,</w:t>
      </w:r>
      <w:r w:rsidRPr="4F8AEDB5">
        <w:t xml:space="preserve"> based on this conceptualisation of movements and ecology</w:t>
      </w:r>
      <w:r>
        <w:t>, in which</w:t>
      </w:r>
      <w:r w:rsidRPr="4F8AEDB5">
        <w:t xml:space="preserve"> larval drift, juvenile and adult movement, and spawning migrations were considered across all RRCP reach areas (</w:t>
      </w:r>
      <w:r w:rsidRPr="00321E3B">
        <w:fldChar w:fldCharType="begin"/>
      </w:r>
      <w:r w:rsidRPr="00321E3B">
        <w:instrText xml:space="preserve"> REF _Ref104370296 \h </w:instrText>
      </w:r>
      <w:r>
        <w:instrText xml:space="preserve"> \* MERGEFORMAT </w:instrText>
      </w:r>
      <w:r w:rsidRPr="00321E3B">
        <w:fldChar w:fldCharType="separate"/>
      </w:r>
      <w:r w:rsidR="005B672A">
        <w:t>Figure 12</w:t>
      </w:r>
      <w:r w:rsidRPr="00321E3B">
        <w:fldChar w:fldCharType="end"/>
      </w:r>
      <w:r w:rsidRPr="4F8AEDB5">
        <w:t>).</w:t>
      </w:r>
    </w:p>
    <w:p w14:paraId="3887F627" w14:textId="56CA428B" w:rsidR="00491210" w:rsidRDefault="003E1401" w:rsidP="00321E3B">
      <w:pPr>
        <w:keepNext/>
        <w:jc w:val="center"/>
      </w:pPr>
      <w:r>
        <w:rPr>
          <w:noProof/>
          <w:lang w:eastAsia="en-AU"/>
        </w:rPr>
        <w:t xml:space="preserve"> </w:t>
      </w:r>
    </w:p>
    <w:p w14:paraId="52FB1720" w14:textId="1737A5CB" w:rsidR="00491210" w:rsidRPr="004F43AA" w:rsidRDefault="00EE200C" w:rsidP="00F602FE">
      <w:pPr>
        <w:pStyle w:val="Caption-Figure"/>
      </w:pPr>
      <w:bookmarkStart w:id="66" w:name="_Ref104370296"/>
      <w:bookmarkStart w:id="67" w:name="_Toc116994981"/>
      <w:r>
        <w:t xml:space="preserve">Figure </w:t>
      </w:r>
      <w:r>
        <w:fldChar w:fldCharType="begin"/>
      </w:r>
      <w:r>
        <w:instrText>SEQ Figure \* ARABIC</w:instrText>
      </w:r>
      <w:r>
        <w:fldChar w:fldCharType="separate"/>
      </w:r>
      <w:r w:rsidR="005B672A">
        <w:rPr>
          <w:noProof/>
        </w:rPr>
        <w:t>12</w:t>
      </w:r>
      <w:r>
        <w:fldChar w:fldCharType="end"/>
      </w:r>
      <w:bookmarkEnd w:id="66"/>
      <w:r>
        <w:t>.</w:t>
      </w:r>
      <w:bookmarkStart w:id="68" w:name="_Toc86343781"/>
      <w:r w:rsidRPr="38AC6F21">
        <w:t xml:space="preserve"> A conceptual model to demonstrate the </w:t>
      </w:r>
      <w:r>
        <w:t>‘</w:t>
      </w:r>
      <w:r w:rsidRPr="38AC6F21">
        <w:t>source</w:t>
      </w:r>
      <w:r>
        <w:t>–</w:t>
      </w:r>
      <w:r w:rsidRPr="38AC6F21">
        <w:t>sink</w:t>
      </w:r>
      <w:r>
        <w:t>’</w:t>
      </w:r>
      <w:r w:rsidRPr="38AC6F21">
        <w:t xml:space="preserve"> population dynami</w:t>
      </w:r>
      <w:r>
        <w:t>cs</w:t>
      </w:r>
      <w:r w:rsidRPr="38AC6F21">
        <w:t xml:space="preserve"> of Golden Perch in the connected </w:t>
      </w:r>
      <w:r>
        <w:t>S</w:t>
      </w:r>
      <w:r w:rsidRPr="38AC6F21">
        <w:t>outhern MDB. In this context</w:t>
      </w:r>
      <w:r>
        <w:t>,</w:t>
      </w:r>
      <w:r w:rsidRPr="38AC6F21">
        <w:t xml:space="preserve"> </w:t>
      </w:r>
      <w:r>
        <w:t>‘</w:t>
      </w:r>
      <w:r w:rsidRPr="38AC6F21">
        <w:t>sink</w:t>
      </w:r>
      <w:r>
        <w:t>’</w:t>
      </w:r>
      <w:r w:rsidRPr="38AC6F21">
        <w:t xml:space="preserve"> means that</w:t>
      </w:r>
      <w:r>
        <w:t>,</w:t>
      </w:r>
      <w:r w:rsidRPr="38AC6F21">
        <w:t xml:space="preserve"> despite local spawning</w:t>
      </w:r>
      <w:r>
        <w:t>,</w:t>
      </w:r>
      <w:r w:rsidRPr="38AC6F21">
        <w:t xml:space="preserve"> fish populations appear to be mostly maintained by emigration and hatchery stocking</w:t>
      </w:r>
      <w:r>
        <w:t>,</w:t>
      </w:r>
      <w:r w:rsidRPr="38AC6F21">
        <w:t xml:space="preserve"> rather than local recruitment</w:t>
      </w:r>
      <w:r>
        <w:t xml:space="preserve">. </w:t>
      </w:r>
      <w:r w:rsidRPr="38AC6F21">
        <w:t>The productivity of these upstream reaches and floodplains still supports survival of stocked and emigrating juveniles.</w:t>
      </w:r>
      <w:bookmarkEnd w:id="67"/>
      <w:bookmarkEnd w:id="68"/>
    </w:p>
    <w:p w14:paraId="55991EBE" w14:textId="68996997" w:rsidR="00491210" w:rsidRPr="007C54A1" w:rsidRDefault="00EE200C" w:rsidP="005F1F7F">
      <w:pPr>
        <w:pStyle w:val="Heading3-Numbered"/>
      </w:pPr>
      <w:bookmarkStart w:id="69" w:name="_Toc116994886"/>
      <w:r>
        <w:t>Murray Cod conceptual model</w:t>
      </w:r>
      <w:bookmarkEnd w:id="69"/>
    </w:p>
    <w:p w14:paraId="2DFA5803" w14:textId="6696A063" w:rsidR="00491210" w:rsidRDefault="00EE200C" w:rsidP="4F8AEDB5">
      <w:pPr>
        <w:spacing w:before="240" w:after="240"/>
        <w:jc w:val="both"/>
        <w:rPr>
          <w:color w:val="000000"/>
          <w:sz w:val="22"/>
          <w:szCs w:val="22"/>
          <w:lang w:eastAsia="en-AU"/>
        </w:rPr>
      </w:pPr>
      <w:r w:rsidRPr="7ADEDDC3">
        <w:rPr>
          <w:color w:val="000000"/>
          <w:sz w:val="22"/>
          <w:szCs w:val="22"/>
          <w:lang w:eastAsia="en-AU"/>
        </w:rPr>
        <w:t>Murray Cod are demersal, riverine specialists that are associated with permanent rivers, lotic (flowing) reaches and in</w:t>
      </w:r>
      <w:r>
        <w:rPr>
          <w:color w:val="000000"/>
          <w:sz w:val="22"/>
          <w:szCs w:val="22"/>
          <w:lang w:eastAsia="en-AU"/>
        </w:rPr>
        <w:t>-</w:t>
      </w:r>
      <w:r w:rsidRPr="7ADEDDC3">
        <w:rPr>
          <w:color w:val="000000"/>
          <w:sz w:val="22"/>
          <w:szCs w:val="22"/>
          <w:lang w:eastAsia="en-AU"/>
        </w:rPr>
        <w:t xml:space="preserve">stream woody habitats (Koehn 2009a, 2009b; Koehn and Nicol 2014). Their </w:t>
      </w:r>
      <w:r w:rsidRPr="7ADEDDC3">
        <w:rPr>
          <w:color w:val="000000"/>
          <w:sz w:val="22"/>
          <w:szCs w:val="22"/>
          <w:lang w:eastAsia="en-AU"/>
        </w:rPr>
        <w:lastRenderedPageBreak/>
        <w:t>life</w:t>
      </w:r>
      <w:r>
        <w:rPr>
          <w:color w:val="000000"/>
          <w:sz w:val="22"/>
          <w:szCs w:val="22"/>
          <w:lang w:eastAsia="en-AU"/>
        </w:rPr>
        <w:t xml:space="preserve"> </w:t>
      </w:r>
      <w:r w:rsidRPr="7ADEDDC3">
        <w:rPr>
          <w:color w:val="000000"/>
          <w:sz w:val="22"/>
          <w:szCs w:val="22"/>
          <w:lang w:eastAsia="en-AU"/>
        </w:rPr>
        <w:t>history can be completed at the scale of reaches (i.e. 5</w:t>
      </w:r>
      <w:r>
        <w:rPr>
          <w:color w:val="000000"/>
          <w:sz w:val="22"/>
          <w:szCs w:val="22"/>
          <w:lang w:eastAsia="en-AU"/>
        </w:rPr>
        <w:t>–</w:t>
      </w:r>
      <w:r w:rsidRPr="7ADEDDC3">
        <w:rPr>
          <w:color w:val="000000"/>
          <w:sz w:val="22"/>
          <w:szCs w:val="22"/>
          <w:lang w:eastAsia="en-AU"/>
        </w:rPr>
        <w:t>50</w:t>
      </w:r>
      <w:r>
        <w:rPr>
          <w:color w:val="000000"/>
          <w:sz w:val="22"/>
          <w:szCs w:val="22"/>
          <w:lang w:eastAsia="en-AU"/>
        </w:rPr>
        <w:t> </w:t>
      </w:r>
      <w:r w:rsidRPr="7ADEDDC3">
        <w:rPr>
          <w:color w:val="000000"/>
          <w:sz w:val="22"/>
          <w:szCs w:val="22"/>
          <w:lang w:eastAsia="en-AU"/>
        </w:rPr>
        <w:t>km)</w:t>
      </w:r>
      <w:r>
        <w:rPr>
          <w:color w:val="000000"/>
          <w:sz w:val="22"/>
          <w:szCs w:val="22"/>
          <w:lang w:eastAsia="en-AU"/>
        </w:rPr>
        <w:t>,</w:t>
      </w:r>
      <w:r w:rsidRPr="7ADEDDC3">
        <w:rPr>
          <w:color w:val="000000"/>
          <w:sz w:val="22"/>
          <w:szCs w:val="22"/>
          <w:lang w:eastAsia="en-AU"/>
        </w:rPr>
        <w:t xml:space="preserve"> though there can be occasional longer movements (Koehn et al. 2009; Koehn and Nicol 2016). Therefore, the use of single population models for each RRCP reach was considered appropriate</w:t>
      </w:r>
      <w:r>
        <w:rPr>
          <w:color w:val="000000"/>
          <w:sz w:val="22"/>
          <w:szCs w:val="22"/>
          <w:lang w:eastAsia="en-AU"/>
        </w:rPr>
        <w:t>,</w:t>
      </w:r>
      <w:r w:rsidRPr="7ADEDDC3">
        <w:rPr>
          <w:color w:val="000000"/>
          <w:sz w:val="22"/>
          <w:szCs w:val="22"/>
          <w:lang w:eastAsia="en-AU"/>
        </w:rPr>
        <w:t xml:space="preserve"> as genetic data and long-term monitoring suggest</w:t>
      </w:r>
      <w:r>
        <w:rPr>
          <w:color w:val="000000"/>
          <w:sz w:val="22"/>
          <w:szCs w:val="22"/>
          <w:lang w:eastAsia="en-AU"/>
        </w:rPr>
        <w:t>s that</w:t>
      </w:r>
      <w:r w:rsidRPr="7ADEDDC3">
        <w:rPr>
          <w:color w:val="000000"/>
          <w:sz w:val="22"/>
          <w:szCs w:val="22"/>
          <w:lang w:eastAsia="en-AU"/>
        </w:rPr>
        <w:t xml:space="preserve"> inter-reach movements likely broadly balance out at a population scale (i.e. </w:t>
      </w:r>
      <w:r>
        <w:rPr>
          <w:color w:val="000000"/>
          <w:sz w:val="22"/>
          <w:szCs w:val="22"/>
          <w:lang w:eastAsia="en-AU"/>
        </w:rPr>
        <w:t xml:space="preserve">there are </w:t>
      </w:r>
      <w:r w:rsidRPr="7ADEDDC3">
        <w:rPr>
          <w:color w:val="000000"/>
          <w:sz w:val="22"/>
          <w:szCs w:val="22"/>
          <w:lang w:eastAsia="en-AU"/>
        </w:rPr>
        <w:t>no source</w:t>
      </w:r>
      <w:r>
        <w:rPr>
          <w:color w:val="000000"/>
          <w:sz w:val="22"/>
          <w:szCs w:val="22"/>
          <w:lang w:eastAsia="en-AU"/>
        </w:rPr>
        <w:t>–</w:t>
      </w:r>
      <w:r w:rsidRPr="7ADEDDC3">
        <w:rPr>
          <w:color w:val="000000"/>
          <w:sz w:val="22"/>
          <w:szCs w:val="22"/>
          <w:lang w:eastAsia="en-AU"/>
        </w:rPr>
        <w:t>sink dynami</w:t>
      </w:r>
      <w:r>
        <w:rPr>
          <w:color w:val="000000"/>
          <w:sz w:val="22"/>
          <w:szCs w:val="22"/>
          <w:lang w:eastAsia="en-AU"/>
        </w:rPr>
        <w:t>cs</w:t>
      </w:r>
      <w:r w:rsidRPr="7ADEDDC3">
        <w:rPr>
          <w:color w:val="000000"/>
          <w:sz w:val="22"/>
          <w:szCs w:val="22"/>
          <w:lang w:eastAsia="en-AU"/>
        </w:rPr>
        <w:t>).</w:t>
      </w:r>
      <w:r>
        <w:rPr>
          <w:color w:val="000000"/>
          <w:sz w:val="22"/>
          <w:szCs w:val="22"/>
          <w:lang w:eastAsia="en-AU"/>
        </w:rPr>
        <w:t xml:space="preserve"> </w:t>
      </w:r>
      <w:r w:rsidRPr="00F22FE0">
        <w:rPr>
          <w:color w:val="000000"/>
          <w:sz w:val="22"/>
          <w:szCs w:val="22"/>
          <w:lang w:eastAsia="en-AU"/>
        </w:rPr>
        <w:t>This approach has been utilised for other Murray Cod</w:t>
      </w:r>
      <w:r>
        <w:rPr>
          <w:color w:val="000000"/>
          <w:sz w:val="22"/>
          <w:szCs w:val="22"/>
          <w:lang w:eastAsia="en-AU"/>
        </w:rPr>
        <w:t xml:space="preserve"> </w:t>
      </w:r>
      <w:r w:rsidRPr="00F22FE0">
        <w:rPr>
          <w:color w:val="000000"/>
          <w:sz w:val="22"/>
          <w:szCs w:val="22"/>
          <w:lang w:eastAsia="en-AU"/>
        </w:rPr>
        <w:t xml:space="preserve">flow </w:t>
      </w:r>
      <w:r>
        <w:rPr>
          <w:color w:val="000000"/>
          <w:sz w:val="22"/>
          <w:szCs w:val="22"/>
          <w:lang w:eastAsia="en-AU"/>
        </w:rPr>
        <w:t xml:space="preserve">assessment </w:t>
      </w:r>
      <w:r w:rsidRPr="00F22FE0">
        <w:rPr>
          <w:color w:val="000000"/>
          <w:sz w:val="22"/>
          <w:szCs w:val="22"/>
          <w:lang w:eastAsia="en-AU"/>
        </w:rPr>
        <w:t>modelling (</w:t>
      </w:r>
      <w:r w:rsidRPr="4D1BBAA5">
        <w:rPr>
          <w:color w:val="000000"/>
          <w:sz w:val="22"/>
          <w:szCs w:val="22"/>
          <w:lang w:eastAsia="en-AU"/>
        </w:rPr>
        <w:t>Tonkin</w:t>
      </w:r>
      <w:r w:rsidRPr="00F22FE0">
        <w:rPr>
          <w:color w:val="000000"/>
          <w:sz w:val="22"/>
          <w:szCs w:val="22"/>
          <w:lang w:eastAsia="en-AU"/>
        </w:rPr>
        <w:t xml:space="preserve"> et al. 2021).</w:t>
      </w:r>
    </w:p>
    <w:p w14:paraId="41B7BA0C" w14:textId="06423831" w:rsidR="00491210" w:rsidRPr="00F17D96" w:rsidRDefault="00EE200C" w:rsidP="11D6FEB3">
      <w:pPr>
        <w:spacing w:before="240" w:after="240"/>
        <w:jc w:val="both"/>
        <w:rPr>
          <w:color w:val="000000"/>
          <w:sz w:val="22"/>
          <w:szCs w:val="22"/>
          <w:lang w:eastAsia="en-AU"/>
        </w:rPr>
      </w:pPr>
      <w:r w:rsidRPr="358D0A8B">
        <w:rPr>
          <w:color w:val="000000"/>
          <w:sz w:val="22"/>
          <w:szCs w:val="22"/>
          <w:lang w:eastAsia="en-AU"/>
        </w:rPr>
        <w:t>Adult Murray Cod spawn and fertili</w:t>
      </w:r>
      <w:r>
        <w:rPr>
          <w:color w:val="000000"/>
          <w:sz w:val="22"/>
          <w:szCs w:val="22"/>
          <w:lang w:eastAsia="en-AU"/>
        </w:rPr>
        <w:t>s</w:t>
      </w:r>
      <w:r w:rsidRPr="358D0A8B">
        <w:rPr>
          <w:color w:val="000000"/>
          <w:sz w:val="22"/>
          <w:szCs w:val="22"/>
          <w:lang w:eastAsia="en-AU"/>
        </w:rPr>
        <w:t>e eggs that adhere to hard substrate (e.g. hollow logs,</w:t>
      </w:r>
      <w:r>
        <w:rPr>
          <w:color w:val="000000"/>
          <w:sz w:val="22"/>
          <w:szCs w:val="22"/>
          <w:lang w:eastAsia="en-AU"/>
        </w:rPr>
        <w:t xml:space="preserve"> and</w:t>
      </w:r>
      <w:r w:rsidRPr="358D0A8B">
        <w:rPr>
          <w:color w:val="000000"/>
          <w:sz w:val="22"/>
          <w:szCs w:val="22"/>
          <w:lang w:eastAsia="en-AU"/>
        </w:rPr>
        <w:t xml:space="preserve"> clay banks) in flowing areas. Eggs are guarded by the parental male until hatch</w:t>
      </w:r>
      <w:r>
        <w:rPr>
          <w:color w:val="000000"/>
          <w:sz w:val="22"/>
          <w:szCs w:val="22"/>
          <w:lang w:eastAsia="en-AU"/>
        </w:rPr>
        <w:t>ing</w:t>
      </w:r>
      <w:r w:rsidRPr="358D0A8B">
        <w:rPr>
          <w:color w:val="000000"/>
          <w:sz w:val="22"/>
          <w:szCs w:val="22"/>
          <w:lang w:eastAsia="en-AU"/>
        </w:rPr>
        <w:t>, with larvae surviving on large yolk-sa</w:t>
      </w:r>
      <w:r>
        <w:rPr>
          <w:color w:val="000000"/>
          <w:sz w:val="22"/>
          <w:szCs w:val="22"/>
          <w:lang w:eastAsia="en-AU"/>
        </w:rPr>
        <w:t>cs</w:t>
      </w:r>
      <w:r w:rsidRPr="358D0A8B">
        <w:rPr>
          <w:color w:val="000000"/>
          <w:sz w:val="22"/>
          <w:szCs w:val="22"/>
          <w:lang w:eastAsia="en-AU"/>
        </w:rPr>
        <w:t xml:space="preserve"> for up to a week as they drift downstream or disperse locally (Cadwallader and Gooley 1985; Koehn and Harrington 2006). </w:t>
      </w:r>
      <w:r w:rsidRPr="00F17D96">
        <w:rPr>
          <w:color w:val="000000"/>
          <w:sz w:val="22"/>
          <w:szCs w:val="22"/>
          <w:lang w:eastAsia="en-AU"/>
        </w:rPr>
        <w:t xml:space="preserve">Survival of eggs and larvae </w:t>
      </w:r>
      <w:r>
        <w:rPr>
          <w:color w:val="000000"/>
          <w:sz w:val="22"/>
          <w:szCs w:val="22"/>
          <w:lang w:eastAsia="en-AU"/>
        </w:rPr>
        <w:t>is</w:t>
      </w:r>
      <w:r w:rsidRPr="00F17D96">
        <w:rPr>
          <w:color w:val="000000"/>
          <w:sz w:val="22"/>
          <w:szCs w:val="22"/>
          <w:lang w:eastAsia="en-AU"/>
        </w:rPr>
        <w:t xml:space="preserve"> known to be </w:t>
      </w:r>
      <w:r>
        <w:rPr>
          <w:color w:val="000000"/>
          <w:sz w:val="22"/>
          <w:szCs w:val="22"/>
          <w:lang w:eastAsia="en-AU"/>
        </w:rPr>
        <w:t>affe</w:t>
      </w:r>
      <w:r w:rsidRPr="00F17D96">
        <w:rPr>
          <w:color w:val="000000"/>
          <w:sz w:val="22"/>
          <w:szCs w:val="22"/>
          <w:lang w:eastAsia="en-AU"/>
        </w:rPr>
        <w:t>cted by temperature (Ryan et al. 2002), and also hydraulic characteristi</w:t>
      </w:r>
      <w:r>
        <w:rPr>
          <w:color w:val="000000"/>
          <w:sz w:val="22"/>
          <w:szCs w:val="22"/>
          <w:lang w:eastAsia="en-AU"/>
        </w:rPr>
        <w:t>cs</w:t>
      </w:r>
      <w:r w:rsidRPr="00F17D96">
        <w:rPr>
          <w:color w:val="000000"/>
          <w:sz w:val="22"/>
          <w:szCs w:val="22"/>
          <w:lang w:eastAsia="en-AU"/>
        </w:rPr>
        <w:t xml:space="preserve"> (Tonkin et al. 2021), but r</w:t>
      </w:r>
      <w:r w:rsidRPr="358D0A8B">
        <w:rPr>
          <w:color w:val="000000"/>
          <w:sz w:val="22"/>
          <w:szCs w:val="22"/>
          <w:lang w:eastAsia="en-AU"/>
        </w:rPr>
        <w:t xml:space="preserve">ecruitment is generally associated with perennial flowing rivers with high </w:t>
      </w:r>
      <w:r>
        <w:rPr>
          <w:color w:val="000000"/>
          <w:sz w:val="22"/>
          <w:szCs w:val="22"/>
          <w:lang w:eastAsia="en-AU"/>
        </w:rPr>
        <w:t>baseflow</w:t>
      </w:r>
      <w:r w:rsidRPr="358D0A8B">
        <w:rPr>
          <w:color w:val="000000"/>
          <w:sz w:val="22"/>
          <w:szCs w:val="22"/>
          <w:lang w:eastAsia="en-AU"/>
        </w:rPr>
        <w:t>s and no major water level drops during the spawning season (</w:t>
      </w:r>
      <w:r w:rsidRPr="00F17D96">
        <w:rPr>
          <w:color w:val="000000"/>
          <w:sz w:val="22"/>
          <w:szCs w:val="22"/>
          <w:lang w:eastAsia="en-AU"/>
        </w:rPr>
        <w:fldChar w:fldCharType="begin"/>
      </w:r>
      <w:r w:rsidRPr="00F17D96">
        <w:rPr>
          <w:color w:val="000000"/>
          <w:sz w:val="22"/>
          <w:szCs w:val="22"/>
          <w:lang w:eastAsia="en-AU"/>
        </w:rPr>
        <w:instrText xml:space="preserve"> REF _Ref104303423 \h </w:instrText>
      </w:r>
      <w:r>
        <w:rPr>
          <w:color w:val="000000"/>
          <w:sz w:val="22"/>
          <w:szCs w:val="22"/>
          <w:lang w:eastAsia="en-AU"/>
        </w:rPr>
        <w:instrText xml:space="preserve"> \* MERGEFORMAT </w:instrText>
      </w:r>
      <w:r w:rsidRPr="00F17D96">
        <w:rPr>
          <w:color w:val="000000"/>
          <w:sz w:val="22"/>
          <w:szCs w:val="22"/>
          <w:lang w:eastAsia="en-AU"/>
        </w:rPr>
      </w:r>
      <w:r w:rsidRPr="00F17D96">
        <w:rPr>
          <w:color w:val="000000"/>
          <w:sz w:val="22"/>
          <w:szCs w:val="22"/>
          <w:lang w:eastAsia="en-AU"/>
        </w:rPr>
        <w:fldChar w:fldCharType="separate"/>
      </w:r>
      <w:r w:rsidR="005B672A" w:rsidRPr="005B672A">
        <w:rPr>
          <w:sz w:val="22"/>
          <w:szCs w:val="22"/>
        </w:rPr>
        <w:t xml:space="preserve">Figure </w:t>
      </w:r>
      <w:r w:rsidR="005B672A" w:rsidRPr="005B672A">
        <w:rPr>
          <w:noProof/>
          <w:sz w:val="22"/>
          <w:szCs w:val="22"/>
        </w:rPr>
        <w:t>13</w:t>
      </w:r>
      <w:r w:rsidRPr="00F17D96">
        <w:rPr>
          <w:color w:val="000000"/>
          <w:sz w:val="22"/>
          <w:szCs w:val="22"/>
          <w:lang w:eastAsia="en-AU"/>
        </w:rPr>
        <w:fldChar w:fldCharType="end"/>
      </w:r>
      <w:r w:rsidRPr="00F17D96">
        <w:rPr>
          <w:color w:val="000000"/>
          <w:sz w:val="22"/>
          <w:szCs w:val="22"/>
          <w:lang w:eastAsia="en-AU"/>
        </w:rPr>
        <w:t>;</w:t>
      </w:r>
      <w:r w:rsidRPr="358D0A8B">
        <w:rPr>
          <w:color w:val="000000"/>
          <w:sz w:val="22"/>
          <w:szCs w:val="22"/>
          <w:lang w:eastAsia="en-AU"/>
        </w:rPr>
        <w:t xml:space="preserve"> Stuart et al. 2019, 2021b; Stuart and Sharpe 2021).</w:t>
      </w:r>
      <w:r>
        <w:rPr>
          <w:color w:val="000000"/>
          <w:sz w:val="22"/>
          <w:szCs w:val="22"/>
          <w:lang w:eastAsia="en-AU"/>
        </w:rPr>
        <w:t xml:space="preserve"> </w:t>
      </w:r>
      <w:r w:rsidRPr="00F17D96">
        <w:rPr>
          <w:color w:val="000000"/>
          <w:sz w:val="22"/>
          <w:szCs w:val="22"/>
          <w:lang w:eastAsia="en-AU"/>
        </w:rPr>
        <w:t>As such, the differing RRCP flow scenarios are likely to have less impact on the recruitment and broad</w:t>
      </w:r>
      <w:r>
        <w:rPr>
          <w:color w:val="000000"/>
          <w:sz w:val="22"/>
          <w:szCs w:val="22"/>
          <w:lang w:eastAsia="en-AU"/>
        </w:rPr>
        <w:t>-</w:t>
      </w:r>
      <w:r w:rsidRPr="00F17D96">
        <w:rPr>
          <w:color w:val="000000"/>
          <w:sz w:val="22"/>
          <w:szCs w:val="22"/>
          <w:lang w:eastAsia="en-AU"/>
        </w:rPr>
        <w:t xml:space="preserve">scale movement of Murray Cod </w:t>
      </w:r>
      <w:r>
        <w:rPr>
          <w:color w:val="000000"/>
          <w:sz w:val="22"/>
          <w:szCs w:val="22"/>
          <w:lang w:eastAsia="en-AU"/>
        </w:rPr>
        <w:t>than on that of</w:t>
      </w:r>
      <w:r w:rsidRPr="00F17D96">
        <w:rPr>
          <w:color w:val="000000"/>
          <w:sz w:val="22"/>
          <w:szCs w:val="22"/>
          <w:lang w:eastAsia="en-AU"/>
        </w:rPr>
        <w:t xml:space="preserve"> Golden Perch. </w:t>
      </w:r>
      <w:r>
        <w:rPr>
          <w:color w:val="000000"/>
          <w:sz w:val="22"/>
          <w:szCs w:val="22"/>
          <w:lang w:eastAsia="en-AU"/>
        </w:rPr>
        <w:t>However, hyp</w:t>
      </w:r>
      <w:r w:rsidRPr="358D0A8B">
        <w:rPr>
          <w:color w:val="000000"/>
          <w:sz w:val="22"/>
          <w:szCs w:val="22"/>
          <w:lang w:eastAsia="en-AU"/>
        </w:rPr>
        <w:t xml:space="preserve">oxic blackwater </w:t>
      </w:r>
      <w:r>
        <w:rPr>
          <w:color w:val="000000"/>
          <w:sz w:val="22"/>
          <w:szCs w:val="22"/>
          <w:lang w:eastAsia="en-AU"/>
        </w:rPr>
        <w:t xml:space="preserve">can have </w:t>
      </w:r>
      <w:r w:rsidRPr="358D0A8B">
        <w:rPr>
          <w:color w:val="000000"/>
          <w:sz w:val="22"/>
          <w:szCs w:val="22"/>
          <w:lang w:eastAsia="en-AU"/>
        </w:rPr>
        <w:t xml:space="preserve">major detrimental </w:t>
      </w:r>
      <w:r>
        <w:rPr>
          <w:color w:val="000000"/>
          <w:sz w:val="22"/>
          <w:szCs w:val="22"/>
          <w:lang w:eastAsia="en-AU"/>
        </w:rPr>
        <w:t>effects</w:t>
      </w:r>
      <w:r w:rsidRPr="358D0A8B">
        <w:rPr>
          <w:color w:val="000000"/>
          <w:sz w:val="22"/>
          <w:szCs w:val="22"/>
          <w:lang w:eastAsia="en-AU"/>
        </w:rPr>
        <w:t xml:space="preserve"> on Murray </w:t>
      </w:r>
      <w:r>
        <w:rPr>
          <w:color w:val="000000"/>
          <w:sz w:val="22"/>
          <w:szCs w:val="22"/>
          <w:lang w:eastAsia="en-AU"/>
        </w:rPr>
        <w:t>C</w:t>
      </w:r>
      <w:r w:rsidRPr="358D0A8B">
        <w:rPr>
          <w:color w:val="000000"/>
          <w:sz w:val="22"/>
          <w:szCs w:val="22"/>
          <w:lang w:eastAsia="en-AU"/>
        </w:rPr>
        <w:t>od populations (Ellis et al. 2021)</w:t>
      </w:r>
      <w:r>
        <w:rPr>
          <w:color w:val="000000"/>
          <w:sz w:val="22"/>
          <w:szCs w:val="22"/>
          <w:lang w:eastAsia="en-AU"/>
        </w:rPr>
        <w:t>, as can temperature (Todd et al. 2005)</w:t>
      </w:r>
      <w:r w:rsidRPr="00F17D96">
        <w:rPr>
          <w:color w:val="000000"/>
          <w:sz w:val="22"/>
          <w:szCs w:val="22"/>
          <w:lang w:eastAsia="en-AU"/>
        </w:rPr>
        <w:t>, and RRCP flow scenarios may contribute to the prevalence and strength of hypoxic blackwater events</w:t>
      </w:r>
      <w:r w:rsidRPr="358D0A8B">
        <w:rPr>
          <w:color w:val="000000"/>
          <w:sz w:val="22"/>
          <w:szCs w:val="22"/>
          <w:lang w:eastAsia="en-AU"/>
        </w:rPr>
        <w:t>.</w:t>
      </w:r>
    </w:p>
    <w:p w14:paraId="4651A1C9" w14:textId="2C4CF5EF" w:rsidR="00491210" w:rsidRDefault="003E1401" w:rsidP="00321E3B">
      <w:pPr>
        <w:keepNext/>
        <w:spacing w:before="240" w:after="240"/>
        <w:jc w:val="center"/>
      </w:pPr>
      <w:r>
        <w:rPr>
          <w:noProof/>
          <w:lang w:eastAsia="en-AU"/>
        </w:rPr>
        <w:t xml:space="preserve"> </w:t>
      </w:r>
    </w:p>
    <w:p w14:paraId="508B79F6" w14:textId="0D65198B" w:rsidR="00491210" w:rsidRPr="004F43AA" w:rsidRDefault="00EE200C" w:rsidP="00F602FE">
      <w:pPr>
        <w:pStyle w:val="Caption-Figure"/>
      </w:pPr>
      <w:bookmarkStart w:id="70" w:name="_Ref104303423"/>
      <w:bookmarkStart w:id="71" w:name="_Toc116994982"/>
      <w:r>
        <w:t xml:space="preserve">Figure </w:t>
      </w:r>
      <w:r>
        <w:fldChar w:fldCharType="begin"/>
      </w:r>
      <w:r>
        <w:instrText>SEQ Figure \* ARABIC</w:instrText>
      </w:r>
      <w:r>
        <w:fldChar w:fldCharType="separate"/>
      </w:r>
      <w:r w:rsidR="005B672A">
        <w:rPr>
          <w:noProof/>
        </w:rPr>
        <w:t>13</w:t>
      </w:r>
      <w:r>
        <w:fldChar w:fldCharType="end"/>
      </w:r>
      <w:bookmarkEnd w:id="70"/>
      <w:r>
        <w:t>.</w:t>
      </w:r>
      <w:bookmarkStart w:id="72" w:name="_Toc86343780"/>
      <w:r w:rsidRPr="38AC6F21">
        <w:t xml:space="preserve"> A conceptual model hydrograph for Murray Cod life history.</w:t>
      </w:r>
      <w:r>
        <w:t xml:space="preserve"> </w:t>
      </w:r>
      <w:r w:rsidRPr="38AC6F21">
        <w:t>The important elements are: (i) perennial lotic flows, (ii) spring rise and steady peak without major water</w:t>
      </w:r>
      <w:r>
        <w:t>-</w:t>
      </w:r>
      <w:r w:rsidRPr="38AC6F21">
        <w:t>level drops, (iii) an attenuated summer recession to (iv) a high winter baseflow.</w:t>
      </w:r>
      <w:bookmarkEnd w:id="71"/>
      <w:bookmarkEnd w:id="72"/>
    </w:p>
    <w:p w14:paraId="06DCA716" w14:textId="7A9C9BD4" w:rsidR="00491210" w:rsidRPr="007C54A1" w:rsidRDefault="00EE200C" w:rsidP="00753F5C">
      <w:pPr>
        <w:pStyle w:val="Heading2-Numbered"/>
      </w:pPr>
      <w:bookmarkStart w:id="73" w:name="_Toc116994887"/>
      <w:r>
        <w:t>Ecological and operational workshops</w:t>
      </w:r>
      <w:bookmarkEnd w:id="73"/>
    </w:p>
    <w:p w14:paraId="5A02A7C5" w14:textId="74D519B2" w:rsidR="00491210" w:rsidRPr="002F4E30" w:rsidRDefault="00EE200C" w:rsidP="2C4978F2">
      <w:pPr>
        <w:spacing w:before="240" w:after="240"/>
        <w:jc w:val="both"/>
        <w:rPr>
          <w:rFonts w:ascii="Times New Roman" w:hAnsi="Times New Roman" w:cs="Times New Roman"/>
          <w:sz w:val="24"/>
          <w:lang w:eastAsia="en-AU"/>
        </w:rPr>
      </w:pPr>
      <w:r w:rsidRPr="2C4978F2">
        <w:rPr>
          <w:color w:val="000000"/>
          <w:sz w:val="22"/>
          <w:szCs w:val="22"/>
          <w:lang w:eastAsia="en-AU"/>
        </w:rPr>
        <w:t xml:space="preserve">Regular meetings of the Steering Group/Technical </w:t>
      </w:r>
      <w:r>
        <w:rPr>
          <w:color w:val="000000"/>
          <w:sz w:val="22"/>
          <w:szCs w:val="22"/>
          <w:lang w:eastAsia="en-AU"/>
        </w:rPr>
        <w:t>C</w:t>
      </w:r>
      <w:r w:rsidRPr="2C4978F2">
        <w:rPr>
          <w:color w:val="000000"/>
          <w:sz w:val="22"/>
          <w:szCs w:val="22"/>
          <w:lang w:eastAsia="en-AU"/>
        </w:rPr>
        <w:t>ommittee have occurred from project inception. These meetings have supported a series of workshops held from February to April 2021</w:t>
      </w:r>
      <w:r>
        <w:rPr>
          <w:color w:val="000000"/>
          <w:sz w:val="22"/>
          <w:szCs w:val="22"/>
          <w:lang w:eastAsia="en-AU"/>
        </w:rPr>
        <w:t xml:space="preserve"> (</w:t>
      </w:r>
      <w:r w:rsidRPr="2C4978F2">
        <w:rPr>
          <w:color w:val="000000"/>
          <w:sz w:val="22"/>
          <w:szCs w:val="22"/>
          <w:lang w:eastAsia="en-AU"/>
        </w:rPr>
        <w:t xml:space="preserve">involving the ARI </w:t>
      </w:r>
      <w:r>
        <w:rPr>
          <w:color w:val="000000"/>
          <w:sz w:val="22"/>
          <w:szCs w:val="22"/>
          <w:lang w:eastAsia="en-AU"/>
        </w:rPr>
        <w:t>P</w:t>
      </w:r>
      <w:r w:rsidRPr="2C4978F2">
        <w:rPr>
          <w:color w:val="000000"/>
          <w:sz w:val="22"/>
          <w:szCs w:val="22"/>
          <w:lang w:eastAsia="en-AU"/>
        </w:rPr>
        <w:t xml:space="preserve">roject </w:t>
      </w:r>
      <w:r>
        <w:rPr>
          <w:color w:val="000000"/>
          <w:sz w:val="22"/>
          <w:szCs w:val="22"/>
          <w:lang w:eastAsia="en-AU"/>
        </w:rPr>
        <w:t>T</w:t>
      </w:r>
      <w:r w:rsidRPr="2C4978F2">
        <w:rPr>
          <w:color w:val="000000"/>
          <w:sz w:val="22"/>
          <w:szCs w:val="22"/>
          <w:lang w:eastAsia="en-AU"/>
        </w:rPr>
        <w:t xml:space="preserve">eam, </w:t>
      </w:r>
      <w:r>
        <w:rPr>
          <w:color w:val="000000"/>
          <w:sz w:val="22"/>
          <w:szCs w:val="22"/>
          <w:lang w:eastAsia="en-AU"/>
        </w:rPr>
        <w:t xml:space="preserve">the </w:t>
      </w:r>
      <w:r w:rsidRPr="2C4978F2">
        <w:rPr>
          <w:color w:val="000000"/>
          <w:sz w:val="22"/>
          <w:szCs w:val="22"/>
          <w:lang w:eastAsia="en-AU"/>
        </w:rPr>
        <w:t>NSW DPE, and experts from NSW DPI Fisheries and other local and water agencies</w:t>
      </w:r>
      <w:r>
        <w:rPr>
          <w:color w:val="000000"/>
          <w:sz w:val="22"/>
          <w:szCs w:val="22"/>
          <w:lang w:eastAsia="en-AU"/>
        </w:rPr>
        <w:t>)</w:t>
      </w:r>
      <w:r w:rsidRPr="2C4978F2">
        <w:rPr>
          <w:color w:val="000000"/>
          <w:sz w:val="22"/>
          <w:szCs w:val="22"/>
          <w:lang w:eastAsia="en-AU"/>
        </w:rPr>
        <w:t xml:space="preserve"> that were undertaken to:</w:t>
      </w:r>
    </w:p>
    <w:p w14:paraId="32EB13EC" w14:textId="64849A44" w:rsidR="00491210" w:rsidRPr="002F4E30" w:rsidRDefault="00EE200C" w:rsidP="003C3CA6">
      <w:pPr>
        <w:spacing w:before="240" w:after="0"/>
        <w:ind w:left="567" w:hanging="567"/>
        <w:jc w:val="both"/>
        <w:rPr>
          <w:rFonts w:ascii="Times New Roman" w:hAnsi="Times New Roman" w:cs="Times New Roman"/>
          <w:sz w:val="24"/>
          <w:lang w:eastAsia="en-AU"/>
        </w:rPr>
      </w:pPr>
      <w:r w:rsidRPr="60D1C489">
        <w:rPr>
          <w:color w:val="000000"/>
          <w:sz w:val="22"/>
          <w:szCs w:val="22"/>
          <w:lang w:eastAsia="en-AU"/>
        </w:rPr>
        <w:t>1.</w:t>
      </w:r>
      <w:r>
        <w:rPr>
          <w:color w:val="000000"/>
          <w:sz w:val="22"/>
          <w:szCs w:val="22"/>
          <w:lang w:eastAsia="en-AU"/>
        </w:rPr>
        <w:tab/>
        <w:t>r</w:t>
      </w:r>
      <w:r w:rsidRPr="60D1C489">
        <w:rPr>
          <w:color w:val="000000"/>
          <w:sz w:val="22"/>
          <w:szCs w:val="22"/>
          <w:lang w:eastAsia="en-AU"/>
        </w:rPr>
        <w:t>evise and update the ecolog</w:t>
      </w:r>
      <w:r>
        <w:rPr>
          <w:color w:val="000000"/>
          <w:sz w:val="22"/>
          <w:szCs w:val="22"/>
          <w:lang w:eastAsia="en-AU"/>
        </w:rPr>
        <w:t xml:space="preserve">ical knowledge and </w:t>
      </w:r>
      <w:r w:rsidRPr="60D1C489">
        <w:rPr>
          <w:color w:val="000000"/>
          <w:sz w:val="22"/>
          <w:szCs w:val="22"/>
          <w:lang w:eastAsia="en-AU"/>
        </w:rPr>
        <w:t>develop ecolog</w:t>
      </w:r>
      <w:r>
        <w:rPr>
          <w:color w:val="000000"/>
          <w:sz w:val="22"/>
          <w:szCs w:val="22"/>
          <w:lang w:eastAsia="en-AU"/>
        </w:rPr>
        <w:t xml:space="preserve">ical </w:t>
      </w:r>
      <w:r w:rsidRPr="60D1C489">
        <w:rPr>
          <w:color w:val="000000"/>
          <w:sz w:val="22"/>
          <w:szCs w:val="22"/>
          <w:lang w:eastAsia="en-AU"/>
        </w:rPr>
        <w:t xml:space="preserve">conceptual models for </w:t>
      </w:r>
      <w:r>
        <w:rPr>
          <w:color w:val="000000"/>
          <w:sz w:val="22"/>
          <w:szCs w:val="22"/>
          <w:lang w:eastAsia="en-AU"/>
        </w:rPr>
        <w:t>Golden Perch and Murray Cod</w:t>
      </w:r>
      <w:r w:rsidRPr="60D1C489">
        <w:rPr>
          <w:color w:val="000000"/>
          <w:sz w:val="22"/>
          <w:szCs w:val="22"/>
          <w:lang w:eastAsia="en-AU"/>
        </w:rPr>
        <w:t xml:space="preserve"> in each of the </w:t>
      </w:r>
      <w:r>
        <w:rPr>
          <w:color w:val="000000"/>
          <w:sz w:val="22"/>
          <w:szCs w:val="22"/>
          <w:lang w:eastAsia="en-AU"/>
        </w:rPr>
        <w:t>RRCP</w:t>
      </w:r>
      <w:r w:rsidRPr="60D1C489">
        <w:rPr>
          <w:color w:val="000000"/>
          <w:sz w:val="22"/>
          <w:szCs w:val="22"/>
          <w:lang w:eastAsia="en-AU"/>
        </w:rPr>
        <w:t xml:space="preserve"> areas</w:t>
      </w:r>
    </w:p>
    <w:p w14:paraId="7F681906" w14:textId="14A77406" w:rsidR="00491210" w:rsidRPr="002F4E30" w:rsidRDefault="00EE200C" w:rsidP="003C3CA6">
      <w:pPr>
        <w:spacing w:before="240" w:after="0"/>
        <w:ind w:left="567" w:hanging="567"/>
        <w:jc w:val="both"/>
        <w:rPr>
          <w:rFonts w:ascii="Times New Roman" w:hAnsi="Times New Roman" w:cs="Times New Roman"/>
          <w:sz w:val="24"/>
          <w:lang w:eastAsia="en-AU"/>
        </w:rPr>
      </w:pPr>
      <w:r w:rsidRPr="60D1C489">
        <w:rPr>
          <w:color w:val="000000"/>
          <w:sz w:val="22"/>
          <w:szCs w:val="22"/>
          <w:lang w:eastAsia="en-AU"/>
        </w:rPr>
        <w:t>2.</w:t>
      </w:r>
      <w:r>
        <w:rPr>
          <w:color w:val="000000"/>
          <w:sz w:val="22"/>
          <w:szCs w:val="22"/>
          <w:lang w:eastAsia="en-AU"/>
        </w:rPr>
        <w:tab/>
        <w:t>a</w:t>
      </w:r>
      <w:r w:rsidRPr="60D1C489">
        <w:rPr>
          <w:color w:val="000000"/>
          <w:sz w:val="22"/>
          <w:szCs w:val="22"/>
          <w:lang w:eastAsia="en-AU"/>
        </w:rPr>
        <w:t xml:space="preserve">ssess and modify the model structures needed for </w:t>
      </w:r>
      <w:r>
        <w:rPr>
          <w:color w:val="000000"/>
          <w:sz w:val="22"/>
          <w:szCs w:val="22"/>
          <w:lang w:eastAsia="en-AU"/>
        </w:rPr>
        <w:t>RRCP</w:t>
      </w:r>
      <w:r w:rsidRPr="60D1C489">
        <w:rPr>
          <w:color w:val="000000"/>
          <w:sz w:val="22"/>
          <w:szCs w:val="22"/>
          <w:lang w:eastAsia="en-AU"/>
        </w:rPr>
        <w:t xml:space="preserve"> </w:t>
      </w:r>
      <w:r>
        <w:rPr>
          <w:color w:val="000000"/>
          <w:sz w:val="22"/>
          <w:szCs w:val="22"/>
          <w:lang w:eastAsia="en-AU"/>
        </w:rPr>
        <w:t xml:space="preserve">flow </w:t>
      </w:r>
      <w:r w:rsidRPr="60D1C489">
        <w:rPr>
          <w:color w:val="000000"/>
          <w:sz w:val="22"/>
          <w:szCs w:val="22"/>
          <w:lang w:eastAsia="en-AU"/>
        </w:rPr>
        <w:t>scenarios</w:t>
      </w:r>
    </w:p>
    <w:p w14:paraId="579508A5" w14:textId="42CF5526" w:rsidR="00491210" w:rsidRPr="002F4E30" w:rsidRDefault="00EE200C" w:rsidP="003C3CA6">
      <w:pPr>
        <w:spacing w:before="240" w:after="0"/>
        <w:ind w:left="567" w:hanging="567"/>
        <w:jc w:val="both"/>
        <w:rPr>
          <w:rFonts w:ascii="Times New Roman" w:hAnsi="Times New Roman" w:cs="Times New Roman"/>
          <w:sz w:val="24"/>
          <w:lang w:eastAsia="en-AU"/>
        </w:rPr>
      </w:pPr>
      <w:r w:rsidRPr="60D1C489">
        <w:rPr>
          <w:color w:val="000000"/>
          <w:sz w:val="22"/>
          <w:szCs w:val="22"/>
          <w:lang w:eastAsia="en-AU"/>
        </w:rPr>
        <w:t>3.</w:t>
      </w:r>
      <w:r>
        <w:rPr>
          <w:color w:val="000000"/>
          <w:sz w:val="22"/>
          <w:szCs w:val="22"/>
          <w:lang w:eastAsia="en-AU"/>
        </w:rPr>
        <w:tab/>
        <w:t>d</w:t>
      </w:r>
      <w:r w:rsidRPr="60D1C489">
        <w:rPr>
          <w:color w:val="000000"/>
          <w:sz w:val="22"/>
          <w:szCs w:val="22"/>
          <w:lang w:eastAsia="en-AU"/>
        </w:rPr>
        <w:t xml:space="preserve">evelop operational </w:t>
      </w:r>
      <w:r>
        <w:rPr>
          <w:color w:val="000000"/>
          <w:sz w:val="22"/>
          <w:szCs w:val="22"/>
          <w:lang w:eastAsia="en-AU"/>
        </w:rPr>
        <w:t xml:space="preserve">conceptual </w:t>
      </w:r>
      <w:r w:rsidRPr="60D1C489">
        <w:rPr>
          <w:color w:val="000000"/>
          <w:sz w:val="22"/>
          <w:szCs w:val="22"/>
          <w:lang w:eastAsia="en-AU"/>
        </w:rPr>
        <w:t>models and agree to the hydrological scenarios to be modelled</w:t>
      </w:r>
      <w:r w:rsidRPr="00E22271">
        <w:rPr>
          <w:color w:val="000000"/>
          <w:sz w:val="22"/>
          <w:szCs w:val="22"/>
          <w:lang w:eastAsia="en-AU"/>
        </w:rPr>
        <w:t xml:space="preserve"> </w:t>
      </w:r>
      <w:r w:rsidRPr="60D1C489">
        <w:rPr>
          <w:color w:val="000000"/>
          <w:sz w:val="22"/>
          <w:szCs w:val="22"/>
          <w:lang w:eastAsia="en-AU"/>
        </w:rPr>
        <w:t xml:space="preserve">in each of the </w:t>
      </w:r>
      <w:r>
        <w:rPr>
          <w:color w:val="000000"/>
          <w:sz w:val="22"/>
          <w:szCs w:val="22"/>
          <w:lang w:eastAsia="en-AU"/>
        </w:rPr>
        <w:t>RRCP</w:t>
      </w:r>
      <w:r w:rsidRPr="60D1C489">
        <w:rPr>
          <w:color w:val="000000"/>
          <w:sz w:val="22"/>
          <w:szCs w:val="22"/>
          <w:lang w:eastAsia="en-AU"/>
        </w:rPr>
        <w:t xml:space="preserve"> areas</w:t>
      </w:r>
    </w:p>
    <w:p w14:paraId="0B797963" w14:textId="4DED02B1" w:rsidR="00491210" w:rsidRPr="002F4E30" w:rsidRDefault="00EE200C" w:rsidP="003C3CA6">
      <w:pPr>
        <w:spacing w:before="240" w:after="0"/>
        <w:ind w:left="567" w:hanging="567"/>
        <w:jc w:val="both"/>
        <w:rPr>
          <w:rFonts w:ascii="Times New Roman" w:hAnsi="Times New Roman" w:cs="Times New Roman"/>
          <w:sz w:val="24"/>
          <w:lang w:eastAsia="en-AU"/>
        </w:rPr>
      </w:pPr>
      <w:r w:rsidRPr="60D1C489">
        <w:rPr>
          <w:color w:val="000000"/>
          <w:sz w:val="22"/>
          <w:szCs w:val="22"/>
          <w:lang w:eastAsia="en-AU"/>
        </w:rPr>
        <w:t>4.</w:t>
      </w:r>
      <w:r>
        <w:rPr>
          <w:color w:val="000000"/>
          <w:sz w:val="22"/>
          <w:szCs w:val="22"/>
          <w:lang w:eastAsia="en-AU"/>
        </w:rPr>
        <w:tab/>
        <w:t>e</w:t>
      </w:r>
      <w:r w:rsidRPr="60D1C489">
        <w:rPr>
          <w:color w:val="000000"/>
          <w:sz w:val="22"/>
          <w:szCs w:val="22"/>
          <w:lang w:eastAsia="en-AU"/>
        </w:rPr>
        <w:t>stablish data needs</w:t>
      </w:r>
      <w:r>
        <w:rPr>
          <w:color w:val="000000"/>
          <w:sz w:val="22"/>
          <w:szCs w:val="22"/>
          <w:lang w:eastAsia="en-AU"/>
        </w:rPr>
        <w:t>,</w:t>
      </w:r>
      <w:r w:rsidRPr="60D1C489">
        <w:rPr>
          <w:color w:val="000000"/>
          <w:sz w:val="22"/>
          <w:szCs w:val="22"/>
          <w:lang w:eastAsia="en-AU"/>
        </w:rPr>
        <w:t xml:space="preserve"> including river </w:t>
      </w:r>
      <w:r w:rsidRPr="483D76F3">
        <w:rPr>
          <w:color w:val="000000"/>
          <w:sz w:val="22"/>
          <w:szCs w:val="22"/>
          <w:lang w:eastAsia="en-AU"/>
        </w:rPr>
        <w:t>flows</w:t>
      </w:r>
      <w:r w:rsidRPr="60D1C489">
        <w:rPr>
          <w:color w:val="000000"/>
          <w:sz w:val="22"/>
          <w:szCs w:val="22"/>
          <w:lang w:eastAsia="en-AU"/>
        </w:rPr>
        <w:t xml:space="preserve"> and water temperatures, and the most appropriate gauge sites for each </w:t>
      </w:r>
      <w:r>
        <w:rPr>
          <w:color w:val="000000"/>
          <w:sz w:val="22"/>
          <w:szCs w:val="22"/>
          <w:lang w:eastAsia="en-AU"/>
        </w:rPr>
        <w:t>RRCP</w:t>
      </w:r>
      <w:r w:rsidRPr="60D1C489">
        <w:rPr>
          <w:color w:val="000000"/>
          <w:sz w:val="22"/>
          <w:szCs w:val="22"/>
          <w:lang w:eastAsia="en-AU"/>
        </w:rPr>
        <w:t xml:space="preserve"> area</w:t>
      </w:r>
    </w:p>
    <w:p w14:paraId="4E327D77" w14:textId="11863E6C" w:rsidR="00491210" w:rsidRPr="002F4E30" w:rsidRDefault="00EE200C" w:rsidP="003C3CA6">
      <w:pPr>
        <w:spacing w:before="240" w:after="0"/>
        <w:ind w:left="567" w:hanging="567"/>
        <w:jc w:val="both"/>
        <w:rPr>
          <w:rFonts w:ascii="Times New Roman" w:hAnsi="Times New Roman" w:cs="Times New Roman"/>
          <w:sz w:val="24"/>
          <w:lang w:eastAsia="en-AU"/>
        </w:rPr>
      </w:pPr>
      <w:r w:rsidRPr="60D1C489">
        <w:rPr>
          <w:color w:val="000000"/>
          <w:sz w:val="22"/>
          <w:szCs w:val="22"/>
          <w:lang w:eastAsia="en-AU"/>
        </w:rPr>
        <w:t>5.</w:t>
      </w:r>
      <w:r>
        <w:rPr>
          <w:color w:val="000000"/>
          <w:sz w:val="22"/>
          <w:szCs w:val="22"/>
          <w:lang w:eastAsia="en-AU"/>
        </w:rPr>
        <w:tab/>
        <w:t>d</w:t>
      </w:r>
      <w:r w:rsidRPr="60D1C489">
        <w:rPr>
          <w:color w:val="000000"/>
          <w:sz w:val="22"/>
          <w:szCs w:val="22"/>
          <w:lang w:eastAsia="en-AU"/>
        </w:rPr>
        <w:t>evelop the ecological flow and temperature rules within the models and scenarios</w:t>
      </w:r>
    </w:p>
    <w:p w14:paraId="780F4886" w14:textId="2704B80D" w:rsidR="00491210" w:rsidRDefault="00EE200C" w:rsidP="60D1C489">
      <w:pPr>
        <w:spacing w:before="240" w:after="240"/>
        <w:jc w:val="both"/>
        <w:rPr>
          <w:color w:val="000000"/>
          <w:sz w:val="22"/>
          <w:szCs w:val="22"/>
          <w:lang w:eastAsia="en-AU"/>
        </w:rPr>
      </w:pPr>
      <w:r w:rsidRPr="60D1C489">
        <w:rPr>
          <w:color w:val="000000"/>
          <w:sz w:val="22"/>
          <w:szCs w:val="22"/>
          <w:lang w:eastAsia="en-AU"/>
        </w:rPr>
        <w:t xml:space="preserve">These workshops provided </w:t>
      </w:r>
      <w:r w:rsidRPr="4589EAF3">
        <w:rPr>
          <w:color w:val="000000"/>
          <w:sz w:val="22"/>
          <w:szCs w:val="22"/>
          <w:lang w:eastAsia="en-AU"/>
        </w:rPr>
        <w:t xml:space="preserve">high-level </w:t>
      </w:r>
      <w:r w:rsidRPr="60D1C489">
        <w:rPr>
          <w:color w:val="000000"/>
          <w:sz w:val="22"/>
          <w:szCs w:val="22"/>
          <w:lang w:eastAsia="en-AU"/>
        </w:rPr>
        <w:t>expertise and ensured that the modelling was based on the most up</w:t>
      </w:r>
      <w:r>
        <w:rPr>
          <w:color w:val="000000"/>
          <w:sz w:val="22"/>
          <w:szCs w:val="22"/>
          <w:lang w:eastAsia="en-AU"/>
        </w:rPr>
        <w:t>-</w:t>
      </w:r>
      <w:r w:rsidRPr="60D1C489">
        <w:rPr>
          <w:color w:val="000000"/>
          <w:sz w:val="22"/>
          <w:szCs w:val="22"/>
          <w:lang w:eastAsia="en-AU"/>
        </w:rPr>
        <w:t>to</w:t>
      </w:r>
      <w:r>
        <w:rPr>
          <w:color w:val="000000"/>
          <w:sz w:val="22"/>
          <w:szCs w:val="22"/>
          <w:lang w:eastAsia="en-AU"/>
        </w:rPr>
        <w:t>-</w:t>
      </w:r>
      <w:r w:rsidRPr="60D1C489">
        <w:rPr>
          <w:color w:val="000000"/>
          <w:sz w:val="22"/>
          <w:szCs w:val="22"/>
          <w:lang w:eastAsia="en-AU"/>
        </w:rPr>
        <w:t>date ecology and riverine operational knowledge.</w:t>
      </w:r>
    </w:p>
    <w:p w14:paraId="767A03FE" w14:textId="58869622" w:rsidR="00491210" w:rsidRPr="007C54A1" w:rsidRDefault="00EE200C" w:rsidP="00753F5C">
      <w:pPr>
        <w:pStyle w:val="Heading2-Numbered"/>
      </w:pPr>
      <w:bookmarkStart w:id="74" w:name="_Toc116994888"/>
      <w:r>
        <w:t>Model spatial zones and hydrological scenarios</w:t>
      </w:r>
      <w:bookmarkEnd w:id="74"/>
    </w:p>
    <w:p w14:paraId="103DF536" w14:textId="7CE6DFFC" w:rsidR="00491210" w:rsidRDefault="00EE200C" w:rsidP="60D1C489">
      <w:pPr>
        <w:spacing w:before="240" w:after="240"/>
        <w:jc w:val="both"/>
        <w:rPr>
          <w:color w:val="000000"/>
          <w:sz w:val="22"/>
          <w:szCs w:val="22"/>
          <w:lang w:eastAsia="en-AU"/>
        </w:rPr>
      </w:pPr>
      <w:r w:rsidRPr="4D1BBAA5">
        <w:rPr>
          <w:color w:val="000000"/>
          <w:sz w:val="22"/>
          <w:szCs w:val="22"/>
          <w:lang w:eastAsia="en-AU"/>
        </w:rPr>
        <w:t xml:space="preserve">The spatial zones for the </w:t>
      </w:r>
      <w:r>
        <w:rPr>
          <w:color w:val="000000"/>
          <w:sz w:val="22"/>
          <w:szCs w:val="22"/>
          <w:lang w:eastAsia="en-AU"/>
        </w:rPr>
        <w:t>RRCP</w:t>
      </w:r>
      <w:r w:rsidRPr="4D1BBAA5">
        <w:rPr>
          <w:color w:val="000000"/>
          <w:sz w:val="22"/>
          <w:szCs w:val="22"/>
          <w:lang w:eastAsia="en-AU"/>
        </w:rPr>
        <w:t xml:space="preserve">, the flow limit options, and </w:t>
      </w:r>
      <w:r>
        <w:rPr>
          <w:color w:val="000000"/>
          <w:sz w:val="22"/>
          <w:szCs w:val="22"/>
          <w:lang w:eastAsia="en-AU"/>
        </w:rPr>
        <w:t xml:space="preserve">the </w:t>
      </w:r>
      <w:r w:rsidRPr="4D1BBAA5">
        <w:rPr>
          <w:color w:val="000000"/>
          <w:sz w:val="22"/>
          <w:szCs w:val="22"/>
          <w:lang w:eastAsia="en-AU"/>
        </w:rPr>
        <w:t xml:space="preserve">fish species modelled are </w:t>
      </w:r>
      <w:r w:rsidRPr="00A2073B">
        <w:rPr>
          <w:color w:val="000000"/>
          <w:sz w:val="22"/>
          <w:szCs w:val="22"/>
          <w:lang w:eastAsia="en-AU"/>
        </w:rPr>
        <w:t xml:space="preserve">summarised in </w:t>
      </w:r>
      <w:r w:rsidRPr="00A2073B">
        <w:rPr>
          <w:color w:val="000000"/>
          <w:sz w:val="22"/>
          <w:szCs w:val="22"/>
          <w:lang w:eastAsia="en-AU"/>
        </w:rPr>
        <w:fldChar w:fldCharType="begin"/>
      </w:r>
      <w:r w:rsidRPr="00A2073B">
        <w:rPr>
          <w:color w:val="000000"/>
          <w:sz w:val="22"/>
          <w:szCs w:val="22"/>
          <w:lang w:eastAsia="en-AU"/>
        </w:rPr>
        <w:instrText xml:space="preserve"> REF _Ref104372096 \h </w:instrText>
      </w:r>
      <w:r>
        <w:rPr>
          <w:color w:val="000000"/>
          <w:sz w:val="22"/>
          <w:szCs w:val="22"/>
          <w:lang w:eastAsia="en-AU"/>
        </w:rPr>
        <w:instrText xml:space="preserve"> \* MERGEFORMAT </w:instrText>
      </w:r>
      <w:r w:rsidRPr="00A2073B">
        <w:rPr>
          <w:color w:val="000000"/>
          <w:sz w:val="22"/>
          <w:szCs w:val="22"/>
          <w:lang w:eastAsia="en-AU"/>
        </w:rPr>
      </w:r>
      <w:r w:rsidRPr="00A2073B">
        <w:rPr>
          <w:color w:val="000000"/>
          <w:sz w:val="22"/>
          <w:szCs w:val="22"/>
          <w:lang w:eastAsia="en-AU"/>
        </w:rPr>
        <w:fldChar w:fldCharType="separate"/>
      </w:r>
      <w:r w:rsidR="005B672A" w:rsidRPr="005B672A">
        <w:rPr>
          <w:sz w:val="22"/>
          <w:szCs w:val="22"/>
        </w:rPr>
        <w:t xml:space="preserve">Table </w:t>
      </w:r>
      <w:r w:rsidR="005B672A" w:rsidRPr="005B672A">
        <w:rPr>
          <w:noProof/>
          <w:sz w:val="22"/>
          <w:szCs w:val="22"/>
        </w:rPr>
        <w:t>1</w:t>
      </w:r>
      <w:r w:rsidRPr="00A2073B">
        <w:rPr>
          <w:color w:val="000000"/>
          <w:sz w:val="22"/>
          <w:szCs w:val="22"/>
          <w:lang w:eastAsia="en-AU"/>
        </w:rPr>
        <w:fldChar w:fldCharType="end"/>
      </w:r>
      <w:r w:rsidRPr="00A2073B">
        <w:rPr>
          <w:color w:val="000000"/>
          <w:sz w:val="22"/>
          <w:szCs w:val="22"/>
          <w:lang w:eastAsia="en-AU"/>
        </w:rPr>
        <w:t xml:space="preserve">. </w:t>
      </w:r>
      <w:r>
        <w:rPr>
          <w:color w:val="000000"/>
          <w:sz w:val="22"/>
          <w:szCs w:val="22"/>
          <w:lang w:eastAsia="en-AU"/>
        </w:rPr>
        <w:t xml:space="preserve">The spatial scales of the population models are shown </w:t>
      </w:r>
      <w:r w:rsidRPr="00CA00CF">
        <w:rPr>
          <w:color w:val="000000"/>
          <w:sz w:val="22"/>
          <w:szCs w:val="22"/>
          <w:lang w:eastAsia="en-AU"/>
        </w:rPr>
        <w:t xml:space="preserve">in </w:t>
      </w:r>
      <w:r w:rsidRPr="00CA00CF">
        <w:rPr>
          <w:color w:val="000000"/>
          <w:sz w:val="22"/>
          <w:szCs w:val="22"/>
          <w:lang w:eastAsia="en-AU"/>
        </w:rPr>
        <w:fldChar w:fldCharType="begin"/>
      </w:r>
      <w:r w:rsidRPr="00CA00CF">
        <w:rPr>
          <w:color w:val="000000"/>
          <w:sz w:val="22"/>
          <w:szCs w:val="22"/>
          <w:lang w:eastAsia="en-AU"/>
        </w:rPr>
        <w:instrText xml:space="preserve"> REF _Ref107928735 \h </w:instrText>
      </w:r>
      <w:r>
        <w:rPr>
          <w:color w:val="000000"/>
          <w:sz w:val="22"/>
          <w:szCs w:val="22"/>
          <w:lang w:eastAsia="en-AU"/>
        </w:rPr>
        <w:instrText xml:space="preserve"> \* MERGEFORMAT </w:instrText>
      </w:r>
      <w:r w:rsidRPr="00CA00CF">
        <w:rPr>
          <w:color w:val="000000"/>
          <w:sz w:val="22"/>
          <w:szCs w:val="22"/>
          <w:lang w:eastAsia="en-AU"/>
        </w:rPr>
      </w:r>
      <w:r w:rsidRPr="00CA00CF">
        <w:rPr>
          <w:color w:val="000000"/>
          <w:sz w:val="22"/>
          <w:szCs w:val="22"/>
          <w:lang w:eastAsia="en-AU"/>
        </w:rPr>
        <w:fldChar w:fldCharType="separate"/>
      </w:r>
      <w:r w:rsidR="005B672A" w:rsidRPr="005B672A">
        <w:rPr>
          <w:sz w:val="22"/>
          <w:szCs w:val="22"/>
        </w:rPr>
        <w:t xml:space="preserve">Figure </w:t>
      </w:r>
      <w:r w:rsidR="005B672A" w:rsidRPr="005B672A">
        <w:rPr>
          <w:noProof/>
          <w:sz w:val="22"/>
          <w:szCs w:val="22"/>
        </w:rPr>
        <w:t>14</w:t>
      </w:r>
      <w:r w:rsidRPr="00CA00CF">
        <w:rPr>
          <w:color w:val="000000"/>
          <w:sz w:val="22"/>
          <w:szCs w:val="22"/>
          <w:lang w:eastAsia="en-AU"/>
        </w:rPr>
        <w:fldChar w:fldCharType="end"/>
      </w:r>
      <w:r w:rsidRPr="00CA00CF">
        <w:rPr>
          <w:color w:val="000000"/>
          <w:sz w:val="22"/>
          <w:szCs w:val="22"/>
          <w:lang w:eastAsia="en-AU"/>
        </w:rPr>
        <w:t>–</w:t>
      </w:r>
      <w:r w:rsidRPr="00C64127">
        <w:rPr>
          <w:color w:val="000000"/>
          <w:sz w:val="22"/>
          <w:szCs w:val="22"/>
          <w:lang w:eastAsia="en-AU"/>
        </w:rPr>
        <w:fldChar w:fldCharType="begin"/>
      </w:r>
      <w:r w:rsidRPr="00C64127">
        <w:rPr>
          <w:color w:val="000000"/>
          <w:sz w:val="22"/>
          <w:szCs w:val="22"/>
          <w:lang w:eastAsia="en-AU"/>
        </w:rPr>
        <w:instrText xml:space="preserve"> REF _Ref104370750 \h  \* MERGEFORMAT </w:instrText>
      </w:r>
      <w:r w:rsidRPr="00C64127">
        <w:rPr>
          <w:color w:val="000000"/>
          <w:sz w:val="22"/>
          <w:szCs w:val="22"/>
          <w:lang w:eastAsia="en-AU"/>
        </w:rPr>
      </w:r>
      <w:r w:rsidRPr="00C64127">
        <w:rPr>
          <w:color w:val="000000"/>
          <w:sz w:val="22"/>
          <w:szCs w:val="22"/>
          <w:lang w:eastAsia="en-AU"/>
        </w:rPr>
        <w:fldChar w:fldCharType="separate"/>
      </w:r>
      <w:r w:rsidR="005B672A" w:rsidRPr="005B672A">
        <w:rPr>
          <w:noProof/>
          <w:sz w:val="22"/>
          <w:szCs w:val="22"/>
        </w:rPr>
        <w:t>Figure</w:t>
      </w:r>
      <w:r w:rsidR="005B672A">
        <w:t xml:space="preserve"> </w:t>
      </w:r>
      <w:r w:rsidR="005B672A">
        <w:rPr>
          <w:noProof/>
        </w:rPr>
        <w:t>17</w:t>
      </w:r>
      <w:r w:rsidRPr="00C64127">
        <w:rPr>
          <w:color w:val="000000"/>
          <w:sz w:val="22"/>
          <w:szCs w:val="22"/>
          <w:lang w:eastAsia="en-AU"/>
        </w:rPr>
        <w:fldChar w:fldCharType="end"/>
      </w:r>
      <w:r w:rsidRPr="00CA00CF">
        <w:rPr>
          <w:color w:val="000000"/>
          <w:sz w:val="22"/>
          <w:szCs w:val="22"/>
          <w:lang w:eastAsia="en-AU"/>
        </w:rPr>
        <w:t>,</w:t>
      </w:r>
      <w:r>
        <w:rPr>
          <w:color w:val="000000"/>
          <w:sz w:val="22"/>
          <w:szCs w:val="22"/>
          <w:lang w:eastAsia="en-AU"/>
        </w:rPr>
        <w:t xml:space="preserve"> </w:t>
      </w:r>
      <w:r w:rsidRPr="00CA00CF">
        <w:rPr>
          <w:color w:val="000000"/>
          <w:sz w:val="22"/>
          <w:szCs w:val="22"/>
          <w:lang w:eastAsia="en-AU"/>
        </w:rPr>
        <w:t xml:space="preserve">where </w:t>
      </w:r>
      <w:r w:rsidRPr="00CA00CF">
        <w:rPr>
          <w:color w:val="000000"/>
          <w:sz w:val="22"/>
          <w:szCs w:val="22"/>
          <w:lang w:eastAsia="en-AU"/>
        </w:rPr>
        <w:fldChar w:fldCharType="begin"/>
      </w:r>
      <w:r w:rsidRPr="00CA00CF">
        <w:rPr>
          <w:color w:val="000000"/>
          <w:sz w:val="22"/>
          <w:szCs w:val="22"/>
          <w:lang w:eastAsia="en-AU"/>
        </w:rPr>
        <w:instrText xml:space="preserve"> REF _Ref107928735 \h  \* MERGEFORMAT </w:instrText>
      </w:r>
      <w:r w:rsidRPr="00CA00CF">
        <w:rPr>
          <w:color w:val="000000"/>
          <w:sz w:val="22"/>
          <w:szCs w:val="22"/>
          <w:lang w:eastAsia="en-AU"/>
        </w:rPr>
      </w:r>
      <w:r w:rsidRPr="00CA00CF">
        <w:rPr>
          <w:color w:val="000000"/>
          <w:sz w:val="22"/>
          <w:szCs w:val="22"/>
          <w:lang w:eastAsia="en-AU"/>
        </w:rPr>
        <w:fldChar w:fldCharType="separate"/>
      </w:r>
      <w:r w:rsidR="005B672A" w:rsidRPr="005B672A">
        <w:rPr>
          <w:sz w:val="22"/>
          <w:szCs w:val="22"/>
        </w:rPr>
        <w:t xml:space="preserve">Figure </w:t>
      </w:r>
      <w:r w:rsidR="005B672A" w:rsidRPr="005B672A">
        <w:rPr>
          <w:noProof/>
          <w:sz w:val="22"/>
          <w:szCs w:val="22"/>
        </w:rPr>
        <w:t>14</w:t>
      </w:r>
      <w:r w:rsidRPr="00CA00CF">
        <w:rPr>
          <w:color w:val="000000"/>
          <w:sz w:val="22"/>
          <w:szCs w:val="22"/>
          <w:lang w:eastAsia="en-AU"/>
        </w:rPr>
        <w:fldChar w:fldCharType="end"/>
      </w:r>
      <w:r w:rsidRPr="00CA00CF">
        <w:rPr>
          <w:color w:val="000000"/>
          <w:sz w:val="22"/>
          <w:szCs w:val="22"/>
          <w:lang w:eastAsia="en-AU"/>
        </w:rPr>
        <w:t xml:space="preserve"> and </w:t>
      </w:r>
      <w:r w:rsidRPr="00CA00CF">
        <w:rPr>
          <w:color w:val="000000"/>
          <w:sz w:val="22"/>
          <w:szCs w:val="22"/>
          <w:lang w:eastAsia="en-AU"/>
        </w:rPr>
        <w:fldChar w:fldCharType="begin"/>
      </w:r>
      <w:r w:rsidRPr="00CA00CF">
        <w:rPr>
          <w:color w:val="000000"/>
          <w:sz w:val="22"/>
          <w:szCs w:val="22"/>
          <w:lang w:eastAsia="en-AU"/>
        </w:rPr>
        <w:instrText xml:space="preserve"> REF _Ref104370966 \h  \* MERGEFORMAT </w:instrText>
      </w:r>
      <w:r w:rsidRPr="00CA00CF">
        <w:rPr>
          <w:color w:val="000000"/>
          <w:sz w:val="22"/>
          <w:szCs w:val="22"/>
          <w:lang w:eastAsia="en-AU"/>
        </w:rPr>
      </w:r>
      <w:r w:rsidRPr="00CA00CF">
        <w:rPr>
          <w:color w:val="000000"/>
          <w:sz w:val="22"/>
          <w:szCs w:val="22"/>
          <w:lang w:eastAsia="en-AU"/>
        </w:rPr>
        <w:fldChar w:fldCharType="separate"/>
      </w:r>
      <w:r w:rsidR="005B672A" w:rsidRPr="005B672A">
        <w:rPr>
          <w:noProof/>
          <w:sz w:val="22"/>
          <w:szCs w:val="22"/>
        </w:rPr>
        <w:t>Figure</w:t>
      </w:r>
      <w:r w:rsidR="005B672A">
        <w:t xml:space="preserve"> </w:t>
      </w:r>
      <w:r w:rsidR="005B672A">
        <w:rPr>
          <w:noProof/>
        </w:rPr>
        <w:t>15</w:t>
      </w:r>
      <w:r w:rsidRPr="00CA00CF">
        <w:rPr>
          <w:color w:val="000000"/>
          <w:sz w:val="22"/>
          <w:szCs w:val="22"/>
          <w:lang w:eastAsia="en-AU"/>
        </w:rPr>
        <w:fldChar w:fldCharType="end"/>
      </w:r>
      <w:r w:rsidRPr="00CA00CF">
        <w:rPr>
          <w:color w:val="000000"/>
          <w:sz w:val="22"/>
          <w:szCs w:val="22"/>
          <w:lang w:eastAsia="en-AU"/>
        </w:rPr>
        <w:t xml:space="preserve"> de</w:t>
      </w:r>
      <w:r>
        <w:rPr>
          <w:color w:val="000000"/>
          <w:sz w:val="22"/>
          <w:szCs w:val="22"/>
          <w:lang w:eastAsia="en-AU"/>
        </w:rPr>
        <w:t xml:space="preserve">scribe the spatial scale and spatial location of the Golden Perch populations within the metapopulation model, </w:t>
      </w:r>
      <w:r w:rsidRPr="002B1501">
        <w:rPr>
          <w:color w:val="000000"/>
          <w:sz w:val="22"/>
          <w:szCs w:val="22"/>
          <w:lang w:eastAsia="en-AU"/>
        </w:rPr>
        <w:t xml:space="preserve">and </w:t>
      </w:r>
      <w:r w:rsidRPr="002B1501">
        <w:rPr>
          <w:color w:val="000000"/>
          <w:sz w:val="22"/>
          <w:szCs w:val="22"/>
          <w:lang w:eastAsia="en-AU"/>
        </w:rPr>
        <w:fldChar w:fldCharType="begin"/>
      </w:r>
      <w:r w:rsidRPr="002B1501">
        <w:rPr>
          <w:color w:val="000000"/>
          <w:sz w:val="22"/>
          <w:szCs w:val="22"/>
          <w:lang w:eastAsia="en-AU"/>
        </w:rPr>
        <w:instrText xml:space="preserve"> REF _Ref104370550 \h </w:instrText>
      </w:r>
      <w:r>
        <w:rPr>
          <w:color w:val="000000"/>
          <w:sz w:val="22"/>
          <w:szCs w:val="22"/>
          <w:lang w:eastAsia="en-AU"/>
        </w:rPr>
        <w:instrText xml:space="preserve"> \* MERGEFORMAT </w:instrText>
      </w:r>
      <w:r w:rsidRPr="002B1501">
        <w:rPr>
          <w:color w:val="000000"/>
          <w:sz w:val="22"/>
          <w:szCs w:val="22"/>
          <w:lang w:eastAsia="en-AU"/>
        </w:rPr>
      </w:r>
      <w:r w:rsidRPr="002B1501">
        <w:rPr>
          <w:color w:val="000000"/>
          <w:sz w:val="22"/>
          <w:szCs w:val="22"/>
          <w:lang w:eastAsia="en-AU"/>
        </w:rPr>
        <w:fldChar w:fldCharType="separate"/>
      </w:r>
      <w:r w:rsidR="005B672A" w:rsidRPr="005B672A">
        <w:rPr>
          <w:sz w:val="22"/>
          <w:szCs w:val="22"/>
        </w:rPr>
        <w:t xml:space="preserve">Figure </w:t>
      </w:r>
      <w:r w:rsidR="005B672A" w:rsidRPr="005B672A">
        <w:rPr>
          <w:noProof/>
          <w:sz w:val="22"/>
          <w:szCs w:val="22"/>
        </w:rPr>
        <w:t>16</w:t>
      </w:r>
      <w:r w:rsidRPr="002B1501">
        <w:rPr>
          <w:color w:val="000000"/>
          <w:sz w:val="22"/>
          <w:szCs w:val="22"/>
          <w:lang w:eastAsia="en-AU"/>
        </w:rPr>
        <w:fldChar w:fldCharType="end"/>
      </w:r>
      <w:r w:rsidRPr="002B1501">
        <w:rPr>
          <w:color w:val="000000"/>
          <w:sz w:val="22"/>
          <w:szCs w:val="22"/>
          <w:lang w:eastAsia="en-AU"/>
        </w:rPr>
        <w:t xml:space="preserve"> and </w:t>
      </w:r>
      <w:r w:rsidRPr="002B1501">
        <w:rPr>
          <w:color w:val="000000"/>
          <w:sz w:val="22"/>
          <w:szCs w:val="22"/>
          <w:lang w:eastAsia="en-AU"/>
        </w:rPr>
        <w:fldChar w:fldCharType="begin"/>
      </w:r>
      <w:r w:rsidRPr="002B1501">
        <w:rPr>
          <w:color w:val="000000"/>
          <w:sz w:val="22"/>
          <w:szCs w:val="22"/>
          <w:lang w:eastAsia="en-AU"/>
        </w:rPr>
        <w:instrText xml:space="preserve"> REF _Ref104370750 \h </w:instrText>
      </w:r>
      <w:r>
        <w:rPr>
          <w:color w:val="000000"/>
          <w:sz w:val="22"/>
          <w:szCs w:val="22"/>
          <w:lang w:eastAsia="en-AU"/>
        </w:rPr>
        <w:instrText xml:space="preserve"> \* MERGEFORMAT </w:instrText>
      </w:r>
      <w:r w:rsidRPr="002B1501">
        <w:rPr>
          <w:color w:val="000000"/>
          <w:sz w:val="22"/>
          <w:szCs w:val="22"/>
          <w:lang w:eastAsia="en-AU"/>
        </w:rPr>
      </w:r>
      <w:r w:rsidRPr="002B1501">
        <w:rPr>
          <w:color w:val="000000"/>
          <w:sz w:val="22"/>
          <w:szCs w:val="22"/>
          <w:lang w:eastAsia="en-AU"/>
        </w:rPr>
        <w:fldChar w:fldCharType="separate"/>
      </w:r>
      <w:r w:rsidR="005B672A" w:rsidRPr="005B672A">
        <w:rPr>
          <w:noProof/>
          <w:sz w:val="22"/>
          <w:szCs w:val="22"/>
        </w:rPr>
        <w:t>Figure</w:t>
      </w:r>
      <w:r w:rsidR="005B672A">
        <w:t xml:space="preserve"> </w:t>
      </w:r>
      <w:r w:rsidR="005B672A" w:rsidRPr="005B672A">
        <w:rPr>
          <w:noProof/>
          <w:sz w:val="22"/>
          <w:szCs w:val="22"/>
        </w:rPr>
        <w:t>17</w:t>
      </w:r>
      <w:r w:rsidRPr="002B1501">
        <w:rPr>
          <w:color w:val="000000"/>
          <w:sz w:val="22"/>
          <w:szCs w:val="22"/>
          <w:lang w:eastAsia="en-AU"/>
        </w:rPr>
        <w:fldChar w:fldCharType="end"/>
      </w:r>
      <w:r>
        <w:rPr>
          <w:color w:val="000000"/>
          <w:sz w:val="22"/>
          <w:szCs w:val="22"/>
          <w:lang w:eastAsia="en-AU"/>
        </w:rPr>
        <w:t xml:space="preserve"> describe the spatial scale of individual population locations modelled for Murray Cod. </w:t>
      </w:r>
      <w:r w:rsidRPr="00A2073B">
        <w:rPr>
          <w:color w:val="000000"/>
          <w:sz w:val="22"/>
          <w:szCs w:val="22"/>
          <w:lang w:eastAsia="en-AU"/>
        </w:rPr>
        <w:t>Note</w:t>
      </w:r>
      <w:r w:rsidRPr="4D1BBAA5">
        <w:rPr>
          <w:color w:val="000000"/>
          <w:sz w:val="22"/>
          <w:szCs w:val="22"/>
          <w:lang w:eastAsia="en-AU"/>
        </w:rPr>
        <w:t xml:space="preserve"> that the term </w:t>
      </w:r>
      <w:r>
        <w:rPr>
          <w:color w:val="000000"/>
          <w:sz w:val="22"/>
          <w:szCs w:val="22"/>
          <w:lang w:eastAsia="en-AU"/>
        </w:rPr>
        <w:t>‘</w:t>
      </w:r>
      <w:r w:rsidRPr="4D1BBAA5">
        <w:rPr>
          <w:color w:val="000000"/>
          <w:sz w:val="22"/>
          <w:szCs w:val="22"/>
          <w:lang w:eastAsia="en-AU"/>
        </w:rPr>
        <w:t>flow</w:t>
      </w:r>
      <w:r>
        <w:rPr>
          <w:color w:val="000000"/>
          <w:sz w:val="22"/>
          <w:szCs w:val="22"/>
          <w:lang w:eastAsia="en-AU"/>
        </w:rPr>
        <w:t>’</w:t>
      </w:r>
      <w:r w:rsidRPr="4D1BBAA5">
        <w:rPr>
          <w:color w:val="000000"/>
          <w:sz w:val="22"/>
          <w:szCs w:val="22"/>
          <w:lang w:eastAsia="en-AU"/>
        </w:rPr>
        <w:t xml:space="preserve"> is used to specifically describe </w:t>
      </w:r>
      <w:r>
        <w:rPr>
          <w:color w:val="000000"/>
          <w:sz w:val="22"/>
          <w:szCs w:val="22"/>
          <w:lang w:eastAsia="en-AU"/>
        </w:rPr>
        <w:t>‘</w:t>
      </w:r>
      <w:r w:rsidRPr="4D1BBAA5">
        <w:rPr>
          <w:color w:val="000000"/>
          <w:sz w:val="22"/>
          <w:szCs w:val="22"/>
          <w:lang w:eastAsia="en-AU"/>
        </w:rPr>
        <w:t>discharge</w:t>
      </w:r>
      <w:r>
        <w:rPr>
          <w:color w:val="000000"/>
          <w:sz w:val="22"/>
          <w:szCs w:val="22"/>
          <w:lang w:eastAsia="en-AU"/>
        </w:rPr>
        <w:t>’</w:t>
      </w:r>
      <w:r w:rsidRPr="4D1BBAA5">
        <w:rPr>
          <w:color w:val="000000"/>
          <w:sz w:val="22"/>
          <w:szCs w:val="22"/>
          <w:lang w:eastAsia="en-AU"/>
        </w:rPr>
        <w:t xml:space="preserve"> rather than hydraulic aspects.</w:t>
      </w:r>
    </w:p>
    <w:p w14:paraId="1058C596" w14:textId="77777777" w:rsidR="00491210" w:rsidRDefault="00491210" w:rsidP="60D1C489">
      <w:pPr>
        <w:spacing w:before="240" w:after="240"/>
        <w:jc w:val="both"/>
        <w:rPr>
          <w:rFonts w:ascii="Times New Roman" w:hAnsi="Times New Roman" w:cs="Times New Roman"/>
          <w:sz w:val="24"/>
          <w:lang w:eastAsia="en-AU"/>
        </w:rPr>
        <w:sectPr w:rsidR="00491210" w:rsidSect="002B3F01">
          <w:pgSz w:w="11907" w:h="16840" w:code="9"/>
          <w:pgMar w:top="1134" w:right="1134" w:bottom="1134" w:left="1134" w:header="709" w:footer="567" w:gutter="0"/>
          <w:pgNumType w:start="1"/>
          <w:cols w:space="708"/>
          <w:formProt w:val="0"/>
          <w:docGrid w:linePitch="360"/>
        </w:sectPr>
      </w:pPr>
    </w:p>
    <w:p w14:paraId="6A83E7C6" w14:textId="17561F20" w:rsidR="00491210" w:rsidRDefault="00EE200C" w:rsidP="006B23F4">
      <w:pPr>
        <w:pStyle w:val="Caption-Table"/>
      </w:pPr>
      <w:bookmarkStart w:id="75" w:name="_Ref104372096"/>
      <w:bookmarkStart w:id="76" w:name="_Toc116994961"/>
      <w:r>
        <w:lastRenderedPageBreak/>
        <w:t xml:space="preserve">Table </w:t>
      </w:r>
      <w:r>
        <w:fldChar w:fldCharType="begin"/>
      </w:r>
      <w:r>
        <w:instrText>SEQ Table \* ARABIC</w:instrText>
      </w:r>
      <w:r>
        <w:fldChar w:fldCharType="separate"/>
      </w:r>
      <w:r w:rsidR="005B672A">
        <w:rPr>
          <w:noProof/>
        </w:rPr>
        <w:t>1</w:t>
      </w:r>
      <w:r>
        <w:fldChar w:fldCharType="end"/>
      </w:r>
      <w:bookmarkEnd w:id="75"/>
      <w:r>
        <w:t>. Reconnecting River Country Program (RRCP) project areas, flow limit options assessed, and areas for native fish population modelling.</w:t>
      </w:r>
      <w:bookmarkEnd w:id="76"/>
    </w:p>
    <w:tbl>
      <w:tblPr>
        <w:tblW w:w="5000" w:type="pct"/>
        <w:tblBorders>
          <w:top w:val="single" w:sz="8" w:space="0" w:color="00B2A9" w:themeColor="accent1"/>
          <w:bottom w:val="single" w:sz="8" w:space="0" w:color="00B2A9" w:themeColor="accent1"/>
          <w:insideH w:val="single" w:sz="8" w:space="0" w:color="00B2A9" w:themeColor="accent1"/>
        </w:tblBorders>
        <w:tblCellMar>
          <w:top w:w="15" w:type="dxa"/>
          <w:left w:w="15" w:type="dxa"/>
          <w:bottom w:w="15" w:type="dxa"/>
          <w:right w:w="15" w:type="dxa"/>
        </w:tblCellMar>
        <w:tblLook w:val="04A0" w:firstRow="1" w:lastRow="0" w:firstColumn="1" w:lastColumn="0" w:noHBand="0" w:noVBand="1"/>
      </w:tblPr>
      <w:tblGrid>
        <w:gridCol w:w="1842"/>
        <w:gridCol w:w="3451"/>
        <w:gridCol w:w="2981"/>
        <w:gridCol w:w="2262"/>
        <w:gridCol w:w="4036"/>
      </w:tblGrid>
      <w:tr w:rsidR="00494C05" w:rsidRPr="00EE3109" w14:paraId="213507FC" w14:textId="77777777" w:rsidTr="00EB6B95">
        <w:trPr>
          <w:trHeight w:val="455"/>
        </w:trPr>
        <w:tc>
          <w:tcPr>
            <w:tcW w:w="632" w:type="pct"/>
            <w:vMerge w:val="restart"/>
            <w:shd w:val="clear" w:color="auto" w:fill="00B2A9" w:themeFill="accent1"/>
            <w:tcMar>
              <w:top w:w="100" w:type="dxa"/>
              <w:left w:w="100" w:type="dxa"/>
              <w:bottom w:w="100" w:type="dxa"/>
              <w:right w:w="100" w:type="dxa"/>
            </w:tcMar>
            <w:hideMark/>
          </w:tcPr>
          <w:p w14:paraId="1EFB2FB7" w14:textId="58095BE9" w:rsidR="00491210" w:rsidRPr="00EB6B95" w:rsidRDefault="00EE200C" w:rsidP="00C20F4F">
            <w:pPr>
              <w:spacing w:after="0"/>
              <w:rPr>
                <w:rFonts w:ascii="Times New Roman" w:hAnsi="Times New Roman" w:cs="Times New Roman"/>
                <w:b/>
                <w:bCs/>
                <w:color w:val="FFFFFF" w:themeColor="background1"/>
                <w:sz w:val="24"/>
                <w:lang w:eastAsia="en-AU"/>
              </w:rPr>
            </w:pPr>
            <w:r w:rsidRPr="00EB6B95">
              <w:rPr>
                <w:b/>
                <w:bCs/>
                <w:color w:val="FFFFFF" w:themeColor="background1"/>
                <w:lang w:eastAsia="en-AU"/>
              </w:rPr>
              <w:t>RRCP project reach</w:t>
            </w:r>
          </w:p>
        </w:tc>
        <w:tc>
          <w:tcPr>
            <w:tcW w:w="1184" w:type="pct"/>
            <w:vMerge w:val="restart"/>
            <w:shd w:val="clear" w:color="auto" w:fill="00B2A9" w:themeFill="accent1"/>
            <w:tcMar>
              <w:top w:w="100" w:type="dxa"/>
              <w:left w:w="100" w:type="dxa"/>
              <w:bottom w:w="100" w:type="dxa"/>
              <w:right w:w="100" w:type="dxa"/>
            </w:tcMar>
            <w:hideMark/>
          </w:tcPr>
          <w:p w14:paraId="4FC86411" w14:textId="5583DE41" w:rsidR="00491210" w:rsidRPr="00EB6B95" w:rsidRDefault="00EE200C" w:rsidP="60D1C489">
            <w:pPr>
              <w:spacing w:after="0"/>
              <w:jc w:val="both"/>
              <w:rPr>
                <w:b/>
                <w:bCs/>
                <w:color w:val="FFFFFF" w:themeColor="background1"/>
                <w:lang w:eastAsia="en-AU"/>
              </w:rPr>
            </w:pPr>
            <w:r w:rsidRPr="00EB6B95">
              <w:rPr>
                <w:b/>
                <w:bCs/>
                <w:color w:val="FFFFFF" w:themeColor="background1"/>
                <w:lang w:eastAsia="en-AU"/>
              </w:rPr>
              <w:t>Flow limit options assessed</w:t>
            </w:r>
          </w:p>
          <w:p w14:paraId="256230A3" w14:textId="22E5EDC5" w:rsidR="00491210" w:rsidRPr="00EB6B95" w:rsidRDefault="00EE200C" w:rsidP="00EB6B95">
            <w:pPr>
              <w:spacing w:after="0"/>
              <w:jc w:val="center"/>
              <w:rPr>
                <w:rFonts w:ascii="Times New Roman" w:hAnsi="Times New Roman" w:cs="Times New Roman"/>
                <w:b/>
                <w:bCs/>
                <w:color w:val="FFFFFF" w:themeColor="background1"/>
                <w:sz w:val="24"/>
                <w:lang w:eastAsia="en-AU"/>
              </w:rPr>
            </w:pPr>
            <w:r w:rsidRPr="00EB6B95">
              <w:rPr>
                <w:b/>
                <w:bCs/>
                <w:color w:val="FFFFFF" w:themeColor="background1"/>
                <w:lang w:eastAsia="en-AU"/>
              </w:rPr>
              <w:t>(</w:t>
            </w:r>
            <w:r w:rsidRPr="00EB6B95">
              <w:rPr>
                <w:rFonts w:eastAsia="Arial"/>
                <w:b/>
                <w:bCs/>
                <w:color w:val="FFFFFF" w:themeColor="background1"/>
                <w:lang w:eastAsia="en-AU"/>
              </w:rPr>
              <w:t>ML day</w:t>
            </w:r>
            <w:r w:rsidRPr="00EB6B95">
              <w:rPr>
                <w:rFonts w:eastAsia="Arial"/>
                <w:b/>
                <w:bCs/>
                <w:color w:val="FFFFFF" w:themeColor="background1"/>
                <w:vertAlign w:val="superscript"/>
                <w:lang w:eastAsia="en-AU"/>
              </w:rPr>
              <w:t>–1</w:t>
            </w:r>
            <w:r w:rsidRPr="00EB6B95">
              <w:rPr>
                <w:rFonts w:eastAsia="Arial"/>
                <w:b/>
                <w:bCs/>
                <w:color w:val="FFFFFF" w:themeColor="background1"/>
                <w:lang w:eastAsia="en-AU"/>
              </w:rPr>
              <w:t>)</w:t>
            </w:r>
          </w:p>
        </w:tc>
        <w:tc>
          <w:tcPr>
            <w:tcW w:w="3184" w:type="pct"/>
            <w:gridSpan w:val="3"/>
            <w:tcBorders>
              <w:bottom w:val="single" w:sz="8" w:space="0" w:color="FFFFFF" w:themeColor="background1"/>
            </w:tcBorders>
            <w:shd w:val="clear" w:color="auto" w:fill="00B2A9" w:themeFill="accent1"/>
            <w:tcMar>
              <w:top w:w="100" w:type="dxa"/>
              <w:left w:w="100" w:type="dxa"/>
              <w:bottom w:w="100" w:type="dxa"/>
              <w:right w:w="100" w:type="dxa"/>
            </w:tcMar>
            <w:hideMark/>
          </w:tcPr>
          <w:p w14:paraId="24E285D5" w14:textId="5C7416F7" w:rsidR="00491210" w:rsidRPr="00EB6B95" w:rsidRDefault="00EE200C" w:rsidP="00EB6B95">
            <w:pPr>
              <w:spacing w:after="0"/>
              <w:jc w:val="center"/>
              <w:rPr>
                <w:rFonts w:ascii="Times New Roman" w:hAnsi="Times New Roman" w:cs="Times New Roman"/>
                <w:b/>
                <w:bCs/>
                <w:color w:val="FFFFFF" w:themeColor="background1"/>
                <w:sz w:val="24"/>
                <w:lang w:eastAsia="en-AU"/>
              </w:rPr>
            </w:pPr>
            <w:r w:rsidRPr="00EB6B95">
              <w:rPr>
                <w:b/>
                <w:bCs/>
                <w:color w:val="FFFFFF" w:themeColor="background1"/>
                <w:lang w:eastAsia="en-AU"/>
              </w:rPr>
              <w:t>Spatial scale for predicting native population responses</w:t>
            </w:r>
          </w:p>
        </w:tc>
      </w:tr>
      <w:tr w:rsidR="002F4E30" w:rsidRPr="002F4E30" w14:paraId="4862FAE8" w14:textId="77777777" w:rsidTr="00EB6B95">
        <w:trPr>
          <w:trHeight w:val="680"/>
        </w:trPr>
        <w:tc>
          <w:tcPr>
            <w:tcW w:w="632" w:type="pct"/>
            <w:vMerge/>
            <w:vAlign w:val="center"/>
            <w:hideMark/>
          </w:tcPr>
          <w:p w14:paraId="0A800C97" w14:textId="77777777" w:rsidR="00491210" w:rsidRPr="00EB6B95" w:rsidRDefault="00491210" w:rsidP="00C20F4F">
            <w:pPr>
              <w:spacing w:after="0"/>
              <w:rPr>
                <w:rFonts w:ascii="Times New Roman" w:hAnsi="Times New Roman" w:cs="Times New Roman"/>
                <w:b/>
                <w:bCs/>
                <w:color w:val="FFFFFF" w:themeColor="background1"/>
                <w:sz w:val="24"/>
                <w:lang w:eastAsia="en-AU"/>
              </w:rPr>
            </w:pPr>
          </w:p>
        </w:tc>
        <w:tc>
          <w:tcPr>
            <w:tcW w:w="1184" w:type="pct"/>
            <w:vMerge/>
            <w:vAlign w:val="center"/>
            <w:hideMark/>
          </w:tcPr>
          <w:p w14:paraId="6D6FBF9D" w14:textId="77777777" w:rsidR="00491210" w:rsidRPr="00EB6B95" w:rsidRDefault="00491210" w:rsidP="002F4E30">
            <w:pPr>
              <w:spacing w:after="0"/>
              <w:rPr>
                <w:rFonts w:ascii="Times New Roman" w:hAnsi="Times New Roman" w:cs="Times New Roman"/>
                <w:b/>
                <w:bCs/>
                <w:color w:val="FFFFFF" w:themeColor="background1"/>
                <w:sz w:val="24"/>
                <w:lang w:eastAsia="en-AU"/>
              </w:rPr>
            </w:pPr>
          </w:p>
        </w:tc>
        <w:tc>
          <w:tcPr>
            <w:tcW w:w="1023" w:type="pct"/>
            <w:tcBorders>
              <w:top w:val="single" w:sz="8" w:space="0" w:color="FFFFFF" w:themeColor="background1"/>
            </w:tcBorders>
            <w:shd w:val="clear" w:color="auto" w:fill="00B2A9" w:themeFill="accent1"/>
            <w:tcMar>
              <w:top w:w="100" w:type="dxa"/>
              <w:left w:w="100" w:type="dxa"/>
              <w:bottom w:w="100" w:type="dxa"/>
              <w:right w:w="100" w:type="dxa"/>
            </w:tcMar>
            <w:hideMark/>
          </w:tcPr>
          <w:p w14:paraId="604447F3" w14:textId="77777777" w:rsidR="00491210" w:rsidRPr="00EB6B95" w:rsidRDefault="00EE200C" w:rsidP="00EB6B95">
            <w:pPr>
              <w:spacing w:after="0"/>
              <w:jc w:val="center"/>
              <w:rPr>
                <w:b/>
                <w:bCs/>
                <w:color w:val="FFFFFF" w:themeColor="background1"/>
                <w:lang w:eastAsia="en-AU"/>
              </w:rPr>
            </w:pPr>
            <w:r w:rsidRPr="00EB6B95">
              <w:rPr>
                <w:b/>
                <w:bCs/>
                <w:color w:val="FFFFFF" w:themeColor="background1"/>
                <w:lang w:eastAsia="en-AU"/>
              </w:rPr>
              <w:t>RRCP focal area</w:t>
            </w:r>
          </w:p>
          <w:p w14:paraId="7316E42A" w14:textId="5265AAAA" w:rsidR="00491210" w:rsidRPr="00EB6B95" w:rsidRDefault="00EE200C" w:rsidP="00EB6B95">
            <w:pPr>
              <w:spacing w:after="0"/>
              <w:jc w:val="center"/>
              <w:rPr>
                <w:rFonts w:ascii="Times New Roman" w:hAnsi="Times New Roman" w:cs="Times New Roman"/>
                <w:b/>
                <w:bCs/>
                <w:color w:val="FFFFFF" w:themeColor="background1"/>
                <w:sz w:val="24"/>
                <w:lang w:eastAsia="en-AU"/>
              </w:rPr>
            </w:pPr>
            <w:r w:rsidRPr="00EB6B95">
              <w:rPr>
                <w:b/>
                <w:bCs/>
                <w:color w:val="FFFFFF" w:themeColor="background1"/>
                <w:lang w:eastAsia="en-AU"/>
              </w:rPr>
              <w:t>(Golden Perch and Murray Cod)</w:t>
            </w:r>
          </w:p>
        </w:tc>
        <w:tc>
          <w:tcPr>
            <w:tcW w:w="776" w:type="pct"/>
            <w:tcBorders>
              <w:top w:val="single" w:sz="8" w:space="0" w:color="FFFFFF" w:themeColor="background1"/>
            </w:tcBorders>
            <w:shd w:val="clear" w:color="auto" w:fill="00B2A9" w:themeFill="accent1"/>
            <w:tcMar>
              <w:top w:w="100" w:type="dxa"/>
              <w:left w:w="100" w:type="dxa"/>
              <w:bottom w:w="100" w:type="dxa"/>
              <w:right w:w="100" w:type="dxa"/>
            </w:tcMar>
            <w:hideMark/>
          </w:tcPr>
          <w:p w14:paraId="503C2275" w14:textId="49BF14E5" w:rsidR="00491210" w:rsidRPr="00EB6B95" w:rsidRDefault="00EE200C" w:rsidP="00EB6B95">
            <w:pPr>
              <w:spacing w:after="0"/>
              <w:jc w:val="center"/>
              <w:rPr>
                <w:rFonts w:ascii="Times New Roman" w:hAnsi="Times New Roman" w:cs="Times New Roman"/>
                <w:b/>
                <w:bCs/>
                <w:color w:val="FFFFFF" w:themeColor="background1"/>
                <w:sz w:val="24"/>
                <w:lang w:eastAsia="en-AU"/>
              </w:rPr>
            </w:pPr>
            <w:r w:rsidRPr="00EB6B95">
              <w:rPr>
                <w:b/>
                <w:bCs/>
                <w:color w:val="FFFFFF" w:themeColor="background1"/>
                <w:lang w:eastAsia="en-AU"/>
              </w:rPr>
              <w:t>Sub-reach within RRCP focal area</w:t>
            </w:r>
          </w:p>
        </w:tc>
        <w:tc>
          <w:tcPr>
            <w:tcW w:w="1384" w:type="pct"/>
            <w:tcBorders>
              <w:top w:val="single" w:sz="8" w:space="0" w:color="FFFFFF" w:themeColor="background1"/>
            </w:tcBorders>
            <w:shd w:val="clear" w:color="auto" w:fill="00B2A9" w:themeFill="accent1"/>
            <w:tcMar>
              <w:top w:w="100" w:type="dxa"/>
              <w:left w:w="100" w:type="dxa"/>
              <w:bottom w:w="100" w:type="dxa"/>
              <w:right w:w="100" w:type="dxa"/>
            </w:tcMar>
            <w:hideMark/>
          </w:tcPr>
          <w:p w14:paraId="3A50CA05" w14:textId="57C8B87F" w:rsidR="00491210" w:rsidRPr="00EB6B95" w:rsidRDefault="00EE200C" w:rsidP="00EB6B95">
            <w:pPr>
              <w:spacing w:after="0"/>
              <w:jc w:val="center"/>
              <w:rPr>
                <w:rFonts w:ascii="Times New Roman" w:hAnsi="Times New Roman" w:cs="Times New Roman"/>
                <w:b/>
                <w:bCs/>
                <w:color w:val="FFFFFF" w:themeColor="background1"/>
                <w:sz w:val="24"/>
                <w:lang w:eastAsia="en-AU"/>
              </w:rPr>
            </w:pPr>
            <w:r w:rsidRPr="00EB6B95">
              <w:rPr>
                <w:b/>
                <w:bCs/>
                <w:color w:val="FFFFFF" w:themeColor="background1"/>
                <w:lang w:eastAsia="en-AU"/>
              </w:rPr>
              <w:t>Reaches outside RRCP focal zones</w:t>
            </w:r>
          </w:p>
        </w:tc>
      </w:tr>
      <w:tr w:rsidR="002F4E30" w:rsidRPr="002F4E30" w14:paraId="45BB21F1" w14:textId="77777777" w:rsidTr="00EB6B95">
        <w:trPr>
          <w:trHeight w:val="1955"/>
        </w:trPr>
        <w:tc>
          <w:tcPr>
            <w:tcW w:w="632" w:type="pct"/>
            <w:tcMar>
              <w:top w:w="100" w:type="dxa"/>
              <w:left w:w="100" w:type="dxa"/>
              <w:bottom w:w="100" w:type="dxa"/>
              <w:right w:w="100" w:type="dxa"/>
            </w:tcMar>
            <w:hideMark/>
          </w:tcPr>
          <w:p w14:paraId="18406F00" w14:textId="77777777" w:rsidR="00491210" w:rsidRPr="002F4E30" w:rsidRDefault="00EE200C" w:rsidP="00C20F4F">
            <w:pPr>
              <w:spacing w:after="0"/>
              <w:rPr>
                <w:rFonts w:ascii="Times New Roman" w:hAnsi="Times New Roman" w:cs="Times New Roman"/>
                <w:sz w:val="24"/>
                <w:lang w:eastAsia="en-AU"/>
              </w:rPr>
            </w:pPr>
            <w:r w:rsidRPr="60D1C489">
              <w:rPr>
                <w:color w:val="000000"/>
                <w:lang w:eastAsia="en-AU"/>
              </w:rPr>
              <w:t>Murray: Hume to Yarrawonga</w:t>
            </w:r>
          </w:p>
        </w:tc>
        <w:tc>
          <w:tcPr>
            <w:tcW w:w="1184" w:type="pct"/>
            <w:tcMar>
              <w:top w:w="100" w:type="dxa"/>
              <w:left w:w="100" w:type="dxa"/>
              <w:bottom w:w="100" w:type="dxa"/>
              <w:right w:w="100" w:type="dxa"/>
            </w:tcMar>
            <w:hideMark/>
          </w:tcPr>
          <w:p w14:paraId="7AEF08DF" w14:textId="608BFEF3" w:rsidR="00491210" w:rsidRPr="002F4E30" w:rsidRDefault="00EE200C" w:rsidP="7ADEDDC3">
            <w:pPr>
              <w:spacing w:after="0"/>
              <w:ind w:left="360" w:hanging="360"/>
              <w:rPr>
                <w:rFonts w:eastAsia="Arial"/>
                <w:sz w:val="24"/>
                <w:lang w:eastAsia="en-AU"/>
              </w:rPr>
            </w:pPr>
            <w:bookmarkStart w:id="77" w:name="_Hlk90374989"/>
            <w:r w:rsidRPr="7ADEDDC3">
              <w:rPr>
                <w:rFonts w:eastAsia="Arial"/>
                <w:color w:val="000000"/>
                <w:lang w:eastAsia="en-AU"/>
              </w:rPr>
              <w:t>25,000</w:t>
            </w:r>
            <w:r>
              <w:rPr>
                <w:rFonts w:eastAsia="Arial"/>
                <w:color w:val="000000"/>
                <w:lang w:eastAsia="en-AU"/>
              </w:rPr>
              <w:t xml:space="preserve"> at</w:t>
            </w:r>
            <w:r w:rsidRPr="7ADEDDC3">
              <w:rPr>
                <w:rFonts w:eastAsia="Arial"/>
                <w:color w:val="000000"/>
                <w:lang w:eastAsia="en-AU"/>
              </w:rPr>
              <w:t xml:space="preserve"> Doctors P</w:t>
            </w:r>
            <w:r>
              <w:rPr>
                <w:rFonts w:eastAsia="Arial"/>
                <w:color w:val="000000"/>
                <w:lang w:eastAsia="en-AU"/>
              </w:rPr>
              <w:t>oin</w:t>
            </w:r>
            <w:r w:rsidRPr="7ADEDDC3">
              <w:rPr>
                <w:rFonts w:eastAsia="Arial"/>
                <w:color w:val="000000"/>
                <w:lang w:eastAsia="en-AU"/>
              </w:rPr>
              <w:t>t (current W</w:t>
            </w:r>
            <w:r>
              <w:rPr>
                <w:rFonts w:eastAsia="Arial"/>
                <w:color w:val="000000"/>
                <w:lang w:eastAsia="en-AU"/>
              </w:rPr>
              <w:t xml:space="preserve">ater </w:t>
            </w:r>
            <w:r w:rsidRPr="7ADEDDC3">
              <w:rPr>
                <w:rFonts w:eastAsia="Arial"/>
                <w:color w:val="000000"/>
                <w:lang w:eastAsia="en-AU"/>
              </w:rPr>
              <w:t>S</w:t>
            </w:r>
            <w:r>
              <w:rPr>
                <w:rFonts w:eastAsia="Arial"/>
                <w:color w:val="000000"/>
                <w:lang w:eastAsia="en-AU"/>
              </w:rPr>
              <w:t xml:space="preserve">haring </w:t>
            </w:r>
            <w:r w:rsidRPr="7ADEDDC3">
              <w:rPr>
                <w:rFonts w:eastAsia="Arial"/>
                <w:color w:val="000000"/>
                <w:lang w:eastAsia="en-AU"/>
              </w:rPr>
              <w:t>P</w:t>
            </w:r>
            <w:r>
              <w:rPr>
                <w:rFonts w:eastAsia="Arial"/>
                <w:color w:val="000000"/>
                <w:lang w:eastAsia="en-AU"/>
              </w:rPr>
              <w:t>lan (WSP)</w:t>
            </w:r>
            <w:r w:rsidRPr="7ADEDDC3">
              <w:rPr>
                <w:rFonts w:eastAsia="Arial"/>
                <w:color w:val="000000"/>
                <w:lang w:eastAsia="en-AU"/>
              </w:rPr>
              <w:t xml:space="preserve"> limit matched to 15,000 </w:t>
            </w:r>
            <w:r>
              <w:rPr>
                <w:rFonts w:eastAsia="Arial"/>
                <w:color w:val="000000"/>
                <w:lang w:eastAsia="en-AU"/>
              </w:rPr>
              <w:t>at</w:t>
            </w:r>
            <w:r w:rsidRPr="7ADEDDC3">
              <w:rPr>
                <w:rFonts w:eastAsia="Arial"/>
                <w:color w:val="000000"/>
                <w:lang w:eastAsia="en-AU"/>
              </w:rPr>
              <w:t xml:space="preserve"> Yarrawonga)</w:t>
            </w:r>
          </w:p>
          <w:p w14:paraId="3F3443DB" w14:textId="4FB7714B" w:rsidR="00491210" w:rsidRPr="002F4E30" w:rsidRDefault="00EE200C" w:rsidP="00E143C7">
            <w:pPr>
              <w:spacing w:after="0"/>
              <w:ind w:left="360" w:hanging="360"/>
              <w:rPr>
                <w:rFonts w:eastAsia="Arial"/>
                <w:sz w:val="24"/>
                <w:lang w:eastAsia="en-AU"/>
              </w:rPr>
            </w:pPr>
            <w:r w:rsidRPr="60D1C489">
              <w:rPr>
                <w:rFonts w:eastAsia="Arial"/>
                <w:color w:val="000000"/>
                <w:lang w:eastAsia="en-AU"/>
              </w:rPr>
              <w:t>25,000 (current WSP limit</w:t>
            </w:r>
            <w:r w:rsidRPr="655F0995">
              <w:rPr>
                <w:rFonts w:eastAsia="Arial"/>
                <w:color w:val="000000"/>
                <w:lang w:eastAsia="en-AU"/>
              </w:rPr>
              <w:t xml:space="preserve"> matched to 25,000 </w:t>
            </w:r>
            <w:r>
              <w:rPr>
                <w:rFonts w:eastAsia="Arial"/>
                <w:color w:val="000000"/>
                <w:lang w:eastAsia="en-AU"/>
              </w:rPr>
              <w:t>at</w:t>
            </w:r>
            <w:r w:rsidRPr="655F0995">
              <w:rPr>
                <w:rFonts w:eastAsia="Arial"/>
                <w:color w:val="000000"/>
                <w:lang w:eastAsia="en-AU"/>
              </w:rPr>
              <w:t xml:space="preserve"> Yarrawonga</w:t>
            </w:r>
            <w:r w:rsidRPr="60D1C489">
              <w:rPr>
                <w:rFonts w:eastAsia="Arial"/>
                <w:color w:val="000000"/>
                <w:lang w:eastAsia="en-AU"/>
              </w:rPr>
              <w:t>)</w:t>
            </w:r>
          </w:p>
          <w:p w14:paraId="531BF150" w14:textId="78E1B305" w:rsidR="00491210" w:rsidRPr="002F4E30" w:rsidRDefault="00EE200C" w:rsidP="00E143C7">
            <w:pPr>
              <w:spacing w:after="0"/>
              <w:ind w:left="360" w:hanging="360"/>
              <w:rPr>
                <w:rFonts w:eastAsia="Arial"/>
                <w:sz w:val="24"/>
                <w:lang w:eastAsia="en-AU"/>
              </w:rPr>
            </w:pPr>
            <w:r w:rsidRPr="60D1C489">
              <w:rPr>
                <w:rFonts w:eastAsia="Arial"/>
                <w:color w:val="000000"/>
                <w:lang w:eastAsia="en-AU"/>
              </w:rPr>
              <w:t>30,000</w:t>
            </w:r>
            <w:r>
              <w:rPr>
                <w:rFonts w:eastAsia="Arial"/>
                <w:color w:val="000000"/>
                <w:lang w:eastAsia="en-AU"/>
              </w:rPr>
              <w:t xml:space="preserve"> (</w:t>
            </w:r>
            <w:r w:rsidRPr="2C4978F2">
              <w:rPr>
                <w:rFonts w:eastAsia="Arial"/>
                <w:color w:val="000000"/>
                <w:lang w:eastAsia="en-AU"/>
              </w:rPr>
              <w:t xml:space="preserve">matched to </w:t>
            </w:r>
            <w:r>
              <w:rPr>
                <w:rFonts w:eastAsia="Arial"/>
                <w:color w:val="000000"/>
                <w:lang w:eastAsia="en-AU"/>
              </w:rPr>
              <w:t>30</w:t>
            </w:r>
            <w:r w:rsidRPr="2C4978F2">
              <w:rPr>
                <w:rFonts w:eastAsia="Arial"/>
                <w:color w:val="000000"/>
                <w:lang w:eastAsia="en-AU"/>
              </w:rPr>
              <w:t>,000 at Yarrawonga</w:t>
            </w:r>
            <w:r>
              <w:rPr>
                <w:rFonts w:eastAsia="Arial"/>
                <w:color w:val="000000"/>
                <w:lang w:eastAsia="en-AU"/>
              </w:rPr>
              <w:t>)</w:t>
            </w:r>
          </w:p>
          <w:p w14:paraId="55FB6DE3" w14:textId="7B27A8BD" w:rsidR="00491210" w:rsidRPr="00684B8E" w:rsidRDefault="00EE200C" w:rsidP="00D87B2C">
            <w:pPr>
              <w:spacing w:after="0"/>
              <w:ind w:left="360" w:hanging="360"/>
              <w:rPr>
                <w:rFonts w:eastAsia="Arial"/>
                <w:sz w:val="24"/>
                <w:lang w:eastAsia="en-AU"/>
              </w:rPr>
            </w:pPr>
            <w:r>
              <w:rPr>
                <w:rFonts w:eastAsia="Arial"/>
                <w:color w:val="000000"/>
                <w:lang w:eastAsia="en-AU"/>
              </w:rPr>
              <w:t>4</w:t>
            </w:r>
            <w:r w:rsidRPr="60D1C489">
              <w:rPr>
                <w:rFonts w:eastAsia="Arial"/>
                <w:color w:val="000000"/>
                <w:lang w:eastAsia="en-AU"/>
              </w:rPr>
              <w:t>0,000</w:t>
            </w:r>
            <w:bookmarkEnd w:id="77"/>
            <w:r>
              <w:rPr>
                <w:rFonts w:eastAsia="Arial"/>
                <w:color w:val="000000"/>
                <w:lang w:eastAsia="en-AU"/>
              </w:rPr>
              <w:t xml:space="preserve"> </w:t>
            </w:r>
            <w:r w:rsidRPr="62929FE9">
              <w:rPr>
                <w:rFonts w:eastAsia="Arial"/>
                <w:color w:val="000000"/>
                <w:lang w:eastAsia="en-AU"/>
              </w:rPr>
              <w:t>(</w:t>
            </w:r>
            <w:r w:rsidRPr="655F0995">
              <w:rPr>
                <w:rFonts w:eastAsia="Arial"/>
                <w:color w:val="000000"/>
                <w:lang w:eastAsia="en-AU"/>
              </w:rPr>
              <w:t xml:space="preserve">matched to </w:t>
            </w:r>
            <w:r>
              <w:rPr>
                <w:rFonts w:eastAsia="Arial"/>
                <w:color w:val="000000"/>
                <w:lang w:eastAsia="en-AU"/>
              </w:rPr>
              <w:t>40</w:t>
            </w:r>
            <w:r w:rsidRPr="655F0995">
              <w:rPr>
                <w:rFonts w:eastAsia="Arial"/>
                <w:color w:val="000000"/>
                <w:lang w:eastAsia="en-AU"/>
              </w:rPr>
              <w:t xml:space="preserve">,000 </w:t>
            </w:r>
            <w:r>
              <w:rPr>
                <w:rFonts w:eastAsia="Arial"/>
                <w:color w:val="000000"/>
                <w:lang w:eastAsia="en-AU"/>
              </w:rPr>
              <w:t>and 45</w:t>
            </w:r>
            <w:r w:rsidRPr="655F0995">
              <w:rPr>
                <w:rFonts w:eastAsia="Arial"/>
                <w:color w:val="000000"/>
                <w:lang w:eastAsia="en-AU"/>
              </w:rPr>
              <w:t xml:space="preserve">,000 </w:t>
            </w:r>
            <w:r>
              <w:rPr>
                <w:rFonts w:eastAsia="Arial"/>
                <w:color w:val="000000"/>
                <w:lang w:eastAsia="en-AU"/>
              </w:rPr>
              <w:t>at</w:t>
            </w:r>
            <w:r w:rsidRPr="655F0995">
              <w:rPr>
                <w:rFonts w:eastAsia="Arial"/>
                <w:color w:val="000000"/>
                <w:lang w:eastAsia="en-AU"/>
              </w:rPr>
              <w:t xml:space="preserve"> Yarrawonga</w:t>
            </w:r>
            <w:r w:rsidRPr="62929FE9">
              <w:rPr>
                <w:rFonts w:eastAsia="Arial"/>
                <w:color w:val="000000"/>
                <w:lang w:eastAsia="en-AU"/>
              </w:rPr>
              <w:t>)</w:t>
            </w:r>
          </w:p>
        </w:tc>
        <w:tc>
          <w:tcPr>
            <w:tcW w:w="1023" w:type="pct"/>
            <w:tcMar>
              <w:top w:w="100" w:type="dxa"/>
              <w:left w:w="100" w:type="dxa"/>
              <w:bottom w:w="100" w:type="dxa"/>
              <w:right w:w="100" w:type="dxa"/>
            </w:tcMar>
            <w:hideMark/>
          </w:tcPr>
          <w:p w14:paraId="29B38970" w14:textId="1E48BE52" w:rsidR="00491210" w:rsidRPr="002F4E30" w:rsidRDefault="00EE200C">
            <w:pPr>
              <w:spacing w:after="0"/>
              <w:jc w:val="both"/>
              <w:rPr>
                <w:rFonts w:ascii="Times New Roman" w:hAnsi="Times New Roman" w:cs="Times New Roman"/>
                <w:sz w:val="24"/>
                <w:lang w:eastAsia="en-AU"/>
              </w:rPr>
            </w:pPr>
            <w:r w:rsidRPr="60D1C489">
              <w:rPr>
                <w:color w:val="000000"/>
                <w:lang w:eastAsia="en-AU"/>
              </w:rPr>
              <w:t xml:space="preserve">River Murray </w:t>
            </w:r>
            <w:r>
              <w:rPr>
                <w:color w:val="000000"/>
                <w:lang w:eastAsia="en-AU"/>
              </w:rPr>
              <w:t>and</w:t>
            </w:r>
            <w:r w:rsidRPr="60D1C489">
              <w:rPr>
                <w:color w:val="000000"/>
                <w:lang w:eastAsia="en-AU"/>
              </w:rPr>
              <w:t xml:space="preserve"> floodplain from Hume </w:t>
            </w:r>
            <w:r>
              <w:rPr>
                <w:color w:val="000000"/>
                <w:lang w:eastAsia="en-AU"/>
              </w:rPr>
              <w:t>Weir</w:t>
            </w:r>
            <w:r w:rsidRPr="60D1C489">
              <w:rPr>
                <w:color w:val="000000"/>
                <w:lang w:eastAsia="en-AU"/>
              </w:rPr>
              <w:t xml:space="preserve"> to Yarrawonga Weir (NSW and V</w:t>
            </w:r>
            <w:r>
              <w:rPr>
                <w:color w:val="000000"/>
                <w:lang w:eastAsia="en-AU"/>
              </w:rPr>
              <w:t>ictorian</w:t>
            </w:r>
            <w:r w:rsidRPr="60D1C489">
              <w:rPr>
                <w:color w:val="000000"/>
                <w:lang w:eastAsia="en-AU"/>
              </w:rPr>
              <w:t xml:space="preserve"> sides)</w:t>
            </w:r>
          </w:p>
        </w:tc>
        <w:tc>
          <w:tcPr>
            <w:tcW w:w="776" w:type="pct"/>
            <w:tcMar>
              <w:top w:w="100" w:type="dxa"/>
              <w:left w:w="100" w:type="dxa"/>
              <w:bottom w:w="100" w:type="dxa"/>
              <w:right w:w="100" w:type="dxa"/>
            </w:tcMar>
            <w:hideMark/>
          </w:tcPr>
          <w:p w14:paraId="67AC5DB5" w14:textId="618E2D64" w:rsidR="00491210" w:rsidRPr="002F4E30" w:rsidRDefault="00491210" w:rsidP="60D1C489">
            <w:pPr>
              <w:spacing w:after="0"/>
              <w:jc w:val="both"/>
              <w:rPr>
                <w:rFonts w:ascii="Times New Roman" w:hAnsi="Times New Roman" w:cs="Times New Roman"/>
                <w:sz w:val="24"/>
                <w:lang w:eastAsia="en-AU"/>
              </w:rPr>
            </w:pPr>
          </w:p>
        </w:tc>
        <w:tc>
          <w:tcPr>
            <w:tcW w:w="1384" w:type="pct"/>
            <w:tcMar>
              <w:top w:w="100" w:type="dxa"/>
              <w:left w:w="100" w:type="dxa"/>
              <w:bottom w:w="100" w:type="dxa"/>
              <w:right w:w="100" w:type="dxa"/>
            </w:tcMar>
            <w:hideMark/>
          </w:tcPr>
          <w:p w14:paraId="2BBF1558" w14:textId="77777777" w:rsidR="00491210" w:rsidRDefault="00491210">
            <w:pPr>
              <w:spacing w:after="0"/>
              <w:ind w:left="360" w:hanging="360"/>
              <w:rPr>
                <w:color w:val="000000"/>
                <w:szCs w:val="20"/>
                <w:lang w:eastAsia="en-AU"/>
              </w:rPr>
            </w:pPr>
          </w:p>
          <w:p w14:paraId="2DE6D28B" w14:textId="77777777" w:rsidR="00491210" w:rsidRDefault="00491210">
            <w:pPr>
              <w:spacing w:after="0"/>
              <w:ind w:left="360" w:hanging="360"/>
              <w:rPr>
                <w:color w:val="000000"/>
                <w:szCs w:val="20"/>
                <w:lang w:eastAsia="en-AU"/>
              </w:rPr>
            </w:pPr>
          </w:p>
          <w:p w14:paraId="0FCB24A7" w14:textId="77777777" w:rsidR="00491210" w:rsidRDefault="00491210">
            <w:pPr>
              <w:spacing w:after="0"/>
              <w:ind w:left="360" w:hanging="360"/>
              <w:rPr>
                <w:color w:val="000000"/>
                <w:szCs w:val="20"/>
                <w:lang w:eastAsia="en-AU"/>
              </w:rPr>
            </w:pPr>
          </w:p>
          <w:p w14:paraId="512DA84E" w14:textId="77777777" w:rsidR="00491210" w:rsidRDefault="00491210">
            <w:pPr>
              <w:spacing w:after="0"/>
              <w:ind w:left="360" w:hanging="360"/>
              <w:rPr>
                <w:color w:val="000000"/>
                <w:szCs w:val="20"/>
                <w:lang w:eastAsia="en-AU"/>
              </w:rPr>
            </w:pPr>
          </w:p>
          <w:p w14:paraId="5E9643FD" w14:textId="4ECC029C" w:rsidR="00491210" w:rsidRPr="002F4E30" w:rsidRDefault="00EE200C">
            <w:pPr>
              <w:spacing w:after="0"/>
              <w:ind w:left="360" w:hanging="360"/>
              <w:rPr>
                <w:color w:val="000000"/>
                <w:lang w:eastAsia="en-AU"/>
              </w:rPr>
            </w:pPr>
            <w:r w:rsidRPr="00684B8E">
              <w:rPr>
                <w:color w:val="000000"/>
                <w:szCs w:val="20"/>
                <w:lang w:eastAsia="en-AU"/>
              </w:rPr>
              <w:t>Murray River: Wakool Junction to Wentworth</w:t>
            </w:r>
            <w:r>
              <w:rPr>
                <w:color w:val="000000"/>
                <w:szCs w:val="20"/>
                <w:lang w:eastAsia="en-AU"/>
              </w:rPr>
              <w:t xml:space="preserve"> </w:t>
            </w:r>
            <w:r>
              <w:rPr>
                <w:color w:val="000000"/>
                <w:lang w:eastAsia="en-AU"/>
              </w:rPr>
              <w:t>(this partitioning was necessary as Torrumbarry to Wentworth could not be split ecologically for both species)</w:t>
            </w:r>
          </w:p>
        </w:tc>
      </w:tr>
      <w:tr w:rsidR="002F4E30" w:rsidRPr="002F4E30" w14:paraId="01CAF1AB" w14:textId="77777777" w:rsidTr="00EB6B95">
        <w:trPr>
          <w:trHeight w:val="1955"/>
        </w:trPr>
        <w:tc>
          <w:tcPr>
            <w:tcW w:w="632" w:type="pct"/>
            <w:tcMar>
              <w:top w:w="100" w:type="dxa"/>
              <w:left w:w="100" w:type="dxa"/>
              <w:bottom w:w="100" w:type="dxa"/>
              <w:right w:w="100" w:type="dxa"/>
            </w:tcMar>
            <w:hideMark/>
          </w:tcPr>
          <w:p w14:paraId="3711FD02" w14:textId="4D5A1ECC" w:rsidR="00491210" w:rsidRPr="002F4E30" w:rsidRDefault="00EE200C" w:rsidP="00E143C7">
            <w:pPr>
              <w:spacing w:after="0"/>
              <w:rPr>
                <w:rFonts w:ascii="Times New Roman" w:hAnsi="Times New Roman" w:cs="Times New Roman"/>
                <w:sz w:val="24"/>
                <w:lang w:eastAsia="en-AU"/>
              </w:rPr>
            </w:pPr>
            <w:r w:rsidRPr="60D1C489">
              <w:rPr>
                <w:color w:val="000000"/>
                <w:lang w:eastAsia="en-AU"/>
              </w:rPr>
              <w:t>Murray: Yarrawonga to Wakool</w:t>
            </w:r>
            <w:r>
              <w:rPr>
                <w:color w:val="000000"/>
                <w:lang w:eastAsia="en-AU"/>
              </w:rPr>
              <w:t xml:space="preserve"> Junction</w:t>
            </w:r>
          </w:p>
        </w:tc>
        <w:tc>
          <w:tcPr>
            <w:tcW w:w="1184" w:type="pct"/>
            <w:tcMar>
              <w:top w:w="100" w:type="dxa"/>
              <w:left w:w="100" w:type="dxa"/>
              <w:bottom w:w="100" w:type="dxa"/>
              <w:right w:w="100" w:type="dxa"/>
            </w:tcMar>
            <w:hideMark/>
          </w:tcPr>
          <w:p w14:paraId="48240321" w14:textId="71CB8DF2" w:rsidR="00491210" w:rsidRPr="00785560" w:rsidRDefault="00EE200C" w:rsidP="7ADEDDC3">
            <w:pPr>
              <w:spacing w:after="0"/>
              <w:ind w:left="360" w:hanging="360"/>
              <w:rPr>
                <w:rFonts w:eastAsia="Arial"/>
                <w:sz w:val="24"/>
                <w:lang w:eastAsia="en-AU"/>
              </w:rPr>
            </w:pPr>
            <w:r w:rsidRPr="7ADEDDC3">
              <w:rPr>
                <w:rFonts w:eastAsia="Arial"/>
                <w:color w:val="000000"/>
                <w:lang w:eastAsia="en-AU"/>
              </w:rPr>
              <w:t>15,000 d</w:t>
            </w:r>
            <w:r>
              <w:rPr>
                <w:rFonts w:eastAsia="Arial"/>
                <w:color w:val="000000"/>
                <w:lang w:eastAsia="en-AU"/>
              </w:rPr>
              <w:t>ownstream</w:t>
            </w:r>
            <w:r w:rsidRPr="7ADEDDC3">
              <w:rPr>
                <w:rFonts w:eastAsia="Arial"/>
                <w:color w:val="000000"/>
                <w:lang w:eastAsia="en-AU"/>
              </w:rPr>
              <w:t xml:space="preserve"> Yarrawonga (current operational limit)</w:t>
            </w:r>
          </w:p>
          <w:p w14:paraId="3D6E4A18" w14:textId="041178A8" w:rsidR="00491210" w:rsidRDefault="00EE200C" w:rsidP="00F57879">
            <w:pPr>
              <w:spacing w:after="0"/>
              <w:ind w:left="360" w:hanging="360"/>
              <w:rPr>
                <w:rFonts w:eastAsia="Arial"/>
                <w:sz w:val="24"/>
                <w:lang w:eastAsia="en-AU"/>
              </w:rPr>
            </w:pPr>
            <w:r w:rsidRPr="004B2B6E">
              <w:rPr>
                <w:rFonts w:eastAsia="Arial"/>
                <w:color w:val="000000"/>
                <w:szCs w:val="20"/>
                <w:lang w:eastAsia="en-AU"/>
              </w:rPr>
              <w:t>25,</w:t>
            </w:r>
            <w:r w:rsidRPr="63B5585C">
              <w:rPr>
                <w:rFonts w:eastAsia="Arial"/>
                <w:color w:val="000000"/>
                <w:lang w:eastAsia="en-AU"/>
              </w:rPr>
              <w:t>000</w:t>
            </w:r>
          </w:p>
          <w:p w14:paraId="2898D4D1" w14:textId="39F95A24" w:rsidR="00491210" w:rsidRPr="002F4E30" w:rsidRDefault="00EE200C" w:rsidP="00F57879">
            <w:pPr>
              <w:spacing w:after="0"/>
              <w:ind w:left="360" w:hanging="360"/>
              <w:rPr>
                <w:rFonts w:eastAsia="Arial"/>
                <w:szCs w:val="20"/>
                <w:lang w:eastAsia="en-AU"/>
              </w:rPr>
            </w:pPr>
            <w:r w:rsidRPr="655F0995">
              <w:rPr>
                <w:rFonts w:eastAsia="Arial"/>
                <w:color w:val="000000"/>
                <w:szCs w:val="20"/>
                <w:lang w:eastAsia="en-AU"/>
              </w:rPr>
              <w:t>30,000</w:t>
            </w:r>
          </w:p>
          <w:p w14:paraId="0A2928E0" w14:textId="1DC626C3" w:rsidR="00491210" w:rsidRPr="002F4E30" w:rsidRDefault="00EE200C" w:rsidP="00F57879">
            <w:pPr>
              <w:spacing w:after="0"/>
              <w:ind w:left="360" w:hanging="360"/>
              <w:rPr>
                <w:rFonts w:eastAsia="Arial"/>
                <w:szCs w:val="20"/>
                <w:lang w:eastAsia="en-AU"/>
              </w:rPr>
            </w:pPr>
            <w:r w:rsidRPr="655F0995">
              <w:rPr>
                <w:rFonts w:eastAsia="Arial"/>
                <w:color w:val="000000"/>
                <w:szCs w:val="20"/>
                <w:lang w:eastAsia="en-AU"/>
              </w:rPr>
              <w:t>40,000</w:t>
            </w:r>
          </w:p>
          <w:p w14:paraId="0E5CB3D4" w14:textId="7B597E81" w:rsidR="00491210" w:rsidRPr="002F4E30" w:rsidRDefault="00EE200C" w:rsidP="00B87229">
            <w:pPr>
              <w:spacing w:after="0"/>
              <w:ind w:left="360" w:hanging="360"/>
              <w:rPr>
                <w:color w:val="000000"/>
                <w:szCs w:val="20"/>
              </w:rPr>
            </w:pPr>
            <w:r w:rsidRPr="2C4978F2">
              <w:rPr>
                <w:rFonts w:eastAsia="Arial"/>
                <w:color w:val="000000"/>
                <w:lang w:eastAsia="en-AU"/>
              </w:rPr>
              <w:t>45,000</w:t>
            </w:r>
          </w:p>
        </w:tc>
        <w:tc>
          <w:tcPr>
            <w:tcW w:w="1023" w:type="pct"/>
            <w:tcMar>
              <w:top w:w="100" w:type="dxa"/>
              <w:left w:w="100" w:type="dxa"/>
              <w:bottom w:w="100" w:type="dxa"/>
              <w:right w:w="100" w:type="dxa"/>
            </w:tcMar>
            <w:hideMark/>
          </w:tcPr>
          <w:p w14:paraId="156B77C7" w14:textId="1CDE9A62" w:rsidR="00491210" w:rsidRPr="002F4E30" w:rsidRDefault="00EE200C">
            <w:pPr>
              <w:spacing w:after="0"/>
              <w:rPr>
                <w:rFonts w:ascii="Times New Roman" w:hAnsi="Times New Roman" w:cs="Times New Roman"/>
                <w:sz w:val="24"/>
                <w:lang w:eastAsia="en-AU"/>
              </w:rPr>
            </w:pPr>
            <w:r w:rsidRPr="60D1C489">
              <w:rPr>
                <w:color w:val="000000"/>
                <w:lang w:eastAsia="en-AU"/>
              </w:rPr>
              <w:t xml:space="preserve">River Murray floodplain from Yarrawonga Weir to Wakool </w:t>
            </w:r>
            <w:r>
              <w:rPr>
                <w:color w:val="000000"/>
                <w:lang w:eastAsia="en-AU"/>
              </w:rPr>
              <w:t>Junction</w:t>
            </w:r>
            <w:r w:rsidRPr="02C21B1F">
              <w:rPr>
                <w:color w:val="000000"/>
                <w:lang w:eastAsia="en-AU"/>
              </w:rPr>
              <w:t xml:space="preserve"> </w:t>
            </w:r>
            <w:r w:rsidRPr="60D1C489">
              <w:rPr>
                <w:color w:val="000000"/>
                <w:lang w:eastAsia="en-AU"/>
              </w:rPr>
              <w:t>(NSW and V</w:t>
            </w:r>
            <w:r>
              <w:rPr>
                <w:color w:val="000000"/>
                <w:lang w:eastAsia="en-AU"/>
              </w:rPr>
              <w:t>ictorian</w:t>
            </w:r>
            <w:r w:rsidRPr="60D1C489">
              <w:rPr>
                <w:color w:val="000000"/>
                <w:lang w:eastAsia="en-AU"/>
              </w:rPr>
              <w:t xml:space="preserve"> sides)</w:t>
            </w:r>
          </w:p>
        </w:tc>
        <w:tc>
          <w:tcPr>
            <w:tcW w:w="776" w:type="pct"/>
            <w:tcMar>
              <w:top w:w="100" w:type="dxa"/>
              <w:left w:w="100" w:type="dxa"/>
              <w:bottom w:w="100" w:type="dxa"/>
              <w:right w:w="100" w:type="dxa"/>
            </w:tcMar>
            <w:hideMark/>
          </w:tcPr>
          <w:p w14:paraId="6606E42D" w14:textId="25161058" w:rsidR="00491210" w:rsidRPr="002F4E30" w:rsidRDefault="00EE200C" w:rsidP="00F57879">
            <w:pPr>
              <w:spacing w:after="0"/>
              <w:ind w:left="360" w:hanging="360"/>
              <w:rPr>
                <w:rFonts w:ascii="Times New Roman" w:hAnsi="Times New Roman" w:cs="Times New Roman"/>
                <w:sz w:val="24"/>
                <w:lang w:eastAsia="en-AU"/>
              </w:rPr>
            </w:pPr>
            <w:r w:rsidRPr="3FC79A6E">
              <w:rPr>
                <w:color w:val="000000"/>
                <w:lang w:eastAsia="en-AU"/>
              </w:rPr>
              <w:t xml:space="preserve">Yarrawonga to </w:t>
            </w:r>
            <w:r w:rsidRPr="60D1C489">
              <w:rPr>
                <w:color w:val="000000"/>
                <w:lang w:eastAsia="en-AU"/>
              </w:rPr>
              <w:t>Torrumbarry</w:t>
            </w:r>
            <w:r>
              <w:rPr>
                <w:color w:val="000000"/>
                <w:lang w:eastAsia="en-AU"/>
              </w:rPr>
              <w:t xml:space="preserve"> (both species)</w:t>
            </w:r>
          </w:p>
          <w:p w14:paraId="316C6F8F" w14:textId="507643CE" w:rsidR="00491210" w:rsidRDefault="00EE200C" w:rsidP="3FC79A6E">
            <w:pPr>
              <w:spacing w:after="0"/>
              <w:ind w:left="360" w:hanging="360"/>
              <w:rPr>
                <w:color w:val="000000"/>
                <w:lang w:eastAsia="en-AU"/>
              </w:rPr>
            </w:pPr>
            <w:r w:rsidRPr="3FC79A6E">
              <w:rPr>
                <w:color w:val="000000"/>
                <w:lang w:eastAsia="en-AU"/>
              </w:rPr>
              <w:t xml:space="preserve">Torrumbarry to </w:t>
            </w:r>
            <w:r w:rsidRPr="00684B8E">
              <w:rPr>
                <w:color w:val="000000"/>
                <w:szCs w:val="20"/>
                <w:lang w:eastAsia="en-AU"/>
              </w:rPr>
              <w:t>Wakool Junction</w:t>
            </w:r>
            <w:r>
              <w:rPr>
                <w:color w:val="000000"/>
                <w:lang w:eastAsia="en-AU"/>
              </w:rPr>
              <w:t xml:space="preserve"> (both species)</w:t>
            </w:r>
          </w:p>
          <w:p w14:paraId="2800994B" w14:textId="7E5016F8" w:rsidR="00491210" w:rsidRPr="002F4E30" w:rsidRDefault="00EE200C" w:rsidP="00B87229">
            <w:pPr>
              <w:spacing w:after="0"/>
              <w:ind w:left="360" w:hanging="360"/>
              <w:rPr>
                <w:rFonts w:ascii="Times New Roman" w:hAnsi="Times New Roman" w:cs="Times New Roman"/>
                <w:sz w:val="24"/>
                <w:lang w:eastAsia="en-AU"/>
              </w:rPr>
            </w:pPr>
            <w:r>
              <w:rPr>
                <w:lang w:eastAsia="en-AU"/>
              </w:rPr>
              <w:t>Edward River (both species)</w:t>
            </w:r>
            <w:r>
              <w:rPr>
                <w:color w:val="000000"/>
                <w:lang w:eastAsia="en-AU"/>
              </w:rPr>
              <w:t xml:space="preserve"> </w:t>
            </w:r>
          </w:p>
        </w:tc>
        <w:tc>
          <w:tcPr>
            <w:tcW w:w="1384" w:type="pct"/>
            <w:hideMark/>
          </w:tcPr>
          <w:p w14:paraId="708D120A" w14:textId="77777777" w:rsidR="00491210" w:rsidRDefault="00491210">
            <w:pPr>
              <w:spacing w:after="0"/>
              <w:ind w:left="360" w:hanging="360"/>
              <w:rPr>
                <w:color w:val="000000"/>
                <w:lang w:eastAsia="en-AU"/>
              </w:rPr>
            </w:pPr>
          </w:p>
          <w:p w14:paraId="6A951F34" w14:textId="77777777" w:rsidR="00491210" w:rsidRDefault="00491210">
            <w:pPr>
              <w:spacing w:after="0"/>
              <w:ind w:left="360" w:hanging="360"/>
              <w:rPr>
                <w:color w:val="000000"/>
                <w:lang w:eastAsia="en-AU"/>
              </w:rPr>
            </w:pPr>
          </w:p>
          <w:p w14:paraId="22995B7B" w14:textId="038CED3F" w:rsidR="00491210" w:rsidRDefault="00EE200C">
            <w:pPr>
              <w:spacing w:after="0"/>
              <w:ind w:left="360" w:hanging="360"/>
              <w:rPr>
                <w:color w:val="000000"/>
                <w:sz w:val="22"/>
                <w:szCs w:val="22"/>
                <w:lang w:eastAsia="en-AU"/>
              </w:rPr>
            </w:pPr>
            <w:r w:rsidRPr="3FC79A6E">
              <w:rPr>
                <w:color w:val="000000"/>
                <w:lang w:eastAsia="en-AU"/>
              </w:rPr>
              <w:t xml:space="preserve">Lower Murray below </w:t>
            </w:r>
            <w:r>
              <w:rPr>
                <w:color w:val="000000"/>
                <w:lang w:eastAsia="en-AU"/>
              </w:rPr>
              <w:t xml:space="preserve">Wentworth </w:t>
            </w:r>
            <w:r w:rsidRPr="3FC79A6E">
              <w:rPr>
                <w:color w:val="000000"/>
                <w:lang w:eastAsia="en-AU"/>
              </w:rPr>
              <w:t>(</w:t>
            </w:r>
            <w:r>
              <w:rPr>
                <w:color w:val="000000"/>
                <w:lang w:eastAsia="en-AU"/>
              </w:rPr>
              <w:t>this was necessary</w:t>
            </w:r>
            <w:r w:rsidRPr="3FC79A6E">
              <w:rPr>
                <w:color w:val="000000"/>
                <w:lang w:eastAsia="en-AU"/>
              </w:rPr>
              <w:t xml:space="preserve"> </w:t>
            </w:r>
            <w:r>
              <w:rPr>
                <w:color w:val="000000"/>
                <w:lang w:eastAsia="en-AU"/>
              </w:rPr>
              <w:t>because</w:t>
            </w:r>
            <w:r w:rsidRPr="3FC79A6E">
              <w:rPr>
                <w:color w:val="000000"/>
                <w:lang w:eastAsia="en-AU"/>
              </w:rPr>
              <w:t xml:space="preserve"> </w:t>
            </w:r>
            <w:r>
              <w:rPr>
                <w:color w:val="000000"/>
                <w:lang w:eastAsia="en-AU"/>
              </w:rPr>
              <w:t>it</w:t>
            </w:r>
            <w:r w:rsidRPr="3FC79A6E">
              <w:rPr>
                <w:color w:val="000000"/>
                <w:lang w:eastAsia="en-AU"/>
              </w:rPr>
              <w:t xml:space="preserve"> influences Murray Golden Perch populations)</w:t>
            </w:r>
          </w:p>
          <w:p w14:paraId="70574550" w14:textId="77777777" w:rsidR="00491210" w:rsidRPr="002F4E30" w:rsidRDefault="00491210">
            <w:pPr>
              <w:spacing w:after="0"/>
              <w:ind w:left="360" w:hanging="360"/>
              <w:rPr>
                <w:color w:val="000000"/>
                <w:sz w:val="22"/>
                <w:szCs w:val="22"/>
                <w:lang w:eastAsia="en-AU"/>
              </w:rPr>
            </w:pPr>
          </w:p>
          <w:p w14:paraId="3A058BA4" w14:textId="5F0B00C7" w:rsidR="00491210" w:rsidRPr="002F4E30" w:rsidRDefault="00EE200C">
            <w:pPr>
              <w:spacing w:after="0"/>
              <w:rPr>
                <w:rFonts w:ascii="Times New Roman" w:hAnsi="Times New Roman" w:cs="Times New Roman"/>
                <w:sz w:val="24"/>
                <w:lang w:eastAsia="en-AU"/>
              </w:rPr>
            </w:pPr>
            <w:r w:rsidRPr="3FC79A6E">
              <w:rPr>
                <w:color w:val="000000"/>
                <w:lang w:eastAsia="en-AU"/>
              </w:rPr>
              <w:t>Lower Darling (</w:t>
            </w:r>
            <w:r>
              <w:rPr>
                <w:color w:val="000000"/>
                <w:lang w:eastAsia="en-AU"/>
              </w:rPr>
              <w:t>necessary</w:t>
            </w:r>
            <w:r w:rsidRPr="3FC79A6E">
              <w:rPr>
                <w:color w:val="000000"/>
                <w:lang w:eastAsia="en-AU"/>
              </w:rPr>
              <w:t xml:space="preserve"> </w:t>
            </w:r>
            <w:r>
              <w:rPr>
                <w:color w:val="000000"/>
                <w:lang w:eastAsia="en-AU"/>
              </w:rPr>
              <w:t>because</w:t>
            </w:r>
            <w:r w:rsidRPr="3FC79A6E">
              <w:rPr>
                <w:color w:val="000000"/>
                <w:lang w:eastAsia="en-AU"/>
              </w:rPr>
              <w:t xml:space="preserve"> it influences Murray Golden Perch populations)</w:t>
            </w:r>
          </w:p>
        </w:tc>
      </w:tr>
      <w:tr w:rsidR="002F4E30" w:rsidRPr="002F4E30" w14:paraId="76B07777" w14:textId="77777777" w:rsidTr="00EB6B95">
        <w:trPr>
          <w:trHeight w:val="1691"/>
        </w:trPr>
        <w:tc>
          <w:tcPr>
            <w:tcW w:w="632" w:type="pct"/>
            <w:tcMar>
              <w:top w:w="100" w:type="dxa"/>
              <w:left w:w="100" w:type="dxa"/>
              <w:bottom w:w="100" w:type="dxa"/>
              <w:right w:w="100" w:type="dxa"/>
            </w:tcMar>
            <w:hideMark/>
          </w:tcPr>
          <w:p w14:paraId="61A5CD7D" w14:textId="77777777" w:rsidR="00491210" w:rsidRPr="002F4E30" w:rsidRDefault="00EE200C" w:rsidP="60D1C489">
            <w:pPr>
              <w:spacing w:after="0"/>
              <w:jc w:val="both"/>
              <w:rPr>
                <w:rFonts w:ascii="Times New Roman" w:hAnsi="Times New Roman" w:cs="Times New Roman"/>
                <w:sz w:val="24"/>
                <w:lang w:eastAsia="en-AU"/>
              </w:rPr>
            </w:pPr>
            <w:r w:rsidRPr="60D1C489">
              <w:rPr>
                <w:color w:val="000000"/>
                <w:lang w:eastAsia="en-AU"/>
              </w:rPr>
              <w:t>Murrumbidgee</w:t>
            </w:r>
          </w:p>
        </w:tc>
        <w:tc>
          <w:tcPr>
            <w:tcW w:w="1184" w:type="pct"/>
            <w:tcMar>
              <w:top w:w="100" w:type="dxa"/>
              <w:left w:w="100" w:type="dxa"/>
              <w:bottom w:w="100" w:type="dxa"/>
              <w:right w:w="100" w:type="dxa"/>
            </w:tcMar>
            <w:hideMark/>
          </w:tcPr>
          <w:p w14:paraId="7E1F5839" w14:textId="13312E23" w:rsidR="00491210" w:rsidRPr="002F4E30" w:rsidRDefault="00EE200C" w:rsidP="62929FE9">
            <w:pPr>
              <w:spacing w:after="0"/>
              <w:ind w:left="360" w:hanging="360"/>
              <w:rPr>
                <w:rFonts w:eastAsia="Arial"/>
                <w:color w:val="000000"/>
                <w:lang w:eastAsia="en-AU"/>
              </w:rPr>
            </w:pPr>
            <w:r w:rsidRPr="62929FE9">
              <w:rPr>
                <w:color w:val="000000"/>
                <w:lang w:eastAsia="en-AU"/>
              </w:rPr>
              <w:t>Modelled flows</w:t>
            </w:r>
            <w:r w:rsidRPr="0DFF3C05">
              <w:rPr>
                <w:rFonts w:ascii="Times New Roman" w:hAnsi="Times New Roman" w:cs="Times New Roman"/>
                <w:color w:val="000000"/>
                <w:sz w:val="14"/>
                <w:szCs w:val="14"/>
                <w:lang w:eastAsia="en-AU"/>
              </w:rPr>
              <w:t xml:space="preserve"> </w:t>
            </w:r>
            <w:r>
              <w:rPr>
                <w:color w:val="000000"/>
                <w:lang w:eastAsia="en-AU"/>
              </w:rPr>
              <w:t>at</w:t>
            </w:r>
            <w:r w:rsidRPr="0DFF3C05">
              <w:rPr>
                <w:color w:val="000000"/>
                <w:lang w:eastAsia="en-AU"/>
              </w:rPr>
              <w:t xml:space="preserve"> </w:t>
            </w:r>
            <w:r>
              <w:rPr>
                <w:color w:val="000000"/>
                <w:lang w:eastAsia="en-AU"/>
              </w:rPr>
              <w:t>Wagga Wagga</w:t>
            </w:r>
            <w:r w:rsidRPr="0DFF3C05">
              <w:rPr>
                <w:color w:val="000000"/>
                <w:lang w:eastAsia="en-AU"/>
              </w:rPr>
              <w:t xml:space="preserve"> to match flows </w:t>
            </w:r>
            <w:r>
              <w:rPr>
                <w:rFonts w:eastAsia="Arial"/>
                <w:color w:val="000000"/>
                <w:lang w:eastAsia="en-AU"/>
              </w:rPr>
              <w:t>at</w:t>
            </w:r>
            <w:r w:rsidRPr="622A5E2B">
              <w:rPr>
                <w:rFonts w:eastAsia="Arial"/>
                <w:color w:val="000000"/>
                <w:lang w:eastAsia="en-AU"/>
              </w:rPr>
              <w:t xml:space="preserve"> Yarrawonga and Doctors Point</w:t>
            </w:r>
          </w:p>
          <w:p w14:paraId="217FF103" w14:textId="0734F7AE" w:rsidR="00491210" w:rsidRPr="002F4E30" w:rsidRDefault="00EE200C" w:rsidP="62929FE9">
            <w:pPr>
              <w:spacing w:after="0"/>
              <w:ind w:left="360" w:hanging="360"/>
              <w:rPr>
                <w:rFonts w:eastAsia="Arial"/>
                <w:color w:val="000000"/>
                <w:lang w:eastAsia="en-AU"/>
              </w:rPr>
            </w:pPr>
            <w:r w:rsidRPr="2C4978F2">
              <w:rPr>
                <w:rFonts w:eastAsia="Arial"/>
                <w:color w:val="000000"/>
                <w:lang w:eastAsia="en-AU"/>
              </w:rPr>
              <w:t>22,000 (matched to 15,000 at Yarrawonga)</w:t>
            </w:r>
          </w:p>
          <w:p w14:paraId="3AB2CE9A" w14:textId="34334AB9" w:rsidR="00491210" w:rsidRPr="002F4E30" w:rsidRDefault="00EE200C" w:rsidP="62929FE9">
            <w:pPr>
              <w:spacing w:after="0"/>
              <w:ind w:left="360" w:hanging="360"/>
              <w:rPr>
                <w:rFonts w:eastAsia="Arial"/>
                <w:color w:val="000000"/>
                <w:lang w:eastAsia="en-AU"/>
              </w:rPr>
            </w:pPr>
            <w:r w:rsidRPr="62929FE9">
              <w:rPr>
                <w:rFonts w:eastAsia="Arial"/>
                <w:color w:val="000000"/>
                <w:lang w:eastAsia="en-AU"/>
              </w:rPr>
              <w:t>32,000</w:t>
            </w:r>
            <w:r w:rsidRPr="2C4978F2">
              <w:rPr>
                <w:rFonts w:eastAsia="Arial"/>
                <w:color w:val="000000"/>
                <w:lang w:eastAsia="en-AU"/>
              </w:rPr>
              <w:t xml:space="preserve"> </w:t>
            </w:r>
            <w:r>
              <w:rPr>
                <w:rFonts w:eastAsia="Arial"/>
                <w:color w:val="000000"/>
                <w:lang w:eastAsia="en-AU"/>
              </w:rPr>
              <w:t>(</w:t>
            </w:r>
            <w:r w:rsidRPr="2C4978F2">
              <w:rPr>
                <w:rFonts w:eastAsia="Arial"/>
                <w:color w:val="000000"/>
                <w:lang w:eastAsia="en-AU"/>
              </w:rPr>
              <w:t xml:space="preserve">matched to </w:t>
            </w:r>
            <w:r>
              <w:rPr>
                <w:rFonts w:eastAsia="Arial"/>
                <w:color w:val="000000"/>
                <w:lang w:eastAsia="en-AU"/>
              </w:rPr>
              <w:t>2</w:t>
            </w:r>
            <w:r w:rsidRPr="2C4978F2">
              <w:rPr>
                <w:rFonts w:eastAsia="Arial"/>
                <w:color w:val="000000"/>
                <w:lang w:eastAsia="en-AU"/>
              </w:rPr>
              <w:t>5,000 at Yarrawonga</w:t>
            </w:r>
            <w:r>
              <w:rPr>
                <w:rFonts w:eastAsia="Arial"/>
                <w:color w:val="000000"/>
                <w:lang w:eastAsia="en-AU"/>
              </w:rPr>
              <w:t>)</w:t>
            </w:r>
          </w:p>
          <w:p w14:paraId="1198434F" w14:textId="7B2B90FB" w:rsidR="00491210" w:rsidRPr="002F4E30" w:rsidRDefault="00EE200C" w:rsidP="62929FE9">
            <w:pPr>
              <w:spacing w:after="0"/>
              <w:ind w:left="360" w:hanging="360"/>
              <w:rPr>
                <w:rFonts w:eastAsia="Arial"/>
                <w:lang w:eastAsia="en-AU"/>
              </w:rPr>
            </w:pPr>
            <w:r w:rsidRPr="62929FE9">
              <w:rPr>
                <w:rFonts w:eastAsia="Arial"/>
                <w:color w:val="000000"/>
                <w:lang w:eastAsia="en-AU"/>
              </w:rPr>
              <w:t>36,000</w:t>
            </w:r>
            <w:r>
              <w:rPr>
                <w:rFonts w:eastAsia="Arial"/>
                <w:color w:val="000000"/>
                <w:lang w:eastAsia="en-AU"/>
              </w:rPr>
              <w:t xml:space="preserve"> (</w:t>
            </w:r>
            <w:r w:rsidRPr="2C4978F2">
              <w:rPr>
                <w:rFonts w:eastAsia="Arial"/>
                <w:color w:val="000000"/>
                <w:lang w:eastAsia="en-AU"/>
              </w:rPr>
              <w:t xml:space="preserve">matched to </w:t>
            </w:r>
            <w:r>
              <w:rPr>
                <w:rFonts w:eastAsia="Arial"/>
                <w:color w:val="000000"/>
                <w:lang w:eastAsia="en-AU"/>
              </w:rPr>
              <w:t>30</w:t>
            </w:r>
            <w:r w:rsidRPr="2C4978F2">
              <w:rPr>
                <w:rFonts w:eastAsia="Arial"/>
                <w:color w:val="000000"/>
                <w:lang w:eastAsia="en-AU"/>
              </w:rPr>
              <w:t>,000 at Yarrawonga</w:t>
            </w:r>
            <w:r>
              <w:rPr>
                <w:rFonts w:eastAsia="Arial"/>
                <w:color w:val="000000"/>
                <w:lang w:eastAsia="en-AU"/>
              </w:rPr>
              <w:t>)</w:t>
            </w:r>
          </w:p>
          <w:p w14:paraId="68658DA8" w14:textId="2C4AC378" w:rsidR="00491210" w:rsidRPr="002F4E30" w:rsidRDefault="00EE200C" w:rsidP="0008747C">
            <w:pPr>
              <w:spacing w:after="0"/>
              <w:ind w:left="360" w:hanging="360"/>
              <w:rPr>
                <w:rFonts w:eastAsia="Arial"/>
                <w:color w:val="000000"/>
                <w:lang w:eastAsia="en-AU"/>
              </w:rPr>
            </w:pPr>
            <w:r w:rsidRPr="62929FE9">
              <w:rPr>
                <w:rFonts w:eastAsia="Arial"/>
                <w:color w:val="000000"/>
                <w:lang w:eastAsia="en-AU"/>
              </w:rPr>
              <w:t xml:space="preserve">40,000 (matched to 40,000 </w:t>
            </w:r>
            <w:r>
              <w:rPr>
                <w:rFonts w:eastAsia="Arial"/>
                <w:color w:val="000000"/>
                <w:lang w:eastAsia="en-AU"/>
              </w:rPr>
              <w:t xml:space="preserve">and 45,000 </w:t>
            </w:r>
            <w:r w:rsidRPr="62929FE9">
              <w:rPr>
                <w:rFonts w:eastAsia="Arial"/>
                <w:color w:val="000000"/>
                <w:lang w:eastAsia="en-AU"/>
              </w:rPr>
              <w:t>at Yarrawonga)</w:t>
            </w:r>
          </w:p>
        </w:tc>
        <w:tc>
          <w:tcPr>
            <w:tcW w:w="1023" w:type="pct"/>
            <w:tcMar>
              <w:top w:w="100" w:type="dxa"/>
              <w:left w:w="100" w:type="dxa"/>
              <w:bottom w:w="100" w:type="dxa"/>
              <w:right w:w="100" w:type="dxa"/>
            </w:tcMar>
            <w:hideMark/>
          </w:tcPr>
          <w:p w14:paraId="448873B6" w14:textId="38A6883B" w:rsidR="00491210" w:rsidRPr="002F4E30" w:rsidRDefault="00EE200C" w:rsidP="60D1C489">
            <w:pPr>
              <w:spacing w:after="0"/>
              <w:jc w:val="both"/>
              <w:rPr>
                <w:rFonts w:ascii="Times New Roman" w:hAnsi="Times New Roman" w:cs="Times New Roman"/>
                <w:sz w:val="24"/>
                <w:lang w:eastAsia="en-AU"/>
              </w:rPr>
            </w:pPr>
            <w:r w:rsidRPr="60D1C489">
              <w:rPr>
                <w:color w:val="000000"/>
                <w:lang w:eastAsia="en-AU"/>
              </w:rPr>
              <w:t>Murrumbidgee River: Gundagai to Murray Junction</w:t>
            </w:r>
          </w:p>
        </w:tc>
        <w:tc>
          <w:tcPr>
            <w:tcW w:w="776" w:type="pct"/>
            <w:tcMar>
              <w:top w:w="100" w:type="dxa"/>
              <w:left w:w="100" w:type="dxa"/>
              <w:bottom w:w="100" w:type="dxa"/>
              <w:right w:w="100" w:type="dxa"/>
            </w:tcMar>
            <w:hideMark/>
          </w:tcPr>
          <w:p w14:paraId="0220337A" w14:textId="236F8ED9" w:rsidR="00491210" w:rsidRDefault="00EE200C" w:rsidP="00545CDE">
            <w:pPr>
              <w:spacing w:after="0"/>
              <w:jc w:val="both"/>
              <w:rPr>
                <w:color w:val="000000"/>
                <w:u w:val="single"/>
                <w:lang w:eastAsia="en-AU"/>
              </w:rPr>
            </w:pPr>
            <w:r w:rsidRPr="60D1C489">
              <w:rPr>
                <w:color w:val="000000"/>
                <w:lang w:eastAsia="en-AU"/>
              </w:rPr>
              <w:t xml:space="preserve">Hay </w:t>
            </w:r>
            <w:r w:rsidRPr="62929FE9">
              <w:rPr>
                <w:color w:val="000000"/>
                <w:lang w:eastAsia="en-AU"/>
              </w:rPr>
              <w:t xml:space="preserve">Weir </w:t>
            </w:r>
            <w:r w:rsidRPr="60D1C489">
              <w:rPr>
                <w:color w:val="000000"/>
                <w:lang w:eastAsia="en-AU"/>
              </w:rPr>
              <w:t xml:space="preserve">to </w:t>
            </w:r>
            <w:r>
              <w:rPr>
                <w:color w:val="000000"/>
                <w:lang w:eastAsia="en-AU"/>
              </w:rPr>
              <w:t>Balranald Weir (both species)</w:t>
            </w:r>
          </w:p>
          <w:p w14:paraId="41CBF8CA" w14:textId="1944DEB3" w:rsidR="00491210" w:rsidRPr="002F4E30" w:rsidRDefault="00EE200C" w:rsidP="00545CDE">
            <w:pPr>
              <w:spacing w:after="0"/>
              <w:jc w:val="both"/>
              <w:rPr>
                <w:rFonts w:ascii="Times New Roman" w:hAnsi="Times New Roman" w:cs="Times New Roman"/>
                <w:sz w:val="24"/>
                <w:lang w:eastAsia="en-AU"/>
              </w:rPr>
            </w:pPr>
            <w:r w:rsidRPr="60D1C489">
              <w:rPr>
                <w:color w:val="000000"/>
                <w:u w:val="single"/>
                <w:lang w:eastAsia="en-AU"/>
              </w:rPr>
              <w:t xml:space="preserve">Murray </w:t>
            </w:r>
            <w:r>
              <w:rPr>
                <w:color w:val="000000"/>
                <w:u w:val="single"/>
                <w:lang w:eastAsia="en-AU"/>
              </w:rPr>
              <w:t>C</w:t>
            </w:r>
            <w:r w:rsidRPr="60D1C489">
              <w:rPr>
                <w:color w:val="000000"/>
                <w:u w:val="single"/>
                <w:lang w:eastAsia="en-AU"/>
              </w:rPr>
              <w:t>od</w:t>
            </w:r>
          </w:p>
          <w:p w14:paraId="4EAE9787" w14:textId="79AFDD43" w:rsidR="00491210" w:rsidRPr="002F4E30" w:rsidRDefault="00EE200C" w:rsidP="62929FE9">
            <w:pPr>
              <w:spacing w:after="0"/>
              <w:ind w:left="360" w:hanging="360"/>
              <w:rPr>
                <w:rFonts w:ascii="Times New Roman" w:hAnsi="Times New Roman" w:cs="Times New Roman"/>
                <w:sz w:val="24"/>
                <w:lang w:eastAsia="en-AU"/>
              </w:rPr>
            </w:pPr>
            <w:r w:rsidRPr="60D1C489">
              <w:rPr>
                <w:color w:val="000000"/>
                <w:lang w:eastAsia="en-AU"/>
              </w:rPr>
              <w:t xml:space="preserve">Gundagai to </w:t>
            </w:r>
            <w:r w:rsidRPr="62929FE9">
              <w:rPr>
                <w:color w:val="000000"/>
                <w:lang w:eastAsia="en-AU"/>
              </w:rPr>
              <w:t>Berembed Weir</w:t>
            </w:r>
          </w:p>
          <w:p w14:paraId="121B509C" w14:textId="33E40CFC" w:rsidR="00491210" w:rsidRPr="002F4E30" w:rsidRDefault="00EE200C" w:rsidP="62929FE9">
            <w:pPr>
              <w:spacing w:after="0"/>
              <w:ind w:left="360" w:hanging="360"/>
              <w:rPr>
                <w:color w:val="000000"/>
                <w:lang w:eastAsia="en-AU"/>
              </w:rPr>
            </w:pPr>
            <w:r w:rsidRPr="2D74987C">
              <w:rPr>
                <w:color w:val="000000"/>
                <w:lang w:eastAsia="en-AU"/>
              </w:rPr>
              <w:t>Berembed Weir to Gogeldrie Weir</w:t>
            </w:r>
          </w:p>
          <w:p w14:paraId="5479B6A5" w14:textId="27E37054" w:rsidR="00491210" w:rsidRDefault="00EE200C" w:rsidP="00F57879">
            <w:pPr>
              <w:spacing w:after="0"/>
              <w:ind w:left="360" w:hanging="360"/>
              <w:rPr>
                <w:color w:val="000000"/>
                <w:lang w:eastAsia="en-AU"/>
              </w:rPr>
            </w:pPr>
            <w:r w:rsidRPr="62929FE9">
              <w:rPr>
                <w:color w:val="000000"/>
                <w:lang w:eastAsia="en-AU"/>
              </w:rPr>
              <w:t>Gogeldrie Weir to Hay Weir</w:t>
            </w:r>
          </w:p>
          <w:p w14:paraId="22C0E73E" w14:textId="372DADC7" w:rsidR="00491210" w:rsidRDefault="00EE200C" w:rsidP="00F57879">
            <w:pPr>
              <w:spacing w:after="0"/>
              <w:ind w:left="360" w:hanging="360"/>
              <w:rPr>
                <w:color w:val="000000"/>
                <w:lang w:eastAsia="en-AU"/>
              </w:rPr>
            </w:pPr>
            <w:r w:rsidRPr="60D1C489">
              <w:rPr>
                <w:color w:val="000000"/>
                <w:lang w:eastAsia="en-AU"/>
              </w:rPr>
              <w:t>Yanco Ck</w:t>
            </w:r>
          </w:p>
          <w:p w14:paraId="6E7072D9" w14:textId="265CE2B7" w:rsidR="00491210" w:rsidRPr="0002739B" w:rsidRDefault="00EE200C" w:rsidP="00F57879">
            <w:pPr>
              <w:spacing w:after="0"/>
              <w:ind w:left="360" w:hanging="360"/>
              <w:rPr>
                <w:color w:val="000000"/>
                <w:u w:val="single"/>
                <w:lang w:eastAsia="en-AU"/>
              </w:rPr>
            </w:pPr>
            <w:r w:rsidRPr="0002739B">
              <w:rPr>
                <w:color w:val="000000"/>
                <w:u w:val="single"/>
                <w:lang w:eastAsia="en-AU"/>
              </w:rPr>
              <w:t>Golden Perch</w:t>
            </w:r>
          </w:p>
          <w:p w14:paraId="6AF74AEE" w14:textId="09C7F02E" w:rsidR="00491210" w:rsidRPr="002F4E30" w:rsidRDefault="00EE200C" w:rsidP="0002739B">
            <w:pPr>
              <w:spacing w:after="0"/>
              <w:ind w:left="360" w:hanging="360"/>
              <w:rPr>
                <w:rFonts w:ascii="Times New Roman" w:hAnsi="Times New Roman" w:cs="Times New Roman"/>
                <w:sz w:val="24"/>
                <w:lang w:eastAsia="en-AU"/>
              </w:rPr>
            </w:pPr>
            <w:r w:rsidRPr="60D1C489">
              <w:rPr>
                <w:color w:val="000000"/>
                <w:lang w:eastAsia="en-AU"/>
              </w:rPr>
              <w:t xml:space="preserve">Gundagai to </w:t>
            </w:r>
            <w:r>
              <w:rPr>
                <w:color w:val="000000"/>
                <w:lang w:eastAsia="en-AU"/>
              </w:rPr>
              <w:t>Hay</w:t>
            </w:r>
            <w:r w:rsidRPr="62929FE9">
              <w:rPr>
                <w:color w:val="000000"/>
                <w:lang w:eastAsia="en-AU"/>
              </w:rPr>
              <w:t xml:space="preserve"> Weir</w:t>
            </w:r>
          </w:p>
        </w:tc>
        <w:tc>
          <w:tcPr>
            <w:tcW w:w="1384" w:type="pct"/>
            <w:hideMark/>
          </w:tcPr>
          <w:p w14:paraId="2C027E35" w14:textId="77777777" w:rsidR="00491210" w:rsidRPr="002F4E30" w:rsidRDefault="00491210">
            <w:pPr>
              <w:spacing w:after="0"/>
              <w:rPr>
                <w:rFonts w:ascii="Times New Roman" w:hAnsi="Times New Roman" w:cs="Times New Roman"/>
                <w:sz w:val="24"/>
                <w:lang w:eastAsia="en-AU"/>
              </w:rPr>
            </w:pPr>
          </w:p>
        </w:tc>
      </w:tr>
    </w:tbl>
    <w:p w14:paraId="0B1E3282" w14:textId="58D9D131" w:rsidR="00491210" w:rsidRDefault="00491210" w:rsidP="00875244">
      <w:pPr>
        <w:tabs>
          <w:tab w:val="center" w:pos="7371"/>
        </w:tabs>
        <w:spacing w:before="240" w:after="240"/>
        <w:jc w:val="both"/>
        <w:rPr>
          <w:color w:val="000000"/>
          <w:sz w:val="22"/>
          <w:szCs w:val="22"/>
          <w:lang w:eastAsia="en-AU"/>
        </w:rPr>
        <w:sectPr w:rsidR="00491210" w:rsidSect="00773E0A">
          <w:pgSz w:w="16840" w:h="11907" w:orient="landscape" w:code="9"/>
          <w:pgMar w:top="1134" w:right="1134" w:bottom="1134" w:left="1134" w:header="709" w:footer="567" w:gutter="0"/>
          <w:cols w:space="708"/>
          <w:formProt w:val="0"/>
          <w:titlePg/>
          <w:docGrid w:linePitch="360"/>
        </w:sectPr>
      </w:pPr>
    </w:p>
    <w:p w14:paraId="649EA4AA" w14:textId="14B1A03B" w:rsidR="00491210" w:rsidRDefault="003E1401" w:rsidP="00220B7A">
      <w:pPr>
        <w:keepNext/>
        <w:spacing w:after="0"/>
        <w:jc w:val="both"/>
      </w:pPr>
      <w:r>
        <w:rPr>
          <w:noProof/>
          <w:lang w:eastAsia="en-AU"/>
        </w:rPr>
        <w:lastRenderedPageBreak/>
        <w:t xml:space="preserve"> </w:t>
      </w:r>
    </w:p>
    <w:p w14:paraId="428BF016" w14:textId="567D0BB7" w:rsidR="00491210" w:rsidRPr="004F43AA" w:rsidRDefault="00EE200C" w:rsidP="00F602FE">
      <w:pPr>
        <w:pStyle w:val="Caption-Figure"/>
      </w:pPr>
      <w:bookmarkStart w:id="78" w:name="_Ref107928735"/>
      <w:bookmarkStart w:id="79" w:name="_Toc116994983"/>
      <w:r>
        <w:t xml:space="preserve">Figure </w:t>
      </w:r>
      <w:r>
        <w:fldChar w:fldCharType="begin"/>
      </w:r>
      <w:r>
        <w:instrText>SEQ Figure \* ARABIC</w:instrText>
      </w:r>
      <w:r>
        <w:fldChar w:fldCharType="separate"/>
      </w:r>
      <w:r w:rsidR="005B672A">
        <w:rPr>
          <w:noProof/>
        </w:rPr>
        <w:t>14</w:t>
      </w:r>
      <w:r>
        <w:fldChar w:fldCharType="end"/>
      </w:r>
      <w:bookmarkEnd w:id="78"/>
      <w:r>
        <w:t>.</w:t>
      </w:r>
      <w:bookmarkStart w:id="80" w:name="_Toc86343783"/>
      <w:r w:rsidRPr="004F43AA">
        <w:t xml:space="preserve"> Spatial structure of the Golden Perch metapopulation modelled in the </w:t>
      </w:r>
      <w:r>
        <w:t>Southern</w:t>
      </w:r>
      <w:r w:rsidRPr="004F43AA">
        <w:t xml:space="preserve"> </w:t>
      </w:r>
      <w:r>
        <w:t xml:space="preserve">MDB, with the Murrumbidgee River split into two population units in </w:t>
      </w:r>
      <w:r>
        <w:fldChar w:fldCharType="begin"/>
      </w:r>
      <w:r>
        <w:instrText xml:space="preserve"> REF _Ref104370966 \h </w:instrText>
      </w:r>
      <w:r>
        <w:fldChar w:fldCharType="separate"/>
      </w:r>
      <w:r w:rsidR="005B672A">
        <w:t xml:space="preserve">Figure </w:t>
      </w:r>
      <w:r w:rsidR="005B672A">
        <w:rPr>
          <w:noProof/>
        </w:rPr>
        <w:t>15</w:t>
      </w:r>
      <w:r>
        <w:fldChar w:fldCharType="end"/>
      </w:r>
      <w:r w:rsidRPr="004F43AA">
        <w:t>.</w:t>
      </w:r>
      <w:bookmarkEnd w:id="79"/>
      <w:bookmarkEnd w:id="80"/>
    </w:p>
    <w:p w14:paraId="520B21C7" w14:textId="6AF81191" w:rsidR="00491210" w:rsidRDefault="003E1401" w:rsidP="00220B7A">
      <w:pPr>
        <w:keepNext/>
        <w:spacing w:after="0"/>
        <w:jc w:val="both"/>
      </w:pPr>
      <w:r>
        <w:rPr>
          <w:noProof/>
          <w:lang w:eastAsia="en-AU"/>
        </w:rPr>
        <w:t xml:space="preserve"> </w:t>
      </w:r>
    </w:p>
    <w:p w14:paraId="4605F820" w14:textId="0933FC01" w:rsidR="00491210" w:rsidRDefault="00EE200C" w:rsidP="00F602FE">
      <w:pPr>
        <w:pStyle w:val="Caption-Figure"/>
      </w:pPr>
      <w:bookmarkStart w:id="81" w:name="_Ref104370966"/>
      <w:bookmarkStart w:id="82" w:name="_Toc116994984"/>
      <w:r>
        <w:t xml:space="preserve">Figure </w:t>
      </w:r>
      <w:r>
        <w:fldChar w:fldCharType="begin"/>
      </w:r>
      <w:r>
        <w:instrText>SEQ Figure \* ARABIC</w:instrText>
      </w:r>
      <w:r>
        <w:fldChar w:fldCharType="separate"/>
      </w:r>
      <w:r w:rsidR="005B672A">
        <w:rPr>
          <w:noProof/>
        </w:rPr>
        <w:t>15</w:t>
      </w:r>
      <w:r>
        <w:fldChar w:fldCharType="end"/>
      </w:r>
      <w:bookmarkEnd w:id="81"/>
      <w:r>
        <w:t>.</w:t>
      </w:r>
      <w:r w:rsidRPr="004F43AA">
        <w:t xml:space="preserve"> Golden Perch metapopulation spatial structure in the Murrumbidgee River</w:t>
      </w:r>
      <w:r>
        <w:t>.</w:t>
      </w:r>
      <w:bookmarkEnd w:id="82"/>
    </w:p>
    <w:p w14:paraId="5C29D2F3" w14:textId="6DB20061" w:rsidR="00491210" w:rsidRDefault="003E1401" w:rsidP="00E523E1">
      <w:pPr>
        <w:keepNext/>
        <w:spacing w:after="0"/>
        <w:jc w:val="both"/>
      </w:pPr>
      <w:r>
        <w:rPr>
          <w:noProof/>
        </w:rPr>
        <w:t xml:space="preserve"> </w:t>
      </w:r>
    </w:p>
    <w:p w14:paraId="207B3CA5" w14:textId="7F1F90F6" w:rsidR="00491210" w:rsidRDefault="00EE200C" w:rsidP="00F602FE">
      <w:pPr>
        <w:pStyle w:val="Caption-Figure"/>
      </w:pPr>
      <w:bookmarkStart w:id="83" w:name="_Ref104370550"/>
      <w:bookmarkStart w:id="84" w:name="_Toc116994985"/>
      <w:r>
        <w:t xml:space="preserve">Figure </w:t>
      </w:r>
      <w:r w:rsidRPr="008B28D6">
        <w:fldChar w:fldCharType="begin"/>
      </w:r>
      <w:r>
        <w:instrText>SEQ Figure \* ARABIC</w:instrText>
      </w:r>
      <w:r w:rsidRPr="008B28D6">
        <w:fldChar w:fldCharType="separate"/>
      </w:r>
      <w:r w:rsidR="005B672A">
        <w:rPr>
          <w:noProof/>
        </w:rPr>
        <w:t>16</w:t>
      </w:r>
      <w:r w:rsidRPr="008B28D6">
        <w:fldChar w:fldCharType="end"/>
      </w:r>
      <w:bookmarkStart w:id="85" w:name="_Toc86343782"/>
      <w:bookmarkEnd w:id="83"/>
      <w:r w:rsidRPr="4F8AEDB5">
        <w:t xml:space="preserve">. </w:t>
      </w:r>
      <w:r>
        <w:t>The s</w:t>
      </w:r>
      <w:r w:rsidRPr="4F8AEDB5">
        <w:t xml:space="preserve">patial structure of Murray Cod populations modelled in the </w:t>
      </w:r>
      <w:r>
        <w:t>L</w:t>
      </w:r>
      <w:r w:rsidRPr="4F8AEDB5">
        <w:t xml:space="preserve">ower </w:t>
      </w:r>
      <w:r>
        <w:t xml:space="preserve">MDB, with the Murrumbidgee River split into smaller population units in </w:t>
      </w:r>
      <w:r>
        <w:fldChar w:fldCharType="begin"/>
      </w:r>
      <w:r>
        <w:instrText xml:space="preserve"> REF _Ref104370750 \h </w:instrText>
      </w:r>
      <w:r>
        <w:fldChar w:fldCharType="separate"/>
      </w:r>
      <w:r w:rsidR="005B672A">
        <w:t xml:space="preserve">Figure </w:t>
      </w:r>
      <w:r w:rsidR="005B672A">
        <w:rPr>
          <w:noProof/>
        </w:rPr>
        <w:t>17</w:t>
      </w:r>
      <w:r>
        <w:fldChar w:fldCharType="end"/>
      </w:r>
      <w:r w:rsidRPr="4F8AEDB5">
        <w:t>.</w:t>
      </w:r>
      <w:bookmarkEnd w:id="84"/>
      <w:bookmarkEnd w:id="85"/>
    </w:p>
    <w:p w14:paraId="700C75C3" w14:textId="15842262" w:rsidR="00491210" w:rsidRDefault="003E1401" w:rsidP="00E523E1">
      <w:pPr>
        <w:pStyle w:val="Caption0"/>
        <w:keepNext/>
        <w:spacing w:after="0"/>
      </w:pPr>
      <w:r>
        <w:rPr>
          <w:noProof/>
          <w:lang w:eastAsia="en-AU"/>
        </w:rPr>
        <w:t xml:space="preserve"> </w:t>
      </w:r>
    </w:p>
    <w:p w14:paraId="290EA883" w14:textId="02E56D73" w:rsidR="00491210" w:rsidRPr="004F43AA" w:rsidRDefault="00EE200C" w:rsidP="00F602FE">
      <w:pPr>
        <w:pStyle w:val="Caption-Figure"/>
      </w:pPr>
      <w:bookmarkStart w:id="86" w:name="_Ref104370750"/>
      <w:bookmarkStart w:id="87" w:name="_Toc116994986"/>
      <w:r>
        <w:t xml:space="preserve">Figure </w:t>
      </w:r>
      <w:r>
        <w:fldChar w:fldCharType="begin"/>
      </w:r>
      <w:r>
        <w:instrText>SEQ Figure \* ARABIC</w:instrText>
      </w:r>
      <w:r>
        <w:fldChar w:fldCharType="separate"/>
      </w:r>
      <w:r w:rsidR="005B672A">
        <w:rPr>
          <w:noProof/>
        </w:rPr>
        <w:t>17</w:t>
      </w:r>
      <w:r>
        <w:fldChar w:fldCharType="end"/>
      </w:r>
      <w:bookmarkEnd w:id="86"/>
      <w:r>
        <w:t>.</w:t>
      </w:r>
      <w:bookmarkStart w:id="88" w:name="_Toc86343784"/>
      <w:r w:rsidRPr="358D0A8B">
        <w:t xml:space="preserve"> </w:t>
      </w:r>
      <w:r>
        <w:t xml:space="preserve">The </w:t>
      </w:r>
      <w:r w:rsidRPr="358D0A8B">
        <w:t xml:space="preserve">Murray Cod population spatial structure in the Murrumbidgee River </w:t>
      </w:r>
      <w:r>
        <w:t>is split into and modelled as five populations</w:t>
      </w:r>
      <w:r w:rsidRPr="358D0A8B">
        <w:t>.</w:t>
      </w:r>
      <w:bookmarkEnd w:id="87"/>
      <w:bookmarkEnd w:id="88"/>
    </w:p>
    <w:p w14:paraId="3711B5EE" w14:textId="77777777" w:rsidR="00491210" w:rsidRPr="007C54A1" w:rsidRDefault="00EE200C" w:rsidP="00753F5C">
      <w:pPr>
        <w:pStyle w:val="Heading2-Numbered"/>
      </w:pPr>
      <w:bookmarkStart w:id="89" w:name="_Toc90388558"/>
      <w:bookmarkStart w:id="90" w:name="_Toc116994889"/>
      <w:r>
        <w:t>Model descriptions</w:t>
      </w:r>
      <w:bookmarkEnd w:id="89"/>
      <w:bookmarkEnd w:id="90"/>
    </w:p>
    <w:p w14:paraId="3D7D3C29" w14:textId="6A59781E" w:rsidR="00491210" w:rsidRPr="007C54A1" w:rsidRDefault="00EE200C" w:rsidP="3FC79A6E">
      <w:pPr>
        <w:spacing w:before="240" w:after="240"/>
        <w:jc w:val="both"/>
        <w:rPr>
          <w:rFonts w:ascii="Times New Roman" w:hAnsi="Times New Roman" w:cs="Times New Roman"/>
          <w:sz w:val="24"/>
          <w:lang w:eastAsia="en-AU"/>
        </w:rPr>
      </w:pPr>
      <w:r w:rsidRPr="3FC79A6E">
        <w:rPr>
          <w:color w:val="000000"/>
          <w:sz w:val="22"/>
          <w:szCs w:val="22"/>
          <w:lang w:eastAsia="en-AU"/>
        </w:rPr>
        <w:t xml:space="preserve">Brief descriptions of the population models for Golden Perch and Murray Cod are included here, with full descriptions and </w:t>
      </w:r>
      <w:r>
        <w:rPr>
          <w:color w:val="000000"/>
          <w:sz w:val="22"/>
          <w:szCs w:val="22"/>
          <w:lang w:eastAsia="en-AU"/>
        </w:rPr>
        <w:t>m</w:t>
      </w:r>
      <w:r w:rsidRPr="3FC79A6E">
        <w:rPr>
          <w:color w:val="000000"/>
          <w:sz w:val="22"/>
          <w:szCs w:val="22"/>
          <w:lang w:eastAsia="en-AU"/>
        </w:rPr>
        <w:t>odel rules provided in Appendix 2.</w:t>
      </w:r>
    </w:p>
    <w:p w14:paraId="0879BC6D" w14:textId="706C7A3E" w:rsidR="00491210" w:rsidRPr="007C54A1" w:rsidRDefault="00EE200C" w:rsidP="4F8AEDB5">
      <w:pPr>
        <w:spacing w:before="240" w:after="240"/>
        <w:jc w:val="both"/>
        <w:rPr>
          <w:rFonts w:ascii="Times New Roman" w:hAnsi="Times New Roman" w:cs="Times New Roman"/>
          <w:sz w:val="24"/>
          <w:lang w:eastAsia="en-AU"/>
        </w:rPr>
      </w:pPr>
      <w:r w:rsidRPr="4F8AEDB5">
        <w:rPr>
          <w:color w:val="000000"/>
          <w:sz w:val="22"/>
          <w:szCs w:val="22"/>
          <w:lang w:eastAsia="en-AU"/>
        </w:rPr>
        <w:t xml:space="preserve">The Murray Cod population model is a stage/age matrix construct previously developed for the MDB (Todd and Koehn 2007; Koehn and Todd 2012). The model summarises the life history of Murray Cod by explicitly representing 50 age classes (Koehn and Todd 2012), where Murray Cod are assumed to become sexually mature at </w:t>
      </w:r>
      <w:r>
        <w:rPr>
          <w:color w:val="000000"/>
          <w:sz w:val="22"/>
          <w:szCs w:val="22"/>
          <w:lang w:eastAsia="en-AU"/>
        </w:rPr>
        <w:t>5 </w:t>
      </w:r>
      <w:r w:rsidRPr="4F8AEDB5">
        <w:rPr>
          <w:color w:val="000000"/>
          <w:sz w:val="22"/>
          <w:szCs w:val="22"/>
          <w:lang w:eastAsia="en-AU"/>
        </w:rPr>
        <w:t xml:space="preserve">years of age and fecundity </w:t>
      </w:r>
      <w:r>
        <w:rPr>
          <w:color w:val="000000"/>
          <w:sz w:val="22"/>
          <w:szCs w:val="22"/>
          <w:lang w:eastAsia="en-AU"/>
        </w:rPr>
        <w:t>is assumed to increase</w:t>
      </w:r>
      <w:r w:rsidRPr="4F8AEDB5">
        <w:rPr>
          <w:color w:val="000000"/>
          <w:sz w:val="22"/>
          <w:szCs w:val="22"/>
          <w:lang w:eastAsia="en-AU"/>
        </w:rPr>
        <w:t xml:space="preserve"> with age as a function of the average length of each age class (Rowland 1998a, 1998b). A 1:1 sex ratio was assumed, with the annual spawning season modelled from </w:t>
      </w:r>
      <w:r>
        <w:rPr>
          <w:color w:val="000000"/>
          <w:sz w:val="22"/>
          <w:szCs w:val="22"/>
          <w:lang w:eastAsia="en-AU"/>
        </w:rPr>
        <w:t xml:space="preserve">the beginning of </w:t>
      </w:r>
      <w:r w:rsidRPr="4F8AEDB5">
        <w:rPr>
          <w:color w:val="000000"/>
          <w:sz w:val="22"/>
          <w:szCs w:val="22"/>
          <w:lang w:eastAsia="en-AU"/>
        </w:rPr>
        <w:t>October to the end of December</w:t>
      </w:r>
      <w:r>
        <w:rPr>
          <w:color w:val="000000"/>
          <w:sz w:val="22"/>
          <w:szCs w:val="22"/>
          <w:lang w:eastAsia="en-AU"/>
        </w:rPr>
        <w:t xml:space="preserve"> and</w:t>
      </w:r>
      <w:r w:rsidRPr="4F8AEDB5">
        <w:rPr>
          <w:color w:val="000000"/>
          <w:sz w:val="22"/>
          <w:szCs w:val="22"/>
          <w:lang w:eastAsia="en-AU"/>
        </w:rPr>
        <w:t xml:space="preserve"> spawning </w:t>
      </w:r>
      <w:r>
        <w:rPr>
          <w:color w:val="000000"/>
          <w:sz w:val="22"/>
          <w:szCs w:val="22"/>
          <w:lang w:eastAsia="en-AU"/>
        </w:rPr>
        <w:t>being</w:t>
      </w:r>
      <w:r w:rsidRPr="4F8AEDB5">
        <w:rPr>
          <w:color w:val="000000"/>
          <w:sz w:val="22"/>
          <w:szCs w:val="22"/>
          <w:lang w:eastAsia="en-AU"/>
        </w:rPr>
        <w:t xml:space="preserve"> triggered by an 18</w:t>
      </w:r>
      <w:r w:rsidRPr="4F8AEDB5">
        <w:rPr>
          <w:color w:val="000000"/>
          <w:sz w:val="22"/>
          <w:szCs w:val="22"/>
          <w:vertAlign w:val="superscript"/>
          <w:lang w:eastAsia="en-AU"/>
        </w:rPr>
        <w:t>o</w:t>
      </w:r>
      <w:r w:rsidRPr="4F8AEDB5">
        <w:rPr>
          <w:color w:val="000000"/>
          <w:sz w:val="22"/>
          <w:szCs w:val="22"/>
          <w:lang w:eastAsia="en-AU"/>
        </w:rPr>
        <w:t xml:space="preserve">C </w:t>
      </w:r>
      <w:r>
        <w:rPr>
          <w:color w:val="000000"/>
          <w:sz w:val="22"/>
          <w:szCs w:val="22"/>
          <w:lang w:eastAsia="en-AU"/>
        </w:rPr>
        <w:t xml:space="preserve">water temperature </w:t>
      </w:r>
      <w:r w:rsidRPr="4F8AEDB5">
        <w:rPr>
          <w:color w:val="000000"/>
          <w:sz w:val="22"/>
          <w:szCs w:val="22"/>
          <w:lang w:eastAsia="en-AU"/>
        </w:rPr>
        <w:t>threshold. The model tracks female fish and assumes male input is not limited</w:t>
      </w:r>
      <w:r>
        <w:rPr>
          <w:color w:val="000000"/>
          <w:sz w:val="22"/>
          <w:szCs w:val="22"/>
          <w:lang w:eastAsia="en-AU"/>
        </w:rPr>
        <w:t>, for ease of conceptual understanding, the model output is doubled and reported as total adults (i.e. males and females).</w:t>
      </w:r>
      <w:r w:rsidRPr="4F8AEDB5">
        <w:rPr>
          <w:color w:val="000000"/>
          <w:sz w:val="22"/>
          <w:szCs w:val="22"/>
          <w:lang w:eastAsia="en-AU"/>
        </w:rPr>
        <w:t xml:space="preserve"> As the life</w:t>
      </w:r>
      <w:r>
        <w:rPr>
          <w:color w:val="000000"/>
          <w:sz w:val="22"/>
          <w:szCs w:val="22"/>
          <w:lang w:eastAsia="en-AU"/>
        </w:rPr>
        <w:t xml:space="preserve"> </w:t>
      </w:r>
      <w:r w:rsidRPr="4F8AEDB5">
        <w:rPr>
          <w:color w:val="000000"/>
          <w:sz w:val="22"/>
          <w:szCs w:val="22"/>
          <w:lang w:eastAsia="en-AU"/>
        </w:rPr>
        <w:t>history of Murray Cod is largely contained at the reach level, and inter-reach movement is relatively infrequent (Thiem et al. 2021; see above), populations across RRCP reach areas are modelled independently.</w:t>
      </w:r>
    </w:p>
    <w:p w14:paraId="32D24DCC" w14:textId="780BF1DF" w:rsidR="00491210" w:rsidRDefault="00EE200C" w:rsidP="13609C11">
      <w:pPr>
        <w:spacing w:before="240" w:after="240"/>
        <w:jc w:val="both"/>
        <w:rPr>
          <w:color w:val="000000"/>
          <w:sz w:val="22"/>
          <w:szCs w:val="22"/>
          <w:lang w:eastAsia="en-AU"/>
        </w:rPr>
      </w:pPr>
      <w:r w:rsidRPr="13609C11">
        <w:rPr>
          <w:color w:val="000000"/>
          <w:sz w:val="22"/>
          <w:szCs w:val="22"/>
          <w:lang w:eastAsia="en-AU"/>
        </w:rPr>
        <w:t>The Golden Perch population model</w:t>
      </w:r>
      <w:r>
        <w:rPr>
          <w:color w:val="000000"/>
          <w:sz w:val="22"/>
          <w:szCs w:val="22"/>
          <w:lang w:eastAsia="en-AU"/>
        </w:rPr>
        <w:t xml:space="preserve"> </w:t>
      </w:r>
      <w:r w:rsidRPr="13609C11">
        <w:rPr>
          <w:color w:val="000000"/>
          <w:sz w:val="22"/>
          <w:szCs w:val="22"/>
          <w:lang w:eastAsia="en-AU"/>
        </w:rPr>
        <w:t>(30 age classes) is based on a similar model architecture to that of Murray Cod but is one single metapopulation model with populations interconnected</w:t>
      </w:r>
      <w:r>
        <w:rPr>
          <w:color w:val="000000"/>
          <w:sz w:val="22"/>
          <w:szCs w:val="22"/>
          <w:lang w:eastAsia="en-AU"/>
        </w:rPr>
        <w:t>,</w:t>
      </w:r>
      <w:r w:rsidRPr="13609C11">
        <w:rPr>
          <w:color w:val="000000"/>
          <w:sz w:val="22"/>
          <w:szCs w:val="22"/>
          <w:lang w:eastAsia="en-AU"/>
        </w:rPr>
        <w:t xml:space="preserve"> whereas the Murray Cod model is a series of single population models. The Golden Perch model a</w:t>
      </w:r>
      <w:r>
        <w:rPr>
          <w:color w:val="000000"/>
          <w:sz w:val="22"/>
          <w:szCs w:val="22"/>
          <w:lang w:eastAsia="en-AU"/>
        </w:rPr>
        <w:t>l</w:t>
      </w:r>
      <w:r w:rsidRPr="13609C11">
        <w:rPr>
          <w:color w:val="000000"/>
          <w:sz w:val="22"/>
          <w:szCs w:val="22"/>
          <w:lang w:eastAsia="en-AU"/>
        </w:rPr>
        <w:t>s</w:t>
      </w:r>
      <w:r>
        <w:rPr>
          <w:color w:val="000000"/>
          <w:sz w:val="22"/>
          <w:szCs w:val="22"/>
          <w:lang w:eastAsia="en-AU"/>
        </w:rPr>
        <w:t xml:space="preserve">o differs </w:t>
      </w:r>
      <w:r w:rsidRPr="13609C11">
        <w:rPr>
          <w:color w:val="000000"/>
          <w:sz w:val="22"/>
          <w:szCs w:val="22"/>
          <w:lang w:eastAsia="en-AU"/>
        </w:rPr>
        <w:t>in some key components that reflect the specific ecology</w:t>
      </w:r>
      <w:r>
        <w:rPr>
          <w:color w:val="000000"/>
          <w:sz w:val="22"/>
          <w:szCs w:val="22"/>
          <w:lang w:eastAsia="en-AU"/>
        </w:rPr>
        <w:t xml:space="preserve"> of this species</w:t>
      </w:r>
      <w:r w:rsidRPr="13609C11">
        <w:rPr>
          <w:color w:val="000000"/>
          <w:sz w:val="22"/>
          <w:szCs w:val="22"/>
          <w:lang w:eastAsia="en-AU"/>
        </w:rPr>
        <w:t xml:space="preserve"> (Koehn et al. 2020). Here, flow-dependent movements of the life</w:t>
      </w:r>
      <w:r>
        <w:rPr>
          <w:color w:val="000000"/>
          <w:sz w:val="22"/>
          <w:szCs w:val="22"/>
          <w:lang w:eastAsia="en-AU"/>
        </w:rPr>
        <w:t xml:space="preserve"> </w:t>
      </w:r>
      <w:r w:rsidRPr="13609C11">
        <w:rPr>
          <w:color w:val="000000"/>
          <w:sz w:val="22"/>
          <w:szCs w:val="22"/>
          <w:lang w:eastAsia="en-AU"/>
        </w:rPr>
        <w:t>stages of this highly mobile species (</w:t>
      </w:r>
      <w:r w:rsidRPr="00087BF8">
        <w:rPr>
          <w:sz w:val="22"/>
          <w:szCs w:val="22"/>
          <w:shd w:val="clear" w:color="auto" w:fill="FFFFFF"/>
          <w:lang w:eastAsia="en-AU"/>
        </w:rPr>
        <w:t>Reynolds</w:t>
      </w:r>
      <w:r w:rsidRPr="13609C11">
        <w:rPr>
          <w:color w:val="000000"/>
          <w:sz w:val="22"/>
          <w:szCs w:val="22"/>
          <w:lang w:eastAsia="en-AU"/>
        </w:rPr>
        <w:t xml:space="preserve"> </w:t>
      </w:r>
      <w:r>
        <w:rPr>
          <w:color w:val="000000"/>
          <w:sz w:val="22"/>
          <w:szCs w:val="22"/>
          <w:lang w:eastAsia="en-AU"/>
        </w:rPr>
        <w:t xml:space="preserve">1983; </w:t>
      </w:r>
      <w:r w:rsidRPr="13609C11">
        <w:rPr>
          <w:color w:val="000000"/>
          <w:sz w:val="22"/>
          <w:szCs w:val="22"/>
          <w:lang w:eastAsia="en-AU"/>
        </w:rPr>
        <w:t xml:space="preserve">Koehn and Nicol 2016) are modelled specifically, </w:t>
      </w:r>
      <w:r>
        <w:rPr>
          <w:color w:val="000000"/>
          <w:sz w:val="22"/>
          <w:szCs w:val="22"/>
          <w:lang w:eastAsia="en-AU"/>
        </w:rPr>
        <w:t>and</w:t>
      </w:r>
      <w:r w:rsidRPr="13609C11">
        <w:rPr>
          <w:color w:val="000000"/>
          <w:sz w:val="22"/>
          <w:szCs w:val="22"/>
          <w:lang w:eastAsia="en-AU"/>
        </w:rPr>
        <w:t xml:space="preserve"> links (e.g. immigration and emigration) between discrete populations are captured within the single metapopulation structure. Within the model, flow and temperature data regulate effects on the early</w:t>
      </w:r>
      <w:r>
        <w:rPr>
          <w:color w:val="000000"/>
          <w:sz w:val="22"/>
          <w:szCs w:val="22"/>
          <w:lang w:eastAsia="en-AU"/>
        </w:rPr>
        <w:t>-</w:t>
      </w:r>
      <w:r w:rsidRPr="13609C11">
        <w:rPr>
          <w:color w:val="000000"/>
          <w:sz w:val="22"/>
          <w:szCs w:val="22"/>
          <w:lang w:eastAsia="en-AU"/>
        </w:rPr>
        <w:t>life</w:t>
      </w:r>
      <w:r>
        <w:rPr>
          <w:color w:val="000000"/>
          <w:sz w:val="22"/>
          <w:szCs w:val="22"/>
          <w:lang w:eastAsia="en-AU"/>
        </w:rPr>
        <w:t>-</w:t>
      </w:r>
      <w:r w:rsidRPr="13609C11">
        <w:rPr>
          <w:color w:val="000000"/>
          <w:sz w:val="22"/>
          <w:szCs w:val="22"/>
          <w:lang w:eastAsia="en-AU"/>
        </w:rPr>
        <w:t xml:space="preserve">history survival and movement (larval drift), productivity on larval survival and young-of-the-year (also referred to as fingerlings), and flow-cued movements of juvenile and adult fish. This creates a dynamic metapopulation structure </w:t>
      </w:r>
      <w:r>
        <w:rPr>
          <w:color w:val="000000"/>
          <w:sz w:val="22"/>
          <w:szCs w:val="22"/>
          <w:lang w:eastAsia="en-AU"/>
        </w:rPr>
        <w:t>in which</w:t>
      </w:r>
      <w:r w:rsidRPr="13609C11">
        <w:rPr>
          <w:color w:val="000000"/>
          <w:sz w:val="22"/>
          <w:szCs w:val="22"/>
          <w:lang w:eastAsia="en-AU"/>
        </w:rPr>
        <w:t xml:space="preserve"> populations are linked across both small (i.e. adjoining populations) and large scales (i.e. across the whole metapopulation over multiple years). A 1:1 sex ratio </w:t>
      </w:r>
      <w:r>
        <w:rPr>
          <w:color w:val="000000"/>
          <w:sz w:val="22"/>
          <w:szCs w:val="22"/>
          <w:lang w:eastAsia="en-AU"/>
        </w:rPr>
        <w:t>wa</w:t>
      </w:r>
      <w:r w:rsidRPr="13609C11">
        <w:rPr>
          <w:color w:val="000000"/>
          <w:sz w:val="22"/>
          <w:szCs w:val="22"/>
          <w:lang w:eastAsia="en-AU"/>
        </w:rPr>
        <w:t>s assumed (</w:t>
      </w:r>
      <w:r>
        <w:rPr>
          <w:color w:val="000000"/>
          <w:sz w:val="22"/>
          <w:szCs w:val="22"/>
          <w:lang w:eastAsia="en-AU"/>
        </w:rPr>
        <w:t>as for Murray Cod,</w:t>
      </w:r>
      <w:r w:rsidRPr="13609C11">
        <w:rPr>
          <w:color w:val="000000"/>
          <w:sz w:val="22"/>
          <w:szCs w:val="22"/>
          <w:lang w:eastAsia="en-AU"/>
        </w:rPr>
        <w:t xml:space="preserve"> the modelled output </w:t>
      </w:r>
      <w:r>
        <w:rPr>
          <w:color w:val="000000"/>
          <w:sz w:val="22"/>
          <w:szCs w:val="22"/>
          <w:lang w:eastAsia="en-AU"/>
        </w:rPr>
        <w:t>wa</w:t>
      </w:r>
      <w:r w:rsidRPr="13609C11">
        <w:rPr>
          <w:color w:val="000000"/>
          <w:sz w:val="22"/>
          <w:szCs w:val="22"/>
          <w:lang w:eastAsia="en-AU"/>
        </w:rPr>
        <w:t xml:space="preserve">s doubled), and the annual spawning season was modelled from the beginning of October to the end of February, </w:t>
      </w:r>
      <w:r>
        <w:rPr>
          <w:color w:val="000000"/>
          <w:sz w:val="22"/>
          <w:szCs w:val="22"/>
          <w:lang w:eastAsia="en-AU"/>
        </w:rPr>
        <w:t>with</w:t>
      </w:r>
      <w:r w:rsidRPr="13609C11">
        <w:rPr>
          <w:color w:val="000000"/>
          <w:sz w:val="22"/>
          <w:szCs w:val="22"/>
          <w:lang w:eastAsia="en-AU"/>
        </w:rPr>
        <w:t xml:space="preserve"> spawning </w:t>
      </w:r>
      <w:r>
        <w:rPr>
          <w:color w:val="000000"/>
          <w:sz w:val="22"/>
          <w:szCs w:val="22"/>
          <w:lang w:eastAsia="en-AU"/>
        </w:rPr>
        <w:t>being</w:t>
      </w:r>
      <w:r w:rsidRPr="13609C11">
        <w:rPr>
          <w:color w:val="000000"/>
          <w:sz w:val="22"/>
          <w:szCs w:val="22"/>
          <w:lang w:eastAsia="en-AU"/>
        </w:rPr>
        <w:t xml:space="preserve"> triggered by site</w:t>
      </w:r>
      <w:r>
        <w:rPr>
          <w:color w:val="000000"/>
          <w:sz w:val="22"/>
          <w:szCs w:val="22"/>
          <w:lang w:eastAsia="en-AU"/>
        </w:rPr>
        <w:t>-</w:t>
      </w:r>
      <w:r w:rsidRPr="13609C11">
        <w:rPr>
          <w:color w:val="000000"/>
          <w:sz w:val="22"/>
          <w:szCs w:val="22"/>
          <w:lang w:eastAsia="en-AU"/>
        </w:rPr>
        <w:t>specific flow cues and a temperature threshold of 17</w:t>
      </w:r>
      <w:r w:rsidRPr="13609C11">
        <w:rPr>
          <w:color w:val="000000"/>
          <w:sz w:val="22"/>
          <w:szCs w:val="22"/>
          <w:vertAlign w:val="superscript"/>
          <w:lang w:eastAsia="en-AU"/>
        </w:rPr>
        <w:t>o</w:t>
      </w:r>
      <w:r w:rsidRPr="13609C11">
        <w:rPr>
          <w:color w:val="000000"/>
          <w:sz w:val="22"/>
          <w:szCs w:val="22"/>
          <w:lang w:eastAsia="en-AU"/>
        </w:rPr>
        <w:t>C.</w:t>
      </w:r>
      <w:bookmarkStart w:id="91" w:name="_Toc90388559"/>
    </w:p>
    <w:p w14:paraId="48FF6C5E" w14:textId="327B524A" w:rsidR="00491210" w:rsidRDefault="00EE200C" w:rsidP="00753F5C">
      <w:pPr>
        <w:pStyle w:val="Heading2-Numbered"/>
      </w:pPr>
      <w:bookmarkStart w:id="92" w:name="_Toc110837305"/>
      <w:bookmarkStart w:id="93" w:name="_Toc116994890"/>
      <w:r>
        <w:t>Model rules</w:t>
      </w:r>
      <w:bookmarkEnd w:id="91"/>
      <w:bookmarkEnd w:id="92"/>
      <w:bookmarkEnd w:id="93"/>
    </w:p>
    <w:p w14:paraId="09ED2326" w14:textId="238AC559" w:rsidR="00491210" w:rsidRDefault="00EE200C" w:rsidP="4D1BBAA5">
      <w:pPr>
        <w:spacing w:before="240" w:after="240"/>
        <w:jc w:val="both"/>
        <w:rPr>
          <w:color w:val="000000"/>
          <w:sz w:val="22"/>
          <w:szCs w:val="22"/>
          <w:lang w:eastAsia="en-AU"/>
        </w:rPr>
      </w:pPr>
      <w:r>
        <w:rPr>
          <w:color w:val="000000"/>
          <w:sz w:val="22"/>
          <w:szCs w:val="22"/>
          <w:lang w:eastAsia="en-AU"/>
        </w:rPr>
        <w:t>A</w:t>
      </w:r>
      <w:r w:rsidRPr="00011398">
        <w:rPr>
          <w:color w:val="000000"/>
          <w:sz w:val="22"/>
          <w:szCs w:val="22"/>
          <w:lang w:eastAsia="en-AU"/>
        </w:rPr>
        <w:t>n assessment of how life</w:t>
      </w:r>
      <w:r>
        <w:rPr>
          <w:color w:val="000000"/>
          <w:sz w:val="22"/>
          <w:szCs w:val="22"/>
          <w:lang w:eastAsia="en-AU"/>
        </w:rPr>
        <w:t>-</w:t>
      </w:r>
      <w:r w:rsidRPr="00011398">
        <w:rPr>
          <w:color w:val="000000"/>
          <w:sz w:val="22"/>
          <w:szCs w:val="22"/>
          <w:lang w:eastAsia="en-AU"/>
        </w:rPr>
        <w:t xml:space="preserve">history parameters </w:t>
      </w:r>
      <w:r w:rsidRPr="4D1BBAA5">
        <w:rPr>
          <w:color w:val="000000"/>
          <w:sz w:val="22"/>
          <w:szCs w:val="22"/>
          <w:lang w:eastAsia="en-AU"/>
        </w:rPr>
        <w:t xml:space="preserve">for Golden Perch </w:t>
      </w:r>
      <w:r>
        <w:rPr>
          <w:color w:val="000000"/>
          <w:sz w:val="22"/>
          <w:szCs w:val="22"/>
          <w:lang w:eastAsia="en-AU"/>
        </w:rPr>
        <w:t xml:space="preserve">and </w:t>
      </w:r>
      <w:r w:rsidRPr="4D1BBAA5">
        <w:rPr>
          <w:color w:val="000000"/>
          <w:sz w:val="22"/>
          <w:szCs w:val="22"/>
          <w:lang w:eastAsia="en-AU"/>
        </w:rPr>
        <w:t xml:space="preserve">Murray Cod </w:t>
      </w:r>
      <w:r w:rsidRPr="00011398">
        <w:rPr>
          <w:color w:val="000000"/>
          <w:sz w:val="22"/>
          <w:szCs w:val="22"/>
          <w:lang w:eastAsia="en-AU"/>
        </w:rPr>
        <w:t xml:space="preserve">were </w:t>
      </w:r>
      <w:r>
        <w:rPr>
          <w:color w:val="000000"/>
          <w:sz w:val="22"/>
          <w:szCs w:val="22"/>
          <w:lang w:eastAsia="en-AU"/>
        </w:rPr>
        <w:t xml:space="preserve">likely to be </w:t>
      </w:r>
      <w:r w:rsidRPr="00011398">
        <w:rPr>
          <w:color w:val="000000"/>
          <w:sz w:val="22"/>
          <w:szCs w:val="22"/>
          <w:lang w:eastAsia="en-AU"/>
        </w:rPr>
        <w:t xml:space="preserve">influenced by discharge in each reach was considered </w:t>
      </w:r>
      <w:r>
        <w:rPr>
          <w:color w:val="000000"/>
          <w:sz w:val="22"/>
          <w:szCs w:val="22"/>
          <w:lang w:eastAsia="en-AU"/>
        </w:rPr>
        <w:t>for</w:t>
      </w:r>
      <w:r w:rsidRPr="4D1BBAA5">
        <w:rPr>
          <w:color w:val="000000"/>
          <w:sz w:val="22"/>
          <w:szCs w:val="22"/>
          <w:lang w:eastAsia="en-AU"/>
        </w:rPr>
        <w:t xml:space="preserve"> each population </w:t>
      </w:r>
      <w:r>
        <w:rPr>
          <w:color w:val="000000"/>
          <w:sz w:val="22"/>
          <w:szCs w:val="22"/>
          <w:lang w:eastAsia="en-AU"/>
        </w:rPr>
        <w:t>and reflected in</w:t>
      </w:r>
      <w:r w:rsidRPr="4D1BBAA5">
        <w:rPr>
          <w:color w:val="000000"/>
          <w:sz w:val="22"/>
          <w:szCs w:val="22"/>
          <w:lang w:eastAsia="en-AU"/>
        </w:rPr>
        <w:t xml:space="preserve"> a series of model rules constructed for each key life-history stage (described below and in Appendix 2). Modelled daily flows and temperature records were used to generate estimates of key life-history parameters. For Murray Cod, estimates of </w:t>
      </w:r>
      <w:r>
        <w:rPr>
          <w:color w:val="000000"/>
          <w:sz w:val="22"/>
          <w:szCs w:val="22"/>
          <w:lang w:eastAsia="en-AU"/>
        </w:rPr>
        <w:t xml:space="preserve">recruitment of 1-year-olds considered </w:t>
      </w:r>
      <w:r w:rsidRPr="4D1BBAA5">
        <w:rPr>
          <w:color w:val="000000"/>
          <w:sz w:val="22"/>
          <w:szCs w:val="22"/>
          <w:lang w:eastAsia="en-AU"/>
        </w:rPr>
        <w:t>egg, larval and fingerling survival</w:t>
      </w:r>
      <w:r>
        <w:rPr>
          <w:color w:val="000000"/>
          <w:sz w:val="22"/>
          <w:szCs w:val="22"/>
          <w:lang w:eastAsia="en-AU"/>
        </w:rPr>
        <w:t>, and</w:t>
      </w:r>
      <w:r w:rsidRPr="4D1BBAA5">
        <w:rPr>
          <w:color w:val="000000"/>
          <w:sz w:val="22"/>
          <w:szCs w:val="22"/>
          <w:lang w:eastAsia="en-AU"/>
        </w:rPr>
        <w:t xml:space="preserve"> were based on published statistical relationships</w:t>
      </w:r>
      <w:r>
        <w:rPr>
          <w:color w:val="000000"/>
          <w:sz w:val="22"/>
          <w:szCs w:val="22"/>
          <w:lang w:eastAsia="en-AU"/>
        </w:rPr>
        <w:t>,</w:t>
      </w:r>
      <w:r w:rsidRPr="4D1BBAA5">
        <w:rPr>
          <w:color w:val="000000"/>
          <w:sz w:val="22"/>
          <w:szCs w:val="22"/>
          <w:lang w:eastAsia="en-AU"/>
        </w:rPr>
        <w:t xml:space="preserve"> with flow characteristi</w:t>
      </w:r>
      <w:r>
        <w:rPr>
          <w:color w:val="000000"/>
          <w:sz w:val="22"/>
          <w:szCs w:val="22"/>
          <w:lang w:eastAsia="en-AU"/>
        </w:rPr>
        <w:t>cs generated from the Yarrawonga to Tocumwal reach of the Murray River</w:t>
      </w:r>
      <w:r w:rsidRPr="4D1BBAA5">
        <w:rPr>
          <w:color w:val="000000"/>
          <w:sz w:val="22"/>
          <w:szCs w:val="22"/>
          <w:lang w:eastAsia="en-AU"/>
        </w:rPr>
        <w:t xml:space="preserve"> (Tonkin et al. 2021). Golden Perch spawning periodicity and strength, juvenile survival, and larval and adult movement were also </w:t>
      </w:r>
      <w:r w:rsidRPr="4D1BBAA5">
        <w:rPr>
          <w:color w:val="000000"/>
          <w:sz w:val="22"/>
          <w:szCs w:val="22"/>
          <w:lang w:eastAsia="en-AU"/>
        </w:rPr>
        <w:lastRenderedPageBreak/>
        <w:t>modelled via flow</w:t>
      </w:r>
      <w:r>
        <w:rPr>
          <w:color w:val="000000"/>
          <w:sz w:val="22"/>
          <w:szCs w:val="22"/>
          <w:lang w:eastAsia="en-AU"/>
        </w:rPr>
        <w:t xml:space="preserve">–ecology </w:t>
      </w:r>
      <w:r w:rsidRPr="4D1BBAA5">
        <w:rPr>
          <w:color w:val="000000"/>
          <w:sz w:val="22"/>
          <w:szCs w:val="22"/>
          <w:lang w:eastAsia="en-AU"/>
        </w:rPr>
        <w:t xml:space="preserve">relationships for each population (Todd et al. 2005). Movement of Golden Perch was modified in specific locations where sufficient information was available (e.g. </w:t>
      </w:r>
      <w:r>
        <w:rPr>
          <w:color w:val="000000"/>
          <w:sz w:val="22"/>
          <w:szCs w:val="22"/>
          <w:lang w:eastAsia="en-AU"/>
        </w:rPr>
        <w:t xml:space="preserve">known factors, such as </w:t>
      </w:r>
      <w:r w:rsidRPr="4D1BBAA5">
        <w:rPr>
          <w:color w:val="000000"/>
          <w:sz w:val="22"/>
          <w:szCs w:val="22"/>
          <w:lang w:eastAsia="en-AU"/>
        </w:rPr>
        <w:t xml:space="preserve">ineffective fish ladders or large weirs). </w:t>
      </w:r>
      <w:r>
        <w:rPr>
          <w:color w:val="000000"/>
          <w:sz w:val="22"/>
          <w:szCs w:val="22"/>
          <w:lang w:eastAsia="en-AU"/>
        </w:rPr>
        <w:t xml:space="preserve">The </w:t>
      </w:r>
      <w:r w:rsidRPr="4D1BBAA5">
        <w:rPr>
          <w:color w:val="000000"/>
          <w:sz w:val="22"/>
          <w:szCs w:val="22"/>
          <w:lang w:eastAsia="en-AU"/>
        </w:rPr>
        <w:t xml:space="preserve">Golden Perch movement rules are defined in Appendix 2. Movement decisions at river junctions were determined </w:t>
      </w:r>
      <w:r>
        <w:rPr>
          <w:color w:val="000000"/>
          <w:sz w:val="22"/>
          <w:szCs w:val="22"/>
          <w:lang w:eastAsia="en-AU"/>
        </w:rPr>
        <w:t>from</w:t>
      </w:r>
      <w:r w:rsidRPr="4D1BBAA5">
        <w:rPr>
          <w:color w:val="000000"/>
          <w:sz w:val="22"/>
          <w:szCs w:val="22"/>
          <w:lang w:eastAsia="en-AU"/>
        </w:rPr>
        <w:t xml:space="preserve"> </w:t>
      </w:r>
      <w:r>
        <w:rPr>
          <w:color w:val="000000"/>
          <w:sz w:val="22"/>
          <w:szCs w:val="22"/>
          <w:lang w:eastAsia="en-AU"/>
        </w:rPr>
        <w:t>the</w:t>
      </w:r>
      <w:r w:rsidRPr="4D1BBAA5">
        <w:rPr>
          <w:color w:val="000000"/>
          <w:sz w:val="22"/>
          <w:szCs w:val="22"/>
          <w:lang w:eastAsia="en-AU"/>
        </w:rPr>
        <w:t xml:space="preserve"> daily ratio of bank full flows </w:t>
      </w:r>
      <w:r>
        <w:rPr>
          <w:color w:val="000000"/>
          <w:sz w:val="22"/>
          <w:szCs w:val="22"/>
          <w:lang w:eastAsia="en-AU"/>
        </w:rPr>
        <w:t>of</w:t>
      </w:r>
      <w:r w:rsidRPr="4D1BBAA5">
        <w:rPr>
          <w:color w:val="000000"/>
          <w:sz w:val="22"/>
          <w:szCs w:val="22"/>
          <w:lang w:eastAsia="en-AU"/>
        </w:rPr>
        <w:t xml:space="preserve"> </w:t>
      </w:r>
      <w:r>
        <w:rPr>
          <w:color w:val="000000"/>
          <w:sz w:val="22"/>
          <w:szCs w:val="22"/>
          <w:lang w:eastAsia="en-AU"/>
        </w:rPr>
        <w:t xml:space="preserve">the </w:t>
      </w:r>
      <w:r w:rsidRPr="4D1BBAA5">
        <w:rPr>
          <w:color w:val="000000"/>
          <w:sz w:val="22"/>
          <w:szCs w:val="22"/>
          <w:lang w:eastAsia="en-AU"/>
        </w:rPr>
        <w:t>destination reaches (Koster et al. 2021). Golden Perch larval and 1</w:t>
      </w:r>
      <w:r>
        <w:rPr>
          <w:color w:val="000000"/>
          <w:sz w:val="22"/>
          <w:szCs w:val="22"/>
          <w:lang w:eastAsia="en-AU"/>
        </w:rPr>
        <w:t>-</w:t>
      </w:r>
      <w:r w:rsidRPr="4D1BBAA5">
        <w:rPr>
          <w:color w:val="000000"/>
          <w:sz w:val="22"/>
          <w:szCs w:val="22"/>
          <w:lang w:eastAsia="en-AU"/>
        </w:rPr>
        <w:t>y</w:t>
      </w:r>
      <w:r>
        <w:rPr>
          <w:color w:val="000000"/>
          <w:sz w:val="22"/>
          <w:szCs w:val="22"/>
          <w:lang w:eastAsia="en-AU"/>
        </w:rPr>
        <w:t>ear-old-plus</w:t>
      </w:r>
      <w:r w:rsidRPr="4D1BBAA5">
        <w:rPr>
          <w:color w:val="000000"/>
          <w:sz w:val="22"/>
          <w:szCs w:val="22"/>
          <w:lang w:eastAsia="en-AU"/>
        </w:rPr>
        <w:t xml:space="preserve"> survival was also based on flow-derived estimates of basal productivity (see Appendix 2).</w:t>
      </w:r>
    </w:p>
    <w:p w14:paraId="696A29D7" w14:textId="0B7EB12A" w:rsidR="00491210" w:rsidRDefault="00EE200C" w:rsidP="7ADEDDC3">
      <w:pPr>
        <w:spacing w:before="240" w:after="240"/>
        <w:jc w:val="both"/>
        <w:rPr>
          <w:color w:val="000000"/>
          <w:sz w:val="22"/>
          <w:szCs w:val="22"/>
          <w:lang w:eastAsia="en-AU"/>
        </w:rPr>
      </w:pPr>
      <w:r w:rsidRPr="05D19AF3">
        <w:rPr>
          <w:color w:val="000000"/>
          <w:sz w:val="22"/>
          <w:szCs w:val="22"/>
          <w:lang w:eastAsia="en-AU"/>
        </w:rPr>
        <w:t>Stochastic mechanisms were used to capture both demographic and environmental processes</w:t>
      </w:r>
      <w:r>
        <w:rPr>
          <w:color w:val="000000"/>
          <w:sz w:val="22"/>
          <w:szCs w:val="22"/>
          <w:lang w:eastAsia="en-AU"/>
        </w:rPr>
        <w:t>:</w:t>
      </w:r>
      <w:r w:rsidRPr="05D19AF3">
        <w:rPr>
          <w:color w:val="000000"/>
          <w:sz w:val="22"/>
          <w:szCs w:val="22"/>
          <w:lang w:eastAsia="en-AU"/>
        </w:rPr>
        <w:t xml:space="preserve"> a binomial distribution was used to model </w:t>
      </w:r>
      <w:r>
        <w:rPr>
          <w:color w:val="000000"/>
          <w:sz w:val="22"/>
          <w:szCs w:val="22"/>
          <w:lang w:eastAsia="en-AU"/>
        </w:rPr>
        <w:t xml:space="preserve">the </w:t>
      </w:r>
      <w:r w:rsidRPr="05D19AF3">
        <w:rPr>
          <w:color w:val="000000"/>
          <w:sz w:val="22"/>
          <w:szCs w:val="22"/>
          <w:lang w:eastAsia="en-AU"/>
        </w:rPr>
        <w:t xml:space="preserve">survival of </w:t>
      </w:r>
      <w:r>
        <w:rPr>
          <w:color w:val="000000"/>
          <w:sz w:val="22"/>
          <w:szCs w:val="22"/>
          <w:lang w:eastAsia="en-AU"/>
        </w:rPr>
        <w:t>juveniles</w:t>
      </w:r>
      <w:r w:rsidRPr="05D19AF3">
        <w:rPr>
          <w:color w:val="000000"/>
          <w:sz w:val="22"/>
          <w:szCs w:val="22"/>
          <w:lang w:eastAsia="en-AU"/>
        </w:rPr>
        <w:t xml:space="preserve"> and adults between discrete time</w:t>
      </w:r>
      <w:r>
        <w:rPr>
          <w:color w:val="000000"/>
          <w:sz w:val="22"/>
          <w:szCs w:val="22"/>
          <w:lang w:eastAsia="en-AU"/>
        </w:rPr>
        <w:t xml:space="preserve"> </w:t>
      </w:r>
      <w:r w:rsidRPr="05D19AF3">
        <w:rPr>
          <w:color w:val="000000"/>
          <w:sz w:val="22"/>
          <w:szCs w:val="22"/>
          <w:lang w:eastAsia="en-AU"/>
        </w:rPr>
        <w:t>steps (Todd et al. 2020), and a Poisson distribution was used to model recruitment of 1-year-old</w:t>
      </w:r>
      <w:r>
        <w:rPr>
          <w:color w:val="000000"/>
          <w:sz w:val="22"/>
          <w:szCs w:val="22"/>
          <w:lang w:eastAsia="en-AU"/>
        </w:rPr>
        <w:t>s</w:t>
      </w:r>
      <w:r w:rsidRPr="05D19AF3">
        <w:rPr>
          <w:color w:val="000000"/>
          <w:sz w:val="22"/>
          <w:szCs w:val="22"/>
          <w:lang w:eastAsia="en-AU"/>
        </w:rPr>
        <w:t xml:space="preserve"> (Murray Cod only: see Todd et al. 2020). Environmental stochasticity was incorporated by randomly varying survival and fecundity in each year (Todd et al. 2020)</w:t>
      </w:r>
      <w:r>
        <w:rPr>
          <w:color w:val="000000"/>
          <w:sz w:val="22"/>
          <w:szCs w:val="22"/>
          <w:lang w:eastAsia="en-AU"/>
        </w:rPr>
        <w:t xml:space="preserve">; </w:t>
      </w:r>
      <w:r w:rsidRPr="05D19AF3">
        <w:rPr>
          <w:color w:val="000000"/>
          <w:sz w:val="22"/>
          <w:szCs w:val="22"/>
          <w:lang w:eastAsia="en-AU"/>
        </w:rPr>
        <w:t>survival rates were drawn from normal distributions</w:t>
      </w:r>
      <w:r>
        <w:rPr>
          <w:color w:val="000000"/>
          <w:sz w:val="22"/>
          <w:szCs w:val="22"/>
          <w:lang w:eastAsia="en-AU"/>
        </w:rPr>
        <w:t>,</w:t>
      </w:r>
      <w:r w:rsidRPr="05D19AF3">
        <w:rPr>
          <w:color w:val="000000"/>
          <w:sz w:val="22"/>
          <w:szCs w:val="22"/>
          <w:lang w:eastAsia="en-AU"/>
        </w:rPr>
        <w:t xml:space="preserve"> and age-specific fecundity was calculated by applying age</w:t>
      </w:r>
      <w:r>
        <w:rPr>
          <w:color w:val="000000"/>
          <w:sz w:val="22"/>
          <w:szCs w:val="22"/>
          <w:lang w:eastAsia="en-AU"/>
        </w:rPr>
        <w:t>–</w:t>
      </w:r>
      <w:r w:rsidRPr="05D19AF3">
        <w:rPr>
          <w:color w:val="000000"/>
          <w:sz w:val="22"/>
          <w:szCs w:val="22"/>
          <w:lang w:eastAsia="en-AU"/>
        </w:rPr>
        <w:t xml:space="preserve">length information to hatchery data (Rowland 2005). </w:t>
      </w:r>
      <w:r>
        <w:rPr>
          <w:color w:val="000000"/>
          <w:sz w:val="22"/>
          <w:szCs w:val="22"/>
          <w:lang w:eastAsia="en-AU"/>
        </w:rPr>
        <w:t>For both species, a</w:t>
      </w:r>
      <w:r w:rsidRPr="05D19AF3">
        <w:rPr>
          <w:color w:val="000000"/>
          <w:sz w:val="22"/>
          <w:szCs w:val="22"/>
          <w:lang w:eastAsia="en-AU"/>
        </w:rPr>
        <w:t xml:space="preserve"> density</w:t>
      </w:r>
      <w:r>
        <w:rPr>
          <w:color w:val="000000"/>
          <w:sz w:val="22"/>
          <w:szCs w:val="22"/>
          <w:lang w:eastAsia="en-AU"/>
        </w:rPr>
        <w:t>-</w:t>
      </w:r>
      <w:r w:rsidRPr="05D19AF3">
        <w:rPr>
          <w:color w:val="000000"/>
          <w:sz w:val="22"/>
          <w:szCs w:val="22"/>
          <w:lang w:eastAsia="en-AU"/>
        </w:rPr>
        <w:t xml:space="preserve">dependent mechanism was used to scale the upper population limits in each population. The strength of </w:t>
      </w:r>
      <w:r>
        <w:rPr>
          <w:color w:val="000000"/>
          <w:sz w:val="22"/>
          <w:szCs w:val="22"/>
          <w:lang w:eastAsia="en-AU"/>
        </w:rPr>
        <w:t xml:space="preserve">the </w:t>
      </w:r>
      <w:r w:rsidRPr="05D19AF3">
        <w:rPr>
          <w:color w:val="000000"/>
          <w:sz w:val="22"/>
          <w:szCs w:val="22"/>
          <w:lang w:eastAsia="en-AU"/>
        </w:rPr>
        <w:t>density dependence in each reach was determined by catch</w:t>
      </w:r>
      <w:r>
        <w:rPr>
          <w:color w:val="000000"/>
          <w:sz w:val="22"/>
          <w:szCs w:val="22"/>
          <w:lang w:eastAsia="en-AU"/>
        </w:rPr>
        <w:t>–</w:t>
      </w:r>
      <w:r w:rsidRPr="05D19AF3">
        <w:rPr>
          <w:color w:val="000000"/>
          <w:sz w:val="22"/>
          <w:szCs w:val="22"/>
          <w:lang w:eastAsia="en-AU"/>
        </w:rPr>
        <w:t>mark</w:t>
      </w:r>
      <w:r>
        <w:rPr>
          <w:color w:val="000000"/>
          <w:sz w:val="22"/>
          <w:szCs w:val="22"/>
          <w:lang w:eastAsia="en-AU"/>
        </w:rPr>
        <w:t>–</w:t>
      </w:r>
      <w:r w:rsidRPr="05D19AF3">
        <w:rPr>
          <w:color w:val="000000"/>
          <w:sz w:val="22"/>
          <w:szCs w:val="22"/>
          <w:lang w:eastAsia="en-AU"/>
        </w:rPr>
        <w:t>recapture data from the Murray River at Yarrawonga (Lyon et al. 2019) and via expert opinion from within the working group.</w:t>
      </w:r>
      <w:bookmarkStart w:id="94" w:name="_Toc90388560"/>
    </w:p>
    <w:p w14:paraId="422D373C" w14:textId="77777777" w:rsidR="00491210" w:rsidRPr="007C54A1" w:rsidRDefault="00EE200C" w:rsidP="00753F5C">
      <w:pPr>
        <w:pStyle w:val="Heading2-Numbered"/>
      </w:pPr>
      <w:bookmarkStart w:id="95" w:name="_Toc116994891"/>
      <w:r>
        <w:t>Data</w:t>
      </w:r>
      <w:bookmarkEnd w:id="94"/>
      <w:bookmarkEnd w:id="95"/>
    </w:p>
    <w:p w14:paraId="5BACCF44" w14:textId="673867F5" w:rsidR="00491210" w:rsidRPr="00B51C35" w:rsidRDefault="00EE200C" w:rsidP="002B4F6E">
      <w:pPr>
        <w:keepNext/>
        <w:keepLines/>
        <w:spacing w:before="240" w:after="240"/>
        <w:jc w:val="both"/>
        <w:rPr>
          <w:rFonts w:ascii="Times New Roman" w:hAnsi="Times New Roman" w:cs="Times New Roman"/>
          <w:b/>
          <w:bCs/>
          <w:sz w:val="24"/>
          <w:lang w:eastAsia="en-AU"/>
        </w:rPr>
      </w:pPr>
      <w:r w:rsidRPr="00B51C35">
        <w:rPr>
          <w:b/>
          <w:bCs/>
          <w:color w:val="000000"/>
          <w:sz w:val="22"/>
          <w:szCs w:val="22"/>
          <w:lang w:eastAsia="en-AU"/>
        </w:rPr>
        <w:t>Hydrology</w:t>
      </w:r>
      <w:r>
        <w:rPr>
          <w:b/>
          <w:bCs/>
          <w:color w:val="000000"/>
          <w:sz w:val="22"/>
          <w:szCs w:val="22"/>
          <w:lang w:eastAsia="en-AU"/>
        </w:rPr>
        <w:t>, t</w:t>
      </w:r>
      <w:r w:rsidRPr="00B51C35">
        <w:rPr>
          <w:b/>
          <w:bCs/>
          <w:color w:val="000000"/>
          <w:sz w:val="22"/>
          <w:szCs w:val="22"/>
          <w:lang w:eastAsia="en-AU"/>
        </w:rPr>
        <w:t xml:space="preserve">emperature and </w:t>
      </w:r>
      <w:r>
        <w:rPr>
          <w:b/>
          <w:bCs/>
          <w:color w:val="000000"/>
          <w:sz w:val="22"/>
          <w:szCs w:val="22"/>
          <w:lang w:eastAsia="en-AU"/>
        </w:rPr>
        <w:t>g</w:t>
      </w:r>
      <w:r w:rsidRPr="00B51C35">
        <w:rPr>
          <w:b/>
          <w:bCs/>
          <w:color w:val="000000"/>
          <w:sz w:val="22"/>
          <w:szCs w:val="22"/>
          <w:lang w:eastAsia="en-AU"/>
        </w:rPr>
        <w:t>auges</w:t>
      </w:r>
    </w:p>
    <w:p w14:paraId="6B402BB6" w14:textId="592CF587" w:rsidR="00491210" w:rsidRDefault="00EE200C" w:rsidP="007F18D3">
      <w:pPr>
        <w:pStyle w:val="PopModbodytext"/>
      </w:pPr>
      <w:r w:rsidRPr="007C54A1">
        <w:t>Daily flow</w:t>
      </w:r>
      <w:r>
        <w:t xml:space="preserve"> (hydrology)</w:t>
      </w:r>
      <w:r w:rsidRPr="007C54A1">
        <w:t xml:space="preserve"> and temperature data </w:t>
      </w:r>
      <w:r>
        <w:t xml:space="preserve">were obtained </w:t>
      </w:r>
      <w:r w:rsidRPr="007C54A1">
        <w:t>from the most appropriate gauges</w:t>
      </w:r>
      <w:r>
        <w:t xml:space="preserve"> for each population</w:t>
      </w:r>
      <w:r w:rsidRPr="007C54A1">
        <w:t xml:space="preserve">; </w:t>
      </w:r>
      <w:r w:rsidRPr="00F94CB2">
        <w:t xml:space="preserve">see </w:t>
      </w:r>
      <w:r>
        <w:fldChar w:fldCharType="begin"/>
      </w:r>
      <w:r>
        <w:instrText xml:space="preserve"> REF _Ref110378162 \h  \* MERGEFORMAT </w:instrText>
      </w:r>
      <w:r>
        <w:fldChar w:fldCharType="separate"/>
      </w:r>
      <w:r w:rsidR="005B672A">
        <w:t xml:space="preserve">Table </w:t>
      </w:r>
      <w:r w:rsidR="005B672A">
        <w:rPr>
          <w:noProof/>
        </w:rPr>
        <w:t>2.</w:t>
      </w:r>
      <w:r w:rsidR="005B672A">
        <w:t xml:space="preserve"> Metapopulation sub-units for Golden Perch represented for the modelling reported in this document.</w:t>
      </w:r>
      <w:r>
        <w:fldChar w:fldCharType="end"/>
      </w:r>
      <w:r>
        <w:t xml:space="preserve"> </w:t>
      </w:r>
      <w:r w:rsidRPr="00F94CB2">
        <w:t xml:space="preserve">and </w:t>
      </w:r>
      <w:r>
        <w:fldChar w:fldCharType="begin"/>
      </w:r>
      <w:r>
        <w:instrText xml:space="preserve"> REF _Ref116984060 \h </w:instrText>
      </w:r>
      <w:r>
        <w:fldChar w:fldCharType="separate"/>
      </w:r>
      <w:r w:rsidR="005B672A">
        <w:t xml:space="preserve">Table </w:t>
      </w:r>
      <w:r w:rsidR="005B672A">
        <w:rPr>
          <w:noProof/>
        </w:rPr>
        <w:t>3</w:t>
      </w:r>
      <w:r>
        <w:fldChar w:fldCharType="end"/>
      </w:r>
      <w:r w:rsidRPr="007C54A1">
        <w:t xml:space="preserve"> </w:t>
      </w:r>
      <w:r>
        <w:t>(population units for Murray Cod),</w:t>
      </w:r>
      <w:r w:rsidRPr="00EE3109">
        <w:rPr>
          <w:shd w:val="clear" w:color="auto" w:fill="FFFFFF" w:themeFill="background1"/>
        </w:rPr>
        <w:t xml:space="preserve"> </w:t>
      </w:r>
      <w:r>
        <w:rPr>
          <w:shd w:val="clear" w:color="auto" w:fill="FFFFFF" w:themeFill="background1"/>
        </w:rPr>
        <w:t xml:space="preserve">data </w:t>
      </w:r>
      <w:r w:rsidRPr="00EE3109">
        <w:rPr>
          <w:shd w:val="clear" w:color="auto" w:fill="FFFFFF" w:themeFill="background1"/>
        </w:rPr>
        <w:t>provided by NSW DPE. To generate data inputs, r</w:t>
      </w:r>
      <w:r w:rsidRPr="4D1BBAA5">
        <w:t xml:space="preserve">iver system hydrologic modelling was used to obtain a realistic indication of the potential environmental flow outcomes from the RRCP </w:t>
      </w:r>
      <w:r>
        <w:t xml:space="preserve">flow scenarios </w:t>
      </w:r>
      <w:r w:rsidRPr="4D1BBAA5">
        <w:t>over the long</w:t>
      </w:r>
      <w:r>
        <w:t xml:space="preserve"> </w:t>
      </w:r>
      <w:r w:rsidRPr="4D1BBAA5">
        <w:t>term under the varying climate conditions experienced in the</w:t>
      </w:r>
      <w:r>
        <w:t xml:space="preserve"> MDB. </w:t>
      </w:r>
      <w:r w:rsidRPr="4D1BBAA5">
        <w:t>The models used for this work represent current system operations, current environmental water recovery, and historical climate over the period 1 July 1895 to 30 June 2019 (124</w:t>
      </w:r>
      <w:r>
        <w:t> </w:t>
      </w:r>
      <w:r w:rsidRPr="4D1BBAA5">
        <w:t>years). The models include the representation of a range of environmental flows</w:t>
      </w:r>
      <w:r>
        <w:t>, including</w:t>
      </w:r>
      <w:r w:rsidRPr="4D1BBAA5">
        <w:t xml:space="preserve"> baseflows</w:t>
      </w:r>
      <w:r>
        <w:t>,</w:t>
      </w:r>
      <w:r w:rsidRPr="4D1BBAA5">
        <w:t xml:space="preserve"> small freshes</w:t>
      </w:r>
      <w:r>
        <w:t>,</w:t>
      </w:r>
      <w:r w:rsidRPr="4D1BBAA5">
        <w:t xml:space="preserve"> large freshes and small overbank events, up to the flow limits modelled</w:t>
      </w:r>
      <w:r>
        <w:t xml:space="preserve">. </w:t>
      </w:r>
      <w:r w:rsidRPr="4D1BBAA5">
        <w:t>The environmental flows represented in the models reflect the environmental water requirements described in the Murray</w:t>
      </w:r>
      <w:r>
        <w:t xml:space="preserve"> – </w:t>
      </w:r>
      <w:r w:rsidRPr="4D1BBAA5">
        <w:t>Lower</w:t>
      </w:r>
      <w:r>
        <w:t xml:space="preserve"> </w:t>
      </w:r>
      <w:r w:rsidRPr="4D1BBAA5">
        <w:t xml:space="preserve">Darling </w:t>
      </w:r>
      <w:r>
        <w:t xml:space="preserve">(DPIE 2020a) </w:t>
      </w:r>
      <w:r w:rsidRPr="4D1BBAA5">
        <w:t>and Murrumbidgee Long</w:t>
      </w:r>
      <w:r>
        <w:t>-</w:t>
      </w:r>
      <w:r w:rsidRPr="4D1BBAA5">
        <w:t>Term Water Plans</w:t>
      </w:r>
      <w:r>
        <w:t xml:space="preserve"> (DPIE 2020b). </w:t>
      </w:r>
      <w:r w:rsidRPr="4D1BBAA5">
        <w:t xml:space="preserve">The Murray modelling was a collaboration between </w:t>
      </w:r>
      <w:r>
        <w:t>the MDBA</w:t>
      </w:r>
      <w:r w:rsidRPr="4D1BBAA5">
        <w:t xml:space="preserve"> and NSW DPE, and the Murrumbidgee modelling was undertaken by NSW DPE. The Murray and Murrumbidgee flow scenarios were integrated, as recommended by NSW </w:t>
      </w:r>
      <w:r>
        <w:t>DPE</w:t>
      </w:r>
      <w:r w:rsidRPr="4D1BBAA5">
        <w:t>,</w:t>
      </w:r>
      <w:r>
        <w:t xml:space="preserve"> and</w:t>
      </w:r>
      <w:r w:rsidRPr="4D1BBAA5">
        <w:t xml:space="preserve"> are summarised as Base case</w:t>
      </w:r>
      <w:r>
        <w:t xml:space="preserve"> and Options 1–</w:t>
      </w:r>
      <w:r w:rsidRPr="4D1BBAA5">
        <w:t>4 in Table 4 below.</w:t>
      </w:r>
    </w:p>
    <w:p w14:paraId="28D4106C" w14:textId="731F0369" w:rsidR="00491210" w:rsidRDefault="00EE200C" w:rsidP="004D658B">
      <w:pPr>
        <w:pStyle w:val="PopModbodytext"/>
      </w:pPr>
      <w:r>
        <w:rPr>
          <w:shd w:val="clear" w:color="auto" w:fill="FFFFFF" w:themeFill="background1"/>
        </w:rPr>
        <w:t>Modelled flow and temperature data were provided by NSW DPE and these d</w:t>
      </w:r>
      <w:r w:rsidRPr="00EE3109">
        <w:rPr>
          <w:shd w:val="clear" w:color="auto" w:fill="FFFFFF" w:themeFill="background1"/>
        </w:rPr>
        <w:t xml:space="preserve">ata were analysed within the framework of the model to determine spawning conditions, </w:t>
      </w:r>
      <w:r>
        <w:rPr>
          <w:shd w:val="clear" w:color="auto" w:fill="FFFFFF" w:themeFill="background1"/>
        </w:rPr>
        <w:t>and</w:t>
      </w:r>
      <w:r w:rsidRPr="00EE3109">
        <w:rPr>
          <w:shd w:val="clear" w:color="auto" w:fill="FFFFFF" w:themeFill="background1"/>
        </w:rPr>
        <w:t xml:space="preserve"> the subsequent survival of the resultant eggs, larvae and future life stages. Daily flow </w:t>
      </w:r>
      <w:r>
        <w:rPr>
          <w:shd w:val="clear" w:color="auto" w:fill="FFFFFF" w:themeFill="background1"/>
        </w:rPr>
        <w:t>at</w:t>
      </w:r>
      <w:r w:rsidRPr="00EE3109">
        <w:rPr>
          <w:shd w:val="clear" w:color="auto" w:fill="FFFFFF" w:themeFill="background1"/>
        </w:rPr>
        <w:t xml:space="preserve"> relevant gauges were also used to assess movement between </w:t>
      </w:r>
      <w:r>
        <w:rPr>
          <w:shd w:val="clear" w:color="auto" w:fill="FFFFFF" w:themeFill="background1"/>
        </w:rPr>
        <w:t>G</w:t>
      </w:r>
      <w:r w:rsidRPr="00EE3109">
        <w:rPr>
          <w:shd w:val="clear" w:color="auto" w:fill="FFFFFF" w:themeFill="background1"/>
        </w:rPr>
        <w:t xml:space="preserve">olden </w:t>
      </w:r>
      <w:r>
        <w:rPr>
          <w:shd w:val="clear" w:color="auto" w:fill="FFFFFF" w:themeFill="background1"/>
        </w:rPr>
        <w:t>P</w:t>
      </w:r>
      <w:r w:rsidRPr="00EE3109">
        <w:rPr>
          <w:shd w:val="clear" w:color="auto" w:fill="FFFFFF" w:themeFill="background1"/>
        </w:rPr>
        <w:t>erch populations at river junctions.</w:t>
      </w:r>
      <w:r w:rsidRPr="007C54A1">
        <w:t xml:space="preserve"> It is important to note that the historic gauged data was modelled between </w:t>
      </w:r>
      <w:r w:rsidRPr="00EE3109">
        <w:t>1896 and 2019</w:t>
      </w:r>
      <w:r>
        <w:t>,</w:t>
      </w:r>
      <w:r w:rsidRPr="00EE3109">
        <w:t xml:space="preserve"> but that </w:t>
      </w:r>
      <w:r>
        <w:t xml:space="preserve">the </w:t>
      </w:r>
      <w:r w:rsidRPr="00EE3109">
        <w:t>data series assumes current regulation and extraction rates</w:t>
      </w:r>
      <w:r>
        <w:t xml:space="preserve"> throughout the 124-year modelled period</w:t>
      </w:r>
      <w:r w:rsidRPr="00EE3109">
        <w:t>.</w:t>
      </w:r>
      <w:r>
        <w:t xml:space="preserve"> </w:t>
      </w:r>
      <w:r w:rsidRPr="00EE3109">
        <w:t>In future iterations of the present report</w:t>
      </w:r>
      <w:r>
        <w:t>,</w:t>
      </w:r>
      <w:r w:rsidRPr="00EE3109">
        <w:t xml:space="preserve"> additional scenarios for </w:t>
      </w:r>
      <w:r>
        <w:t>‘without development</w:t>
      </w:r>
      <w:r w:rsidRPr="00EE3109">
        <w:t xml:space="preserve"> </w:t>
      </w:r>
      <w:r>
        <w:t>(</w:t>
      </w:r>
      <w:r w:rsidRPr="00EE3109">
        <w:t>natural</w:t>
      </w:r>
      <w:r>
        <w:t>)’</w:t>
      </w:r>
      <w:r w:rsidRPr="00EE3109">
        <w:t xml:space="preserve"> and potentially </w:t>
      </w:r>
      <w:r>
        <w:t>‘</w:t>
      </w:r>
      <w:r w:rsidRPr="00EE3109">
        <w:t>climate change</w:t>
      </w:r>
      <w:r>
        <w:t>’</w:t>
      </w:r>
      <w:r w:rsidRPr="00EE3109">
        <w:t xml:space="preserve"> may be possible where hydrological data become available.</w:t>
      </w:r>
      <w:bookmarkStart w:id="96" w:name="_Ref105678317"/>
    </w:p>
    <w:p w14:paraId="0EDD139D" w14:textId="56D475DA" w:rsidR="00491210" w:rsidRDefault="00EE200C" w:rsidP="4D1BBAA5">
      <w:pPr>
        <w:pStyle w:val="Caption-Table"/>
      </w:pPr>
      <w:bookmarkStart w:id="97" w:name="_Ref110379793"/>
      <w:bookmarkStart w:id="98" w:name="_Ref110378162"/>
      <w:bookmarkStart w:id="99" w:name="_Toc116994962"/>
      <w:r>
        <w:t xml:space="preserve">Table </w:t>
      </w:r>
      <w:r>
        <w:fldChar w:fldCharType="begin"/>
      </w:r>
      <w:r>
        <w:instrText>SEQ Table \* ARABIC</w:instrText>
      </w:r>
      <w:r>
        <w:fldChar w:fldCharType="separate"/>
      </w:r>
      <w:r w:rsidR="005B672A">
        <w:rPr>
          <w:noProof/>
        </w:rPr>
        <w:t>2</w:t>
      </w:r>
      <w:r>
        <w:fldChar w:fldCharType="end"/>
      </w:r>
      <w:bookmarkEnd w:id="96"/>
      <w:bookmarkEnd w:id="97"/>
      <w:r>
        <w:t>. Metapopulation sub-units for Golden Perch represented for the modelling reported in this document.</w:t>
      </w:r>
      <w:bookmarkEnd w:id="98"/>
      <w:bookmarkEnd w:id="99"/>
    </w:p>
    <w:tbl>
      <w:tblPr>
        <w:tblStyle w:val="TableGrid"/>
        <w:tblW w:w="0" w:type="auto"/>
        <w:tblBorders>
          <w:top w:val="single" w:sz="4" w:space="0" w:color="00B2A9" w:themeColor="accent1"/>
          <w:left w:val="none" w:sz="0" w:space="0" w:color="auto"/>
          <w:bottom w:val="single" w:sz="4" w:space="0" w:color="00B2A9" w:themeColor="accent1"/>
          <w:right w:val="none" w:sz="0" w:space="0" w:color="auto"/>
          <w:insideH w:val="single" w:sz="4" w:space="0" w:color="00B2A9" w:themeColor="accent1"/>
          <w:insideV w:val="none" w:sz="0" w:space="0" w:color="auto"/>
        </w:tblBorders>
        <w:tblLook w:val="04A0" w:firstRow="1" w:lastRow="0" w:firstColumn="1" w:lastColumn="0" w:noHBand="0" w:noVBand="1"/>
      </w:tblPr>
      <w:tblGrid>
        <w:gridCol w:w="3227"/>
        <w:gridCol w:w="3685"/>
        <w:gridCol w:w="2694"/>
      </w:tblGrid>
      <w:tr w:rsidR="4D1BBAA5" w:rsidRPr="000A1CDB" w14:paraId="35949257" w14:textId="77777777" w:rsidTr="4D1BBAA5">
        <w:tc>
          <w:tcPr>
            <w:tcW w:w="3227" w:type="dxa"/>
            <w:shd w:val="clear" w:color="auto" w:fill="00B2A9" w:themeFill="accent1"/>
          </w:tcPr>
          <w:p w14:paraId="412DFDA2" w14:textId="77777777" w:rsidR="00491210" w:rsidRPr="004D658B" w:rsidRDefault="00EE200C" w:rsidP="4D1BBAA5">
            <w:pPr>
              <w:pStyle w:val="Tableheadingtext"/>
            </w:pPr>
            <w:r w:rsidRPr="004D658B">
              <w:t>River/reach</w:t>
            </w:r>
          </w:p>
        </w:tc>
        <w:tc>
          <w:tcPr>
            <w:tcW w:w="3685" w:type="dxa"/>
            <w:shd w:val="clear" w:color="auto" w:fill="00B2A9" w:themeFill="accent1"/>
          </w:tcPr>
          <w:p w14:paraId="271B7C11" w14:textId="77777777" w:rsidR="00491210" w:rsidRPr="004D658B" w:rsidRDefault="00EE200C" w:rsidP="4D1BBAA5">
            <w:pPr>
              <w:pStyle w:val="Tableheadingtext"/>
            </w:pPr>
            <w:r w:rsidRPr="004D658B">
              <w:t>Spatial boundary</w:t>
            </w:r>
          </w:p>
        </w:tc>
        <w:tc>
          <w:tcPr>
            <w:tcW w:w="2694" w:type="dxa"/>
            <w:shd w:val="clear" w:color="auto" w:fill="00B2A9" w:themeFill="accent1"/>
          </w:tcPr>
          <w:p w14:paraId="065BB472" w14:textId="77777777" w:rsidR="00491210" w:rsidRPr="004D658B" w:rsidRDefault="00EE200C" w:rsidP="4D1BBAA5">
            <w:pPr>
              <w:pStyle w:val="Tableheadingtext"/>
            </w:pPr>
            <w:r w:rsidRPr="004D658B">
              <w:t>Indicator gauge</w:t>
            </w:r>
          </w:p>
        </w:tc>
      </w:tr>
      <w:tr w:rsidR="4D1BBAA5" w14:paraId="2E418443" w14:textId="77777777" w:rsidTr="4D1BBAA5">
        <w:tc>
          <w:tcPr>
            <w:tcW w:w="3227" w:type="dxa"/>
          </w:tcPr>
          <w:p w14:paraId="31B81E5B" w14:textId="64141F55" w:rsidR="00491210" w:rsidRDefault="00EE200C" w:rsidP="4D1BBAA5">
            <w:pPr>
              <w:jc w:val="both"/>
            </w:pPr>
            <w:r>
              <w:t xml:space="preserve">Lower Murray below Wentworth </w:t>
            </w:r>
          </w:p>
        </w:tc>
        <w:tc>
          <w:tcPr>
            <w:tcW w:w="3685" w:type="dxa"/>
          </w:tcPr>
          <w:p w14:paraId="75E5C9D4" w14:textId="77777777" w:rsidR="00491210" w:rsidRDefault="00EE200C">
            <w:r>
              <w:t>Murray mouth to Wentworth</w:t>
            </w:r>
          </w:p>
        </w:tc>
        <w:tc>
          <w:tcPr>
            <w:tcW w:w="2694" w:type="dxa"/>
          </w:tcPr>
          <w:p w14:paraId="554EE05B" w14:textId="3F22202E" w:rsidR="00491210" w:rsidRDefault="00EE200C" w:rsidP="4D1BBAA5">
            <w:pPr>
              <w:jc w:val="both"/>
            </w:pPr>
            <w:r>
              <w:t>Lock 9 downstream</w:t>
            </w:r>
          </w:p>
        </w:tc>
      </w:tr>
      <w:tr w:rsidR="4D1BBAA5" w14:paraId="02AE567A" w14:textId="77777777" w:rsidTr="4D1BBAA5">
        <w:tc>
          <w:tcPr>
            <w:tcW w:w="3227" w:type="dxa"/>
          </w:tcPr>
          <w:p w14:paraId="2DDB1082" w14:textId="53B707DB" w:rsidR="00491210" w:rsidRDefault="00EE200C" w:rsidP="4D1BBAA5">
            <w:pPr>
              <w:jc w:val="both"/>
            </w:pPr>
            <w:r>
              <w:t>Torrumbarry to Wentworth</w:t>
            </w:r>
          </w:p>
        </w:tc>
        <w:tc>
          <w:tcPr>
            <w:tcW w:w="3685" w:type="dxa"/>
          </w:tcPr>
          <w:p w14:paraId="6F78B077" w14:textId="20765E35" w:rsidR="00491210" w:rsidRDefault="00EE200C">
            <w:r>
              <w:t>Wentworth to Torrumbarry Weir (includes lower Wakool River)</w:t>
            </w:r>
          </w:p>
        </w:tc>
        <w:tc>
          <w:tcPr>
            <w:tcW w:w="2694" w:type="dxa"/>
          </w:tcPr>
          <w:p w14:paraId="0E41EF91" w14:textId="77777777" w:rsidR="00491210" w:rsidRDefault="00EE200C" w:rsidP="4D1BBAA5">
            <w:pPr>
              <w:jc w:val="both"/>
            </w:pPr>
            <w:r>
              <w:t>Torrumbarry</w:t>
            </w:r>
          </w:p>
        </w:tc>
      </w:tr>
      <w:tr w:rsidR="4D1BBAA5" w14:paraId="7C464916" w14:textId="77777777" w:rsidTr="4D1BBAA5">
        <w:tc>
          <w:tcPr>
            <w:tcW w:w="3227" w:type="dxa"/>
          </w:tcPr>
          <w:p w14:paraId="5F14DEC1" w14:textId="1821A3DA" w:rsidR="00491210" w:rsidRDefault="00EE200C" w:rsidP="4D1BBAA5">
            <w:pPr>
              <w:jc w:val="both"/>
            </w:pPr>
            <w:r>
              <w:t>Yarrawonga to Torrumbarry</w:t>
            </w:r>
          </w:p>
        </w:tc>
        <w:tc>
          <w:tcPr>
            <w:tcW w:w="3685" w:type="dxa"/>
          </w:tcPr>
          <w:p w14:paraId="1BF506D8" w14:textId="77777777" w:rsidR="00491210" w:rsidRDefault="00EE200C">
            <w:r>
              <w:t>Torrumbarry Weir to Yarrawonga Weir</w:t>
            </w:r>
          </w:p>
        </w:tc>
        <w:tc>
          <w:tcPr>
            <w:tcW w:w="2694" w:type="dxa"/>
          </w:tcPr>
          <w:p w14:paraId="6A4E5411" w14:textId="71132DDF" w:rsidR="00491210" w:rsidRDefault="00EE200C" w:rsidP="4D1BBAA5">
            <w:pPr>
              <w:jc w:val="both"/>
            </w:pPr>
            <w:r>
              <w:t>Yarrawonga downstream</w:t>
            </w:r>
          </w:p>
        </w:tc>
      </w:tr>
      <w:tr w:rsidR="4D1BBAA5" w14:paraId="6DA90837" w14:textId="77777777" w:rsidTr="4D1BBAA5">
        <w:tc>
          <w:tcPr>
            <w:tcW w:w="3227" w:type="dxa"/>
          </w:tcPr>
          <w:p w14:paraId="181272A9" w14:textId="1D13451D" w:rsidR="00491210" w:rsidRDefault="00EE200C" w:rsidP="4D1BBAA5">
            <w:pPr>
              <w:jc w:val="both"/>
            </w:pPr>
            <w:r>
              <w:lastRenderedPageBreak/>
              <w:t>Hume to Yarrawonga</w:t>
            </w:r>
          </w:p>
        </w:tc>
        <w:tc>
          <w:tcPr>
            <w:tcW w:w="3685" w:type="dxa"/>
          </w:tcPr>
          <w:p w14:paraId="65D7B77C" w14:textId="77777777" w:rsidR="00491210" w:rsidRDefault="00EE200C">
            <w:r>
              <w:t>Yarrawonga Weir to Hume Dam</w:t>
            </w:r>
          </w:p>
        </w:tc>
        <w:tc>
          <w:tcPr>
            <w:tcW w:w="2694" w:type="dxa"/>
          </w:tcPr>
          <w:p w14:paraId="0A7005ED" w14:textId="77777777" w:rsidR="00491210" w:rsidRDefault="00EE200C" w:rsidP="4D1BBAA5">
            <w:pPr>
              <w:jc w:val="both"/>
            </w:pPr>
            <w:r>
              <w:t>Doctors Point</w:t>
            </w:r>
          </w:p>
        </w:tc>
      </w:tr>
      <w:tr w:rsidR="4D1BBAA5" w14:paraId="4AB5B0D7" w14:textId="77777777" w:rsidTr="4D1BBAA5">
        <w:tc>
          <w:tcPr>
            <w:tcW w:w="3227" w:type="dxa"/>
          </w:tcPr>
          <w:p w14:paraId="0389BE7D" w14:textId="1C933EFA" w:rsidR="00491210" w:rsidRDefault="00EE200C" w:rsidP="4D1BBAA5">
            <w:pPr>
              <w:jc w:val="both"/>
            </w:pPr>
            <w:r>
              <w:t>Lower Darling River</w:t>
            </w:r>
          </w:p>
        </w:tc>
        <w:tc>
          <w:tcPr>
            <w:tcW w:w="3685" w:type="dxa"/>
          </w:tcPr>
          <w:p w14:paraId="57D68B27" w14:textId="31D6593B" w:rsidR="00491210" w:rsidRDefault="00EE200C">
            <w:r>
              <w:t>Menindee Lakes to Wentworth</w:t>
            </w:r>
          </w:p>
        </w:tc>
        <w:tc>
          <w:tcPr>
            <w:tcW w:w="2694" w:type="dxa"/>
          </w:tcPr>
          <w:p w14:paraId="20ABF78C" w14:textId="77777777" w:rsidR="00491210" w:rsidRDefault="00EE200C" w:rsidP="4D1BBAA5">
            <w:pPr>
              <w:jc w:val="both"/>
            </w:pPr>
            <w:r>
              <w:t>Burtundy</w:t>
            </w:r>
          </w:p>
        </w:tc>
      </w:tr>
      <w:tr w:rsidR="4D1BBAA5" w14:paraId="4F8DBF90" w14:textId="77777777" w:rsidTr="4D1BBAA5">
        <w:tc>
          <w:tcPr>
            <w:tcW w:w="3227" w:type="dxa"/>
          </w:tcPr>
          <w:p w14:paraId="0E81AC2D" w14:textId="31D7E98F" w:rsidR="00491210" w:rsidRDefault="00EE200C" w:rsidP="4D1BBAA5">
            <w:pPr>
              <w:jc w:val="both"/>
            </w:pPr>
            <w:r>
              <w:t>Edward River</w:t>
            </w:r>
          </w:p>
        </w:tc>
        <w:tc>
          <w:tcPr>
            <w:tcW w:w="3685" w:type="dxa"/>
          </w:tcPr>
          <w:p w14:paraId="02C213A3" w14:textId="77777777" w:rsidR="00491210" w:rsidRDefault="00EE200C">
            <w:r>
              <w:t>Edward River</w:t>
            </w:r>
          </w:p>
        </w:tc>
        <w:tc>
          <w:tcPr>
            <w:tcW w:w="2694" w:type="dxa"/>
          </w:tcPr>
          <w:p w14:paraId="61F66A9C" w14:textId="77777777" w:rsidR="00491210" w:rsidRDefault="00EE200C" w:rsidP="4D1BBAA5">
            <w:pPr>
              <w:jc w:val="both"/>
            </w:pPr>
            <w:r>
              <w:t>Stevens Weir</w:t>
            </w:r>
          </w:p>
        </w:tc>
      </w:tr>
      <w:tr w:rsidR="4D1BBAA5" w14:paraId="675B314A" w14:textId="77777777" w:rsidTr="4D1BBAA5">
        <w:tc>
          <w:tcPr>
            <w:tcW w:w="3227" w:type="dxa"/>
          </w:tcPr>
          <w:p w14:paraId="32E1A351" w14:textId="416D7D88" w:rsidR="00491210" w:rsidRDefault="00EE200C" w:rsidP="4D1BBAA5">
            <w:pPr>
              <w:jc w:val="both"/>
            </w:pPr>
            <w:r>
              <w:t>Hay to Balranald</w:t>
            </w:r>
          </w:p>
        </w:tc>
        <w:tc>
          <w:tcPr>
            <w:tcW w:w="3685" w:type="dxa"/>
          </w:tcPr>
          <w:p w14:paraId="491CF8DC" w14:textId="65C0D7F1" w:rsidR="00491210" w:rsidRDefault="00EE200C">
            <w:r>
              <w:t>Hay Weir to Balranald Weir</w:t>
            </w:r>
          </w:p>
        </w:tc>
        <w:tc>
          <w:tcPr>
            <w:tcW w:w="2694" w:type="dxa"/>
          </w:tcPr>
          <w:p w14:paraId="7E5BE498" w14:textId="79BB12B6" w:rsidR="00491210" w:rsidRDefault="00EE200C" w:rsidP="4D1BBAA5">
            <w:pPr>
              <w:jc w:val="both"/>
            </w:pPr>
            <w:r>
              <w:t>Hay Weir</w:t>
            </w:r>
          </w:p>
        </w:tc>
      </w:tr>
      <w:tr w:rsidR="4D1BBAA5" w14:paraId="7878741C" w14:textId="77777777" w:rsidTr="4D1BBAA5">
        <w:tc>
          <w:tcPr>
            <w:tcW w:w="3227" w:type="dxa"/>
          </w:tcPr>
          <w:p w14:paraId="4332B71B" w14:textId="6347872C" w:rsidR="00491210" w:rsidRDefault="00EE200C" w:rsidP="4D1BBAA5">
            <w:pPr>
              <w:jc w:val="both"/>
            </w:pPr>
            <w:r>
              <w:t>Gundagai to Hay Weir</w:t>
            </w:r>
          </w:p>
        </w:tc>
        <w:tc>
          <w:tcPr>
            <w:tcW w:w="3685" w:type="dxa"/>
          </w:tcPr>
          <w:p w14:paraId="2EEF6765" w14:textId="5F7EF3DD" w:rsidR="00491210" w:rsidRDefault="00EE200C">
            <w:r>
              <w:t>Gundagai to Hay Weir</w:t>
            </w:r>
          </w:p>
        </w:tc>
        <w:tc>
          <w:tcPr>
            <w:tcW w:w="2694" w:type="dxa"/>
          </w:tcPr>
          <w:p w14:paraId="3735B1EC" w14:textId="2B3C8DE7" w:rsidR="00491210" w:rsidRDefault="00EE200C" w:rsidP="4D1BBAA5">
            <w:pPr>
              <w:jc w:val="both"/>
            </w:pPr>
            <w:r>
              <w:t>Wagga Wagga</w:t>
            </w:r>
          </w:p>
        </w:tc>
      </w:tr>
    </w:tbl>
    <w:p w14:paraId="06C96045" w14:textId="6C5B8C4E" w:rsidR="00491210" w:rsidRDefault="00491210" w:rsidP="4D1BBAA5">
      <w:pPr>
        <w:pStyle w:val="Tableheadingtext"/>
      </w:pPr>
    </w:p>
    <w:p w14:paraId="54334320" w14:textId="77777777" w:rsidR="00491210" w:rsidRDefault="00EE200C">
      <w:pPr>
        <w:spacing w:after="0"/>
        <w:rPr>
          <w:b/>
          <w:bCs/>
          <w:color w:val="00B2A9" w:themeColor="accent1"/>
          <w:szCs w:val="22"/>
        </w:rPr>
      </w:pPr>
      <w:bookmarkStart w:id="100" w:name="_Ref105678319"/>
      <w:r>
        <w:br w:type="page"/>
      </w:r>
    </w:p>
    <w:p w14:paraId="2B71F2E4" w14:textId="56D8EA67" w:rsidR="00491210" w:rsidRDefault="00EE200C" w:rsidP="006B23F4">
      <w:pPr>
        <w:pStyle w:val="Caption-Table"/>
      </w:pPr>
      <w:bookmarkStart w:id="101" w:name="_Ref116984060"/>
      <w:bookmarkStart w:id="102" w:name="_Toc116994963"/>
      <w:r>
        <w:lastRenderedPageBreak/>
        <w:t xml:space="preserve">Table </w:t>
      </w:r>
      <w:r>
        <w:fldChar w:fldCharType="begin"/>
      </w:r>
      <w:r>
        <w:instrText>SEQ Table \* ARABIC</w:instrText>
      </w:r>
      <w:r>
        <w:fldChar w:fldCharType="separate"/>
      </w:r>
      <w:r w:rsidR="005B672A">
        <w:rPr>
          <w:noProof/>
        </w:rPr>
        <w:t>3</w:t>
      </w:r>
      <w:r>
        <w:fldChar w:fldCharType="end"/>
      </w:r>
      <w:bookmarkEnd w:id="100"/>
      <w:bookmarkEnd w:id="101"/>
      <w:r w:rsidRPr="004F43AA">
        <w:t>. Population units for Murray Cod represented for the modelling reported in this document.</w:t>
      </w:r>
      <w:bookmarkEnd w:id="102"/>
    </w:p>
    <w:tbl>
      <w:tblPr>
        <w:tblStyle w:val="TableGrid"/>
        <w:tblW w:w="9606" w:type="dxa"/>
        <w:tblBorders>
          <w:top w:val="single" w:sz="4" w:space="0" w:color="00B2A9" w:themeColor="accent1"/>
          <w:left w:val="none" w:sz="0" w:space="0" w:color="auto"/>
          <w:bottom w:val="single" w:sz="4" w:space="0" w:color="00B2A9" w:themeColor="accent1"/>
          <w:right w:val="none" w:sz="0" w:space="0" w:color="auto"/>
          <w:insideH w:val="single" w:sz="4" w:space="0" w:color="00B2A9" w:themeColor="accent1"/>
          <w:insideV w:val="none" w:sz="0" w:space="0" w:color="auto"/>
        </w:tblBorders>
        <w:tblLook w:val="04A0" w:firstRow="1" w:lastRow="0" w:firstColumn="1" w:lastColumn="0" w:noHBand="0" w:noVBand="1"/>
      </w:tblPr>
      <w:tblGrid>
        <w:gridCol w:w="3227"/>
        <w:gridCol w:w="3685"/>
        <w:gridCol w:w="2694"/>
      </w:tblGrid>
      <w:tr w:rsidR="00D45BFE" w:rsidRPr="000A1CDB" w14:paraId="69B3D984" w14:textId="77777777" w:rsidTr="00D45BFE">
        <w:tc>
          <w:tcPr>
            <w:tcW w:w="3227" w:type="dxa"/>
            <w:shd w:val="clear" w:color="auto" w:fill="00B2A9" w:themeFill="accent1"/>
          </w:tcPr>
          <w:p w14:paraId="291DDCB6" w14:textId="77777777" w:rsidR="00491210" w:rsidRPr="004D658B" w:rsidRDefault="00EE200C" w:rsidP="6FD66C92">
            <w:pPr>
              <w:pStyle w:val="Tableheadingtext"/>
            </w:pPr>
            <w:r w:rsidRPr="004D658B">
              <w:t>River/reach</w:t>
            </w:r>
          </w:p>
        </w:tc>
        <w:tc>
          <w:tcPr>
            <w:tcW w:w="3685" w:type="dxa"/>
            <w:shd w:val="clear" w:color="auto" w:fill="00B2A9" w:themeFill="accent1"/>
          </w:tcPr>
          <w:p w14:paraId="5432A309" w14:textId="77777777" w:rsidR="00491210" w:rsidRPr="004D658B" w:rsidRDefault="00EE200C" w:rsidP="6FD66C92">
            <w:pPr>
              <w:pStyle w:val="Tableheadingtext"/>
            </w:pPr>
            <w:r w:rsidRPr="004D658B">
              <w:t>Spatial boundary</w:t>
            </w:r>
          </w:p>
        </w:tc>
        <w:tc>
          <w:tcPr>
            <w:tcW w:w="2694" w:type="dxa"/>
            <w:shd w:val="clear" w:color="auto" w:fill="00B2A9" w:themeFill="accent1"/>
          </w:tcPr>
          <w:p w14:paraId="2DFBFEDE" w14:textId="77777777" w:rsidR="00491210" w:rsidRPr="004D658B" w:rsidRDefault="00EE200C" w:rsidP="6FD66C92">
            <w:pPr>
              <w:pStyle w:val="Tableheadingtext"/>
            </w:pPr>
            <w:r w:rsidRPr="004D658B">
              <w:t>Indicator gauge</w:t>
            </w:r>
          </w:p>
        </w:tc>
      </w:tr>
      <w:tr w:rsidR="00D45BFE" w14:paraId="3FC2B207" w14:textId="77777777" w:rsidTr="00D45BFE">
        <w:tc>
          <w:tcPr>
            <w:tcW w:w="3227" w:type="dxa"/>
          </w:tcPr>
          <w:p w14:paraId="3D760D23" w14:textId="547949CC" w:rsidR="00491210" w:rsidRDefault="00EE200C" w:rsidP="00D22D8B">
            <w:r>
              <w:t>Torrumbarry to Wentworth</w:t>
            </w:r>
          </w:p>
        </w:tc>
        <w:tc>
          <w:tcPr>
            <w:tcW w:w="3685" w:type="dxa"/>
          </w:tcPr>
          <w:p w14:paraId="1C370486" w14:textId="77777777" w:rsidR="00491210" w:rsidRDefault="00EE200C" w:rsidP="00D22D8B">
            <w:r>
              <w:t>Wentworth to Torrumbarry Weir (includes lower Wakool)</w:t>
            </w:r>
          </w:p>
        </w:tc>
        <w:tc>
          <w:tcPr>
            <w:tcW w:w="2694" w:type="dxa"/>
          </w:tcPr>
          <w:p w14:paraId="2517227E" w14:textId="77777777" w:rsidR="00491210" w:rsidRDefault="00EE200C" w:rsidP="00D22D8B">
            <w:r>
              <w:t>Torrumbarry</w:t>
            </w:r>
          </w:p>
        </w:tc>
      </w:tr>
      <w:tr w:rsidR="00D45BFE" w14:paraId="1CEF4115" w14:textId="77777777" w:rsidTr="00D45BFE">
        <w:tc>
          <w:tcPr>
            <w:tcW w:w="3227" w:type="dxa"/>
          </w:tcPr>
          <w:p w14:paraId="2E632EC3" w14:textId="7B8E4C14" w:rsidR="00491210" w:rsidRDefault="00EE200C" w:rsidP="00D22D8B">
            <w:r>
              <w:t>Yarrawonga to Torrumbarry</w:t>
            </w:r>
          </w:p>
        </w:tc>
        <w:tc>
          <w:tcPr>
            <w:tcW w:w="3685" w:type="dxa"/>
          </w:tcPr>
          <w:p w14:paraId="36DFD1B0" w14:textId="77777777" w:rsidR="00491210" w:rsidRDefault="00EE200C" w:rsidP="00D22D8B">
            <w:r>
              <w:t>Torrumbarry Weir to Yarrawonga Weir</w:t>
            </w:r>
          </w:p>
        </w:tc>
        <w:tc>
          <w:tcPr>
            <w:tcW w:w="2694" w:type="dxa"/>
          </w:tcPr>
          <w:p w14:paraId="4B49BDBB" w14:textId="2D68D2EE" w:rsidR="00491210" w:rsidRDefault="00EE200C" w:rsidP="00D22D8B">
            <w:r>
              <w:t>Yarrawonga downstream</w:t>
            </w:r>
          </w:p>
        </w:tc>
      </w:tr>
      <w:tr w:rsidR="00D45BFE" w14:paraId="1EE346AF" w14:textId="77777777" w:rsidTr="00D45BFE">
        <w:tc>
          <w:tcPr>
            <w:tcW w:w="3227" w:type="dxa"/>
          </w:tcPr>
          <w:p w14:paraId="7117C7B4" w14:textId="25F04AEE" w:rsidR="00491210" w:rsidRDefault="00EE200C" w:rsidP="00D22D8B">
            <w:r>
              <w:t>Hume to Yarrawonga</w:t>
            </w:r>
          </w:p>
        </w:tc>
        <w:tc>
          <w:tcPr>
            <w:tcW w:w="3685" w:type="dxa"/>
          </w:tcPr>
          <w:p w14:paraId="09F5D282" w14:textId="77777777" w:rsidR="00491210" w:rsidRDefault="00EE200C" w:rsidP="00D22D8B">
            <w:r>
              <w:t>Yarrawonga Weir to Hume Dam</w:t>
            </w:r>
          </w:p>
        </w:tc>
        <w:tc>
          <w:tcPr>
            <w:tcW w:w="2694" w:type="dxa"/>
          </w:tcPr>
          <w:p w14:paraId="57243589" w14:textId="77777777" w:rsidR="00491210" w:rsidRDefault="00EE200C" w:rsidP="00D22D8B">
            <w:r>
              <w:t>Doctors Point</w:t>
            </w:r>
          </w:p>
        </w:tc>
      </w:tr>
      <w:tr w:rsidR="00D45BFE" w14:paraId="1653E5A2" w14:textId="77777777" w:rsidTr="00D45BFE">
        <w:tc>
          <w:tcPr>
            <w:tcW w:w="3227" w:type="dxa"/>
          </w:tcPr>
          <w:p w14:paraId="3B7C2BDB" w14:textId="13011C8D" w:rsidR="00491210" w:rsidRDefault="00EE200C" w:rsidP="00D22D8B">
            <w:r>
              <w:t>Edward River</w:t>
            </w:r>
          </w:p>
        </w:tc>
        <w:tc>
          <w:tcPr>
            <w:tcW w:w="3685" w:type="dxa"/>
          </w:tcPr>
          <w:p w14:paraId="618F6453" w14:textId="77777777" w:rsidR="00491210" w:rsidRDefault="00EE200C" w:rsidP="00D22D8B">
            <w:r>
              <w:t>Edward River</w:t>
            </w:r>
          </w:p>
        </w:tc>
        <w:tc>
          <w:tcPr>
            <w:tcW w:w="2694" w:type="dxa"/>
          </w:tcPr>
          <w:p w14:paraId="3C860E4C" w14:textId="77777777" w:rsidR="00491210" w:rsidRDefault="00EE200C" w:rsidP="00D22D8B">
            <w:r>
              <w:t>Stevens Weir</w:t>
            </w:r>
          </w:p>
        </w:tc>
      </w:tr>
      <w:tr w:rsidR="00D45BFE" w14:paraId="30C81E54" w14:textId="77777777" w:rsidTr="00D45BFE">
        <w:tc>
          <w:tcPr>
            <w:tcW w:w="3227" w:type="dxa"/>
          </w:tcPr>
          <w:p w14:paraId="3DC32747" w14:textId="46B795D1" w:rsidR="00491210" w:rsidRDefault="00EE200C" w:rsidP="00D22D8B">
            <w:r>
              <w:t>Hay to Balranald</w:t>
            </w:r>
          </w:p>
        </w:tc>
        <w:tc>
          <w:tcPr>
            <w:tcW w:w="3685" w:type="dxa"/>
          </w:tcPr>
          <w:p w14:paraId="02C6B36D" w14:textId="77777777" w:rsidR="00491210" w:rsidRDefault="00EE200C" w:rsidP="00D22D8B">
            <w:r>
              <w:t>Hay Weir to Balranald Weir</w:t>
            </w:r>
          </w:p>
        </w:tc>
        <w:tc>
          <w:tcPr>
            <w:tcW w:w="2694" w:type="dxa"/>
          </w:tcPr>
          <w:p w14:paraId="1BDE0DE7" w14:textId="77777777" w:rsidR="00491210" w:rsidRDefault="00EE200C" w:rsidP="00D22D8B">
            <w:r>
              <w:t>Hay Weir</w:t>
            </w:r>
          </w:p>
        </w:tc>
      </w:tr>
      <w:tr w:rsidR="00D45BFE" w14:paraId="3AD84D00" w14:textId="77777777" w:rsidTr="00D45BFE">
        <w:tc>
          <w:tcPr>
            <w:tcW w:w="3227" w:type="dxa"/>
          </w:tcPr>
          <w:p w14:paraId="4AA701B2" w14:textId="45EA5E95" w:rsidR="00491210" w:rsidRDefault="00EE200C" w:rsidP="004B696C">
            <w:r>
              <w:t>Gogeldrie to Hay</w:t>
            </w:r>
          </w:p>
        </w:tc>
        <w:tc>
          <w:tcPr>
            <w:tcW w:w="3685" w:type="dxa"/>
          </w:tcPr>
          <w:p w14:paraId="03F8F8DD" w14:textId="6A044A13" w:rsidR="00491210" w:rsidRDefault="00EE200C" w:rsidP="004B696C">
            <w:r>
              <w:t>Gogeldrie Weir to Hay Weir</w:t>
            </w:r>
          </w:p>
        </w:tc>
        <w:tc>
          <w:tcPr>
            <w:tcW w:w="2694" w:type="dxa"/>
          </w:tcPr>
          <w:p w14:paraId="016FD8AE" w14:textId="77777777" w:rsidR="00491210" w:rsidRDefault="00EE200C" w:rsidP="004B696C">
            <w:r>
              <w:t>Gogeldrie Weir</w:t>
            </w:r>
          </w:p>
        </w:tc>
      </w:tr>
      <w:tr w:rsidR="00D45BFE" w14:paraId="32260E8F" w14:textId="77777777" w:rsidTr="00D45BFE">
        <w:tc>
          <w:tcPr>
            <w:tcW w:w="3227" w:type="dxa"/>
          </w:tcPr>
          <w:p w14:paraId="62B18BC1" w14:textId="5504D2A6" w:rsidR="00491210" w:rsidRDefault="00EE200C" w:rsidP="00D22D8B">
            <w:r>
              <w:t>Berembed to Gogeldrie</w:t>
            </w:r>
          </w:p>
        </w:tc>
        <w:tc>
          <w:tcPr>
            <w:tcW w:w="3685" w:type="dxa"/>
          </w:tcPr>
          <w:p w14:paraId="504B5C2E" w14:textId="6B34E506" w:rsidR="00491210" w:rsidRDefault="00EE200C" w:rsidP="00D22D8B">
            <w:r>
              <w:t>Berembed Weir to Gogeldrie Weir</w:t>
            </w:r>
          </w:p>
        </w:tc>
        <w:tc>
          <w:tcPr>
            <w:tcW w:w="2694" w:type="dxa"/>
          </w:tcPr>
          <w:p w14:paraId="761C2E38" w14:textId="2792C0D4" w:rsidR="00491210" w:rsidRDefault="00EE200C" w:rsidP="00D22D8B">
            <w:r>
              <w:t>Berembed Weir</w:t>
            </w:r>
          </w:p>
        </w:tc>
      </w:tr>
      <w:tr w:rsidR="00D45BFE" w14:paraId="4AE0D0BB" w14:textId="77777777" w:rsidTr="00D45BFE">
        <w:tc>
          <w:tcPr>
            <w:tcW w:w="3227" w:type="dxa"/>
          </w:tcPr>
          <w:p w14:paraId="6F5C491A" w14:textId="3C2736FB" w:rsidR="00491210" w:rsidRDefault="00EE200C" w:rsidP="004B696C">
            <w:r>
              <w:t>Gundagai to Berembed</w:t>
            </w:r>
          </w:p>
        </w:tc>
        <w:tc>
          <w:tcPr>
            <w:tcW w:w="3685" w:type="dxa"/>
          </w:tcPr>
          <w:p w14:paraId="426D5BD0" w14:textId="12445119" w:rsidR="00491210" w:rsidRDefault="00EE200C" w:rsidP="004B696C">
            <w:r>
              <w:t>Gundagai to Berembed Weir</w:t>
            </w:r>
          </w:p>
        </w:tc>
        <w:tc>
          <w:tcPr>
            <w:tcW w:w="2694" w:type="dxa"/>
          </w:tcPr>
          <w:p w14:paraId="78680DA8" w14:textId="1F5E1828" w:rsidR="00491210" w:rsidRDefault="00EE200C" w:rsidP="004B696C">
            <w:r>
              <w:t>Wagga Wagga</w:t>
            </w:r>
          </w:p>
        </w:tc>
      </w:tr>
      <w:tr w:rsidR="00D45BFE" w14:paraId="42821652" w14:textId="77777777" w:rsidTr="00D45BFE">
        <w:tc>
          <w:tcPr>
            <w:tcW w:w="3227" w:type="dxa"/>
          </w:tcPr>
          <w:p w14:paraId="0078EBAD" w14:textId="436E30EE" w:rsidR="00491210" w:rsidRDefault="00EE200C" w:rsidP="004B696C">
            <w:r>
              <w:t>Yanco Creek</w:t>
            </w:r>
          </w:p>
        </w:tc>
        <w:tc>
          <w:tcPr>
            <w:tcW w:w="3685" w:type="dxa"/>
          </w:tcPr>
          <w:p w14:paraId="39F6059E" w14:textId="5F034C05" w:rsidR="00491210" w:rsidRDefault="00EE200C" w:rsidP="004B696C">
            <w:r>
              <w:t>Yanco offtake to Billabong Creek</w:t>
            </w:r>
          </w:p>
        </w:tc>
        <w:tc>
          <w:tcPr>
            <w:tcW w:w="2694" w:type="dxa"/>
          </w:tcPr>
          <w:p w14:paraId="2E4259F7" w14:textId="4B5312AB" w:rsidR="00491210" w:rsidRDefault="00EE200C" w:rsidP="004B696C">
            <w:r>
              <w:t>Yanco offtake</w:t>
            </w:r>
          </w:p>
        </w:tc>
      </w:tr>
    </w:tbl>
    <w:p w14:paraId="0F7C9419" w14:textId="676A5770" w:rsidR="00491210" w:rsidRPr="007C54A1" w:rsidRDefault="00EE200C" w:rsidP="00753F5C">
      <w:pPr>
        <w:pStyle w:val="Heading2-Numbered"/>
      </w:pPr>
      <w:bookmarkStart w:id="103" w:name="_Toc90388561"/>
      <w:bookmarkStart w:id="104" w:name="_Toc116994892"/>
      <w:r>
        <w:t>Hypoxic blackwater</w:t>
      </w:r>
      <w:bookmarkEnd w:id="103"/>
      <w:bookmarkEnd w:id="104"/>
    </w:p>
    <w:p w14:paraId="4056921B" w14:textId="1DC1BA81" w:rsidR="00491210" w:rsidRDefault="00EE200C" w:rsidP="05D19AF3">
      <w:pPr>
        <w:spacing w:before="240" w:after="240"/>
        <w:jc w:val="both"/>
        <w:rPr>
          <w:color w:val="000000"/>
          <w:sz w:val="22"/>
          <w:szCs w:val="22"/>
          <w:lang w:eastAsia="en-AU"/>
        </w:rPr>
      </w:pPr>
      <w:r w:rsidRPr="3FC79A6E">
        <w:rPr>
          <w:color w:val="000000"/>
          <w:sz w:val="22"/>
          <w:szCs w:val="22"/>
          <w:lang w:eastAsia="en-AU"/>
        </w:rPr>
        <w:t xml:space="preserve">Hypoxic blackwater </w:t>
      </w:r>
      <w:r>
        <w:rPr>
          <w:color w:val="000000"/>
          <w:sz w:val="22"/>
          <w:szCs w:val="22"/>
          <w:lang w:eastAsia="en-AU"/>
        </w:rPr>
        <w:t xml:space="preserve">data </w:t>
      </w:r>
      <w:r w:rsidRPr="3FC79A6E">
        <w:rPr>
          <w:color w:val="000000"/>
          <w:sz w:val="22"/>
          <w:szCs w:val="22"/>
          <w:lang w:eastAsia="en-AU"/>
        </w:rPr>
        <w:t>inputs were provided by NSW DPE (DPE 2022) for the appropriate locations relating to Murray Cod modelling. These inputs comprised</w:t>
      </w:r>
      <w:r>
        <w:rPr>
          <w:color w:val="000000"/>
          <w:sz w:val="22"/>
          <w:szCs w:val="22"/>
          <w:lang w:eastAsia="en-AU"/>
        </w:rPr>
        <w:t xml:space="preserve"> time series of</w:t>
      </w:r>
      <w:r w:rsidRPr="3FC79A6E">
        <w:rPr>
          <w:color w:val="000000"/>
          <w:sz w:val="22"/>
          <w:szCs w:val="22"/>
          <w:lang w:eastAsia="en-AU"/>
        </w:rPr>
        <w:t xml:space="preserve"> the probability of a hypoxic blackwater event occurring within </w:t>
      </w:r>
      <w:r>
        <w:rPr>
          <w:color w:val="000000"/>
          <w:sz w:val="22"/>
          <w:szCs w:val="22"/>
          <w:lang w:eastAsia="en-AU"/>
        </w:rPr>
        <w:t>each</w:t>
      </w:r>
      <w:r w:rsidRPr="3FC79A6E">
        <w:rPr>
          <w:color w:val="000000"/>
          <w:sz w:val="22"/>
          <w:szCs w:val="22"/>
          <w:lang w:eastAsia="en-AU"/>
        </w:rPr>
        <w:t xml:space="preserve"> model year, and the number of predicted days within each hypoxic event where the average oxygen concentration of the water within a given reach would be &lt;2</w:t>
      </w:r>
      <w:r>
        <w:rPr>
          <w:color w:val="000000"/>
          <w:sz w:val="22"/>
          <w:szCs w:val="22"/>
          <w:lang w:eastAsia="en-AU"/>
        </w:rPr>
        <w:t> </w:t>
      </w:r>
      <w:r w:rsidRPr="3FC79A6E">
        <w:rPr>
          <w:color w:val="000000"/>
          <w:sz w:val="22"/>
          <w:szCs w:val="22"/>
          <w:lang w:eastAsia="en-AU"/>
        </w:rPr>
        <w:t>mg</w:t>
      </w:r>
      <w:r>
        <w:rPr>
          <w:color w:val="000000"/>
          <w:sz w:val="22"/>
          <w:szCs w:val="22"/>
          <w:lang w:eastAsia="en-AU"/>
        </w:rPr>
        <w:t xml:space="preserve"> </w:t>
      </w:r>
      <w:r w:rsidRPr="3FC79A6E">
        <w:rPr>
          <w:color w:val="000000"/>
          <w:sz w:val="22"/>
          <w:szCs w:val="22"/>
          <w:lang w:eastAsia="en-AU"/>
        </w:rPr>
        <w:t>L</w:t>
      </w:r>
      <w:r>
        <w:rPr>
          <w:color w:val="000000"/>
          <w:sz w:val="22"/>
          <w:szCs w:val="22"/>
          <w:vertAlign w:val="superscript"/>
          <w:lang w:eastAsia="en-AU"/>
        </w:rPr>
        <w:t>–1</w:t>
      </w:r>
      <w:r w:rsidRPr="3FC79A6E">
        <w:rPr>
          <w:color w:val="000000"/>
          <w:sz w:val="22"/>
          <w:szCs w:val="22"/>
          <w:lang w:eastAsia="en-AU"/>
        </w:rPr>
        <w:t xml:space="preserve">. Mortality was estimated from these inputs by scaling each event by the most severe event in the dataset, and then multiplying by a factor of 0.8 to give a maximum possible mortality of </w:t>
      </w:r>
      <w:r>
        <w:rPr>
          <w:color w:val="000000"/>
          <w:sz w:val="22"/>
          <w:szCs w:val="22"/>
          <w:lang w:eastAsia="en-AU"/>
        </w:rPr>
        <w:t xml:space="preserve">an </w:t>
      </w:r>
      <w:r w:rsidRPr="3FC79A6E">
        <w:rPr>
          <w:color w:val="000000"/>
          <w:sz w:val="22"/>
          <w:szCs w:val="22"/>
          <w:lang w:eastAsia="en-AU"/>
        </w:rPr>
        <w:t xml:space="preserve">80% </w:t>
      </w:r>
      <w:r>
        <w:rPr>
          <w:color w:val="000000"/>
          <w:sz w:val="22"/>
          <w:szCs w:val="22"/>
          <w:lang w:eastAsia="en-AU"/>
        </w:rPr>
        <w:t xml:space="preserve">reduction in adult survival rates </w:t>
      </w:r>
      <w:r w:rsidRPr="3FC79A6E">
        <w:rPr>
          <w:color w:val="000000"/>
          <w:sz w:val="22"/>
          <w:szCs w:val="22"/>
          <w:lang w:eastAsia="en-AU"/>
        </w:rPr>
        <w:t xml:space="preserve">(effectively applying mortality to </w:t>
      </w:r>
      <w:r>
        <w:rPr>
          <w:color w:val="000000"/>
          <w:sz w:val="22"/>
          <w:szCs w:val="22"/>
          <w:lang w:eastAsia="en-AU"/>
        </w:rPr>
        <w:t xml:space="preserve">a maximum of </w:t>
      </w:r>
      <w:r w:rsidRPr="3FC79A6E">
        <w:rPr>
          <w:color w:val="000000"/>
          <w:sz w:val="22"/>
          <w:szCs w:val="22"/>
          <w:lang w:eastAsia="en-AU"/>
        </w:rPr>
        <w:t>80% of the spatial extent of each reach</w:t>
      </w:r>
      <w:r>
        <w:rPr>
          <w:color w:val="000000"/>
          <w:sz w:val="22"/>
          <w:szCs w:val="22"/>
          <w:lang w:eastAsia="en-AU"/>
        </w:rPr>
        <w:t xml:space="preserve"> during a blackwater event</w:t>
      </w:r>
      <w:r w:rsidRPr="3FC79A6E">
        <w:rPr>
          <w:color w:val="000000"/>
          <w:sz w:val="22"/>
          <w:szCs w:val="22"/>
          <w:lang w:eastAsia="en-AU"/>
        </w:rPr>
        <w:t>). This mortality was then applied to juvenile and adult Murray Cod in that year within the affected reach. Mortality associated with hypoxia was not applied in Golden Perch modelling, as Golden Perch are thought to be less susceptible to</w:t>
      </w:r>
      <w:r>
        <w:rPr>
          <w:color w:val="000000"/>
          <w:sz w:val="22"/>
          <w:szCs w:val="22"/>
          <w:lang w:eastAsia="en-AU"/>
        </w:rPr>
        <w:t xml:space="preserve"> (</w:t>
      </w:r>
      <w:r w:rsidRPr="3FC79A6E">
        <w:rPr>
          <w:color w:val="000000"/>
          <w:sz w:val="22"/>
          <w:szCs w:val="22"/>
          <w:lang w:eastAsia="en-AU"/>
        </w:rPr>
        <w:t>more able to escape from</w:t>
      </w:r>
      <w:r>
        <w:rPr>
          <w:color w:val="000000"/>
          <w:sz w:val="22"/>
          <w:szCs w:val="22"/>
          <w:lang w:eastAsia="en-AU"/>
        </w:rPr>
        <w:t>)</w:t>
      </w:r>
      <w:r w:rsidRPr="3FC79A6E">
        <w:rPr>
          <w:color w:val="000000"/>
          <w:sz w:val="22"/>
          <w:szCs w:val="22"/>
          <w:lang w:eastAsia="en-AU"/>
        </w:rPr>
        <w:t xml:space="preserve"> hypoxic events (Thiem et al. 2020).</w:t>
      </w:r>
    </w:p>
    <w:p w14:paraId="0D837F7E" w14:textId="0F426256" w:rsidR="00491210" w:rsidRPr="007C54A1" w:rsidRDefault="00EE200C" w:rsidP="00753F5C">
      <w:pPr>
        <w:pStyle w:val="Heading2-Numbered"/>
      </w:pPr>
      <w:bookmarkStart w:id="105" w:name="_Toc116994893"/>
      <w:r>
        <w:t>Productivity</w:t>
      </w:r>
      <w:bookmarkEnd w:id="105"/>
    </w:p>
    <w:p w14:paraId="08BECBBC" w14:textId="0465F681" w:rsidR="00491210" w:rsidRPr="004A269E" w:rsidRDefault="00EE200C" w:rsidP="3FC79A6E">
      <w:pPr>
        <w:spacing w:after="0"/>
        <w:jc w:val="both"/>
        <w:rPr>
          <w:color w:val="000000"/>
          <w:sz w:val="22"/>
          <w:szCs w:val="22"/>
          <w:lang w:eastAsia="en-AU"/>
        </w:rPr>
      </w:pPr>
      <w:r w:rsidRPr="07A4386F">
        <w:rPr>
          <w:color w:val="000000"/>
          <w:sz w:val="22"/>
          <w:szCs w:val="22"/>
          <w:lang w:eastAsia="en-AU"/>
        </w:rPr>
        <w:t xml:space="preserve">A basal productivity mechanism </w:t>
      </w:r>
      <w:r>
        <w:rPr>
          <w:color w:val="000000"/>
          <w:sz w:val="22"/>
          <w:szCs w:val="22"/>
          <w:lang w:eastAsia="en-AU"/>
        </w:rPr>
        <w:t>wa</w:t>
      </w:r>
      <w:r w:rsidRPr="07A4386F">
        <w:rPr>
          <w:color w:val="000000"/>
          <w:sz w:val="22"/>
          <w:szCs w:val="22"/>
          <w:lang w:eastAsia="en-AU"/>
        </w:rPr>
        <w:t xml:space="preserve">s used in the population model construct for Golden Perch to inform the survival of larval and juvenile fish during </w:t>
      </w:r>
      <w:r>
        <w:rPr>
          <w:color w:val="000000"/>
          <w:sz w:val="22"/>
          <w:szCs w:val="22"/>
          <w:lang w:eastAsia="en-AU"/>
        </w:rPr>
        <w:t xml:space="preserve">the </w:t>
      </w:r>
      <w:r w:rsidRPr="07A4386F">
        <w:rPr>
          <w:color w:val="000000"/>
          <w:sz w:val="22"/>
          <w:szCs w:val="22"/>
          <w:lang w:eastAsia="en-AU"/>
        </w:rPr>
        <w:t xml:space="preserve">sensitive early life phases. Ecosystem productivity is particularly important for </w:t>
      </w:r>
      <w:r>
        <w:rPr>
          <w:color w:val="000000"/>
          <w:sz w:val="22"/>
          <w:szCs w:val="22"/>
          <w:lang w:eastAsia="en-AU"/>
        </w:rPr>
        <w:t xml:space="preserve">the </w:t>
      </w:r>
      <w:r w:rsidRPr="07A4386F">
        <w:rPr>
          <w:color w:val="000000"/>
          <w:sz w:val="22"/>
          <w:szCs w:val="22"/>
          <w:lang w:eastAsia="en-AU"/>
        </w:rPr>
        <w:t>larvae of Golden Perch</w:t>
      </w:r>
      <w:r>
        <w:rPr>
          <w:color w:val="000000"/>
          <w:sz w:val="22"/>
          <w:szCs w:val="22"/>
          <w:lang w:eastAsia="en-AU"/>
        </w:rPr>
        <w:t>,</w:t>
      </w:r>
      <w:r w:rsidRPr="07A4386F">
        <w:rPr>
          <w:color w:val="000000"/>
          <w:sz w:val="22"/>
          <w:szCs w:val="22"/>
          <w:lang w:eastAsia="en-AU"/>
        </w:rPr>
        <w:t xml:space="preserve"> </w:t>
      </w:r>
      <w:r>
        <w:rPr>
          <w:color w:val="000000"/>
          <w:sz w:val="22"/>
          <w:szCs w:val="22"/>
          <w:lang w:eastAsia="en-AU"/>
        </w:rPr>
        <w:t>because</w:t>
      </w:r>
      <w:r w:rsidRPr="07A4386F">
        <w:rPr>
          <w:color w:val="000000"/>
          <w:sz w:val="22"/>
          <w:szCs w:val="22"/>
          <w:lang w:eastAsia="en-AU"/>
        </w:rPr>
        <w:t xml:space="preserve"> they are small, </w:t>
      </w:r>
      <w:r>
        <w:rPr>
          <w:color w:val="000000"/>
          <w:sz w:val="22"/>
          <w:szCs w:val="22"/>
          <w:lang w:eastAsia="en-AU"/>
        </w:rPr>
        <w:t xml:space="preserve">and as a result </w:t>
      </w:r>
      <w:r w:rsidRPr="07A4386F">
        <w:rPr>
          <w:color w:val="000000"/>
          <w:sz w:val="22"/>
          <w:szCs w:val="22"/>
          <w:lang w:eastAsia="en-AU"/>
        </w:rPr>
        <w:t>have small yolk sa</w:t>
      </w:r>
      <w:r>
        <w:rPr>
          <w:color w:val="000000"/>
          <w:sz w:val="22"/>
          <w:szCs w:val="22"/>
          <w:lang w:eastAsia="en-AU"/>
        </w:rPr>
        <w:t>cs</w:t>
      </w:r>
      <w:r w:rsidRPr="07A4386F">
        <w:rPr>
          <w:color w:val="000000"/>
          <w:sz w:val="22"/>
          <w:szCs w:val="22"/>
          <w:lang w:eastAsia="en-AU"/>
        </w:rPr>
        <w:t xml:space="preserve"> and must feed frequently to survive (</w:t>
      </w:r>
      <w:r w:rsidRPr="07A4386F">
        <w:rPr>
          <w:color w:val="222222"/>
          <w:sz w:val="22"/>
          <w:szCs w:val="22"/>
          <w:lang w:eastAsia="en-AU"/>
        </w:rPr>
        <w:t>Arumugam and Geddes 1987)</w:t>
      </w:r>
      <w:r w:rsidRPr="07A4386F">
        <w:rPr>
          <w:color w:val="000000"/>
          <w:sz w:val="22"/>
          <w:szCs w:val="22"/>
          <w:lang w:eastAsia="en-AU"/>
        </w:rPr>
        <w:t>. Here, the variation in daily flows (ML</w:t>
      </w:r>
      <w:r>
        <w:rPr>
          <w:color w:val="000000"/>
          <w:sz w:val="22"/>
          <w:szCs w:val="22"/>
          <w:lang w:eastAsia="en-AU"/>
        </w:rPr>
        <w:t> </w:t>
      </w:r>
      <w:r w:rsidRPr="07A4386F">
        <w:rPr>
          <w:color w:val="000000"/>
          <w:sz w:val="22"/>
          <w:szCs w:val="22"/>
          <w:lang w:eastAsia="en-AU"/>
        </w:rPr>
        <w:t>day</w:t>
      </w:r>
      <w:r>
        <w:rPr>
          <w:color w:val="000000"/>
          <w:sz w:val="22"/>
          <w:szCs w:val="22"/>
          <w:vertAlign w:val="superscript"/>
          <w:lang w:eastAsia="en-AU"/>
        </w:rPr>
        <w:t>–1</w:t>
      </w:r>
      <w:r w:rsidRPr="07A4386F">
        <w:rPr>
          <w:color w:val="000000"/>
          <w:sz w:val="22"/>
          <w:szCs w:val="22"/>
          <w:lang w:eastAsia="en-AU"/>
        </w:rPr>
        <w:t xml:space="preserve">) around bank full levels in each reach were used to predict variation around standard survival rates. Results from a complementary productivity modelling project </w:t>
      </w:r>
      <w:r>
        <w:rPr>
          <w:color w:val="000000"/>
          <w:sz w:val="22"/>
          <w:szCs w:val="22"/>
          <w:lang w:eastAsia="en-AU"/>
        </w:rPr>
        <w:t>that</w:t>
      </w:r>
      <w:r w:rsidRPr="07A4386F">
        <w:rPr>
          <w:color w:val="000000"/>
          <w:sz w:val="22"/>
          <w:szCs w:val="22"/>
          <w:lang w:eastAsia="en-AU"/>
        </w:rPr>
        <w:t xml:space="preserve"> mechanistically predicts carbon flux through selected areas of the </w:t>
      </w:r>
      <w:r>
        <w:rPr>
          <w:color w:val="000000"/>
          <w:sz w:val="22"/>
          <w:szCs w:val="22"/>
          <w:lang w:eastAsia="en-AU"/>
        </w:rPr>
        <w:t>MDB</w:t>
      </w:r>
      <w:r w:rsidRPr="07A4386F">
        <w:rPr>
          <w:color w:val="000000"/>
          <w:sz w:val="22"/>
          <w:szCs w:val="22"/>
          <w:lang w:eastAsia="en-AU"/>
        </w:rPr>
        <w:t xml:space="preserve"> (</w:t>
      </w:r>
      <w:r w:rsidRPr="00A96705">
        <w:rPr>
          <w:color w:val="000000"/>
          <w:sz w:val="22"/>
          <w:szCs w:val="22"/>
          <w:lang w:eastAsia="en-AU"/>
        </w:rPr>
        <w:t>Siebers et al. 2022</w:t>
      </w:r>
      <w:r w:rsidRPr="07A4386F">
        <w:rPr>
          <w:color w:val="000000"/>
          <w:sz w:val="22"/>
          <w:szCs w:val="22"/>
          <w:lang w:eastAsia="en-AU"/>
        </w:rPr>
        <w:t xml:space="preserve">) were used to inform the mechanism used here. Variation around </w:t>
      </w:r>
      <w:r>
        <w:rPr>
          <w:color w:val="000000"/>
          <w:sz w:val="22"/>
          <w:szCs w:val="22"/>
          <w:lang w:eastAsia="en-AU"/>
        </w:rPr>
        <w:t xml:space="preserve">the </w:t>
      </w:r>
      <w:r w:rsidRPr="07A4386F">
        <w:rPr>
          <w:color w:val="000000"/>
          <w:sz w:val="22"/>
          <w:szCs w:val="22"/>
          <w:lang w:eastAsia="en-AU"/>
        </w:rPr>
        <w:t>smaller</w:t>
      </w:r>
      <w:r>
        <w:rPr>
          <w:color w:val="000000"/>
          <w:sz w:val="22"/>
          <w:szCs w:val="22"/>
          <w:lang w:eastAsia="en-AU"/>
        </w:rPr>
        <w:t>-</w:t>
      </w:r>
      <w:r w:rsidRPr="07A4386F">
        <w:rPr>
          <w:color w:val="000000"/>
          <w:sz w:val="22"/>
          <w:szCs w:val="22"/>
          <w:lang w:eastAsia="en-AU"/>
        </w:rPr>
        <w:t xml:space="preserve">scale production estimates produced by the complementary project was used to validate the correlative flow-based mechanism, which allowed for the estimation of productivity across the metapopulation structure. For </w:t>
      </w:r>
      <w:r>
        <w:rPr>
          <w:color w:val="000000"/>
          <w:sz w:val="22"/>
          <w:szCs w:val="22"/>
          <w:lang w:eastAsia="en-AU"/>
        </w:rPr>
        <w:t>Murray Cod</w:t>
      </w:r>
      <w:r w:rsidRPr="07A4386F">
        <w:rPr>
          <w:color w:val="000000"/>
          <w:sz w:val="22"/>
          <w:szCs w:val="22"/>
          <w:lang w:eastAsia="en-AU"/>
        </w:rPr>
        <w:t>, a published statistical model was used to relate flows to egg, larval and fingerling survival (Tonkin et al. 2021).</w:t>
      </w:r>
      <w:r w:rsidRPr="3FC79A6E">
        <w:rPr>
          <w:color w:val="000000"/>
          <w:sz w:val="22"/>
          <w:szCs w:val="22"/>
          <w:lang w:eastAsia="en-AU"/>
        </w:rPr>
        <w:t xml:space="preserve"> </w:t>
      </w:r>
      <w:r w:rsidRPr="004A269E">
        <w:rPr>
          <w:color w:val="000000"/>
          <w:sz w:val="22"/>
          <w:szCs w:val="22"/>
          <w:lang w:eastAsia="en-AU"/>
        </w:rPr>
        <w:t>Specifically, five hydraulic characteristi</w:t>
      </w:r>
      <w:r>
        <w:rPr>
          <w:color w:val="000000"/>
          <w:sz w:val="22"/>
          <w:szCs w:val="22"/>
          <w:lang w:eastAsia="en-AU"/>
        </w:rPr>
        <w:t>cs</w:t>
      </w:r>
      <w:r w:rsidRPr="004A269E">
        <w:rPr>
          <w:color w:val="000000"/>
          <w:sz w:val="22"/>
          <w:szCs w:val="22"/>
          <w:lang w:eastAsia="en-AU"/>
        </w:rPr>
        <w:t xml:space="preserve"> affect estimates of recruitment strength, where flow variability and higher summer flow negatively impact recruitment, and higher spring and winter flow as well as antecedent maximum annual flow positively impact recruitment (Tonkin et al. 2021).</w:t>
      </w:r>
    </w:p>
    <w:p w14:paraId="6A86C79D" w14:textId="48F5B680" w:rsidR="00491210" w:rsidRDefault="00EE200C" w:rsidP="00753F5C">
      <w:pPr>
        <w:pStyle w:val="Heading2-Numbered"/>
      </w:pPr>
      <w:bookmarkStart w:id="106" w:name="_Toc110837310"/>
      <w:bookmarkStart w:id="107" w:name="_Toc116994894"/>
      <w:r>
        <w:t>Commercial and recreational harvest</w:t>
      </w:r>
      <w:bookmarkEnd w:id="106"/>
      <w:bookmarkEnd w:id="107"/>
    </w:p>
    <w:p w14:paraId="4FA4BDB5" w14:textId="225D979D" w:rsidR="00491210" w:rsidRDefault="00EE200C" w:rsidP="60D1C489">
      <w:pPr>
        <w:spacing w:after="0"/>
        <w:jc w:val="both"/>
        <w:rPr>
          <w:color w:val="000000"/>
          <w:sz w:val="22"/>
          <w:szCs w:val="22"/>
          <w:lang w:eastAsia="en-AU"/>
        </w:rPr>
      </w:pPr>
      <w:r w:rsidRPr="4D1BBAA5">
        <w:rPr>
          <w:color w:val="000000"/>
          <w:sz w:val="22"/>
          <w:szCs w:val="22"/>
          <w:lang w:eastAsia="en-AU"/>
        </w:rPr>
        <w:t xml:space="preserve">Both </w:t>
      </w:r>
      <w:r>
        <w:rPr>
          <w:color w:val="000000"/>
          <w:sz w:val="22"/>
          <w:szCs w:val="22"/>
          <w:lang w:eastAsia="en-AU"/>
        </w:rPr>
        <w:t>Golden Perch and Murray Cod</w:t>
      </w:r>
      <w:r w:rsidRPr="4D1BBAA5">
        <w:rPr>
          <w:color w:val="000000"/>
          <w:sz w:val="22"/>
          <w:szCs w:val="22"/>
          <w:lang w:eastAsia="en-AU"/>
        </w:rPr>
        <w:t xml:space="preserve"> have historically been subject to commercial fishing in NSW, SA and Victoria. Only SA continues a commercial fishery, </w:t>
      </w:r>
      <w:r>
        <w:rPr>
          <w:color w:val="000000"/>
          <w:sz w:val="22"/>
          <w:szCs w:val="22"/>
          <w:lang w:eastAsia="en-AU"/>
        </w:rPr>
        <w:t xml:space="preserve">and it is </w:t>
      </w:r>
      <w:r w:rsidRPr="4D1BBAA5">
        <w:rPr>
          <w:color w:val="000000"/>
          <w:sz w:val="22"/>
          <w:szCs w:val="22"/>
          <w:lang w:eastAsia="en-AU"/>
        </w:rPr>
        <w:t xml:space="preserve">for Golden Perch alone (Ferguson and Ye 2012; Earl 2020). </w:t>
      </w:r>
      <w:r>
        <w:rPr>
          <w:color w:val="000000"/>
          <w:sz w:val="22"/>
          <w:szCs w:val="22"/>
          <w:lang w:eastAsia="en-AU"/>
        </w:rPr>
        <w:t xml:space="preserve">For NSW, catch </w:t>
      </w:r>
      <w:r w:rsidRPr="4D1BBAA5">
        <w:rPr>
          <w:color w:val="000000"/>
          <w:sz w:val="22"/>
          <w:szCs w:val="22"/>
          <w:lang w:eastAsia="en-AU"/>
        </w:rPr>
        <w:t xml:space="preserve">data were sourced directly from NSW DPI Fisheries and from </w:t>
      </w:r>
      <w:r>
        <w:rPr>
          <w:color w:val="000000"/>
          <w:sz w:val="22"/>
          <w:szCs w:val="22"/>
          <w:lang w:eastAsia="en-AU"/>
        </w:rPr>
        <w:t xml:space="preserve">the </w:t>
      </w:r>
      <w:r w:rsidRPr="4D1BBAA5">
        <w:rPr>
          <w:color w:val="000000"/>
          <w:sz w:val="22"/>
          <w:szCs w:val="22"/>
          <w:lang w:eastAsia="en-AU"/>
        </w:rPr>
        <w:t>published literature (Reid et al. 1997)</w:t>
      </w:r>
      <w:r>
        <w:rPr>
          <w:color w:val="000000"/>
          <w:sz w:val="22"/>
          <w:szCs w:val="22"/>
          <w:lang w:eastAsia="en-AU"/>
        </w:rPr>
        <w:t>. Catch data were obtained</w:t>
      </w:r>
      <w:r w:rsidRPr="4D1BBAA5">
        <w:rPr>
          <w:color w:val="000000"/>
          <w:sz w:val="22"/>
          <w:szCs w:val="22"/>
          <w:lang w:eastAsia="en-AU"/>
        </w:rPr>
        <w:t xml:space="preserve"> from </w:t>
      </w:r>
      <w:r>
        <w:rPr>
          <w:color w:val="000000"/>
          <w:sz w:val="22"/>
          <w:szCs w:val="22"/>
          <w:lang w:eastAsia="en-AU"/>
        </w:rPr>
        <w:t xml:space="preserve">the </w:t>
      </w:r>
      <w:r w:rsidRPr="4D1BBAA5">
        <w:rPr>
          <w:color w:val="000000"/>
          <w:sz w:val="22"/>
          <w:szCs w:val="22"/>
          <w:lang w:eastAsia="en-AU"/>
        </w:rPr>
        <w:t>published literature for SA (Reynold</w:t>
      </w:r>
      <w:r>
        <w:rPr>
          <w:color w:val="000000"/>
          <w:sz w:val="22"/>
          <w:szCs w:val="22"/>
          <w:lang w:eastAsia="en-AU"/>
        </w:rPr>
        <w:t>s</w:t>
      </w:r>
      <w:r w:rsidRPr="4D1BBAA5">
        <w:rPr>
          <w:color w:val="000000"/>
          <w:sz w:val="22"/>
          <w:szCs w:val="22"/>
          <w:lang w:eastAsia="en-AU"/>
        </w:rPr>
        <w:t xml:space="preserve"> 1976a, 1976b; Earl 2020).</w:t>
      </w:r>
      <w:r>
        <w:rPr>
          <w:color w:val="000000"/>
          <w:sz w:val="22"/>
          <w:szCs w:val="22"/>
          <w:lang w:eastAsia="en-AU"/>
        </w:rPr>
        <w:t xml:space="preserve"> Commercial catch data for Victoria was not </w:t>
      </w:r>
      <w:r>
        <w:rPr>
          <w:color w:val="000000"/>
          <w:sz w:val="22"/>
          <w:szCs w:val="22"/>
          <w:lang w:eastAsia="en-AU"/>
        </w:rPr>
        <w:lastRenderedPageBreak/>
        <w:t>included in this study.</w:t>
      </w:r>
      <w:r w:rsidRPr="4D1BBAA5">
        <w:rPr>
          <w:color w:val="000000"/>
          <w:sz w:val="22"/>
          <w:szCs w:val="22"/>
          <w:lang w:eastAsia="en-AU"/>
        </w:rPr>
        <w:t xml:space="preserve"> Estimated catch weight was converted to fish number</w:t>
      </w:r>
      <w:r>
        <w:rPr>
          <w:color w:val="000000"/>
          <w:sz w:val="22"/>
          <w:szCs w:val="22"/>
          <w:lang w:eastAsia="en-AU"/>
        </w:rPr>
        <w:t>s</w:t>
      </w:r>
      <w:r w:rsidRPr="4D1BBAA5">
        <w:rPr>
          <w:color w:val="000000"/>
          <w:sz w:val="22"/>
          <w:szCs w:val="22"/>
          <w:lang w:eastAsia="en-AU"/>
        </w:rPr>
        <w:t xml:space="preserve"> via an average weight calculation for each species, and reductions </w:t>
      </w:r>
      <w:r>
        <w:rPr>
          <w:color w:val="000000"/>
          <w:sz w:val="22"/>
          <w:szCs w:val="22"/>
          <w:lang w:eastAsia="en-AU"/>
        </w:rPr>
        <w:t xml:space="preserve">in numbers were </w:t>
      </w:r>
      <w:r w:rsidRPr="4D1BBAA5">
        <w:rPr>
          <w:color w:val="000000"/>
          <w:sz w:val="22"/>
          <w:szCs w:val="22"/>
          <w:lang w:eastAsia="en-AU"/>
        </w:rPr>
        <w:t xml:space="preserve">thus applied to population sizes in model runs. </w:t>
      </w:r>
      <w:r>
        <w:rPr>
          <w:color w:val="000000"/>
          <w:sz w:val="22"/>
          <w:szCs w:val="22"/>
          <w:lang w:eastAsia="en-AU"/>
        </w:rPr>
        <w:t>The c</w:t>
      </w:r>
      <w:r w:rsidRPr="4D1BBAA5">
        <w:rPr>
          <w:color w:val="000000"/>
          <w:sz w:val="22"/>
          <w:szCs w:val="22"/>
          <w:lang w:eastAsia="en-AU"/>
        </w:rPr>
        <w:t xml:space="preserve">ommercial harvest of Golden </w:t>
      </w:r>
      <w:r>
        <w:rPr>
          <w:color w:val="000000"/>
          <w:sz w:val="22"/>
          <w:szCs w:val="22"/>
          <w:lang w:eastAsia="en-AU"/>
        </w:rPr>
        <w:t>P</w:t>
      </w:r>
      <w:r w:rsidRPr="4D1BBAA5">
        <w:rPr>
          <w:color w:val="000000"/>
          <w:sz w:val="22"/>
          <w:szCs w:val="22"/>
          <w:lang w:eastAsia="en-AU"/>
        </w:rPr>
        <w:t>erch in South Australia (</w:t>
      </w:r>
      <w:r>
        <w:rPr>
          <w:color w:val="000000"/>
          <w:sz w:val="22"/>
          <w:szCs w:val="22"/>
          <w:lang w:eastAsia="en-AU"/>
        </w:rPr>
        <w:t xml:space="preserve">in the </w:t>
      </w:r>
      <w:r w:rsidRPr="4D1BBAA5">
        <w:rPr>
          <w:color w:val="000000"/>
          <w:sz w:val="22"/>
          <w:szCs w:val="22"/>
          <w:lang w:eastAsia="en-AU"/>
        </w:rPr>
        <w:t>lower lakes) has been included in the modelling. Recreational harvest was</w:t>
      </w:r>
      <w:r>
        <w:rPr>
          <w:color w:val="000000"/>
          <w:sz w:val="22"/>
          <w:szCs w:val="22"/>
          <w:lang w:eastAsia="en-AU"/>
        </w:rPr>
        <w:t xml:space="preserve"> also</w:t>
      </w:r>
      <w:r w:rsidRPr="4D1BBAA5">
        <w:rPr>
          <w:color w:val="000000"/>
          <w:sz w:val="22"/>
          <w:szCs w:val="22"/>
          <w:lang w:eastAsia="en-AU"/>
        </w:rPr>
        <w:t xml:space="preserve"> included for both Golden Perch and Murray Cod. A yearly recreational harvest rule was applied to all populations </w:t>
      </w:r>
      <w:r>
        <w:rPr>
          <w:color w:val="000000"/>
          <w:sz w:val="22"/>
          <w:szCs w:val="22"/>
          <w:lang w:eastAsia="en-AU"/>
        </w:rPr>
        <w:t xml:space="preserve">of both species </w:t>
      </w:r>
      <w:r w:rsidRPr="4D1BBAA5">
        <w:rPr>
          <w:color w:val="000000"/>
          <w:sz w:val="22"/>
          <w:szCs w:val="22"/>
          <w:lang w:eastAsia="en-AU"/>
        </w:rPr>
        <w:t xml:space="preserve">across model runs via a size-selectivity function from the 1950s onwards. The yearly recreational harvest rate was 5% for Golden </w:t>
      </w:r>
      <w:r>
        <w:rPr>
          <w:color w:val="000000"/>
          <w:sz w:val="22"/>
          <w:szCs w:val="22"/>
          <w:lang w:eastAsia="en-AU"/>
        </w:rPr>
        <w:t>P</w:t>
      </w:r>
      <w:r w:rsidRPr="4D1BBAA5">
        <w:rPr>
          <w:color w:val="000000"/>
          <w:sz w:val="22"/>
          <w:szCs w:val="22"/>
          <w:lang w:eastAsia="en-AU"/>
        </w:rPr>
        <w:t>erch model runs</w:t>
      </w:r>
      <w:r>
        <w:rPr>
          <w:color w:val="000000"/>
          <w:sz w:val="22"/>
          <w:szCs w:val="22"/>
          <w:lang w:eastAsia="en-AU"/>
        </w:rPr>
        <w:t>,</w:t>
      </w:r>
      <w:r w:rsidRPr="4D1BBAA5">
        <w:rPr>
          <w:color w:val="000000"/>
          <w:sz w:val="22"/>
          <w:szCs w:val="22"/>
          <w:lang w:eastAsia="en-AU"/>
        </w:rPr>
        <w:t xml:space="preserve"> 10% for Murray Cod less than 1</w:t>
      </w:r>
      <w:r>
        <w:rPr>
          <w:color w:val="000000"/>
          <w:sz w:val="22"/>
          <w:szCs w:val="22"/>
          <w:lang w:eastAsia="en-AU"/>
        </w:rPr>
        <w:t> </w:t>
      </w:r>
      <w:r w:rsidRPr="4D1BBAA5">
        <w:rPr>
          <w:color w:val="000000"/>
          <w:sz w:val="22"/>
          <w:szCs w:val="22"/>
          <w:lang w:eastAsia="en-AU"/>
        </w:rPr>
        <w:t>m in total length, and 5% for Murray Cod equal to or greater than 1</w:t>
      </w:r>
      <w:r>
        <w:rPr>
          <w:color w:val="000000"/>
          <w:sz w:val="22"/>
          <w:szCs w:val="22"/>
          <w:lang w:eastAsia="en-AU"/>
        </w:rPr>
        <w:t> </w:t>
      </w:r>
      <w:r w:rsidRPr="4D1BBAA5">
        <w:rPr>
          <w:color w:val="000000"/>
          <w:sz w:val="22"/>
          <w:szCs w:val="22"/>
          <w:lang w:eastAsia="en-AU"/>
        </w:rPr>
        <w:t>m in total length.</w:t>
      </w:r>
    </w:p>
    <w:p w14:paraId="367A2EA8" w14:textId="77777777" w:rsidR="00491210" w:rsidRPr="007C54A1" w:rsidRDefault="00EE200C" w:rsidP="00753F5C">
      <w:pPr>
        <w:pStyle w:val="Heading2-Numbered"/>
      </w:pPr>
      <w:bookmarkStart w:id="108" w:name="_Toc116994895"/>
      <w:r>
        <w:t>Model runs</w:t>
      </w:r>
      <w:bookmarkEnd w:id="108"/>
    </w:p>
    <w:p w14:paraId="7E0EA344" w14:textId="673140AE" w:rsidR="00491210" w:rsidRPr="00E2785E" w:rsidRDefault="00EE200C" w:rsidP="00C60C44">
      <w:pPr>
        <w:pStyle w:val="PopModbodytext"/>
      </w:pPr>
      <w:r w:rsidRPr="05D19AF3">
        <w:t xml:space="preserve">Models were run for each RRCP scenario </w:t>
      </w:r>
      <w:r>
        <w:t>(</w:t>
      </w:r>
      <w:r>
        <w:fldChar w:fldCharType="begin"/>
      </w:r>
      <w:r>
        <w:instrText xml:space="preserve"> REF _Ref110379668 \h </w:instrText>
      </w:r>
      <w:r>
        <w:fldChar w:fldCharType="separate"/>
      </w:r>
      <w:r w:rsidR="005B672A">
        <w:t xml:space="preserve">Table </w:t>
      </w:r>
      <w:r w:rsidR="005B672A">
        <w:rPr>
          <w:noProof/>
        </w:rPr>
        <w:t>4</w:t>
      </w:r>
      <w:r>
        <w:fldChar w:fldCharType="end"/>
      </w:r>
      <w:r w:rsidRPr="05D19AF3">
        <w:t>) for both species. As described above, the Golden Perch model was run as a metapopulation for each RRCP scenario</w:t>
      </w:r>
      <w:r>
        <w:t>,</w:t>
      </w:r>
      <w:r w:rsidRPr="05D19AF3">
        <w:t xml:space="preserve"> whereas Murray Cod populations were run as separate models (i.e. every population was run independently for each RRCP scenario). Each model run was conducted over the temporal extent of </w:t>
      </w:r>
      <w:r>
        <w:t xml:space="preserve">the </w:t>
      </w:r>
      <w:r w:rsidRPr="05D19AF3">
        <w:t>input flow</w:t>
      </w:r>
      <w:r>
        <w:t>–</w:t>
      </w:r>
      <w:r w:rsidRPr="05D19AF3">
        <w:t>temperature data (i.e. 1896</w:t>
      </w:r>
      <w:r>
        <w:t>–</w:t>
      </w:r>
      <w:r w:rsidRPr="05D19AF3">
        <w:t xml:space="preserve">2019), with </w:t>
      </w:r>
      <w:r>
        <w:t xml:space="preserve">the </w:t>
      </w:r>
      <w:r w:rsidRPr="05D19AF3">
        <w:t xml:space="preserve">initial population sizes as set by the working group. Each run consisted of 1000 iterations </w:t>
      </w:r>
      <w:r>
        <w:t>in which</w:t>
      </w:r>
      <w:r w:rsidRPr="05D19AF3">
        <w:t xml:space="preserve"> model attributes were varied</w:t>
      </w:r>
      <w:r>
        <w:t>,</w:t>
      </w:r>
      <w:r w:rsidRPr="05D19AF3">
        <w:t xml:space="preserve"> </w:t>
      </w:r>
      <w:r>
        <w:t xml:space="preserve">based on the flow and temperature inputs for the five scenarios modelled that drive the various rules around spawning, productivity, larval drift, and movement </w:t>
      </w:r>
      <w:r w:rsidRPr="006479F4">
        <w:t>(see</w:t>
      </w:r>
      <w:r>
        <w:t xml:space="preserve"> </w:t>
      </w:r>
      <w:r>
        <w:fldChar w:fldCharType="begin"/>
      </w:r>
      <w:r>
        <w:instrText xml:space="preserve"> REF _Ref110379793 \h </w:instrText>
      </w:r>
      <w:r>
        <w:fldChar w:fldCharType="separate"/>
      </w:r>
      <w:r w:rsidR="005B672A">
        <w:t xml:space="preserve">Table </w:t>
      </w:r>
      <w:r w:rsidR="005B672A">
        <w:rPr>
          <w:noProof/>
        </w:rPr>
        <w:t>2</w:t>
      </w:r>
      <w:r>
        <w:fldChar w:fldCharType="end"/>
      </w:r>
      <w:r w:rsidRPr="00F94CB2">
        <w:t xml:space="preserve"> and</w:t>
      </w:r>
      <w:r>
        <w:t xml:space="preserve"> </w:t>
      </w:r>
      <w:r>
        <w:fldChar w:fldCharType="begin"/>
      </w:r>
      <w:r>
        <w:instrText xml:space="preserve"> REF _Ref116984060 \h </w:instrText>
      </w:r>
      <w:r>
        <w:fldChar w:fldCharType="separate"/>
      </w:r>
      <w:r w:rsidR="005B672A">
        <w:t xml:space="preserve">Table </w:t>
      </w:r>
      <w:r w:rsidR="005B672A">
        <w:rPr>
          <w:noProof/>
        </w:rPr>
        <w:t>3</w:t>
      </w:r>
      <w:r>
        <w:fldChar w:fldCharType="end"/>
      </w:r>
      <w:r w:rsidRPr="007C54A1">
        <w:t xml:space="preserve"> </w:t>
      </w:r>
      <w:r>
        <w:t xml:space="preserve">for the gauges used for each population to assess the life-history responses, and </w:t>
      </w:r>
      <w:r>
        <w:fldChar w:fldCharType="begin"/>
      </w:r>
      <w:r>
        <w:instrText xml:space="preserve"> REF _Ref110379668 \h </w:instrText>
      </w:r>
      <w:r>
        <w:fldChar w:fldCharType="separate"/>
      </w:r>
      <w:r w:rsidR="005B672A">
        <w:t xml:space="preserve">Table </w:t>
      </w:r>
      <w:r w:rsidR="005B672A">
        <w:rPr>
          <w:noProof/>
        </w:rPr>
        <w:t>4</w:t>
      </w:r>
      <w:r>
        <w:fldChar w:fldCharType="end"/>
      </w:r>
      <w:r>
        <w:t xml:space="preserve"> for descriptions of each flow scenario modelled</w:t>
      </w:r>
      <w:r w:rsidRPr="05D19AF3">
        <w:t>)</w:t>
      </w:r>
      <w:r>
        <w:t>. This</w:t>
      </w:r>
      <w:r w:rsidRPr="05D19AF3">
        <w:t xml:space="preserve"> provide</w:t>
      </w:r>
      <w:r>
        <w:t>d</w:t>
      </w:r>
      <w:r w:rsidRPr="05D19AF3">
        <w:t xml:space="preserve"> information on </w:t>
      </w:r>
      <w:r>
        <w:t xml:space="preserve">the </w:t>
      </w:r>
      <w:r w:rsidRPr="05D19AF3">
        <w:t xml:space="preserve">model sensitivity and </w:t>
      </w:r>
      <w:r>
        <w:t>enabled</w:t>
      </w:r>
      <w:r w:rsidRPr="05D19AF3">
        <w:t xml:space="preserve"> the estimation of </w:t>
      </w:r>
      <w:r>
        <w:t>expected values</w:t>
      </w:r>
      <w:r w:rsidRPr="05D19AF3">
        <w:t xml:space="preserve"> (see </w:t>
      </w:r>
      <w:r>
        <w:t>R</w:t>
      </w:r>
      <w:r w:rsidRPr="05D19AF3">
        <w:t>esults</w:t>
      </w:r>
      <w:r>
        <w:t>;</w:t>
      </w:r>
      <w:r w:rsidRPr="05D19AF3">
        <w:t xml:space="preserve"> also see Appendix 4 for </w:t>
      </w:r>
      <w:r>
        <w:t xml:space="preserve">the </w:t>
      </w:r>
      <w:r w:rsidRPr="05D19AF3">
        <w:t xml:space="preserve">sensitivity analysis). Scenarios were combined across the two Murray and Murrumbidgee River </w:t>
      </w:r>
      <w:r>
        <w:t>spatial scales</w:t>
      </w:r>
      <w:r w:rsidRPr="05D19AF3">
        <w:t xml:space="preserve"> to form the total hydrological dataset for each RRCP scenario in this study. Maximum daily flows (</w:t>
      </w:r>
      <w:r w:rsidRPr="3FC79A6E">
        <w:t>ML</w:t>
      </w:r>
      <w:r>
        <w:t> </w:t>
      </w:r>
      <w:r w:rsidRPr="3FC79A6E">
        <w:t>day</w:t>
      </w:r>
      <w:r>
        <w:rPr>
          <w:vertAlign w:val="superscript"/>
        </w:rPr>
        <w:t>–1</w:t>
      </w:r>
      <w:r w:rsidRPr="05D19AF3">
        <w:t>) for each scenario are given at three indicator gauges across the project system in Table 4.</w:t>
      </w:r>
      <w:bookmarkStart w:id="109" w:name="_Ref104373198"/>
    </w:p>
    <w:p w14:paraId="102066AD" w14:textId="41368BB5" w:rsidR="00491210" w:rsidRDefault="00EE200C" w:rsidP="00BA59EC">
      <w:pPr>
        <w:pStyle w:val="Caption-Table"/>
      </w:pPr>
      <w:bookmarkStart w:id="110" w:name="_Ref110379668"/>
      <w:bookmarkStart w:id="111" w:name="Table_4"/>
      <w:bookmarkStart w:id="112" w:name="_Toc116994964"/>
      <w:r>
        <w:t xml:space="preserve">Table </w:t>
      </w:r>
      <w:r>
        <w:fldChar w:fldCharType="begin"/>
      </w:r>
      <w:r>
        <w:instrText>SEQ Table \* ARABIC</w:instrText>
      </w:r>
      <w:r>
        <w:fldChar w:fldCharType="separate"/>
      </w:r>
      <w:r w:rsidR="005B672A">
        <w:rPr>
          <w:noProof/>
        </w:rPr>
        <w:t>4</w:t>
      </w:r>
      <w:r>
        <w:fldChar w:fldCharType="end"/>
      </w:r>
      <w:bookmarkEnd w:id="109"/>
      <w:bookmarkEnd w:id="110"/>
      <w:r>
        <w:t>. RRCP</w:t>
      </w:r>
      <w:r w:rsidRPr="007866AD">
        <w:t xml:space="preserve"> </w:t>
      </w:r>
      <w:r>
        <w:t>flow scenarios at indicator gauges within two reaches of the Murray River combined with the Murrumbidgee River</w:t>
      </w:r>
      <w:bookmarkEnd w:id="111"/>
      <w:r>
        <w:t>.</w:t>
      </w:r>
      <w:bookmarkEnd w:id="112"/>
    </w:p>
    <w:tbl>
      <w:tblPr>
        <w:tblStyle w:val="DELWPTable"/>
        <w:tblW w:w="9632" w:type="dxa"/>
        <w:tblLayout w:type="fixed"/>
        <w:tblLook w:val="06A0" w:firstRow="1" w:lastRow="0" w:firstColumn="1" w:lastColumn="0" w:noHBand="1" w:noVBand="1"/>
      </w:tblPr>
      <w:tblGrid>
        <w:gridCol w:w="2408"/>
        <w:gridCol w:w="2408"/>
        <w:gridCol w:w="2408"/>
        <w:gridCol w:w="2408"/>
      </w:tblGrid>
      <w:tr w:rsidR="358D0A8B" w:rsidRPr="00AC486E" w14:paraId="112BF1FD" w14:textId="77777777" w:rsidTr="00C60C44">
        <w:trPr>
          <w:cnfStyle w:val="100000000000" w:firstRow="1" w:lastRow="0" w:firstColumn="0" w:lastColumn="0" w:oddVBand="0" w:evenVBand="0" w:oddHBand="0" w:evenHBand="0" w:firstRowFirstColumn="0" w:firstRowLastColumn="0" w:lastRowFirstColumn="0" w:lastRowLastColumn="0"/>
        </w:trPr>
        <w:tc>
          <w:tcPr>
            <w:tcW w:w="0" w:type="dxa"/>
          </w:tcPr>
          <w:p w14:paraId="576E78E4" w14:textId="7CC27DB8" w:rsidR="00491210" w:rsidRPr="00C60C44" w:rsidRDefault="00EE200C" w:rsidP="00C60C44">
            <w:pPr>
              <w:spacing w:line="259" w:lineRule="auto"/>
              <w:rPr>
                <w:b/>
                <w:bCs/>
                <w:color w:val="FFFFFF" w:themeColor="background1"/>
              </w:rPr>
            </w:pPr>
            <w:r w:rsidRPr="00C60C44">
              <w:rPr>
                <w:b/>
                <w:bCs/>
                <w:color w:val="FFFFFF" w:themeColor="background1"/>
              </w:rPr>
              <w:t>Modelled flow scenario</w:t>
            </w:r>
          </w:p>
        </w:tc>
        <w:tc>
          <w:tcPr>
            <w:tcW w:w="0" w:type="dxa"/>
          </w:tcPr>
          <w:p w14:paraId="6A425FAB" w14:textId="1672C236" w:rsidR="00491210" w:rsidRPr="00C60C44" w:rsidRDefault="00EE200C" w:rsidP="00C60C44">
            <w:pPr>
              <w:spacing w:line="259" w:lineRule="auto"/>
              <w:jc w:val="center"/>
              <w:rPr>
                <w:b/>
                <w:bCs/>
                <w:color w:val="FFFFFF" w:themeColor="background1"/>
              </w:rPr>
            </w:pPr>
            <w:r w:rsidRPr="00C60C44">
              <w:rPr>
                <w:b/>
                <w:bCs/>
                <w:color w:val="FFFFFF" w:themeColor="background1"/>
              </w:rPr>
              <w:t>Murray River at Doctors Point (Albury)</w:t>
            </w:r>
            <w:r>
              <w:rPr>
                <w:b/>
                <w:bCs/>
                <w:color w:val="FFFFFF" w:themeColor="background1"/>
              </w:rPr>
              <w:t xml:space="preserve"> </w:t>
            </w:r>
            <w:r w:rsidRPr="00DD5EE0">
              <w:rPr>
                <w:b/>
                <w:color w:val="FFFFFF" w:themeColor="background1"/>
              </w:rPr>
              <w:t>(ML day</w:t>
            </w:r>
            <w:r w:rsidRPr="00DD5EE0">
              <w:rPr>
                <w:b/>
                <w:color w:val="FFFFFF" w:themeColor="background1"/>
                <w:vertAlign w:val="superscript"/>
              </w:rPr>
              <w:t>–1</w:t>
            </w:r>
            <w:r w:rsidRPr="00DD5EE0">
              <w:rPr>
                <w:b/>
                <w:color w:val="FFFFFF" w:themeColor="background1"/>
              </w:rPr>
              <w:t>)</w:t>
            </w:r>
          </w:p>
        </w:tc>
        <w:tc>
          <w:tcPr>
            <w:tcW w:w="0" w:type="dxa"/>
          </w:tcPr>
          <w:p w14:paraId="73979D21" w14:textId="0F1CCAC5" w:rsidR="00491210" w:rsidRPr="00C60C44" w:rsidRDefault="00EE200C" w:rsidP="00C60C44">
            <w:pPr>
              <w:spacing w:line="259" w:lineRule="auto"/>
              <w:jc w:val="center"/>
              <w:rPr>
                <w:b/>
                <w:bCs/>
                <w:color w:val="FFFFFF" w:themeColor="background1"/>
              </w:rPr>
            </w:pPr>
            <w:r w:rsidRPr="00C60C44">
              <w:rPr>
                <w:b/>
                <w:bCs/>
                <w:color w:val="FFFFFF" w:themeColor="background1"/>
              </w:rPr>
              <w:t xml:space="preserve">Murray River </w:t>
            </w:r>
            <w:r>
              <w:rPr>
                <w:bCs/>
                <w:color w:val="FFFFFF" w:themeColor="background1"/>
              </w:rPr>
              <w:t>downstream of</w:t>
            </w:r>
            <w:r w:rsidRPr="00C60C44">
              <w:rPr>
                <w:b/>
                <w:bCs/>
                <w:color w:val="FFFFFF" w:themeColor="background1"/>
              </w:rPr>
              <w:t xml:space="preserve"> Yarrawonga Weir</w:t>
            </w:r>
          </w:p>
          <w:p w14:paraId="7F288269" w14:textId="2CB28A72" w:rsidR="00491210" w:rsidRPr="00C60C44" w:rsidRDefault="00EE200C" w:rsidP="00C60C44">
            <w:pPr>
              <w:spacing w:line="259" w:lineRule="auto"/>
              <w:jc w:val="center"/>
              <w:rPr>
                <w:b/>
                <w:bCs/>
                <w:color w:val="FFFFFF" w:themeColor="background1"/>
              </w:rPr>
            </w:pPr>
            <w:r>
              <w:rPr>
                <w:bCs/>
                <w:color w:val="FFFFFF" w:themeColor="background1"/>
              </w:rPr>
              <w:t>(</w:t>
            </w:r>
            <w:r w:rsidRPr="00C60C44">
              <w:rPr>
                <w:b/>
                <w:bCs/>
                <w:color w:val="FFFFFF" w:themeColor="background1"/>
              </w:rPr>
              <w:t>ML</w:t>
            </w:r>
            <w:r>
              <w:rPr>
                <w:b/>
                <w:bCs/>
                <w:color w:val="FFFFFF" w:themeColor="background1"/>
              </w:rPr>
              <w:t xml:space="preserve"> </w:t>
            </w:r>
            <w:r w:rsidRPr="00C60C44">
              <w:rPr>
                <w:b/>
                <w:bCs/>
                <w:color w:val="FFFFFF" w:themeColor="background1"/>
              </w:rPr>
              <w:t>day</w:t>
            </w:r>
            <w:r w:rsidRPr="00C60C44">
              <w:rPr>
                <w:bCs/>
                <w:color w:val="FFFFFF" w:themeColor="background1"/>
                <w:vertAlign w:val="superscript"/>
              </w:rPr>
              <w:t>–1</w:t>
            </w:r>
            <w:r>
              <w:rPr>
                <w:bCs/>
                <w:color w:val="FFFFFF" w:themeColor="background1"/>
              </w:rPr>
              <w:t>)</w:t>
            </w:r>
          </w:p>
        </w:tc>
        <w:tc>
          <w:tcPr>
            <w:tcW w:w="0" w:type="dxa"/>
          </w:tcPr>
          <w:p w14:paraId="41086F23" w14:textId="5875F860" w:rsidR="00491210" w:rsidRPr="00C60C44" w:rsidRDefault="00EE200C" w:rsidP="00C60C44">
            <w:pPr>
              <w:spacing w:line="259" w:lineRule="auto"/>
              <w:jc w:val="center"/>
              <w:rPr>
                <w:b/>
                <w:bCs/>
                <w:color w:val="FFFFFF" w:themeColor="background1"/>
              </w:rPr>
            </w:pPr>
            <w:r w:rsidRPr="00C60C44">
              <w:rPr>
                <w:b/>
                <w:bCs/>
                <w:color w:val="FFFFFF" w:themeColor="background1"/>
              </w:rPr>
              <w:t>Murrumbidgee (Wagga</w:t>
            </w:r>
            <w:r>
              <w:rPr>
                <w:bCs/>
                <w:color w:val="FFFFFF" w:themeColor="background1"/>
              </w:rPr>
              <w:t xml:space="preserve"> </w:t>
            </w:r>
            <w:r w:rsidRPr="00DD5EE0">
              <w:rPr>
                <w:b/>
                <w:color w:val="FFFFFF" w:themeColor="background1"/>
              </w:rPr>
              <w:t>Wagga) (ML day</w:t>
            </w:r>
            <w:r w:rsidRPr="00DD5EE0">
              <w:rPr>
                <w:b/>
                <w:color w:val="FFFFFF" w:themeColor="background1"/>
                <w:vertAlign w:val="superscript"/>
              </w:rPr>
              <w:t>–1</w:t>
            </w:r>
            <w:r w:rsidRPr="00DD5EE0">
              <w:rPr>
                <w:b/>
                <w:color w:val="FFFFFF" w:themeColor="background1"/>
              </w:rPr>
              <w:t>)</w:t>
            </w:r>
          </w:p>
        </w:tc>
      </w:tr>
      <w:tr w:rsidR="358D0A8B" w14:paraId="2E37F81D" w14:textId="77777777" w:rsidTr="00C60C44">
        <w:tc>
          <w:tcPr>
            <w:tcW w:w="0" w:type="dxa"/>
          </w:tcPr>
          <w:p w14:paraId="5461B172" w14:textId="03E38D55" w:rsidR="00491210" w:rsidRDefault="00EE200C" w:rsidP="00C60C44">
            <w:pPr>
              <w:spacing w:line="259" w:lineRule="auto"/>
            </w:pPr>
            <w:r>
              <w:t>Base case</w:t>
            </w:r>
          </w:p>
        </w:tc>
        <w:tc>
          <w:tcPr>
            <w:tcW w:w="0" w:type="dxa"/>
          </w:tcPr>
          <w:p w14:paraId="3DA622B6" w14:textId="567F8C5C" w:rsidR="00491210" w:rsidRDefault="00EE200C" w:rsidP="00C60C44">
            <w:pPr>
              <w:spacing w:line="259" w:lineRule="auto"/>
              <w:jc w:val="center"/>
            </w:pPr>
            <w:r>
              <w:t>25,000</w:t>
            </w:r>
          </w:p>
        </w:tc>
        <w:tc>
          <w:tcPr>
            <w:tcW w:w="0" w:type="dxa"/>
          </w:tcPr>
          <w:p w14:paraId="60D8D2F2" w14:textId="55A898FE" w:rsidR="00491210" w:rsidRDefault="00EE200C" w:rsidP="00C60C44">
            <w:pPr>
              <w:spacing w:line="259" w:lineRule="auto"/>
              <w:jc w:val="center"/>
            </w:pPr>
            <w:r>
              <w:t>15,000</w:t>
            </w:r>
          </w:p>
        </w:tc>
        <w:tc>
          <w:tcPr>
            <w:tcW w:w="0" w:type="dxa"/>
          </w:tcPr>
          <w:p w14:paraId="6F00C049" w14:textId="0E9E06E0" w:rsidR="00491210" w:rsidRDefault="00EE200C" w:rsidP="00C60C44">
            <w:pPr>
              <w:spacing w:line="259" w:lineRule="auto"/>
              <w:jc w:val="center"/>
            </w:pPr>
            <w:r>
              <w:t>22,000</w:t>
            </w:r>
          </w:p>
        </w:tc>
      </w:tr>
      <w:tr w:rsidR="358D0A8B" w14:paraId="5867B889" w14:textId="77777777" w:rsidTr="00C60C44">
        <w:tc>
          <w:tcPr>
            <w:tcW w:w="0" w:type="dxa"/>
          </w:tcPr>
          <w:p w14:paraId="27FAA9AC" w14:textId="20CD513A" w:rsidR="00491210" w:rsidRDefault="00EE200C" w:rsidP="00C60C44">
            <w:pPr>
              <w:spacing w:line="259" w:lineRule="auto"/>
            </w:pPr>
            <w:r>
              <w:t>Option 1</w:t>
            </w:r>
          </w:p>
        </w:tc>
        <w:tc>
          <w:tcPr>
            <w:tcW w:w="0" w:type="dxa"/>
          </w:tcPr>
          <w:p w14:paraId="6E705FF2" w14:textId="143395E0" w:rsidR="00491210" w:rsidRDefault="00EE200C" w:rsidP="00C60C44">
            <w:pPr>
              <w:spacing w:line="259" w:lineRule="auto"/>
              <w:jc w:val="center"/>
            </w:pPr>
            <w:r>
              <w:t>25,000</w:t>
            </w:r>
          </w:p>
        </w:tc>
        <w:tc>
          <w:tcPr>
            <w:tcW w:w="0" w:type="dxa"/>
          </w:tcPr>
          <w:p w14:paraId="6F4411C5" w14:textId="07F0C5B8" w:rsidR="00491210" w:rsidRDefault="00EE200C" w:rsidP="00C60C44">
            <w:pPr>
              <w:spacing w:line="259" w:lineRule="auto"/>
              <w:jc w:val="center"/>
            </w:pPr>
            <w:r>
              <w:t>25,000</w:t>
            </w:r>
          </w:p>
        </w:tc>
        <w:tc>
          <w:tcPr>
            <w:tcW w:w="0" w:type="dxa"/>
          </w:tcPr>
          <w:p w14:paraId="6BAAFF98" w14:textId="70EE92E7" w:rsidR="00491210" w:rsidRDefault="00EE200C" w:rsidP="00C60C44">
            <w:pPr>
              <w:spacing w:line="259" w:lineRule="auto"/>
              <w:jc w:val="center"/>
            </w:pPr>
            <w:r>
              <w:t>32,000</w:t>
            </w:r>
          </w:p>
        </w:tc>
      </w:tr>
      <w:tr w:rsidR="358D0A8B" w14:paraId="21F36918" w14:textId="77777777" w:rsidTr="00C60C44">
        <w:tc>
          <w:tcPr>
            <w:tcW w:w="0" w:type="dxa"/>
          </w:tcPr>
          <w:p w14:paraId="73085586" w14:textId="1CE4FB43" w:rsidR="00491210" w:rsidRDefault="00EE200C" w:rsidP="00C60C44">
            <w:pPr>
              <w:spacing w:line="259" w:lineRule="auto"/>
            </w:pPr>
            <w:r>
              <w:t>Option 2</w:t>
            </w:r>
          </w:p>
        </w:tc>
        <w:tc>
          <w:tcPr>
            <w:tcW w:w="0" w:type="dxa"/>
          </w:tcPr>
          <w:p w14:paraId="33A6DBF1" w14:textId="70F4B97B" w:rsidR="00491210" w:rsidRDefault="00EE200C" w:rsidP="00C60C44">
            <w:pPr>
              <w:spacing w:line="259" w:lineRule="auto"/>
              <w:jc w:val="center"/>
            </w:pPr>
            <w:r>
              <w:t>30,000</w:t>
            </w:r>
          </w:p>
        </w:tc>
        <w:tc>
          <w:tcPr>
            <w:tcW w:w="0" w:type="dxa"/>
          </w:tcPr>
          <w:p w14:paraId="06E63720" w14:textId="35130BAD" w:rsidR="00491210" w:rsidRDefault="00EE200C" w:rsidP="00C60C44">
            <w:pPr>
              <w:spacing w:line="259" w:lineRule="auto"/>
              <w:jc w:val="center"/>
            </w:pPr>
            <w:r>
              <w:t>30,000</w:t>
            </w:r>
          </w:p>
        </w:tc>
        <w:tc>
          <w:tcPr>
            <w:tcW w:w="0" w:type="dxa"/>
          </w:tcPr>
          <w:p w14:paraId="74707CF2" w14:textId="47A1C25F" w:rsidR="00491210" w:rsidRDefault="00EE200C" w:rsidP="00C60C44">
            <w:pPr>
              <w:spacing w:line="259" w:lineRule="auto"/>
              <w:jc w:val="center"/>
            </w:pPr>
            <w:r>
              <w:t>36,000</w:t>
            </w:r>
          </w:p>
        </w:tc>
      </w:tr>
      <w:tr w:rsidR="358D0A8B" w14:paraId="4B125F62" w14:textId="77777777" w:rsidTr="00C60C44">
        <w:tc>
          <w:tcPr>
            <w:tcW w:w="0" w:type="dxa"/>
          </w:tcPr>
          <w:p w14:paraId="62E690B8" w14:textId="66287920" w:rsidR="00491210" w:rsidRDefault="00EE200C" w:rsidP="00C60C44">
            <w:pPr>
              <w:spacing w:line="259" w:lineRule="auto"/>
            </w:pPr>
            <w:r>
              <w:t>Option 3</w:t>
            </w:r>
          </w:p>
        </w:tc>
        <w:tc>
          <w:tcPr>
            <w:tcW w:w="0" w:type="dxa"/>
          </w:tcPr>
          <w:p w14:paraId="2200BC7C" w14:textId="135A4AC2" w:rsidR="00491210" w:rsidRDefault="00EE200C" w:rsidP="00C60C44">
            <w:pPr>
              <w:spacing w:line="259" w:lineRule="auto"/>
              <w:jc w:val="center"/>
            </w:pPr>
            <w:r>
              <w:t>40,000</w:t>
            </w:r>
          </w:p>
        </w:tc>
        <w:tc>
          <w:tcPr>
            <w:tcW w:w="0" w:type="dxa"/>
          </w:tcPr>
          <w:p w14:paraId="34FAAF50" w14:textId="48745073" w:rsidR="00491210" w:rsidRDefault="00EE200C" w:rsidP="00C60C44">
            <w:pPr>
              <w:spacing w:line="259" w:lineRule="auto"/>
              <w:jc w:val="center"/>
            </w:pPr>
            <w:r>
              <w:t>40,000</w:t>
            </w:r>
          </w:p>
        </w:tc>
        <w:tc>
          <w:tcPr>
            <w:tcW w:w="0" w:type="dxa"/>
          </w:tcPr>
          <w:p w14:paraId="5D864CE7" w14:textId="29709722" w:rsidR="00491210" w:rsidRDefault="00EE200C" w:rsidP="00C60C44">
            <w:pPr>
              <w:spacing w:line="259" w:lineRule="auto"/>
              <w:jc w:val="center"/>
            </w:pPr>
            <w:r>
              <w:t>40,000</w:t>
            </w:r>
          </w:p>
        </w:tc>
      </w:tr>
      <w:tr w:rsidR="00A253F6" w14:paraId="46ECD030" w14:textId="77777777" w:rsidTr="00C60C44">
        <w:tc>
          <w:tcPr>
            <w:tcW w:w="0" w:type="dxa"/>
          </w:tcPr>
          <w:p w14:paraId="5292699F" w14:textId="3DFB9B83" w:rsidR="00491210" w:rsidRDefault="00EE200C" w:rsidP="00C60C44">
            <w:pPr>
              <w:spacing w:line="259" w:lineRule="auto"/>
            </w:pPr>
            <w:r>
              <w:t>Option 4</w:t>
            </w:r>
          </w:p>
        </w:tc>
        <w:tc>
          <w:tcPr>
            <w:tcW w:w="0" w:type="dxa"/>
          </w:tcPr>
          <w:p w14:paraId="17E81361" w14:textId="51EB10E7" w:rsidR="00491210" w:rsidRDefault="00EE200C" w:rsidP="00C60C44">
            <w:pPr>
              <w:spacing w:line="259" w:lineRule="auto"/>
              <w:jc w:val="center"/>
            </w:pPr>
            <w:r>
              <w:t>40,000</w:t>
            </w:r>
          </w:p>
        </w:tc>
        <w:tc>
          <w:tcPr>
            <w:tcW w:w="0" w:type="dxa"/>
          </w:tcPr>
          <w:p w14:paraId="508CBD05" w14:textId="6E40C87E" w:rsidR="00491210" w:rsidRDefault="00EE200C" w:rsidP="00C60C44">
            <w:pPr>
              <w:spacing w:line="259" w:lineRule="auto"/>
              <w:jc w:val="center"/>
            </w:pPr>
            <w:r>
              <w:t>45,000</w:t>
            </w:r>
          </w:p>
        </w:tc>
        <w:tc>
          <w:tcPr>
            <w:tcW w:w="0" w:type="dxa"/>
          </w:tcPr>
          <w:p w14:paraId="35503BE5" w14:textId="08AB77C2" w:rsidR="00491210" w:rsidRDefault="00EE200C" w:rsidP="00C60C44">
            <w:pPr>
              <w:spacing w:line="259" w:lineRule="auto"/>
              <w:jc w:val="center"/>
            </w:pPr>
            <w:r>
              <w:t>40,000</w:t>
            </w:r>
          </w:p>
        </w:tc>
      </w:tr>
    </w:tbl>
    <w:p w14:paraId="769FF788" w14:textId="1ECA0E9C" w:rsidR="00491210" w:rsidRPr="007C54A1" w:rsidRDefault="00EE200C" w:rsidP="00753F5C">
      <w:pPr>
        <w:pStyle w:val="Heading2-Numbered"/>
        <w:rPr>
          <w:rFonts w:eastAsia="Arial"/>
        </w:rPr>
      </w:pPr>
      <w:bookmarkStart w:id="113" w:name="_Toc116994896"/>
      <w:r>
        <w:t>Model assumptions and limitations</w:t>
      </w:r>
      <w:bookmarkEnd w:id="113"/>
    </w:p>
    <w:p w14:paraId="129A51BB" w14:textId="33A19CC7" w:rsidR="00491210" w:rsidRDefault="00EE200C" w:rsidP="4F8AEDB5">
      <w:pPr>
        <w:spacing w:before="240" w:after="240"/>
        <w:jc w:val="both"/>
        <w:rPr>
          <w:color w:val="000000"/>
          <w:sz w:val="22"/>
          <w:szCs w:val="22"/>
          <w:lang w:eastAsia="en-AU"/>
        </w:rPr>
      </w:pPr>
      <w:r w:rsidRPr="05D19AF3">
        <w:rPr>
          <w:color w:val="000000"/>
          <w:sz w:val="22"/>
          <w:szCs w:val="22"/>
          <w:lang w:eastAsia="en-AU"/>
        </w:rPr>
        <w:t xml:space="preserve">As the data and knowledge upon which </w:t>
      </w:r>
      <w:r>
        <w:rPr>
          <w:color w:val="000000"/>
          <w:sz w:val="22"/>
          <w:szCs w:val="22"/>
          <w:lang w:eastAsia="en-AU"/>
        </w:rPr>
        <w:t xml:space="preserve">the </w:t>
      </w:r>
      <w:r w:rsidRPr="05D19AF3">
        <w:rPr>
          <w:color w:val="000000"/>
          <w:sz w:val="22"/>
          <w:szCs w:val="22"/>
          <w:lang w:eastAsia="en-AU"/>
        </w:rPr>
        <w:t>models are developed is incomplete, every model has inherent assumptions. It is important that these assumptions are recognised and, where possible, their impacts explored through sensitivity analyses (Appendix 4).</w:t>
      </w:r>
    </w:p>
    <w:p w14:paraId="453E274F" w14:textId="7CAA5F66" w:rsidR="00491210" w:rsidRDefault="00EE200C" w:rsidP="13609C11">
      <w:pPr>
        <w:spacing w:before="240" w:after="240"/>
        <w:jc w:val="both"/>
        <w:rPr>
          <w:color w:val="000000"/>
          <w:sz w:val="22"/>
          <w:szCs w:val="22"/>
          <w:lang w:eastAsia="en-AU"/>
        </w:rPr>
      </w:pPr>
      <w:r>
        <w:rPr>
          <w:color w:val="000000"/>
          <w:sz w:val="22"/>
          <w:szCs w:val="22"/>
          <w:lang w:eastAsia="en-AU"/>
        </w:rPr>
        <w:t>Either f</w:t>
      </w:r>
      <w:r w:rsidRPr="13609C11">
        <w:rPr>
          <w:color w:val="000000"/>
          <w:sz w:val="22"/>
          <w:szCs w:val="22"/>
          <w:lang w:eastAsia="en-AU"/>
        </w:rPr>
        <w:t>or model simplicity or due to lack of information, the modelling undertaken in this study did not include some o</w:t>
      </w:r>
      <w:r>
        <w:rPr>
          <w:color w:val="000000"/>
          <w:sz w:val="22"/>
          <w:szCs w:val="22"/>
          <w:lang w:eastAsia="en-AU"/>
        </w:rPr>
        <w:t xml:space="preserve">f the </w:t>
      </w:r>
      <w:r w:rsidRPr="13609C11">
        <w:rPr>
          <w:color w:val="000000"/>
          <w:sz w:val="22"/>
          <w:szCs w:val="22"/>
          <w:lang w:eastAsia="en-AU"/>
        </w:rPr>
        <w:t>impacts that occur in the study reaches</w:t>
      </w:r>
      <w:r>
        <w:rPr>
          <w:color w:val="000000"/>
          <w:sz w:val="22"/>
          <w:szCs w:val="22"/>
          <w:lang w:eastAsia="en-AU"/>
        </w:rPr>
        <w:t>,</w:t>
      </w:r>
      <w:r w:rsidRPr="13609C11">
        <w:rPr>
          <w:color w:val="000000"/>
          <w:sz w:val="22"/>
          <w:szCs w:val="22"/>
          <w:lang w:eastAsia="en-AU"/>
        </w:rPr>
        <w:t xml:space="preserve"> such as: loss of fish due to water extraction pumps, effects of some barriers to fish passage, thermal shock (impacts of sudden changes in temperature), impacts on energeti</w:t>
      </w:r>
      <w:r>
        <w:rPr>
          <w:color w:val="000000"/>
          <w:sz w:val="22"/>
          <w:szCs w:val="22"/>
          <w:lang w:eastAsia="en-AU"/>
        </w:rPr>
        <w:t>cs</w:t>
      </w:r>
      <w:r w:rsidRPr="13609C11">
        <w:rPr>
          <w:color w:val="000000"/>
          <w:sz w:val="22"/>
          <w:szCs w:val="22"/>
          <w:lang w:eastAsia="en-AU"/>
        </w:rPr>
        <w:t xml:space="preserve"> or productivity, </w:t>
      </w:r>
      <w:r>
        <w:rPr>
          <w:color w:val="000000"/>
          <w:sz w:val="22"/>
          <w:szCs w:val="22"/>
          <w:lang w:eastAsia="en-AU"/>
        </w:rPr>
        <w:t>and</w:t>
      </w:r>
      <w:r w:rsidRPr="13609C11">
        <w:rPr>
          <w:color w:val="000000"/>
          <w:sz w:val="22"/>
          <w:szCs w:val="22"/>
          <w:lang w:eastAsia="en-AU"/>
        </w:rPr>
        <w:t xml:space="preserve"> water quality impacts. Some off-channel (floodplain) areas were not included in the model construct, </w:t>
      </w:r>
      <w:r>
        <w:rPr>
          <w:color w:val="000000"/>
          <w:sz w:val="22"/>
          <w:szCs w:val="22"/>
          <w:lang w:eastAsia="en-AU"/>
        </w:rPr>
        <w:t>and neither was</w:t>
      </w:r>
      <w:r w:rsidRPr="13609C11">
        <w:rPr>
          <w:color w:val="000000"/>
          <w:sz w:val="22"/>
          <w:szCs w:val="22"/>
          <w:lang w:eastAsia="en-AU"/>
        </w:rPr>
        <w:t xml:space="preserve"> stocking.</w:t>
      </w:r>
    </w:p>
    <w:p w14:paraId="43C88E54" w14:textId="6B80415E" w:rsidR="00491210" w:rsidRPr="00746A3E" w:rsidRDefault="00EE200C" w:rsidP="00753F5C">
      <w:pPr>
        <w:pStyle w:val="Heading2-Numbered"/>
        <w:rPr>
          <w:rFonts w:eastAsia="Arial"/>
        </w:rPr>
      </w:pPr>
      <w:bookmarkStart w:id="114" w:name="_Toc116994897"/>
      <w:r w:rsidRPr="00746A3E">
        <w:lastRenderedPageBreak/>
        <w:t>Sensitivity analyses</w:t>
      </w:r>
      <w:bookmarkEnd w:id="114"/>
    </w:p>
    <w:p w14:paraId="72490521" w14:textId="33687B00" w:rsidR="00491210" w:rsidRPr="007C54A1" w:rsidRDefault="00EE200C" w:rsidP="358D0A8B">
      <w:pPr>
        <w:spacing w:after="0"/>
        <w:jc w:val="both"/>
        <w:rPr>
          <w:color w:val="000000"/>
          <w:sz w:val="22"/>
          <w:szCs w:val="22"/>
          <w:lang w:eastAsia="en-AU"/>
        </w:rPr>
      </w:pPr>
      <w:r>
        <w:rPr>
          <w:color w:val="000000"/>
          <w:sz w:val="22"/>
          <w:szCs w:val="22"/>
          <w:lang w:eastAsia="en-AU"/>
        </w:rPr>
        <w:t>To assess that the results from the Golden Perch population model were robust, s</w:t>
      </w:r>
      <w:r w:rsidRPr="05D19AF3">
        <w:rPr>
          <w:color w:val="000000"/>
          <w:sz w:val="22"/>
          <w:szCs w:val="22"/>
          <w:lang w:eastAsia="en-AU"/>
        </w:rPr>
        <w:t xml:space="preserve">ome key assumptions of the </w:t>
      </w:r>
      <w:r>
        <w:rPr>
          <w:color w:val="000000"/>
          <w:sz w:val="22"/>
          <w:szCs w:val="22"/>
          <w:lang w:eastAsia="en-AU"/>
        </w:rPr>
        <w:t xml:space="preserve">Golden Perch </w:t>
      </w:r>
      <w:r w:rsidRPr="05D19AF3">
        <w:rPr>
          <w:color w:val="000000"/>
          <w:sz w:val="22"/>
          <w:szCs w:val="22"/>
          <w:lang w:eastAsia="en-AU"/>
        </w:rPr>
        <w:t>model were explored through sensitivity analysis. The effect</w:t>
      </w:r>
      <w:r>
        <w:rPr>
          <w:color w:val="000000"/>
          <w:sz w:val="22"/>
          <w:szCs w:val="22"/>
          <w:lang w:eastAsia="en-AU"/>
        </w:rPr>
        <w:t>s</w:t>
      </w:r>
      <w:r w:rsidRPr="05D19AF3">
        <w:rPr>
          <w:color w:val="000000"/>
          <w:sz w:val="22"/>
          <w:szCs w:val="22"/>
          <w:lang w:eastAsia="en-AU"/>
        </w:rPr>
        <w:t xml:space="preserve"> of different movement rates</w:t>
      </w:r>
      <w:r>
        <w:rPr>
          <w:color w:val="000000"/>
          <w:sz w:val="22"/>
          <w:szCs w:val="22"/>
          <w:lang w:eastAsia="en-AU"/>
        </w:rPr>
        <w:t xml:space="preserve">, different initial population sizes, and different levels of immigration of fingerlings from the Northern MDB were assessed, and the results are presented in </w:t>
      </w:r>
      <w:r w:rsidRPr="05D19AF3">
        <w:rPr>
          <w:color w:val="000000"/>
          <w:sz w:val="22"/>
          <w:szCs w:val="22"/>
          <w:lang w:eastAsia="en-AU"/>
        </w:rPr>
        <w:t xml:space="preserve">Appendix 4. </w:t>
      </w:r>
      <w:r>
        <w:rPr>
          <w:color w:val="000000"/>
          <w:sz w:val="22"/>
          <w:szCs w:val="22"/>
          <w:lang w:eastAsia="en-AU"/>
        </w:rPr>
        <w:t xml:space="preserve">The purpose of this sensitivity analysis was to investigate whether factors such as changes to connectivity, which can change population outcomes, will also change our assessment of the relaxed-flow-constraints scenarios. </w:t>
      </w:r>
      <w:r w:rsidRPr="05D19AF3">
        <w:rPr>
          <w:color w:val="000000"/>
          <w:sz w:val="22"/>
          <w:szCs w:val="22"/>
          <w:lang w:eastAsia="en-AU"/>
        </w:rPr>
        <w:t>Convergence of early modelling outcomes (e.g. total population sizes) in the post-1980s period was also investigated.</w:t>
      </w:r>
      <w:r>
        <w:rPr>
          <w:color w:val="000000"/>
          <w:sz w:val="22"/>
          <w:szCs w:val="22"/>
          <w:lang w:eastAsia="en-AU"/>
        </w:rPr>
        <w:t xml:space="preserve"> Sensitivity analysis has previously been undertaken for the Murray Cod model (</w:t>
      </w:r>
      <w:r w:rsidRPr="007C54A1">
        <w:rPr>
          <w:color w:val="222222"/>
          <w:sz w:val="22"/>
          <w:szCs w:val="22"/>
          <w:shd w:val="clear" w:color="auto" w:fill="FFFFFF"/>
          <w:lang w:eastAsia="en-AU"/>
        </w:rPr>
        <w:t>Todd</w:t>
      </w:r>
      <w:r>
        <w:rPr>
          <w:color w:val="222222"/>
          <w:sz w:val="22"/>
          <w:szCs w:val="22"/>
          <w:shd w:val="clear" w:color="auto" w:fill="FFFFFF"/>
          <w:lang w:eastAsia="en-AU"/>
        </w:rPr>
        <w:t xml:space="preserve"> et al. 2005), with the current construct of the</w:t>
      </w:r>
      <w:r w:rsidRPr="007D1962">
        <w:rPr>
          <w:color w:val="000000"/>
          <w:sz w:val="22"/>
          <w:szCs w:val="22"/>
          <w:lang w:eastAsia="en-AU"/>
        </w:rPr>
        <w:t xml:space="preserve"> </w:t>
      </w:r>
      <w:r>
        <w:rPr>
          <w:color w:val="000000"/>
          <w:sz w:val="22"/>
          <w:szCs w:val="22"/>
          <w:lang w:eastAsia="en-AU"/>
        </w:rPr>
        <w:t xml:space="preserve">Murray Cod model being </w:t>
      </w:r>
      <w:r w:rsidRPr="05D19AF3">
        <w:rPr>
          <w:color w:val="000000"/>
          <w:sz w:val="22"/>
          <w:szCs w:val="22"/>
          <w:lang w:eastAsia="en-AU"/>
        </w:rPr>
        <w:t xml:space="preserve">based on published statistical relationships with flow characteristics (Tonkin et al. 2021). </w:t>
      </w:r>
      <w:r>
        <w:rPr>
          <w:color w:val="222222"/>
          <w:sz w:val="22"/>
          <w:szCs w:val="22"/>
          <w:shd w:val="clear" w:color="auto" w:fill="FFFFFF"/>
          <w:lang w:eastAsia="en-AU"/>
        </w:rPr>
        <w:t>However, the Murray Cod model is dependent on the input of modelled hypoxic blackwater and remains sensitive to the outputs of the blackwater model (given the potential mortality of up to 80% of the adult population).</w:t>
      </w:r>
    </w:p>
    <w:p w14:paraId="5F22C493" w14:textId="4D62D413" w:rsidR="00491210" w:rsidRPr="007C54A1" w:rsidRDefault="00EE200C" w:rsidP="00510991">
      <w:pPr>
        <w:pStyle w:val="Heading1-Numbered"/>
        <w:ind w:hanging="574"/>
      </w:pPr>
      <w:r>
        <w:br w:type="page"/>
      </w:r>
      <w:bookmarkStart w:id="115" w:name="_Toc90388566"/>
      <w:bookmarkStart w:id="116" w:name="_Toc116994898"/>
      <w:r>
        <w:lastRenderedPageBreak/>
        <w:t>Results</w:t>
      </w:r>
      <w:bookmarkEnd w:id="115"/>
      <w:bookmarkEnd w:id="116"/>
    </w:p>
    <w:p w14:paraId="53DC3589" w14:textId="39652C64" w:rsidR="00491210" w:rsidRPr="007C54A1" w:rsidRDefault="00EE200C" w:rsidP="00753F5C">
      <w:pPr>
        <w:pStyle w:val="Heading2-Numbered"/>
      </w:pPr>
      <w:bookmarkStart w:id="117" w:name="_Toc116994899"/>
      <w:r w:rsidRPr="00753F5C">
        <w:t>Population</w:t>
      </w:r>
      <w:r>
        <w:t xml:space="preserve"> model responses to </w:t>
      </w:r>
      <w:r w:rsidRPr="00F0298A">
        <w:t>the relaxed</w:t>
      </w:r>
      <w:r>
        <w:t>-flow-</w:t>
      </w:r>
      <w:r w:rsidRPr="00F0298A">
        <w:t>constraint</w:t>
      </w:r>
      <w:r>
        <w:t>s</w:t>
      </w:r>
      <w:r w:rsidRPr="00F0298A">
        <w:t xml:space="preserve"> scenarios</w:t>
      </w:r>
      <w:bookmarkEnd w:id="117"/>
    </w:p>
    <w:p w14:paraId="7C76DA43" w14:textId="61C32B8B" w:rsidR="00491210" w:rsidRDefault="00EE200C" w:rsidP="00DD7D8C">
      <w:pPr>
        <w:spacing w:before="240" w:after="240"/>
        <w:jc w:val="both"/>
        <w:rPr>
          <w:color w:val="000000"/>
          <w:sz w:val="22"/>
          <w:szCs w:val="22"/>
          <w:lang w:eastAsia="en-AU"/>
        </w:rPr>
      </w:pPr>
      <w:r w:rsidRPr="001871FB">
        <w:rPr>
          <w:color w:val="000000"/>
          <w:sz w:val="22"/>
          <w:szCs w:val="22"/>
          <w:lang w:eastAsia="en-AU"/>
        </w:rPr>
        <w:t>Key results from the Golden Perch and Murray Cod modelling for each hydrological scenario and</w:t>
      </w:r>
      <w:r w:rsidRPr="4D1BBAA5">
        <w:rPr>
          <w:color w:val="000000"/>
          <w:sz w:val="22"/>
          <w:szCs w:val="22"/>
          <w:lang w:eastAsia="en-AU"/>
        </w:rPr>
        <w:t xml:space="preserve"> each RRCP area in the Murray and Murrumbidgee rivers are provided. All </w:t>
      </w:r>
      <w:r>
        <w:rPr>
          <w:color w:val="000000"/>
          <w:sz w:val="22"/>
          <w:szCs w:val="22"/>
          <w:lang w:eastAsia="en-AU"/>
        </w:rPr>
        <w:t xml:space="preserve">population </w:t>
      </w:r>
      <w:r w:rsidRPr="4D1BBAA5">
        <w:rPr>
          <w:color w:val="000000"/>
          <w:sz w:val="22"/>
          <w:szCs w:val="22"/>
          <w:lang w:eastAsia="en-AU"/>
        </w:rPr>
        <w:t>outputs (graphs representing a total of 382 scenario results) are included in Appendix 3</w:t>
      </w:r>
      <w:r>
        <w:rPr>
          <w:color w:val="000000"/>
          <w:sz w:val="22"/>
          <w:szCs w:val="22"/>
          <w:lang w:eastAsia="en-AU"/>
        </w:rPr>
        <w:t>,</w:t>
      </w:r>
      <w:r w:rsidRPr="4D1BBAA5">
        <w:rPr>
          <w:color w:val="000000"/>
          <w:sz w:val="22"/>
          <w:szCs w:val="22"/>
          <w:lang w:eastAsia="en-AU"/>
        </w:rPr>
        <w:t xml:space="preserve"> and </w:t>
      </w:r>
      <w:r>
        <w:rPr>
          <w:color w:val="000000"/>
          <w:sz w:val="22"/>
          <w:szCs w:val="22"/>
          <w:lang w:eastAsia="en-AU"/>
        </w:rPr>
        <w:t xml:space="preserve">all sensitivity analysis outputs are included in </w:t>
      </w:r>
      <w:r w:rsidRPr="4D1BBAA5">
        <w:rPr>
          <w:color w:val="000000"/>
          <w:sz w:val="22"/>
          <w:szCs w:val="22"/>
          <w:lang w:eastAsia="en-AU"/>
        </w:rPr>
        <w:t>Appendix 4.</w:t>
      </w:r>
    </w:p>
    <w:p w14:paraId="4DEEDC5D" w14:textId="22197F62" w:rsidR="00491210" w:rsidRDefault="00EE200C" w:rsidP="005F1F7F">
      <w:pPr>
        <w:pStyle w:val="Heading3-Numbered"/>
      </w:pPr>
      <w:bookmarkStart w:id="118" w:name="_Toc116994900"/>
      <w:r>
        <w:t>Golden Perch</w:t>
      </w:r>
      <w:bookmarkEnd w:id="118"/>
    </w:p>
    <w:p w14:paraId="47389776" w14:textId="7528B538" w:rsidR="00491210" w:rsidRPr="003E4E94" w:rsidRDefault="00EE200C">
      <w:pPr>
        <w:spacing w:before="240" w:after="240"/>
        <w:jc w:val="both"/>
        <w:rPr>
          <w:color w:val="000000"/>
          <w:sz w:val="22"/>
          <w:szCs w:val="22"/>
          <w:lang w:eastAsia="en-AU"/>
        </w:rPr>
      </w:pPr>
      <w:r w:rsidRPr="001501CE">
        <w:rPr>
          <w:color w:val="000000"/>
          <w:sz w:val="22"/>
          <w:szCs w:val="22"/>
          <w:lang w:eastAsia="en-AU"/>
        </w:rPr>
        <w:t>The results from the Golden Perch modelling applying the relaxed-flow-constraints scenarios for the</w:t>
      </w:r>
      <w:r w:rsidRPr="003E4E94">
        <w:rPr>
          <w:color w:val="000000"/>
          <w:sz w:val="22"/>
          <w:szCs w:val="22"/>
          <w:lang w:eastAsia="en-AU"/>
        </w:rPr>
        <w:t xml:space="preserve"> Murray River and the Murrumbidgee River</w:t>
      </w:r>
      <w:r>
        <w:rPr>
          <w:color w:val="000000"/>
          <w:sz w:val="22"/>
          <w:szCs w:val="22"/>
          <w:lang w:eastAsia="en-AU"/>
        </w:rPr>
        <w:t xml:space="preserve"> (</w:t>
      </w:r>
      <w:r w:rsidRPr="00D830AE">
        <w:rPr>
          <w:color w:val="000000"/>
          <w:sz w:val="22"/>
          <w:szCs w:val="22"/>
          <w:lang w:eastAsia="en-AU"/>
        </w:rPr>
        <w:fldChar w:fldCharType="begin"/>
      </w:r>
      <w:r w:rsidRPr="00D830AE">
        <w:rPr>
          <w:color w:val="000000"/>
          <w:sz w:val="22"/>
          <w:szCs w:val="22"/>
          <w:lang w:eastAsia="en-AU"/>
        </w:rPr>
        <w:instrText xml:space="preserve"> REF _Ref110379668 \h </w:instrText>
      </w:r>
      <w:r>
        <w:rPr>
          <w:color w:val="000000"/>
          <w:sz w:val="22"/>
          <w:szCs w:val="22"/>
          <w:lang w:eastAsia="en-AU"/>
        </w:rPr>
        <w:instrText xml:space="preserve"> \* MERGEFORMAT </w:instrText>
      </w:r>
      <w:r w:rsidRPr="00D830AE">
        <w:rPr>
          <w:color w:val="000000"/>
          <w:sz w:val="22"/>
          <w:szCs w:val="22"/>
          <w:lang w:eastAsia="en-AU"/>
        </w:rPr>
      </w:r>
      <w:r w:rsidRPr="00D830AE">
        <w:rPr>
          <w:color w:val="000000"/>
          <w:sz w:val="22"/>
          <w:szCs w:val="22"/>
          <w:lang w:eastAsia="en-AU"/>
        </w:rPr>
        <w:fldChar w:fldCharType="separate"/>
      </w:r>
      <w:r w:rsidR="005B672A" w:rsidRPr="005B672A">
        <w:rPr>
          <w:sz w:val="22"/>
          <w:szCs w:val="22"/>
        </w:rPr>
        <w:t xml:space="preserve">Table </w:t>
      </w:r>
      <w:r w:rsidR="005B672A" w:rsidRPr="005B672A">
        <w:rPr>
          <w:noProof/>
          <w:sz w:val="22"/>
          <w:szCs w:val="22"/>
        </w:rPr>
        <w:t>4</w:t>
      </w:r>
      <w:r w:rsidRPr="00D830AE">
        <w:rPr>
          <w:color w:val="000000"/>
          <w:sz w:val="22"/>
          <w:szCs w:val="22"/>
          <w:lang w:eastAsia="en-AU"/>
        </w:rPr>
        <w:fldChar w:fldCharType="end"/>
      </w:r>
      <w:r>
        <w:rPr>
          <w:color w:val="000000"/>
          <w:sz w:val="22"/>
          <w:szCs w:val="22"/>
          <w:lang w:eastAsia="en-AU"/>
        </w:rPr>
        <w:t>)</w:t>
      </w:r>
      <w:r w:rsidRPr="003E4E94">
        <w:rPr>
          <w:color w:val="000000"/>
          <w:sz w:val="22"/>
          <w:szCs w:val="22"/>
          <w:lang w:eastAsia="en-AU"/>
        </w:rPr>
        <w:t xml:space="preserve"> are presented in the following </w:t>
      </w:r>
      <w:r>
        <w:rPr>
          <w:color w:val="000000"/>
          <w:sz w:val="22"/>
          <w:szCs w:val="22"/>
          <w:lang w:eastAsia="en-AU"/>
        </w:rPr>
        <w:t>two</w:t>
      </w:r>
      <w:r w:rsidRPr="003E4E94">
        <w:rPr>
          <w:color w:val="000000"/>
          <w:sz w:val="22"/>
          <w:szCs w:val="22"/>
          <w:lang w:eastAsia="en-AU"/>
        </w:rPr>
        <w:t xml:space="preserve"> sections</w:t>
      </w:r>
      <w:r>
        <w:rPr>
          <w:color w:val="000000"/>
          <w:sz w:val="22"/>
          <w:szCs w:val="22"/>
          <w:lang w:eastAsia="en-AU"/>
        </w:rPr>
        <w:t>: adult Golden Perch; and recruitment of Golden Perch.</w:t>
      </w:r>
    </w:p>
    <w:p w14:paraId="096D5CCD" w14:textId="22486246" w:rsidR="00491210" w:rsidRPr="00C95A7D" w:rsidRDefault="00EE200C" w:rsidP="0015103C">
      <w:pPr>
        <w:pStyle w:val="Heading4-Numbered"/>
      </w:pPr>
      <w:r w:rsidRPr="00C95A7D">
        <w:t>Adult Golden Perch</w:t>
      </w:r>
    </w:p>
    <w:p w14:paraId="76A03100" w14:textId="1E17C790" w:rsidR="00491210" w:rsidRDefault="00EE200C" w:rsidP="006845A2">
      <w:pPr>
        <w:spacing w:before="240" w:after="240"/>
        <w:jc w:val="both"/>
        <w:rPr>
          <w:sz w:val="22"/>
          <w:szCs w:val="22"/>
          <w:lang w:val="en-US"/>
        </w:rPr>
      </w:pPr>
      <w:r w:rsidRPr="00795797">
        <w:rPr>
          <w:color w:val="000000"/>
          <w:sz w:val="22"/>
          <w:szCs w:val="22"/>
          <w:lang w:eastAsia="en-AU"/>
        </w:rPr>
        <w:t>The</w:t>
      </w:r>
      <w:r w:rsidRPr="00795797">
        <w:rPr>
          <w:sz w:val="22"/>
          <w:szCs w:val="22"/>
        </w:rPr>
        <w:t xml:space="preserve"> modelling outputs </w:t>
      </w:r>
      <w:r>
        <w:rPr>
          <w:sz w:val="22"/>
          <w:szCs w:val="22"/>
        </w:rPr>
        <w:t>for the</w:t>
      </w:r>
      <w:r w:rsidRPr="00795797">
        <w:rPr>
          <w:sz w:val="22"/>
          <w:szCs w:val="22"/>
        </w:rPr>
        <w:t xml:space="preserve"> </w:t>
      </w:r>
      <w:r>
        <w:rPr>
          <w:sz w:val="22"/>
          <w:szCs w:val="22"/>
        </w:rPr>
        <w:t xml:space="preserve">numbers of </w:t>
      </w:r>
      <w:r w:rsidRPr="00795797">
        <w:rPr>
          <w:sz w:val="22"/>
          <w:szCs w:val="22"/>
        </w:rPr>
        <w:t>adult Golden Perch for the Total RRCP Populations</w:t>
      </w:r>
      <w:r w:rsidRPr="00757F17">
        <w:rPr>
          <w:sz w:val="22"/>
          <w:szCs w:val="22"/>
        </w:rPr>
        <w:t xml:space="preserve"> are</w:t>
      </w:r>
      <w:r w:rsidRPr="00B845D1">
        <w:rPr>
          <w:sz w:val="22"/>
          <w:szCs w:val="22"/>
        </w:rPr>
        <w:t xml:space="preserve"> shown in </w:t>
      </w:r>
      <w:r w:rsidRPr="00B845D1">
        <w:rPr>
          <w:sz w:val="22"/>
          <w:szCs w:val="22"/>
        </w:rPr>
        <w:fldChar w:fldCharType="begin"/>
      </w:r>
      <w:r w:rsidRPr="00B845D1">
        <w:rPr>
          <w:sz w:val="22"/>
          <w:szCs w:val="22"/>
        </w:rPr>
        <w:instrText xml:space="preserve"> REF _Ref104292857 \h </w:instrText>
      </w:r>
      <w:r>
        <w:rPr>
          <w:sz w:val="22"/>
          <w:szCs w:val="22"/>
        </w:rPr>
        <w:instrText xml:space="preserve"> \* MERGEFORMAT </w:instrText>
      </w:r>
      <w:r w:rsidRPr="00B845D1">
        <w:rPr>
          <w:sz w:val="22"/>
          <w:szCs w:val="22"/>
        </w:rPr>
      </w:r>
      <w:r w:rsidRPr="00B845D1">
        <w:rPr>
          <w:sz w:val="22"/>
          <w:szCs w:val="22"/>
        </w:rPr>
        <w:fldChar w:fldCharType="separate"/>
      </w:r>
      <w:r w:rsidR="005B672A" w:rsidRPr="005B672A">
        <w:rPr>
          <w:sz w:val="22"/>
          <w:szCs w:val="22"/>
        </w:rPr>
        <w:t>Figure 18</w:t>
      </w:r>
      <w:r w:rsidRPr="00B845D1">
        <w:rPr>
          <w:sz w:val="22"/>
          <w:szCs w:val="22"/>
        </w:rPr>
        <w:fldChar w:fldCharType="end"/>
      </w:r>
      <w:r>
        <w:rPr>
          <w:sz w:val="22"/>
          <w:szCs w:val="22"/>
        </w:rPr>
        <w:t>; those for t</w:t>
      </w:r>
      <w:r w:rsidRPr="00B845D1">
        <w:rPr>
          <w:sz w:val="22"/>
          <w:szCs w:val="22"/>
        </w:rPr>
        <w:t xml:space="preserve">he </w:t>
      </w:r>
      <w:r>
        <w:rPr>
          <w:sz w:val="22"/>
          <w:szCs w:val="22"/>
        </w:rPr>
        <w:t>T</w:t>
      </w:r>
      <w:r w:rsidRPr="00B845D1">
        <w:rPr>
          <w:sz w:val="22"/>
          <w:szCs w:val="22"/>
        </w:rPr>
        <w:t>otal Murray</w:t>
      </w:r>
      <w:r>
        <w:rPr>
          <w:sz w:val="22"/>
          <w:szCs w:val="22"/>
        </w:rPr>
        <w:t xml:space="preserve"> P</w:t>
      </w:r>
      <w:r w:rsidRPr="00B845D1">
        <w:rPr>
          <w:sz w:val="22"/>
          <w:szCs w:val="22"/>
        </w:rPr>
        <w:t>opulations (</w:t>
      </w:r>
      <w:r>
        <w:rPr>
          <w:sz w:val="22"/>
          <w:szCs w:val="22"/>
        </w:rPr>
        <w:t>i.e. populations in the Murray River to Wentworth, and in the</w:t>
      </w:r>
      <w:r w:rsidRPr="00B845D1">
        <w:rPr>
          <w:sz w:val="22"/>
          <w:szCs w:val="22"/>
        </w:rPr>
        <w:t xml:space="preserve"> Edward River) </w:t>
      </w:r>
      <w:r>
        <w:rPr>
          <w:sz w:val="22"/>
          <w:szCs w:val="22"/>
        </w:rPr>
        <w:t>are</w:t>
      </w:r>
      <w:r w:rsidRPr="00B845D1">
        <w:rPr>
          <w:sz w:val="22"/>
          <w:szCs w:val="22"/>
        </w:rPr>
        <w:t xml:space="preserve"> shown in </w:t>
      </w:r>
      <w:r w:rsidRPr="00B845D1">
        <w:rPr>
          <w:sz w:val="22"/>
          <w:szCs w:val="22"/>
        </w:rPr>
        <w:fldChar w:fldCharType="begin"/>
      </w:r>
      <w:r w:rsidRPr="00B845D1">
        <w:rPr>
          <w:sz w:val="22"/>
          <w:szCs w:val="22"/>
        </w:rPr>
        <w:instrText xml:space="preserve"> REF _Ref104293090 \h </w:instrText>
      </w:r>
      <w:r>
        <w:rPr>
          <w:sz w:val="22"/>
          <w:szCs w:val="22"/>
        </w:rPr>
        <w:instrText xml:space="preserve"> \* MERGEFORMAT </w:instrText>
      </w:r>
      <w:r w:rsidRPr="00B845D1">
        <w:rPr>
          <w:sz w:val="22"/>
          <w:szCs w:val="22"/>
        </w:rPr>
      </w:r>
      <w:r w:rsidRPr="00B845D1">
        <w:rPr>
          <w:sz w:val="22"/>
          <w:szCs w:val="22"/>
        </w:rPr>
        <w:fldChar w:fldCharType="separate"/>
      </w:r>
      <w:r w:rsidR="005B672A" w:rsidRPr="005B672A">
        <w:rPr>
          <w:sz w:val="22"/>
          <w:szCs w:val="22"/>
        </w:rPr>
        <w:t xml:space="preserve">Figure </w:t>
      </w:r>
      <w:r w:rsidR="005B672A" w:rsidRPr="005B672A">
        <w:rPr>
          <w:noProof/>
          <w:sz w:val="22"/>
          <w:szCs w:val="22"/>
        </w:rPr>
        <w:t>19</w:t>
      </w:r>
      <w:r w:rsidRPr="00B845D1">
        <w:rPr>
          <w:sz w:val="22"/>
          <w:szCs w:val="22"/>
        </w:rPr>
        <w:fldChar w:fldCharType="end"/>
      </w:r>
      <w:r>
        <w:rPr>
          <w:sz w:val="22"/>
          <w:szCs w:val="22"/>
        </w:rPr>
        <w:t>;</w:t>
      </w:r>
      <w:r w:rsidRPr="00B845D1">
        <w:rPr>
          <w:sz w:val="22"/>
          <w:szCs w:val="22"/>
        </w:rPr>
        <w:t xml:space="preserve"> and </w:t>
      </w:r>
      <w:r>
        <w:rPr>
          <w:sz w:val="22"/>
          <w:szCs w:val="22"/>
        </w:rPr>
        <w:t>those for the T</w:t>
      </w:r>
      <w:r w:rsidRPr="00B845D1">
        <w:rPr>
          <w:sz w:val="22"/>
          <w:szCs w:val="22"/>
        </w:rPr>
        <w:t xml:space="preserve">otal Murrumbidgee </w:t>
      </w:r>
      <w:r>
        <w:rPr>
          <w:sz w:val="22"/>
          <w:szCs w:val="22"/>
        </w:rPr>
        <w:t>P</w:t>
      </w:r>
      <w:r w:rsidRPr="00B845D1">
        <w:rPr>
          <w:sz w:val="22"/>
          <w:szCs w:val="22"/>
        </w:rPr>
        <w:t xml:space="preserve">opulations </w:t>
      </w:r>
      <w:r>
        <w:rPr>
          <w:sz w:val="22"/>
          <w:szCs w:val="22"/>
        </w:rPr>
        <w:t>(i.e. populations in the Murrumbidgee River and Yanco Creek) are</w:t>
      </w:r>
      <w:r w:rsidRPr="00B845D1">
        <w:rPr>
          <w:sz w:val="22"/>
          <w:szCs w:val="22"/>
        </w:rPr>
        <w:t xml:space="preserve"> shown in </w:t>
      </w:r>
      <w:r w:rsidRPr="00B845D1">
        <w:rPr>
          <w:sz w:val="22"/>
          <w:szCs w:val="22"/>
        </w:rPr>
        <w:fldChar w:fldCharType="begin"/>
      </w:r>
      <w:r w:rsidRPr="00B845D1">
        <w:rPr>
          <w:sz w:val="22"/>
          <w:szCs w:val="22"/>
        </w:rPr>
        <w:instrText xml:space="preserve"> REF _Ref104293100 \h </w:instrText>
      </w:r>
      <w:r>
        <w:rPr>
          <w:sz w:val="22"/>
          <w:szCs w:val="22"/>
        </w:rPr>
        <w:instrText xml:space="preserve"> \* MERGEFORMAT </w:instrText>
      </w:r>
      <w:r w:rsidRPr="00B845D1">
        <w:rPr>
          <w:sz w:val="22"/>
          <w:szCs w:val="22"/>
        </w:rPr>
      </w:r>
      <w:r w:rsidRPr="00B845D1">
        <w:rPr>
          <w:sz w:val="22"/>
          <w:szCs w:val="22"/>
        </w:rPr>
        <w:fldChar w:fldCharType="separate"/>
      </w:r>
      <w:r w:rsidR="005B672A" w:rsidRPr="005B672A">
        <w:rPr>
          <w:sz w:val="22"/>
          <w:szCs w:val="22"/>
        </w:rPr>
        <w:t xml:space="preserve">Figure </w:t>
      </w:r>
      <w:r w:rsidR="005B672A" w:rsidRPr="005B672A">
        <w:rPr>
          <w:noProof/>
          <w:sz w:val="22"/>
          <w:szCs w:val="22"/>
        </w:rPr>
        <w:t>20</w:t>
      </w:r>
      <w:r w:rsidRPr="00B845D1">
        <w:rPr>
          <w:sz w:val="22"/>
          <w:szCs w:val="22"/>
        </w:rPr>
        <w:fldChar w:fldCharType="end"/>
      </w:r>
      <w:r w:rsidRPr="00B845D1">
        <w:rPr>
          <w:sz w:val="22"/>
          <w:szCs w:val="22"/>
        </w:rPr>
        <w:t>.</w:t>
      </w:r>
      <w:r>
        <w:rPr>
          <w:sz w:val="22"/>
          <w:szCs w:val="22"/>
        </w:rPr>
        <w:t xml:space="preserve"> These aggregated results generally show the Base case mean population size to be less than that in all other scenario options, and that Option 4 </w:t>
      </w:r>
      <w:r w:rsidRPr="00177CFF">
        <w:rPr>
          <w:sz w:val="22"/>
          <w:szCs w:val="22"/>
          <w:lang w:val="en-US"/>
        </w:rPr>
        <w:t xml:space="preserve">provides the greatest benefits to </w:t>
      </w:r>
      <w:r>
        <w:rPr>
          <w:sz w:val="22"/>
          <w:szCs w:val="22"/>
          <w:lang w:val="en-US"/>
        </w:rPr>
        <w:t>Golden Perch at these aggregated spatial scales</w:t>
      </w:r>
      <w:r>
        <w:rPr>
          <w:sz w:val="22"/>
          <w:szCs w:val="22"/>
        </w:rPr>
        <w:t>.</w:t>
      </w:r>
      <w:r w:rsidRPr="00B845D1">
        <w:rPr>
          <w:sz w:val="22"/>
          <w:szCs w:val="22"/>
        </w:rPr>
        <w:t xml:space="preserve"> </w:t>
      </w:r>
      <w:r>
        <w:rPr>
          <w:sz w:val="22"/>
          <w:szCs w:val="22"/>
        </w:rPr>
        <w:t>The o</w:t>
      </w:r>
      <w:r w:rsidRPr="00B845D1">
        <w:rPr>
          <w:sz w:val="22"/>
          <w:szCs w:val="22"/>
        </w:rPr>
        <w:t xml:space="preserve">utputs for the RRCP individual </w:t>
      </w:r>
      <w:r w:rsidRPr="00177CFF">
        <w:rPr>
          <w:sz w:val="22"/>
          <w:szCs w:val="22"/>
        </w:rPr>
        <w:t xml:space="preserve">reaches are included in </w:t>
      </w:r>
      <w:r w:rsidRPr="00177CFF">
        <w:rPr>
          <w:sz w:val="22"/>
          <w:szCs w:val="22"/>
        </w:rPr>
        <w:fldChar w:fldCharType="begin"/>
      </w:r>
      <w:r w:rsidRPr="00177CFF">
        <w:rPr>
          <w:sz w:val="22"/>
          <w:szCs w:val="22"/>
        </w:rPr>
        <w:instrText xml:space="preserve"> REF _Ref104293118 \h  \* MERGEFORMAT </w:instrText>
      </w:r>
      <w:r w:rsidRPr="00177CFF">
        <w:rPr>
          <w:sz w:val="22"/>
          <w:szCs w:val="22"/>
        </w:rPr>
      </w:r>
      <w:r w:rsidRPr="00177CFF">
        <w:rPr>
          <w:sz w:val="22"/>
          <w:szCs w:val="22"/>
        </w:rPr>
        <w:fldChar w:fldCharType="separate"/>
      </w:r>
      <w:r w:rsidR="005B672A" w:rsidRPr="005B672A">
        <w:rPr>
          <w:sz w:val="22"/>
          <w:szCs w:val="22"/>
        </w:rPr>
        <w:t xml:space="preserve">Figure </w:t>
      </w:r>
      <w:r w:rsidR="005B672A" w:rsidRPr="005B672A">
        <w:rPr>
          <w:noProof/>
          <w:sz w:val="22"/>
          <w:szCs w:val="22"/>
        </w:rPr>
        <w:t>21</w:t>
      </w:r>
      <w:r w:rsidRPr="00177CFF">
        <w:rPr>
          <w:sz w:val="22"/>
          <w:szCs w:val="22"/>
        </w:rPr>
        <w:fldChar w:fldCharType="end"/>
      </w:r>
      <w:r w:rsidRPr="00177CFF">
        <w:rPr>
          <w:sz w:val="22"/>
          <w:szCs w:val="22"/>
        </w:rPr>
        <w:t>–</w:t>
      </w:r>
      <w:r w:rsidRPr="00177CFF">
        <w:rPr>
          <w:sz w:val="22"/>
          <w:szCs w:val="22"/>
        </w:rPr>
        <w:fldChar w:fldCharType="begin"/>
      </w:r>
      <w:r w:rsidRPr="00177CFF">
        <w:rPr>
          <w:sz w:val="22"/>
          <w:szCs w:val="22"/>
        </w:rPr>
        <w:instrText xml:space="preserve"> REF _Ref104293146 \h  \* MERGEFORMAT </w:instrText>
      </w:r>
      <w:r w:rsidRPr="00177CFF">
        <w:rPr>
          <w:sz w:val="22"/>
          <w:szCs w:val="22"/>
        </w:rPr>
      </w:r>
      <w:r w:rsidRPr="00177CFF">
        <w:rPr>
          <w:sz w:val="22"/>
          <w:szCs w:val="22"/>
        </w:rPr>
        <w:fldChar w:fldCharType="separate"/>
      </w:r>
      <w:r w:rsidR="005B672A" w:rsidRPr="005B672A">
        <w:rPr>
          <w:noProof/>
          <w:sz w:val="22"/>
          <w:szCs w:val="22"/>
        </w:rPr>
        <w:t>Figure</w:t>
      </w:r>
      <w:r w:rsidR="005B672A" w:rsidRPr="00DD7D8C">
        <w:t xml:space="preserve"> </w:t>
      </w:r>
      <w:r w:rsidR="005B672A">
        <w:rPr>
          <w:noProof/>
        </w:rPr>
        <w:t>26</w:t>
      </w:r>
      <w:r w:rsidRPr="00177CFF">
        <w:rPr>
          <w:sz w:val="22"/>
          <w:szCs w:val="22"/>
        </w:rPr>
        <w:fldChar w:fldCharType="end"/>
      </w:r>
      <w:r w:rsidRPr="00177CFF">
        <w:rPr>
          <w:sz w:val="22"/>
          <w:szCs w:val="22"/>
        </w:rPr>
        <w:t xml:space="preserve">. </w:t>
      </w:r>
      <w:r w:rsidRPr="00177CFF">
        <w:rPr>
          <w:sz w:val="22"/>
          <w:szCs w:val="22"/>
          <w:lang w:val="en-US"/>
        </w:rPr>
        <w:t xml:space="preserve">Option 4 </w:t>
      </w:r>
      <w:r>
        <w:rPr>
          <w:sz w:val="22"/>
          <w:szCs w:val="22"/>
          <w:lang w:val="en-US"/>
        </w:rPr>
        <w:t>present</w:t>
      </w:r>
      <w:r w:rsidRPr="00177CFF">
        <w:rPr>
          <w:sz w:val="22"/>
          <w:szCs w:val="22"/>
          <w:lang w:val="en-US"/>
        </w:rPr>
        <w:t xml:space="preserve">s as the flow option that provides the greatest benefits to </w:t>
      </w:r>
      <w:r>
        <w:rPr>
          <w:sz w:val="22"/>
          <w:szCs w:val="22"/>
          <w:lang w:val="en-US"/>
        </w:rPr>
        <w:t>Golden Perch</w:t>
      </w:r>
      <w:r w:rsidRPr="00177CFF">
        <w:rPr>
          <w:sz w:val="22"/>
          <w:szCs w:val="22"/>
          <w:lang w:val="en-US"/>
        </w:rPr>
        <w:t xml:space="preserve"> populations in most</w:t>
      </w:r>
      <w:r w:rsidRPr="00B845D1">
        <w:rPr>
          <w:sz w:val="22"/>
          <w:szCs w:val="22"/>
          <w:lang w:val="en-US"/>
        </w:rPr>
        <w:t xml:space="preserve"> reaches. The exception is the </w:t>
      </w:r>
      <w:r>
        <w:rPr>
          <w:sz w:val="22"/>
          <w:szCs w:val="22"/>
          <w:lang w:val="en-US"/>
        </w:rPr>
        <w:t>u</w:t>
      </w:r>
      <w:r w:rsidRPr="00B845D1">
        <w:rPr>
          <w:sz w:val="22"/>
          <w:szCs w:val="22"/>
          <w:lang w:val="en-US"/>
        </w:rPr>
        <w:t xml:space="preserve">pper Murrumbidgee River </w:t>
      </w:r>
      <w:r>
        <w:rPr>
          <w:sz w:val="22"/>
          <w:szCs w:val="22"/>
          <w:lang w:val="en-US"/>
        </w:rPr>
        <w:t xml:space="preserve">(Gundagai to Hay), </w:t>
      </w:r>
      <w:r w:rsidRPr="00B845D1">
        <w:rPr>
          <w:sz w:val="22"/>
          <w:szCs w:val="22"/>
          <w:lang w:val="en-US"/>
        </w:rPr>
        <w:t xml:space="preserve">where Option 3 is </w:t>
      </w:r>
      <w:r>
        <w:rPr>
          <w:sz w:val="22"/>
          <w:szCs w:val="22"/>
          <w:lang w:val="en-US"/>
        </w:rPr>
        <w:t xml:space="preserve">the </w:t>
      </w:r>
      <w:r w:rsidRPr="00B845D1">
        <w:rPr>
          <w:sz w:val="22"/>
          <w:szCs w:val="22"/>
          <w:lang w:val="en-US"/>
        </w:rPr>
        <w:t>best (</w:t>
      </w:r>
      <w:r w:rsidRPr="00B845D1">
        <w:rPr>
          <w:sz w:val="22"/>
          <w:szCs w:val="22"/>
          <w:lang w:val="en-US"/>
        </w:rPr>
        <w:fldChar w:fldCharType="begin"/>
      </w:r>
      <w:r w:rsidRPr="00B845D1">
        <w:rPr>
          <w:sz w:val="22"/>
          <w:szCs w:val="22"/>
          <w:lang w:val="en-US"/>
        </w:rPr>
        <w:instrText xml:space="preserve"> REF _Ref104293146 \h </w:instrText>
      </w:r>
      <w:r>
        <w:rPr>
          <w:sz w:val="22"/>
          <w:szCs w:val="22"/>
          <w:lang w:val="en-US"/>
        </w:rPr>
        <w:instrText xml:space="preserve"> \* MERGEFORMAT </w:instrText>
      </w:r>
      <w:r w:rsidRPr="00B845D1">
        <w:rPr>
          <w:sz w:val="22"/>
          <w:szCs w:val="22"/>
          <w:lang w:val="en-US"/>
        </w:rPr>
      </w:r>
      <w:r w:rsidRPr="00B845D1">
        <w:rPr>
          <w:sz w:val="22"/>
          <w:szCs w:val="22"/>
          <w:lang w:val="en-US"/>
        </w:rPr>
        <w:fldChar w:fldCharType="separate"/>
      </w:r>
      <w:r w:rsidR="005B672A" w:rsidRPr="005B672A">
        <w:rPr>
          <w:sz w:val="22"/>
          <w:szCs w:val="22"/>
        </w:rPr>
        <w:t xml:space="preserve">Figure </w:t>
      </w:r>
      <w:r w:rsidR="005B672A" w:rsidRPr="005B672A">
        <w:rPr>
          <w:noProof/>
          <w:sz w:val="22"/>
          <w:szCs w:val="22"/>
        </w:rPr>
        <w:t>26</w:t>
      </w:r>
      <w:r w:rsidRPr="00B845D1">
        <w:rPr>
          <w:sz w:val="22"/>
          <w:szCs w:val="22"/>
          <w:lang w:val="en-US"/>
        </w:rPr>
        <w:fldChar w:fldCharType="end"/>
      </w:r>
      <w:r w:rsidRPr="00B845D1">
        <w:rPr>
          <w:sz w:val="22"/>
          <w:szCs w:val="22"/>
          <w:lang w:val="en-US"/>
        </w:rPr>
        <w:t>)</w:t>
      </w:r>
      <w:r>
        <w:rPr>
          <w:sz w:val="22"/>
          <w:szCs w:val="22"/>
          <w:lang w:val="en-US"/>
        </w:rPr>
        <w:t>. Note that t</w:t>
      </w:r>
      <w:r w:rsidRPr="00B845D1">
        <w:rPr>
          <w:sz w:val="22"/>
          <w:szCs w:val="22"/>
          <w:lang w:val="en-US"/>
        </w:rPr>
        <w:t xml:space="preserve">here </w:t>
      </w:r>
      <w:r>
        <w:rPr>
          <w:sz w:val="22"/>
          <w:szCs w:val="22"/>
          <w:lang w:val="en-US"/>
        </w:rPr>
        <w:t>i</w:t>
      </w:r>
      <w:r w:rsidRPr="00B845D1">
        <w:rPr>
          <w:sz w:val="22"/>
          <w:szCs w:val="22"/>
          <w:lang w:val="en-US"/>
        </w:rPr>
        <w:t>s no recruitment in th</w:t>
      </w:r>
      <w:r>
        <w:rPr>
          <w:sz w:val="22"/>
          <w:szCs w:val="22"/>
          <w:lang w:val="en-US"/>
        </w:rPr>
        <w:t>at</w:t>
      </w:r>
      <w:r w:rsidRPr="00B845D1">
        <w:rPr>
          <w:sz w:val="22"/>
          <w:szCs w:val="22"/>
          <w:lang w:val="en-US"/>
        </w:rPr>
        <w:t xml:space="preserve"> </w:t>
      </w:r>
      <w:r>
        <w:rPr>
          <w:sz w:val="22"/>
          <w:szCs w:val="22"/>
          <w:lang w:val="en-US"/>
        </w:rPr>
        <w:t>reach, with populations likely maintained by immigration</w:t>
      </w:r>
      <w:r w:rsidRPr="00B845D1">
        <w:rPr>
          <w:sz w:val="22"/>
          <w:szCs w:val="22"/>
          <w:lang w:val="en-US"/>
        </w:rPr>
        <w:t xml:space="preserve"> </w:t>
      </w:r>
      <w:r>
        <w:rPr>
          <w:sz w:val="22"/>
          <w:szCs w:val="22"/>
          <w:lang w:val="en-US"/>
        </w:rPr>
        <w:t>(</w:t>
      </w:r>
      <w:r w:rsidRPr="00B845D1">
        <w:rPr>
          <w:sz w:val="22"/>
          <w:szCs w:val="22"/>
          <w:lang w:val="en-US"/>
        </w:rPr>
        <w:t xml:space="preserve">see </w:t>
      </w:r>
      <w:r>
        <w:rPr>
          <w:sz w:val="22"/>
          <w:szCs w:val="22"/>
          <w:lang w:val="en-US"/>
        </w:rPr>
        <w:t>the Gundagai to Hay</w:t>
      </w:r>
      <w:r w:rsidRPr="00B845D1">
        <w:rPr>
          <w:sz w:val="22"/>
          <w:szCs w:val="22"/>
          <w:lang w:val="en-US"/>
        </w:rPr>
        <w:t xml:space="preserve"> 1</w:t>
      </w:r>
      <w:r>
        <w:rPr>
          <w:sz w:val="22"/>
          <w:szCs w:val="22"/>
          <w:lang w:val="en-US"/>
        </w:rPr>
        <w:t>-</w:t>
      </w:r>
      <w:r w:rsidRPr="00B845D1">
        <w:rPr>
          <w:sz w:val="22"/>
          <w:szCs w:val="22"/>
          <w:lang w:val="en-US"/>
        </w:rPr>
        <w:t>y</w:t>
      </w:r>
      <w:r>
        <w:rPr>
          <w:sz w:val="22"/>
          <w:szCs w:val="22"/>
          <w:lang w:val="en-US"/>
        </w:rPr>
        <w:t>ear-old population output</w:t>
      </w:r>
      <w:r w:rsidRPr="00B845D1">
        <w:rPr>
          <w:sz w:val="22"/>
          <w:szCs w:val="22"/>
          <w:lang w:val="en-US"/>
        </w:rPr>
        <w:t xml:space="preserve"> </w:t>
      </w:r>
      <w:r>
        <w:rPr>
          <w:sz w:val="22"/>
          <w:szCs w:val="22"/>
          <w:lang w:val="en-US"/>
        </w:rPr>
        <w:t xml:space="preserve">in </w:t>
      </w:r>
      <w:r w:rsidRPr="00B845D1">
        <w:rPr>
          <w:sz w:val="22"/>
          <w:szCs w:val="22"/>
          <w:lang w:val="en-US"/>
        </w:rPr>
        <w:t>Appendix 3).</w:t>
      </w:r>
    </w:p>
    <w:p w14:paraId="71C3C3A3" w14:textId="2B8B9286" w:rsidR="00491210" w:rsidRPr="00B845D1" w:rsidRDefault="00EE200C" w:rsidP="00F36D2D">
      <w:pPr>
        <w:spacing w:after="0"/>
        <w:rPr>
          <w:sz w:val="22"/>
          <w:szCs w:val="22"/>
          <w:lang w:val="en-US"/>
        </w:rPr>
      </w:pPr>
      <w:r>
        <w:rPr>
          <w:sz w:val="22"/>
          <w:szCs w:val="22"/>
          <w:lang w:val="en-US"/>
        </w:rPr>
        <w:br w:type="page"/>
      </w:r>
    </w:p>
    <w:p w14:paraId="11FEFD9E" w14:textId="57257C10" w:rsidR="00491210" w:rsidRDefault="003E1401" w:rsidP="00F36D2D">
      <w:pPr>
        <w:spacing w:after="0"/>
        <w:jc w:val="center"/>
      </w:pPr>
      <w:r>
        <w:rPr>
          <w:noProof/>
          <w:lang w:eastAsia="en-AU"/>
        </w:rPr>
        <w:lastRenderedPageBreak/>
        <w:t xml:space="preserve"> </w:t>
      </w:r>
    </w:p>
    <w:p w14:paraId="3EBD4000" w14:textId="5103EBD4" w:rsidR="00491210" w:rsidRDefault="003E1401" w:rsidP="00F36D2D">
      <w:pPr>
        <w:spacing w:after="0"/>
        <w:jc w:val="center"/>
      </w:pPr>
      <w:r>
        <w:rPr>
          <w:noProof/>
          <w:lang w:eastAsia="en-AU"/>
        </w:rPr>
        <w:t xml:space="preserve"> </w:t>
      </w:r>
    </w:p>
    <w:p w14:paraId="33CE8B17" w14:textId="71DF0FE8" w:rsidR="00491210" w:rsidRDefault="003E1401" w:rsidP="00F36D2D">
      <w:pPr>
        <w:spacing w:after="0"/>
        <w:jc w:val="center"/>
      </w:pPr>
      <w:r>
        <w:rPr>
          <w:noProof/>
          <w:lang w:eastAsia="en-AU"/>
        </w:rPr>
        <w:t xml:space="preserve"> </w:t>
      </w:r>
    </w:p>
    <w:p w14:paraId="7D6ADC81" w14:textId="58231E12" w:rsidR="00491210" w:rsidRPr="00EA2CBF" w:rsidRDefault="00EE200C" w:rsidP="00F602FE">
      <w:pPr>
        <w:pStyle w:val="Caption-Figure"/>
      </w:pPr>
      <w:bookmarkStart w:id="119" w:name="_Ref104292857"/>
      <w:bookmarkStart w:id="120" w:name="_Toc116994987"/>
      <w:r w:rsidRPr="00DD7D8C">
        <w:t xml:space="preserve">Figure </w:t>
      </w:r>
      <w:r>
        <w:fldChar w:fldCharType="begin"/>
      </w:r>
      <w:r>
        <w:instrText>SEQ Figure \* ARABIC</w:instrText>
      </w:r>
      <w:r>
        <w:fldChar w:fldCharType="separate"/>
      </w:r>
      <w:r w:rsidR="005B672A">
        <w:rPr>
          <w:noProof/>
        </w:rPr>
        <w:t>18</w:t>
      </w:r>
      <w:r>
        <w:fldChar w:fldCharType="end"/>
      </w:r>
      <w:bookmarkEnd w:id="119"/>
      <w:r w:rsidRPr="00DD7D8C">
        <w:t xml:space="preserve">. Modelled Golden Perch </w:t>
      </w:r>
      <w:r>
        <w:t xml:space="preserve">adult </w:t>
      </w:r>
      <w:r w:rsidRPr="00DD7D8C">
        <w:t>population</w:t>
      </w:r>
      <w:r>
        <w:t>s</w:t>
      </w:r>
      <w:r w:rsidRPr="00DD7D8C">
        <w:t xml:space="preserve"> </w:t>
      </w:r>
      <w:r>
        <w:t xml:space="preserve">aggregated </w:t>
      </w:r>
      <w:r w:rsidRPr="00DD7D8C">
        <w:t>across all</w:t>
      </w:r>
      <w:r>
        <w:t xml:space="preserve"> modelled RRCP</w:t>
      </w:r>
      <w:r w:rsidRPr="00DD7D8C">
        <w:t xml:space="preserve"> </w:t>
      </w:r>
      <w:r>
        <w:t xml:space="preserve">focal zones, together with the Wakool Junction to Wentworth reach, </w:t>
      </w:r>
      <w:r w:rsidRPr="7ADEDDC3">
        <w:t>for</w:t>
      </w:r>
      <w:r>
        <w:t xml:space="preserve"> the </w:t>
      </w:r>
      <w:bookmarkStart w:id="121" w:name="_Hlk104151207"/>
      <w:r>
        <w:t>RRCP flow scenarios</w:t>
      </w:r>
      <w:r w:rsidRPr="7ADEDDC3">
        <w:t xml:space="preserve"> </w:t>
      </w:r>
      <w:r>
        <w:t>Base case</w:t>
      </w:r>
      <w:r w:rsidRPr="7ADEDDC3">
        <w:t xml:space="preserve"> </w:t>
      </w:r>
      <w:bookmarkStart w:id="122" w:name="_Hlk104293212"/>
      <w:r w:rsidRPr="7ADEDDC3">
        <w:t>–</w:t>
      </w:r>
      <w:bookmarkEnd w:id="122"/>
      <w:r w:rsidRPr="7ADEDDC3">
        <w:t xml:space="preserve"> </w:t>
      </w:r>
      <w:r>
        <w:t>Option 4</w:t>
      </w:r>
      <w:bookmarkEnd w:id="121"/>
      <w:r w:rsidRPr="00EA2CBF">
        <w:t>. Top panel: mean adult population size through time</w:t>
      </w:r>
      <w:r w:rsidRPr="00FD6875">
        <w:t>.</w:t>
      </w:r>
      <w:r w:rsidRPr="00EA2CBF">
        <w:t xml:space="preserve"> Middle panel: associated distribution of the mean </w:t>
      </w:r>
      <w:r w:rsidRPr="00FD6875">
        <w:t xml:space="preserve">adult </w:t>
      </w:r>
      <w:r w:rsidRPr="00EA2CBF">
        <w:t>population sizes</w:t>
      </w:r>
      <w:r w:rsidRPr="00FD6875">
        <w:t>.</w:t>
      </w:r>
      <w:r w:rsidRPr="00EA2CBF">
        <w:t xml:space="preserve"> Bottom panel: expected mean </w:t>
      </w:r>
      <w:r w:rsidRPr="00FD6875">
        <w:t xml:space="preserve">adult </w:t>
      </w:r>
      <w:r w:rsidRPr="00EA2CBF">
        <w:t>population size</w:t>
      </w:r>
      <w:r w:rsidRPr="00FD6875">
        <w:t>,</w:t>
      </w:r>
      <w:r w:rsidRPr="00EA2CBF">
        <w:t xml:space="preserve"> with </w:t>
      </w:r>
      <w:r w:rsidRPr="00FD6875">
        <w:t>the percentage</w:t>
      </w:r>
      <w:r w:rsidRPr="00EA2CBF">
        <w:t xml:space="preserve"> change from Base case shown in each bar.</w:t>
      </w:r>
      <w:bookmarkEnd w:id="120"/>
    </w:p>
    <w:p w14:paraId="03C7AA82" w14:textId="56B0E548" w:rsidR="00491210" w:rsidRDefault="003E1401" w:rsidP="00F36D2D">
      <w:pPr>
        <w:spacing w:after="0"/>
        <w:jc w:val="center"/>
        <w:rPr>
          <w:lang w:val="en-US"/>
        </w:rPr>
      </w:pPr>
      <w:r>
        <w:rPr>
          <w:noProof/>
          <w:lang w:eastAsia="en-AU"/>
        </w:rPr>
        <w:t xml:space="preserve"> </w:t>
      </w:r>
    </w:p>
    <w:p w14:paraId="743D8C30" w14:textId="7CFB0942" w:rsidR="00491210" w:rsidRDefault="003E1401" w:rsidP="00F36D2D">
      <w:pPr>
        <w:spacing w:after="0"/>
        <w:jc w:val="center"/>
        <w:rPr>
          <w:lang w:val="en-US"/>
        </w:rPr>
      </w:pPr>
      <w:r>
        <w:rPr>
          <w:noProof/>
          <w:lang w:eastAsia="en-AU"/>
        </w:rPr>
        <w:t xml:space="preserve"> </w:t>
      </w:r>
    </w:p>
    <w:p w14:paraId="450BCF46" w14:textId="05468389" w:rsidR="00491210" w:rsidRDefault="003E1401" w:rsidP="00F36D2D">
      <w:pPr>
        <w:spacing w:after="0"/>
        <w:jc w:val="center"/>
        <w:rPr>
          <w:lang w:val="en-US"/>
        </w:rPr>
      </w:pPr>
      <w:r>
        <w:rPr>
          <w:noProof/>
          <w:lang w:eastAsia="en-AU"/>
        </w:rPr>
        <w:t xml:space="preserve"> </w:t>
      </w:r>
    </w:p>
    <w:p w14:paraId="4DA5EEE1" w14:textId="0222AFAB" w:rsidR="00491210" w:rsidRPr="00EA2CBF" w:rsidRDefault="00EE200C" w:rsidP="00F602FE">
      <w:pPr>
        <w:pStyle w:val="Caption-Figure"/>
      </w:pPr>
      <w:bookmarkStart w:id="123" w:name="_Ref104293090"/>
      <w:bookmarkStart w:id="124" w:name="_Toc116994988"/>
      <w:r w:rsidRPr="00DD7D8C">
        <w:t xml:space="preserve">Figure </w:t>
      </w:r>
      <w:r>
        <w:fldChar w:fldCharType="begin"/>
      </w:r>
      <w:r>
        <w:instrText>SEQ Figure \* ARABIC</w:instrText>
      </w:r>
      <w:r>
        <w:fldChar w:fldCharType="separate"/>
      </w:r>
      <w:r w:rsidR="005B672A">
        <w:rPr>
          <w:noProof/>
        </w:rPr>
        <w:t>19</w:t>
      </w:r>
      <w:r>
        <w:fldChar w:fldCharType="end"/>
      </w:r>
      <w:bookmarkEnd w:id="123"/>
      <w:r w:rsidRPr="00DD7D8C">
        <w:t xml:space="preserve">. Modelled Golden Perch </w:t>
      </w:r>
      <w:r>
        <w:t xml:space="preserve">adult </w:t>
      </w:r>
      <w:r w:rsidRPr="00DD7D8C">
        <w:t>population</w:t>
      </w:r>
      <w:r>
        <w:t>s</w:t>
      </w:r>
      <w:r w:rsidRPr="00DD7D8C">
        <w:t xml:space="preserve"> </w:t>
      </w:r>
      <w:r>
        <w:t xml:space="preserve">aggregated </w:t>
      </w:r>
      <w:r w:rsidRPr="00DD7D8C">
        <w:t xml:space="preserve">across </w:t>
      </w:r>
      <w:r>
        <w:t>the Murray River RRCP</w:t>
      </w:r>
      <w:r w:rsidRPr="00DD7D8C">
        <w:t xml:space="preserve"> </w:t>
      </w:r>
      <w:r>
        <w:t>focal zones</w:t>
      </w:r>
      <w:r w:rsidRPr="00DD7D8C">
        <w:t xml:space="preserve"> </w:t>
      </w:r>
      <w:r>
        <w:t>(including the Edward River),</w:t>
      </w:r>
      <w:r w:rsidRPr="006B0ECF">
        <w:t xml:space="preserve"> </w:t>
      </w:r>
      <w:r>
        <w:t xml:space="preserve">together with the Wakool Junction to Wentworth reach, </w:t>
      </w:r>
      <w:r w:rsidRPr="7ADEDDC3">
        <w:t xml:space="preserve">for the </w:t>
      </w:r>
      <w:r>
        <w:t>RRCP flow scenarios</w:t>
      </w:r>
      <w:r w:rsidRPr="7ADEDDC3">
        <w:t xml:space="preserve"> </w:t>
      </w:r>
      <w:r>
        <w:t>Base case</w:t>
      </w:r>
      <w:r w:rsidRPr="7ADEDDC3">
        <w:t xml:space="preserve"> – </w:t>
      </w:r>
      <w:r>
        <w:t>Option 4</w:t>
      </w:r>
      <w:r w:rsidRPr="00EA2CBF">
        <w:t>. Top panel: mean adult population size through time</w:t>
      </w:r>
      <w:r w:rsidRPr="00FD6875">
        <w:t>.</w:t>
      </w:r>
      <w:r w:rsidRPr="00EA2CBF">
        <w:t xml:space="preserve"> Middle panel: associated distribution of the mean </w:t>
      </w:r>
      <w:r w:rsidRPr="00FD6875">
        <w:t xml:space="preserve">adult </w:t>
      </w:r>
      <w:r w:rsidRPr="00EA2CBF">
        <w:t>population sizes</w:t>
      </w:r>
      <w:r w:rsidRPr="00FD6875">
        <w:t>.</w:t>
      </w:r>
      <w:r w:rsidRPr="00EA2CBF">
        <w:t xml:space="preserve"> Bottom panel: expected mean </w:t>
      </w:r>
      <w:r w:rsidRPr="00FD6875">
        <w:t xml:space="preserve">adult </w:t>
      </w:r>
      <w:r w:rsidRPr="00EA2CBF">
        <w:t>population size</w:t>
      </w:r>
      <w:r w:rsidRPr="00FD6875">
        <w:t>,</w:t>
      </w:r>
      <w:r w:rsidRPr="00EA2CBF">
        <w:t xml:space="preserve"> with </w:t>
      </w:r>
      <w:r w:rsidRPr="00FD6875">
        <w:t>the percentage</w:t>
      </w:r>
      <w:r w:rsidRPr="00EA2CBF">
        <w:t xml:space="preserve"> change from Base case shown in each bar.</w:t>
      </w:r>
      <w:bookmarkEnd w:id="124"/>
    </w:p>
    <w:p w14:paraId="3E40F69A" w14:textId="53973CB9" w:rsidR="00491210" w:rsidRDefault="003E1401" w:rsidP="00F36D2D">
      <w:pPr>
        <w:spacing w:after="0"/>
        <w:jc w:val="center"/>
      </w:pPr>
      <w:r>
        <w:rPr>
          <w:noProof/>
          <w:lang w:eastAsia="en-AU"/>
        </w:rPr>
        <w:t xml:space="preserve"> </w:t>
      </w:r>
    </w:p>
    <w:p w14:paraId="2A506EDC" w14:textId="0E0F455C" w:rsidR="00491210" w:rsidRDefault="003E1401" w:rsidP="00F36D2D">
      <w:pPr>
        <w:spacing w:after="0"/>
        <w:jc w:val="center"/>
      </w:pPr>
      <w:r>
        <w:rPr>
          <w:noProof/>
          <w:lang w:eastAsia="en-AU"/>
        </w:rPr>
        <w:t xml:space="preserve"> </w:t>
      </w:r>
    </w:p>
    <w:p w14:paraId="78516D87" w14:textId="2D24823A" w:rsidR="00491210" w:rsidRDefault="003E1401" w:rsidP="00F36D2D">
      <w:pPr>
        <w:spacing w:after="0"/>
        <w:jc w:val="center"/>
      </w:pPr>
      <w:r>
        <w:rPr>
          <w:noProof/>
          <w:lang w:eastAsia="en-AU"/>
        </w:rPr>
        <w:t xml:space="preserve"> </w:t>
      </w:r>
    </w:p>
    <w:p w14:paraId="4BC9620E" w14:textId="49132EFA" w:rsidR="00491210" w:rsidRPr="00EA2CBF" w:rsidRDefault="00EE200C" w:rsidP="003C2907">
      <w:pPr>
        <w:pStyle w:val="Caption-Figure"/>
      </w:pPr>
      <w:bookmarkStart w:id="125" w:name="_Ref104293100"/>
      <w:bookmarkStart w:id="126" w:name="_Toc116994989"/>
      <w:r w:rsidRPr="00DD7D8C">
        <w:t xml:space="preserve">Figure </w:t>
      </w:r>
      <w:r>
        <w:fldChar w:fldCharType="begin"/>
      </w:r>
      <w:r>
        <w:instrText>SEQ Figure \* ARABIC</w:instrText>
      </w:r>
      <w:r>
        <w:fldChar w:fldCharType="separate"/>
      </w:r>
      <w:r w:rsidR="005B672A">
        <w:rPr>
          <w:noProof/>
        </w:rPr>
        <w:t>20</w:t>
      </w:r>
      <w:r>
        <w:fldChar w:fldCharType="end"/>
      </w:r>
      <w:bookmarkEnd w:id="125"/>
      <w:r w:rsidRPr="00DD7D8C">
        <w:t xml:space="preserve">. Modelled Golden Perch </w:t>
      </w:r>
      <w:r>
        <w:t xml:space="preserve">adult </w:t>
      </w:r>
      <w:r w:rsidRPr="00DD7D8C">
        <w:t>population</w:t>
      </w:r>
      <w:r>
        <w:t>s</w:t>
      </w:r>
      <w:r w:rsidRPr="00DD7D8C">
        <w:t xml:space="preserve"> </w:t>
      </w:r>
      <w:r>
        <w:t xml:space="preserve">aggregated </w:t>
      </w:r>
      <w:r w:rsidRPr="00DD7D8C">
        <w:t xml:space="preserve">across </w:t>
      </w:r>
      <w:r>
        <w:t>the Murrumbidgee River RRCP</w:t>
      </w:r>
      <w:r w:rsidRPr="00DD7D8C">
        <w:t xml:space="preserve"> </w:t>
      </w:r>
      <w:r>
        <w:t>focal area</w:t>
      </w:r>
      <w:r w:rsidRPr="00DD7D8C">
        <w:t xml:space="preserve"> </w:t>
      </w:r>
      <w:r w:rsidRPr="7ADEDDC3">
        <w:t xml:space="preserve">for the </w:t>
      </w:r>
      <w:r>
        <w:t>RRCP flow scenarios</w:t>
      </w:r>
      <w:r w:rsidRPr="7ADEDDC3">
        <w:t xml:space="preserve"> </w:t>
      </w:r>
      <w:r>
        <w:t>Base case</w:t>
      </w:r>
      <w:r w:rsidRPr="7ADEDDC3">
        <w:t xml:space="preserve"> – </w:t>
      </w:r>
      <w:r>
        <w:t>Option 4</w:t>
      </w:r>
      <w:r w:rsidRPr="00EA2CBF">
        <w:t xml:space="preserve">. Top panel: mean adult population size through time. Middle panel: associated distribution of the mean adult population sizes. Bottom panel: expected mean adult population size, with </w:t>
      </w:r>
      <w:r w:rsidRPr="00FD6875">
        <w:t xml:space="preserve">the </w:t>
      </w:r>
      <w:r w:rsidRPr="00EA2CBF">
        <w:t>percentage change from Base case shown in each bar.</w:t>
      </w:r>
      <w:bookmarkEnd w:id="126"/>
    </w:p>
    <w:p w14:paraId="13416585" w14:textId="081770D6" w:rsidR="00491210" w:rsidRDefault="003E1401" w:rsidP="00F36D2D">
      <w:pPr>
        <w:spacing w:after="0"/>
        <w:jc w:val="center"/>
        <w:rPr>
          <w:noProof/>
        </w:rPr>
      </w:pPr>
      <w:r>
        <w:rPr>
          <w:noProof/>
          <w:lang w:eastAsia="en-AU"/>
        </w:rPr>
        <w:t xml:space="preserve"> </w:t>
      </w:r>
    </w:p>
    <w:p w14:paraId="59C65383" w14:textId="5A1A9B14" w:rsidR="00491210" w:rsidRDefault="003E1401" w:rsidP="00F36D2D">
      <w:pPr>
        <w:spacing w:after="0"/>
        <w:jc w:val="center"/>
        <w:rPr>
          <w:noProof/>
        </w:rPr>
      </w:pPr>
      <w:r>
        <w:rPr>
          <w:noProof/>
          <w:lang w:eastAsia="en-AU"/>
        </w:rPr>
        <w:t xml:space="preserve"> </w:t>
      </w:r>
    </w:p>
    <w:p w14:paraId="2C0D852E" w14:textId="6AC853D5" w:rsidR="00491210" w:rsidRPr="00EA2CBF" w:rsidRDefault="00EE200C" w:rsidP="00F602FE">
      <w:pPr>
        <w:pStyle w:val="Caption-Figure"/>
      </w:pPr>
      <w:bookmarkStart w:id="127" w:name="_Ref104293118"/>
      <w:bookmarkStart w:id="128" w:name="_Toc116994990"/>
      <w:r w:rsidRPr="00DD7D8C">
        <w:t xml:space="preserve">Figure </w:t>
      </w:r>
      <w:r>
        <w:fldChar w:fldCharType="begin"/>
      </w:r>
      <w:r>
        <w:instrText>SEQ Figure \* ARABIC</w:instrText>
      </w:r>
      <w:r>
        <w:fldChar w:fldCharType="separate"/>
      </w:r>
      <w:r w:rsidR="005B672A">
        <w:rPr>
          <w:noProof/>
        </w:rPr>
        <w:t>21</w:t>
      </w:r>
      <w:r>
        <w:fldChar w:fldCharType="end"/>
      </w:r>
      <w:bookmarkEnd w:id="127"/>
      <w:r w:rsidRPr="00DD7D8C">
        <w:t xml:space="preserve">. </w:t>
      </w:r>
      <w:r w:rsidRPr="7ADEDDC3">
        <w:rPr>
          <w:szCs w:val="20"/>
        </w:rPr>
        <w:t xml:space="preserve">Modelled Golden Perch </w:t>
      </w:r>
      <w:r>
        <w:rPr>
          <w:szCs w:val="20"/>
        </w:rPr>
        <w:t xml:space="preserve">adult population </w:t>
      </w:r>
      <w:r w:rsidRPr="7ADEDDC3">
        <w:rPr>
          <w:szCs w:val="20"/>
        </w:rPr>
        <w:t>in the Torrumbarry</w:t>
      </w:r>
      <w:r>
        <w:rPr>
          <w:szCs w:val="20"/>
        </w:rPr>
        <w:t xml:space="preserve"> to Wentworth </w:t>
      </w:r>
      <w:r>
        <w:t xml:space="preserve">reach </w:t>
      </w:r>
      <w:r w:rsidRPr="7ADEDDC3">
        <w:t xml:space="preserve">for the </w:t>
      </w:r>
      <w:r>
        <w:t>RRCP flow scenarios</w:t>
      </w:r>
      <w:r w:rsidRPr="7ADEDDC3">
        <w:t xml:space="preserve"> </w:t>
      </w:r>
      <w:r>
        <w:t>Base case</w:t>
      </w:r>
      <w:r w:rsidRPr="7ADEDDC3">
        <w:t xml:space="preserve"> – </w:t>
      </w:r>
      <w:r>
        <w:t>Option 4</w:t>
      </w:r>
      <w:r w:rsidRPr="00EA2CBF">
        <w:t>. Top panel: mean adult population size through time</w:t>
      </w:r>
      <w:r w:rsidRPr="00FD6875">
        <w:t>.</w:t>
      </w:r>
      <w:r w:rsidRPr="00EA2CBF">
        <w:t xml:space="preserve"> Bottom panel: expected mean </w:t>
      </w:r>
      <w:r w:rsidRPr="00FD6875">
        <w:t xml:space="preserve">adult </w:t>
      </w:r>
      <w:r w:rsidRPr="00EA2CBF">
        <w:t>population size</w:t>
      </w:r>
      <w:r w:rsidRPr="00FD6875">
        <w:t>,</w:t>
      </w:r>
      <w:r w:rsidRPr="00EA2CBF">
        <w:t xml:space="preserve"> with </w:t>
      </w:r>
      <w:r w:rsidRPr="00FD6875">
        <w:t>the percentage</w:t>
      </w:r>
      <w:r w:rsidRPr="00EA2CBF">
        <w:t xml:space="preserve"> change from Base case shown in each bar.</w:t>
      </w:r>
      <w:bookmarkEnd w:id="128"/>
    </w:p>
    <w:p w14:paraId="66D59175" w14:textId="3F1996C4" w:rsidR="00491210" w:rsidRDefault="00EE200C">
      <w:pPr>
        <w:spacing w:after="0"/>
      </w:pPr>
      <w:r>
        <w:br w:type="page"/>
      </w:r>
    </w:p>
    <w:p w14:paraId="53B9C354" w14:textId="77777777" w:rsidR="00491210" w:rsidRPr="00F36D2D" w:rsidRDefault="00491210" w:rsidP="00F36D2D"/>
    <w:p w14:paraId="0AFE08C0" w14:textId="56DEF17E" w:rsidR="00491210" w:rsidRDefault="003E1401" w:rsidP="00F36D2D">
      <w:pPr>
        <w:spacing w:after="0"/>
        <w:jc w:val="center"/>
        <w:rPr>
          <w:lang w:val="en-US"/>
        </w:rPr>
      </w:pPr>
      <w:r>
        <w:rPr>
          <w:noProof/>
          <w:lang w:eastAsia="en-AU"/>
        </w:rPr>
        <w:t xml:space="preserve"> </w:t>
      </w:r>
    </w:p>
    <w:p w14:paraId="1B3DCBE3" w14:textId="46460DA4" w:rsidR="00491210" w:rsidRDefault="003E1401" w:rsidP="00F36D2D">
      <w:pPr>
        <w:spacing w:after="0"/>
        <w:jc w:val="center"/>
        <w:rPr>
          <w:lang w:val="en-US"/>
        </w:rPr>
      </w:pPr>
      <w:r>
        <w:rPr>
          <w:noProof/>
          <w:lang w:eastAsia="en-AU"/>
        </w:rPr>
        <w:t xml:space="preserve"> </w:t>
      </w:r>
    </w:p>
    <w:p w14:paraId="36C32337" w14:textId="224746BA" w:rsidR="00491210" w:rsidRPr="00EA2CBF" w:rsidRDefault="00EE200C" w:rsidP="00F602FE">
      <w:pPr>
        <w:pStyle w:val="Caption-Figure"/>
      </w:pPr>
      <w:bookmarkStart w:id="129" w:name="_Toc116994991"/>
      <w:r w:rsidRPr="00DD7D8C">
        <w:t xml:space="preserve">Figure </w:t>
      </w:r>
      <w:r>
        <w:fldChar w:fldCharType="begin"/>
      </w:r>
      <w:r>
        <w:instrText>SEQ Figure \* ARABIC</w:instrText>
      </w:r>
      <w:r>
        <w:fldChar w:fldCharType="separate"/>
      </w:r>
      <w:r w:rsidR="005B672A">
        <w:rPr>
          <w:noProof/>
        </w:rPr>
        <w:t>22</w:t>
      </w:r>
      <w:r>
        <w:fldChar w:fldCharType="end"/>
      </w:r>
      <w:r w:rsidRPr="00DD7D8C">
        <w:t xml:space="preserve">. </w:t>
      </w:r>
      <w:r w:rsidRPr="7ADEDDC3">
        <w:rPr>
          <w:szCs w:val="20"/>
        </w:rPr>
        <w:t xml:space="preserve">Modelled Golden Perch </w:t>
      </w:r>
      <w:r>
        <w:rPr>
          <w:szCs w:val="20"/>
        </w:rPr>
        <w:t xml:space="preserve">adult population </w:t>
      </w:r>
      <w:r w:rsidRPr="7ADEDDC3">
        <w:rPr>
          <w:szCs w:val="20"/>
        </w:rPr>
        <w:t xml:space="preserve">in the </w:t>
      </w:r>
      <w:r>
        <w:rPr>
          <w:szCs w:val="20"/>
        </w:rPr>
        <w:t xml:space="preserve">Yarrawonga to </w:t>
      </w:r>
      <w:r w:rsidRPr="7ADEDDC3">
        <w:rPr>
          <w:szCs w:val="20"/>
        </w:rPr>
        <w:t>Torrumbarry</w:t>
      </w:r>
      <w:r w:rsidRPr="006B0ECF">
        <w:t xml:space="preserve"> </w:t>
      </w:r>
      <w:r>
        <w:t xml:space="preserve">reach </w:t>
      </w:r>
      <w:r w:rsidRPr="7ADEDDC3">
        <w:t xml:space="preserve">for the </w:t>
      </w:r>
      <w:r>
        <w:t>RRCP flow scenarios</w:t>
      </w:r>
      <w:r w:rsidRPr="7ADEDDC3">
        <w:t xml:space="preserve"> </w:t>
      </w:r>
      <w:r>
        <w:t>Base case</w:t>
      </w:r>
      <w:r w:rsidRPr="7ADEDDC3">
        <w:t xml:space="preserve"> – </w:t>
      </w:r>
      <w:r>
        <w:t>Option 4</w:t>
      </w:r>
      <w:r w:rsidRPr="00EA2CBF">
        <w:t>. Top panel: mean adult population size through time</w:t>
      </w:r>
      <w:r w:rsidRPr="00FD6875">
        <w:t>.</w:t>
      </w:r>
      <w:r w:rsidRPr="00EA2CBF">
        <w:t xml:space="preserve"> Bottom panel: expected mean </w:t>
      </w:r>
      <w:r w:rsidRPr="00FD6875">
        <w:t xml:space="preserve">adult </w:t>
      </w:r>
      <w:r w:rsidRPr="00EA2CBF">
        <w:t>population size</w:t>
      </w:r>
      <w:r w:rsidRPr="00FD6875">
        <w:t>,</w:t>
      </w:r>
      <w:r w:rsidRPr="00EA2CBF">
        <w:t xml:space="preserve"> with </w:t>
      </w:r>
      <w:r w:rsidRPr="00FD6875">
        <w:t>the percentage</w:t>
      </w:r>
      <w:r w:rsidRPr="00EA2CBF">
        <w:t xml:space="preserve"> change from Base case shown in each bar.</w:t>
      </w:r>
      <w:bookmarkEnd w:id="129"/>
    </w:p>
    <w:p w14:paraId="7A81198C" w14:textId="22226781" w:rsidR="00491210" w:rsidRDefault="00EE200C">
      <w:pPr>
        <w:spacing w:after="0"/>
      </w:pPr>
      <w:r>
        <w:br w:type="page"/>
      </w:r>
    </w:p>
    <w:p w14:paraId="1CE978BC" w14:textId="77777777" w:rsidR="00491210" w:rsidRPr="00F36D2D" w:rsidRDefault="00491210" w:rsidP="00F36D2D"/>
    <w:p w14:paraId="2AFF4AF9" w14:textId="1BEFFA64" w:rsidR="00491210" w:rsidRDefault="003E1401" w:rsidP="00F36D2D">
      <w:pPr>
        <w:spacing w:after="0"/>
        <w:jc w:val="center"/>
        <w:rPr>
          <w:lang w:val="en-US"/>
        </w:rPr>
      </w:pPr>
      <w:r>
        <w:rPr>
          <w:noProof/>
          <w:lang w:eastAsia="en-AU"/>
        </w:rPr>
        <w:t xml:space="preserve"> </w:t>
      </w:r>
    </w:p>
    <w:p w14:paraId="5E35B0B0" w14:textId="35DD57B6" w:rsidR="00491210" w:rsidRDefault="003E1401" w:rsidP="00F36D2D">
      <w:pPr>
        <w:spacing w:after="0"/>
        <w:jc w:val="center"/>
        <w:rPr>
          <w:lang w:val="en-US"/>
        </w:rPr>
      </w:pPr>
      <w:r>
        <w:rPr>
          <w:noProof/>
          <w:lang w:eastAsia="en-AU"/>
        </w:rPr>
        <w:t xml:space="preserve"> </w:t>
      </w:r>
    </w:p>
    <w:p w14:paraId="434AEDF9" w14:textId="21BE75FB" w:rsidR="00491210" w:rsidRPr="00EA2CBF" w:rsidRDefault="00EE200C" w:rsidP="00F602FE">
      <w:pPr>
        <w:pStyle w:val="Caption-Figure"/>
      </w:pPr>
      <w:bookmarkStart w:id="130" w:name="_Toc116994992"/>
      <w:r w:rsidRPr="00DD7D8C">
        <w:t xml:space="preserve">Figure </w:t>
      </w:r>
      <w:r>
        <w:fldChar w:fldCharType="begin"/>
      </w:r>
      <w:r>
        <w:instrText>SEQ Figure \* ARABIC</w:instrText>
      </w:r>
      <w:r>
        <w:fldChar w:fldCharType="separate"/>
      </w:r>
      <w:r w:rsidR="005B672A">
        <w:rPr>
          <w:noProof/>
        </w:rPr>
        <w:t>23</w:t>
      </w:r>
      <w:r>
        <w:fldChar w:fldCharType="end"/>
      </w:r>
      <w:r w:rsidRPr="00DD7D8C">
        <w:t xml:space="preserve">. </w:t>
      </w:r>
      <w:r w:rsidRPr="7ADEDDC3">
        <w:rPr>
          <w:szCs w:val="20"/>
        </w:rPr>
        <w:t xml:space="preserve">Modelled Golden Perch </w:t>
      </w:r>
      <w:r>
        <w:rPr>
          <w:szCs w:val="20"/>
        </w:rPr>
        <w:t xml:space="preserve">adult population </w:t>
      </w:r>
      <w:r w:rsidRPr="7ADEDDC3">
        <w:rPr>
          <w:szCs w:val="20"/>
        </w:rPr>
        <w:t xml:space="preserve">in the </w:t>
      </w:r>
      <w:r>
        <w:rPr>
          <w:szCs w:val="20"/>
        </w:rPr>
        <w:t>Hume to Yarrawonga</w:t>
      </w:r>
      <w:r w:rsidRPr="00E34FAD">
        <w:t xml:space="preserve"> </w:t>
      </w:r>
      <w:r>
        <w:t xml:space="preserve">reach </w:t>
      </w:r>
      <w:r w:rsidRPr="7ADEDDC3">
        <w:t xml:space="preserve">for the </w:t>
      </w:r>
      <w:r>
        <w:t>RRCP flow scenarios</w:t>
      </w:r>
      <w:r w:rsidRPr="7ADEDDC3">
        <w:t xml:space="preserve"> </w:t>
      </w:r>
      <w:r>
        <w:t>Base case</w:t>
      </w:r>
      <w:r w:rsidRPr="7ADEDDC3">
        <w:t xml:space="preserve"> – </w:t>
      </w:r>
      <w:r>
        <w:t>Option 4</w:t>
      </w:r>
      <w:r w:rsidRPr="00DD7D8C">
        <w:t>.</w:t>
      </w:r>
      <w:r w:rsidRPr="00EA2CBF">
        <w:t xml:space="preserve"> Top panel: mean adult population size through time</w:t>
      </w:r>
      <w:r w:rsidRPr="00FD6875">
        <w:t>.</w:t>
      </w:r>
      <w:r w:rsidRPr="00EA2CBF">
        <w:t xml:space="preserve"> Bottom panel: expected mean </w:t>
      </w:r>
      <w:r w:rsidRPr="00FD6875">
        <w:t xml:space="preserve">adult </w:t>
      </w:r>
      <w:r w:rsidRPr="00EA2CBF">
        <w:t>population size</w:t>
      </w:r>
      <w:r w:rsidRPr="00FD6875">
        <w:t>,</w:t>
      </w:r>
      <w:r w:rsidRPr="00EA2CBF">
        <w:t xml:space="preserve"> with </w:t>
      </w:r>
      <w:r w:rsidRPr="00FD6875">
        <w:t>the percentage</w:t>
      </w:r>
      <w:r w:rsidRPr="00EA2CBF">
        <w:t xml:space="preserve"> change from Base case shown in each bar.</w:t>
      </w:r>
      <w:bookmarkEnd w:id="130"/>
    </w:p>
    <w:p w14:paraId="13B53A3D" w14:textId="35DC7004" w:rsidR="00491210" w:rsidRDefault="00EE200C">
      <w:pPr>
        <w:spacing w:after="0"/>
      </w:pPr>
      <w:r>
        <w:br w:type="page"/>
      </w:r>
    </w:p>
    <w:p w14:paraId="64C20744" w14:textId="77777777" w:rsidR="00491210" w:rsidRPr="00F36D2D" w:rsidRDefault="00491210" w:rsidP="00F36D2D"/>
    <w:p w14:paraId="1DE99B76" w14:textId="065E08FA" w:rsidR="00491210" w:rsidRDefault="003E1401" w:rsidP="00F36D2D">
      <w:pPr>
        <w:spacing w:after="0"/>
        <w:jc w:val="center"/>
        <w:rPr>
          <w:lang w:val="en-US"/>
        </w:rPr>
      </w:pPr>
      <w:r>
        <w:rPr>
          <w:noProof/>
          <w:lang w:eastAsia="en-AU"/>
        </w:rPr>
        <w:t xml:space="preserve"> </w:t>
      </w:r>
    </w:p>
    <w:p w14:paraId="1BF05DC6" w14:textId="54D921CB" w:rsidR="00491210" w:rsidRDefault="003E1401" w:rsidP="00F36D2D">
      <w:pPr>
        <w:spacing w:after="0"/>
        <w:jc w:val="center"/>
        <w:rPr>
          <w:lang w:val="en-US"/>
        </w:rPr>
      </w:pPr>
      <w:r>
        <w:rPr>
          <w:noProof/>
          <w:lang w:eastAsia="en-AU"/>
        </w:rPr>
        <w:t xml:space="preserve"> </w:t>
      </w:r>
    </w:p>
    <w:p w14:paraId="1AB9846F" w14:textId="12B59E60" w:rsidR="00491210" w:rsidRDefault="00EE200C" w:rsidP="00F602FE">
      <w:pPr>
        <w:pStyle w:val="Caption-Figure"/>
      </w:pPr>
      <w:bookmarkStart w:id="131" w:name="_Toc116994993"/>
      <w:r w:rsidRPr="00DD7D8C">
        <w:t xml:space="preserve">Figure </w:t>
      </w:r>
      <w:r>
        <w:fldChar w:fldCharType="begin"/>
      </w:r>
      <w:r>
        <w:instrText>SEQ Figure \* ARABIC</w:instrText>
      </w:r>
      <w:r>
        <w:fldChar w:fldCharType="separate"/>
      </w:r>
      <w:r w:rsidR="005B672A">
        <w:rPr>
          <w:noProof/>
        </w:rPr>
        <w:t>24</w:t>
      </w:r>
      <w:r>
        <w:fldChar w:fldCharType="end"/>
      </w:r>
      <w:r w:rsidRPr="00DD7D8C">
        <w:t xml:space="preserve">. </w:t>
      </w:r>
      <w:r w:rsidRPr="7ADEDDC3">
        <w:rPr>
          <w:szCs w:val="20"/>
        </w:rPr>
        <w:t>Modelled Golden Perch</w:t>
      </w:r>
      <w:r>
        <w:rPr>
          <w:szCs w:val="20"/>
        </w:rPr>
        <w:t xml:space="preserve"> adult population</w:t>
      </w:r>
      <w:r w:rsidRPr="7ADEDDC3">
        <w:rPr>
          <w:szCs w:val="20"/>
        </w:rPr>
        <w:t xml:space="preserve"> in the </w:t>
      </w:r>
      <w:r>
        <w:rPr>
          <w:szCs w:val="20"/>
        </w:rPr>
        <w:t>Edward</w:t>
      </w:r>
      <w:r w:rsidRPr="7ADEDDC3">
        <w:rPr>
          <w:szCs w:val="20"/>
        </w:rPr>
        <w:t xml:space="preserve"> River </w:t>
      </w:r>
      <w:r w:rsidRPr="7ADEDDC3">
        <w:t xml:space="preserve">for the </w:t>
      </w:r>
      <w:r>
        <w:t>RRCP flow scenarios</w:t>
      </w:r>
      <w:r w:rsidRPr="7ADEDDC3">
        <w:t xml:space="preserve"> </w:t>
      </w:r>
      <w:r>
        <w:t>Base case</w:t>
      </w:r>
      <w:r w:rsidRPr="7ADEDDC3">
        <w:t xml:space="preserve"> – </w:t>
      </w:r>
      <w:r>
        <w:t>Option 4</w:t>
      </w:r>
      <w:r w:rsidRPr="00DD7D8C">
        <w:t>.</w:t>
      </w:r>
      <w:r w:rsidRPr="00EA2CBF">
        <w:t xml:space="preserve"> Top panel: mean adult population size through time</w:t>
      </w:r>
      <w:r w:rsidRPr="00FD6875">
        <w:t xml:space="preserve">. </w:t>
      </w:r>
      <w:r w:rsidRPr="00EA2CBF">
        <w:t>Bottom panel: expected mean</w:t>
      </w:r>
      <w:r w:rsidRPr="00FD6875">
        <w:t xml:space="preserve"> adult</w:t>
      </w:r>
      <w:r w:rsidRPr="00EA2CBF">
        <w:t xml:space="preserve"> population size</w:t>
      </w:r>
      <w:r w:rsidRPr="00FD6875">
        <w:t>,</w:t>
      </w:r>
      <w:r w:rsidRPr="00EA2CBF">
        <w:t xml:space="preserve"> with </w:t>
      </w:r>
      <w:r w:rsidRPr="00FD6875">
        <w:t>the percentage</w:t>
      </w:r>
      <w:r w:rsidRPr="00EA2CBF">
        <w:t xml:space="preserve"> change from Base case shown in each bar.</w:t>
      </w:r>
      <w:bookmarkEnd w:id="131"/>
    </w:p>
    <w:p w14:paraId="56DED791" w14:textId="201769F9" w:rsidR="00491210" w:rsidRDefault="00EE200C">
      <w:pPr>
        <w:spacing w:after="0"/>
      </w:pPr>
      <w:r>
        <w:br w:type="page"/>
      </w:r>
    </w:p>
    <w:p w14:paraId="3D4934D9" w14:textId="77777777" w:rsidR="00491210" w:rsidRPr="00F36D2D" w:rsidRDefault="00491210" w:rsidP="00F36D2D"/>
    <w:p w14:paraId="2F3A73F4" w14:textId="73CB6550" w:rsidR="00491210" w:rsidRDefault="003E1401" w:rsidP="00F36D2D">
      <w:pPr>
        <w:spacing w:after="0"/>
        <w:jc w:val="center"/>
        <w:rPr>
          <w:lang w:val="en-US"/>
        </w:rPr>
      </w:pPr>
      <w:r>
        <w:rPr>
          <w:noProof/>
          <w:lang w:eastAsia="en-AU"/>
        </w:rPr>
        <w:t xml:space="preserve"> </w:t>
      </w:r>
    </w:p>
    <w:p w14:paraId="5EBFB568" w14:textId="16474C1C" w:rsidR="00491210" w:rsidRDefault="003E1401" w:rsidP="00F36D2D">
      <w:pPr>
        <w:spacing w:after="0"/>
        <w:jc w:val="center"/>
        <w:rPr>
          <w:lang w:val="en-US"/>
        </w:rPr>
      </w:pPr>
      <w:r>
        <w:rPr>
          <w:noProof/>
          <w:lang w:eastAsia="en-AU"/>
        </w:rPr>
        <w:t xml:space="preserve"> </w:t>
      </w:r>
    </w:p>
    <w:p w14:paraId="22ED12F1" w14:textId="78F5FC99" w:rsidR="00491210" w:rsidRPr="00EA2CBF" w:rsidRDefault="00EE200C" w:rsidP="00F602FE">
      <w:pPr>
        <w:pStyle w:val="Caption-Figure"/>
      </w:pPr>
      <w:bookmarkStart w:id="132" w:name="_Toc116994994"/>
      <w:r w:rsidRPr="00DD7D8C">
        <w:t xml:space="preserve">Figure </w:t>
      </w:r>
      <w:r>
        <w:fldChar w:fldCharType="begin"/>
      </w:r>
      <w:r>
        <w:instrText>SEQ Figure \* ARABIC</w:instrText>
      </w:r>
      <w:r>
        <w:fldChar w:fldCharType="separate"/>
      </w:r>
      <w:r w:rsidR="005B672A">
        <w:rPr>
          <w:noProof/>
        </w:rPr>
        <w:t>25</w:t>
      </w:r>
      <w:r>
        <w:fldChar w:fldCharType="end"/>
      </w:r>
      <w:r w:rsidRPr="00DD7D8C">
        <w:t xml:space="preserve">. </w:t>
      </w:r>
      <w:r w:rsidRPr="7ADEDDC3">
        <w:rPr>
          <w:szCs w:val="20"/>
        </w:rPr>
        <w:t xml:space="preserve">Modelled Golden Perch </w:t>
      </w:r>
      <w:r>
        <w:rPr>
          <w:szCs w:val="20"/>
        </w:rPr>
        <w:t xml:space="preserve">adult population </w:t>
      </w:r>
      <w:r w:rsidRPr="7ADEDDC3">
        <w:rPr>
          <w:szCs w:val="20"/>
        </w:rPr>
        <w:t xml:space="preserve">in the </w:t>
      </w:r>
      <w:r>
        <w:rPr>
          <w:szCs w:val="20"/>
        </w:rPr>
        <w:t>Hay to Balranald</w:t>
      </w:r>
      <w:r w:rsidRPr="00E34FAD">
        <w:t xml:space="preserve"> </w:t>
      </w:r>
      <w:r>
        <w:t xml:space="preserve">reach </w:t>
      </w:r>
      <w:r w:rsidRPr="7ADEDDC3">
        <w:t xml:space="preserve">for the </w:t>
      </w:r>
      <w:r>
        <w:t>RRCP flow scenarios</w:t>
      </w:r>
      <w:r w:rsidRPr="7ADEDDC3">
        <w:t xml:space="preserve"> </w:t>
      </w:r>
      <w:r>
        <w:t>Base case</w:t>
      </w:r>
      <w:r w:rsidRPr="7ADEDDC3">
        <w:t xml:space="preserve"> – </w:t>
      </w:r>
      <w:r>
        <w:t>Option 4</w:t>
      </w:r>
      <w:r w:rsidRPr="00DD7D8C">
        <w:t>.</w:t>
      </w:r>
      <w:r w:rsidRPr="00EA2CBF">
        <w:t xml:space="preserve"> Top panel: mean adult population size through time</w:t>
      </w:r>
      <w:r w:rsidRPr="00FD6875">
        <w:t>.</w:t>
      </w:r>
      <w:r w:rsidRPr="00EA2CBF">
        <w:t xml:space="preserve"> Bottom panel: expected mean </w:t>
      </w:r>
      <w:r w:rsidRPr="00FD6875">
        <w:t xml:space="preserve">adult </w:t>
      </w:r>
      <w:r w:rsidRPr="00EA2CBF">
        <w:t>population size</w:t>
      </w:r>
      <w:r w:rsidRPr="00FD6875">
        <w:t>,</w:t>
      </w:r>
      <w:r w:rsidRPr="00EA2CBF">
        <w:t xml:space="preserve"> with </w:t>
      </w:r>
      <w:r w:rsidRPr="00FD6875">
        <w:t>the percentage</w:t>
      </w:r>
      <w:r w:rsidRPr="00EA2CBF">
        <w:t xml:space="preserve"> change from Base case shown in each bar.</w:t>
      </w:r>
      <w:bookmarkEnd w:id="132"/>
    </w:p>
    <w:p w14:paraId="3D739215" w14:textId="3F798E33" w:rsidR="00491210" w:rsidRDefault="00EE200C">
      <w:pPr>
        <w:spacing w:after="0"/>
      </w:pPr>
      <w:r>
        <w:br w:type="page"/>
      </w:r>
    </w:p>
    <w:p w14:paraId="355118A3" w14:textId="77777777" w:rsidR="00491210" w:rsidRPr="00F36D2D" w:rsidRDefault="00491210" w:rsidP="00F36D2D"/>
    <w:p w14:paraId="429FA1EB" w14:textId="4A3A8E00" w:rsidR="00491210" w:rsidRDefault="003E1401" w:rsidP="00F36D2D">
      <w:pPr>
        <w:spacing w:after="0"/>
        <w:jc w:val="center"/>
      </w:pPr>
      <w:r>
        <w:rPr>
          <w:noProof/>
          <w:lang w:eastAsia="en-AU"/>
        </w:rPr>
        <w:t xml:space="preserve"> </w:t>
      </w:r>
    </w:p>
    <w:p w14:paraId="1F899107" w14:textId="498A578C" w:rsidR="00491210" w:rsidRDefault="003E1401" w:rsidP="00F36D2D">
      <w:pPr>
        <w:spacing w:after="0"/>
        <w:jc w:val="center"/>
      </w:pPr>
      <w:r>
        <w:rPr>
          <w:noProof/>
          <w:lang w:eastAsia="en-AU"/>
        </w:rPr>
        <w:t xml:space="preserve"> </w:t>
      </w:r>
    </w:p>
    <w:p w14:paraId="48B4413C" w14:textId="5D1680FD" w:rsidR="00491210" w:rsidRPr="00EA2CBF" w:rsidRDefault="00EE200C" w:rsidP="00F602FE">
      <w:pPr>
        <w:pStyle w:val="Caption-Figure"/>
      </w:pPr>
      <w:bookmarkStart w:id="133" w:name="_Ref104293146"/>
      <w:bookmarkStart w:id="134" w:name="_Toc116994995"/>
      <w:r w:rsidRPr="00DD7D8C">
        <w:t xml:space="preserve">Figure </w:t>
      </w:r>
      <w:r>
        <w:fldChar w:fldCharType="begin"/>
      </w:r>
      <w:r>
        <w:instrText>SEQ Figure \* ARABIC</w:instrText>
      </w:r>
      <w:r>
        <w:fldChar w:fldCharType="separate"/>
      </w:r>
      <w:r w:rsidR="005B672A">
        <w:rPr>
          <w:noProof/>
        </w:rPr>
        <w:t>26</w:t>
      </w:r>
      <w:r>
        <w:fldChar w:fldCharType="end"/>
      </w:r>
      <w:bookmarkEnd w:id="133"/>
      <w:r w:rsidRPr="00DD7D8C">
        <w:t xml:space="preserve">. </w:t>
      </w:r>
      <w:r w:rsidRPr="7ADEDDC3">
        <w:rPr>
          <w:szCs w:val="20"/>
        </w:rPr>
        <w:t xml:space="preserve">Modelled Golden Perch </w:t>
      </w:r>
      <w:r>
        <w:rPr>
          <w:szCs w:val="20"/>
        </w:rPr>
        <w:t xml:space="preserve">adult population </w:t>
      </w:r>
      <w:r w:rsidRPr="7ADEDDC3">
        <w:rPr>
          <w:szCs w:val="20"/>
        </w:rPr>
        <w:t xml:space="preserve">in the </w:t>
      </w:r>
      <w:r>
        <w:rPr>
          <w:szCs w:val="20"/>
        </w:rPr>
        <w:t>Gundagai to Hay</w:t>
      </w:r>
      <w:r w:rsidRPr="00E34FAD">
        <w:t xml:space="preserve"> </w:t>
      </w:r>
      <w:r>
        <w:t xml:space="preserve">reach </w:t>
      </w:r>
      <w:r w:rsidRPr="7ADEDDC3">
        <w:t xml:space="preserve">for the </w:t>
      </w:r>
      <w:r>
        <w:t>RRCP flow scenarios</w:t>
      </w:r>
      <w:r w:rsidRPr="7ADEDDC3">
        <w:t xml:space="preserve"> </w:t>
      </w:r>
      <w:r>
        <w:t>Base case</w:t>
      </w:r>
      <w:r w:rsidRPr="7ADEDDC3">
        <w:t xml:space="preserve"> – </w:t>
      </w:r>
      <w:r>
        <w:t>Option 4</w:t>
      </w:r>
      <w:r w:rsidRPr="00DD7D8C">
        <w:t xml:space="preserve">. </w:t>
      </w:r>
      <w:r w:rsidRPr="00EA2CBF">
        <w:t>Top panel: mean adult population size through time</w:t>
      </w:r>
      <w:r w:rsidRPr="00FD6875">
        <w:t>.</w:t>
      </w:r>
      <w:r w:rsidRPr="00EA2CBF">
        <w:t xml:space="preserve"> Bottom panel: expected mean </w:t>
      </w:r>
      <w:r w:rsidRPr="00FD6875">
        <w:t xml:space="preserve">adult </w:t>
      </w:r>
      <w:r w:rsidRPr="00EA2CBF">
        <w:t>population size</w:t>
      </w:r>
      <w:r w:rsidRPr="00FD6875">
        <w:t>,</w:t>
      </w:r>
      <w:r w:rsidRPr="00EA2CBF">
        <w:t xml:space="preserve"> with </w:t>
      </w:r>
      <w:r w:rsidRPr="00FD6875">
        <w:t>the percentage</w:t>
      </w:r>
      <w:r w:rsidRPr="00EA2CBF">
        <w:t xml:space="preserve"> change from Base case shown in each bar.</w:t>
      </w:r>
      <w:bookmarkEnd w:id="134"/>
    </w:p>
    <w:p w14:paraId="62CA3650" w14:textId="77777777" w:rsidR="00491210" w:rsidRDefault="00EE200C">
      <w:pPr>
        <w:spacing w:after="0"/>
        <w:rPr>
          <w:b/>
          <w:sz w:val="22"/>
          <w:lang w:eastAsia="en-AU"/>
        </w:rPr>
      </w:pPr>
      <w:r>
        <w:br w:type="page"/>
      </w:r>
    </w:p>
    <w:p w14:paraId="62DF9F18" w14:textId="70DCD452" w:rsidR="00491210" w:rsidRPr="00C95A7D" w:rsidRDefault="00EE200C" w:rsidP="0015103C">
      <w:pPr>
        <w:pStyle w:val="Heading4-Numbered"/>
      </w:pPr>
      <w:r w:rsidRPr="00C95A7D">
        <w:lastRenderedPageBreak/>
        <w:t>Recruitment of Golden Perch</w:t>
      </w:r>
    </w:p>
    <w:p w14:paraId="7A84C628" w14:textId="25ADA750" w:rsidR="00491210" w:rsidRDefault="00EE200C" w:rsidP="0043228A">
      <w:pPr>
        <w:spacing w:before="240" w:after="240"/>
        <w:jc w:val="both"/>
        <w:rPr>
          <w:sz w:val="22"/>
          <w:szCs w:val="22"/>
        </w:rPr>
      </w:pPr>
      <w:r w:rsidRPr="00932A3F">
        <w:rPr>
          <w:sz w:val="22"/>
          <w:szCs w:val="22"/>
        </w:rPr>
        <w:t>The modelling output</w:t>
      </w:r>
      <w:r>
        <w:rPr>
          <w:sz w:val="22"/>
          <w:szCs w:val="22"/>
        </w:rPr>
        <w:t>s</w:t>
      </w:r>
      <w:r w:rsidRPr="00932A3F">
        <w:rPr>
          <w:sz w:val="22"/>
          <w:szCs w:val="22"/>
        </w:rPr>
        <w:t xml:space="preserve"> for the number</w:t>
      </w:r>
      <w:r>
        <w:rPr>
          <w:sz w:val="22"/>
          <w:szCs w:val="22"/>
        </w:rPr>
        <w:t>s</w:t>
      </w:r>
      <w:r w:rsidRPr="00932A3F">
        <w:rPr>
          <w:sz w:val="22"/>
          <w:szCs w:val="22"/>
        </w:rPr>
        <w:t xml:space="preserve"> </w:t>
      </w:r>
      <w:r>
        <w:rPr>
          <w:sz w:val="22"/>
          <w:szCs w:val="22"/>
        </w:rPr>
        <w:t>of 1-</w:t>
      </w:r>
      <w:r w:rsidRPr="00932A3F">
        <w:rPr>
          <w:sz w:val="22"/>
          <w:szCs w:val="22"/>
        </w:rPr>
        <w:t>year</w:t>
      </w:r>
      <w:r>
        <w:rPr>
          <w:sz w:val="22"/>
          <w:szCs w:val="22"/>
        </w:rPr>
        <w:t>-</w:t>
      </w:r>
      <w:r w:rsidRPr="00932A3F">
        <w:rPr>
          <w:sz w:val="22"/>
          <w:szCs w:val="22"/>
        </w:rPr>
        <w:t>old Golden Perch (</w:t>
      </w:r>
      <w:r>
        <w:rPr>
          <w:sz w:val="22"/>
          <w:szCs w:val="22"/>
        </w:rPr>
        <w:t>‘</w:t>
      </w:r>
      <w:r w:rsidRPr="00932A3F">
        <w:rPr>
          <w:sz w:val="22"/>
          <w:szCs w:val="22"/>
        </w:rPr>
        <w:t>recruits</w:t>
      </w:r>
      <w:r>
        <w:rPr>
          <w:sz w:val="22"/>
          <w:szCs w:val="22"/>
        </w:rPr>
        <w:t>’</w:t>
      </w:r>
      <w:r w:rsidRPr="00932A3F">
        <w:rPr>
          <w:sz w:val="22"/>
          <w:szCs w:val="22"/>
        </w:rPr>
        <w:t xml:space="preserve">) </w:t>
      </w:r>
      <w:r w:rsidRPr="00B845D1">
        <w:rPr>
          <w:sz w:val="22"/>
          <w:szCs w:val="22"/>
        </w:rPr>
        <w:t>for the</w:t>
      </w:r>
      <w:r>
        <w:rPr>
          <w:sz w:val="22"/>
          <w:szCs w:val="22"/>
        </w:rPr>
        <w:t xml:space="preserve"> Total RRCP </w:t>
      </w:r>
      <w:r w:rsidRPr="00757F17">
        <w:rPr>
          <w:sz w:val="22"/>
          <w:szCs w:val="22"/>
        </w:rPr>
        <w:t>Populations are</w:t>
      </w:r>
      <w:r w:rsidRPr="00932A3F">
        <w:rPr>
          <w:sz w:val="22"/>
          <w:szCs w:val="22"/>
        </w:rPr>
        <w:t xml:space="preserve"> shown in </w:t>
      </w:r>
      <w:r w:rsidRPr="00932A3F">
        <w:rPr>
          <w:sz w:val="22"/>
          <w:szCs w:val="22"/>
        </w:rPr>
        <w:fldChar w:fldCharType="begin"/>
      </w:r>
      <w:r w:rsidRPr="00932A3F">
        <w:rPr>
          <w:sz w:val="22"/>
          <w:szCs w:val="22"/>
        </w:rPr>
        <w:instrText xml:space="preserve"> REF _Ref104294466 \h </w:instrText>
      </w:r>
      <w:r>
        <w:rPr>
          <w:sz w:val="22"/>
          <w:szCs w:val="22"/>
        </w:rPr>
        <w:instrText xml:space="preserve"> \* MERGEFORMAT </w:instrText>
      </w:r>
      <w:r w:rsidRPr="00932A3F">
        <w:rPr>
          <w:sz w:val="22"/>
          <w:szCs w:val="22"/>
        </w:rPr>
      </w:r>
      <w:r w:rsidRPr="00932A3F">
        <w:rPr>
          <w:sz w:val="22"/>
          <w:szCs w:val="22"/>
        </w:rPr>
        <w:fldChar w:fldCharType="separate"/>
      </w:r>
      <w:r w:rsidR="005B672A" w:rsidRPr="005B672A">
        <w:rPr>
          <w:sz w:val="22"/>
          <w:szCs w:val="22"/>
        </w:rPr>
        <w:t xml:space="preserve">Figure </w:t>
      </w:r>
      <w:r w:rsidR="005B672A" w:rsidRPr="005B672A">
        <w:rPr>
          <w:noProof/>
          <w:sz w:val="22"/>
          <w:szCs w:val="22"/>
        </w:rPr>
        <w:t>27</w:t>
      </w:r>
      <w:r w:rsidRPr="00932A3F">
        <w:rPr>
          <w:sz w:val="22"/>
          <w:szCs w:val="22"/>
        </w:rPr>
        <w:fldChar w:fldCharType="end"/>
      </w:r>
      <w:r w:rsidRPr="00932A3F">
        <w:rPr>
          <w:sz w:val="22"/>
          <w:szCs w:val="22"/>
        </w:rPr>
        <w:t xml:space="preserve">, </w:t>
      </w:r>
      <w:r>
        <w:rPr>
          <w:sz w:val="22"/>
          <w:szCs w:val="22"/>
        </w:rPr>
        <w:t xml:space="preserve">for the Total </w:t>
      </w:r>
      <w:r w:rsidRPr="00B845D1">
        <w:rPr>
          <w:sz w:val="22"/>
          <w:szCs w:val="22"/>
        </w:rPr>
        <w:t xml:space="preserve">Murray </w:t>
      </w:r>
      <w:r>
        <w:rPr>
          <w:sz w:val="22"/>
          <w:szCs w:val="22"/>
        </w:rPr>
        <w:t>P</w:t>
      </w:r>
      <w:r w:rsidRPr="00B845D1">
        <w:rPr>
          <w:sz w:val="22"/>
          <w:szCs w:val="22"/>
        </w:rPr>
        <w:t>opulation</w:t>
      </w:r>
      <w:r>
        <w:rPr>
          <w:sz w:val="22"/>
          <w:szCs w:val="22"/>
        </w:rPr>
        <w:t>s</w:t>
      </w:r>
      <w:r w:rsidRPr="00B845D1">
        <w:rPr>
          <w:sz w:val="22"/>
          <w:szCs w:val="22"/>
        </w:rPr>
        <w:t xml:space="preserve"> (</w:t>
      </w:r>
      <w:r>
        <w:rPr>
          <w:sz w:val="22"/>
          <w:szCs w:val="22"/>
        </w:rPr>
        <w:t xml:space="preserve">to Wentworth, </w:t>
      </w:r>
      <w:r w:rsidRPr="00B845D1">
        <w:rPr>
          <w:sz w:val="22"/>
          <w:szCs w:val="22"/>
        </w:rPr>
        <w:t xml:space="preserve">including Edward River) </w:t>
      </w:r>
      <w:r>
        <w:rPr>
          <w:sz w:val="22"/>
          <w:szCs w:val="22"/>
        </w:rPr>
        <w:t>are</w:t>
      </w:r>
      <w:r w:rsidRPr="00B845D1">
        <w:rPr>
          <w:sz w:val="22"/>
          <w:szCs w:val="22"/>
        </w:rPr>
        <w:t xml:space="preserve"> shown </w:t>
      </w:r>
      <w:r w:rsidRPr="00932A3F">
        <w:rPr>
          <w:sz w:val="22"/>
          <w:szCs w:val="22"/>
        </w:rPr>
        <w:t xml:space="preserve">in </w:t>
      </w:r>
      <w:r w:rsidRPr="00932A3F">
        <w:rPr>
          <w:sz w:val="22"/>
          <w:szCs w:val="22"/>
        </w:rPr>
        <w:fldChar w:fldCharType="begin"/>
      </w:r>
      <w:r w:rsidRPr="00932A3F">
        <w:rPr>
          <w:sz w:val="22"/>
          <w:szCs w:val="22"/>
        </w:rPr>
        <w:instrText xml:space="preserve"> REF _Ref104294479 \h </w:instrText>
      </w:r>
      <w:r>
        <w:rPr>
          <w:sz w:val="22"/>
          <w:szCs w:val="22"/>
        </w:rPr>
        <w:instrText xml:space="preserve"> \* MERGEFORMAT </w:instrText>
      </w:r>
      <w:r w:rsidRPr="00932A3F">
        <w:rPr>
          <w:sz w:val="22"/>
          <w:szCs w:val="22"/>
        </w:rPr>
      </w:r>
      <w:r w:rsidRPr="00932A3F">
        <w:rPr>
          <w:sz w:val="22"/>
          <w:szCs w:val="22"/>
        </w:rPr>
        <w:fldChar w:fldCharType="separate"/>
      </w:r>
      <w:r w:rsidR="005B672A" w:rsidRPr="005B672A">
        <w:rPr>
          <w:sz w:val="22"/>
          <w:szCs w:val="22"/>
        </w:rPr>
        <w:t xml:space="preserve">Figure </w:t>
      </w:r>
      <w:r w:rsidR="005B672A" w:rsidRPr="005B672A">
        <w:rPr>
          <w:noProof/>
          <w:sz w:val="22"/>
          <w:szCs w:val="22"/>
        </w:rPr>
        <w:t>28</w:t>
      </w:r>
      <w:r w:rsidRPr="00932A3F">
        <w:rPr>
          <w:sz w:val="22"/>
          <w:szCs w:val="22"/>
        </w:rPr>
        <w:fldChar w:fldCharType="end"/>
      </w:r>
      <w:r>
        <w:rPr>
          <w:sz w:val="22"/>
          <w:szCs w:val="22"/>
        </w:rPr>
        <w:t xml:space="preserve">, </w:t>
      </w:r>
      <w:r w:rsidRPr="00932A3F">
        <w:rPr>
          <w:sz w:val="22"/>
          <w:szCs w:val="22"/>
        </w:rPr>
        <w:t xml:space="preserve">and </w:t>
      </w:r>
      <w:r>
        <w:rPr>
          <w:sz w:val="22"/>
          <w:szCs w:val="22"/>
        </w:rPr>
        <w:t xml:space="preserve">for </w:t>
      </w:r>
      <w:r w:rsidRPr="00932A3F">
        <w:rPr>
          <w:sz w:val="22"/>
          <w:szCs w:val="22"/>
        </w:rPr>
        <w:t xml:space="preserve">the </w:t>
      </w:r>
      <w:r>
        <w:rPr>
          <w:sz w:val="22"/>
          <w:szCs w:val="22"/>
        </w:rPr>
        <w:t>Total</w:t>
      </w:r>
      <w:r w:rsidRPr="00932A3F">
        <w:rPr>
          <w:sz w:val="22"/>
          <w:szCs w:val="22"/>
        </w:rPr>
        <w:t xml:space="preserve"> Murrumbidgee </w:t>
      </w:r>
      <w:r>
        <w:rPr>
          <w:sz w:val="22"/>
          <w:szCs w:val="22"/>
        </w:rPr>
        <w:t>P</w:t>
      </w:r>
      <w:r w:rsidRPr="00932A3F">
        <w:rPr>
          <w:sz w:val="22"/>
          <w:szCs w:val="22"/>
        </w:rPr>
        <w:t xml:space="preserve">opulations </w:t>
      </w:r>
      <w:r>
        <w:rPr>
          <w:sz w:val="22"/>
          <w:szCs w:val="22"/>
        </w:rPr>
        <w:t>are</w:t>
      </w:r>
      <w:r w:rsidRPr="00932A3F">
        <w:rPr>
          <w:sz w:val="22"/>
          <w:szCs w:val="22"/>
        </w:rPr>
        <w:t xml:space="preserve"> shown in </w:t>
      </w:r>
      <w:r w:rsidRPr="00932A3F">
        <w:rPr>
          <w:sz w:val="22"/>
          <w:szCs w:val="22"/>
        </w:rPr>
        <w:fldChar w:fldCharType="begin"/>
      </w:r>
      <w:r w:rsidRPr="00932A3F">
        <w:rPr>
          <w:sz w:val="22"/>
          <w:szCs w:val="22"/>
        </w:rPr>
        <w:instrText xml:space="preserve"> REF _Ref104294489 \h </w:instrText>
      </w:r>
      <w:r>
        <w:rPr>
          <w:sz w:val="22"/>
          <w:szCs w:val="22"/>
        </w:rPr>
        <w:instrText xml:space="preserve"> \* MERGEFORMAT </w:instrText>
      </w:r>
      <w:r w:rsidRPr="00932A3F">
        <w:rPr>
          <w:sz w:val="22"/>
          <w:szCs w:val="22"/>
        </w:rPr>
      </w:r>
      <w:r w:rsidRPr="00932A3F">
        <w:rPr>
          <w:sz w:val="22"/>
          <w:szCs w:val="22"/>
        </w:rPr>
        <w:fldChar w:fldCharType="separate"/>
      </w:r>
      <w:r w:rsidR="005B672A" w:rsidRPr="005B672A">
        <w:rPr>
          <w:sz w:val="22"/>
          <w:szCs w:val="22"/>
        </w:rPr>
        <w:t xml:space="preserve">Figure </w:t>
      </w:r>
      <w:r w:rsidR="005B672A" w:rsidRPr="005B672A">
        <w:rPr>
          <w:noProof/>
          <w:sz w:val="22"/>
          <w:szCs w:val="22"/>
        </w:rPr>
        <w:t>29</w:t>
      </w:r>
      <w:r w:rsidRPr="00932A3F">
        <w:rPr>
          <w:sz w:val="22"/>
          <w:szCs w:val="22"/>
        </w:rPr>
        <w:fldChar w:fldCharType="end"/>
      </w:r>
      <w:r w:rsidRPr="00932A3F">
        <w:rPr>
          <w:sz w:val="22"/>
          <w:szCs w:val="22"/>
        </w:rPr>
        <w:t xml:space="preserve">. </w:t>
      </w:r>
      <w:r>
        <w:rPr>
          <w:sz w:val="22"/>
          <w:szCs w:val="22"/>
        </w:rPr>
        <w:t xml:space="preserve">These figures show that there is consistent recruitment occurring in the Murray River, whereas recruitment is episodic in the Murrumbidgee River. Overall, the Base case mean 1-year-old population size is less than that for all other scenario options, and Option 4 </w:t>
      </w:r>
      <w:r w:rsidRPr="00177CFF">
        <w:rPr>
          <w:sz w:val="22"/>
          <w:szCs w:val="22"/>
          <w:lang w:val="en-US"/>
        </w:rPr>
        <w:t xml:space="preserve">provides the greatest </w:t>
      </w:r>
      <w:r>
        <w:rPr>
          <w:sz w:val="22"/>
          <w:szCs w:val="22"/>
          <w:lang w:val="en-US"/>
        </w:rPr>
        <w:t>recruitment benefits</w:t>
      </w:r>
      <w:r w:rsidRPr="00177CFF">
        <w:rPr>
          <w:sz w:val="22"/>
          <w:szCs w:val="22"/>
          <w:lang w:val="en-US"/>
        </w:rPr>
        <w:t xml:space="preserve"> to </w:t>
      </w:r>
      <w:r>
        <w:rPr>
          <w:sz w:val="22"/>
          <w:szCs w:val="22"/>
          <w:lang w:val="en-US"/>
        </w:rPr>
        <w:t>Golden Perch at these aggregated spatial scales</w:t>
      </w:r>
      <w:r>
        <w:rPr>
          <w:sz w:val="22"/>
          <w:szCs w:val="22"/>
        </w:rPr>
        <w:t>.</w:t>
      </w:r>
      <w:r w:rsidRPr="00B845D1">
        <w:rPr>
          <w:sz w:val="22"/>
          <w:szCs w:val="22"/>
        </w:rPr>
        <w:t xml:space="preserve"> </w:t>
      </w:r>
      <w:r w:rsidRPr="00932A3F">
        <w:rPr>
          <w:sz w:val="22"/>
          <w:szCs w:val="22"/>
        </w:rPr>
        <w:t>Outputs for other individual river reaches are included in Appendix 3.</w:t>
      </w:r>
    </w:p>
    <w:p w14:paraId="3D8F6801" w14:textId="460D88D4" w:rsidR="00491210" w:rsidRDefault="003E1401" w:rsidP="00F36D2D">
      <w:pPr>
        <w:spacing w:after="0"/>
        <w:jc w:val="center"/>
      </w:pPr>
      <w:r>
        <w:rPr>
          <w:noProof/>
          <w:lang w:eastAsia="en-AU"/>
        </w:rPr>
        <w:t xml:space="preserve"> </w:t>
      </w:r>
    </w:p>
    <w:p w14:paraId="556FD765" w14:textId="73366475" w:rsidR="00491210" w:rsidRDefault="00EE200C" w:rsidP="00F602FE">
      <w:pPr>
        <w:pStyle w:val="Caption-Figure"/>
      </w:pPr>
      <w:bookmarkStart w:id="135" w:name="_Ref104294466"/>
      <w:bookmarkStart w:id="136" w:name="_Toc116994996"/>
      <w:r w:rsidRPr="00DD7D8C">
        <w:t xml:space="preserve">Figure </w:t>
      </w:r>
      <w:r>
        <w:fldChar w:fldCharType="begin"/>
      </w:r>
      <w:r>
        <w:instrText>SEQ Figure \* ARABIC</w:instrText>
      </w:r>
      <w:r>
        <w:fldChar w:fldCharType="separate"/>
      </w:r>
      <w:r w:rsidR="005B672A">
        <w:rPr>
          <w:noProof/>
        </w:rPr>
        <w:t>27</w:t>
      </w:r>
      <w:r>
        <w:fldChar w:fldCharType="end"/>
      </w:r>
      <w:bookmarkEnd w:id="135"/>
      <w:r w:rsidRPr="00DD7D8C">
        <w:t xml:space="preserve">. </w:t>
      </w:r>
      <w:r w:rsidRPr="7ADEDDC3">
        <w:t xml:space="preserve">Modelled Golden Perch </w:t>
      </w:r>
      <w:r>
        <w:t xml:space="preserve">mean recruit (1-year-old) </w:t>
      </w:r>
      <w:r w:rsidRPr="7ADEDDC3">
        <w:t xml:space="preserve">population size </w:t>
      </w:r>
      <w:r>
        <w:t xml:space="preserve">aggregated </w:t>
      </w:r>
      <w:r w:rsidRPr="00DD7D8C">
        <w:t>across all</w:t>
      </w:r>
      <w:r>
        <w:t xml:space="preserve"> modelled RRCP</w:t>
      </w:r>
      <w:r w:rsidRPr="00DD7D8C">
        <w:t xml:space="preserve"> </w:t>
      </w:r>
      <w:r>
        <w:t>focal zones, together with the Wakool Junction to Wentworth reach,</w:t>
      </w:r>
      <w:r w:rsidRPr="7ADEDDC3">
        <w:t xml:space="preserve"> for the </w:t>
      </w:r>
      <w:r>
        <w:t>RRCP flow scenarios</w:t>
      </w:r>
      <w:r w:rsidRPr="7ADEDDC3">
        <w:t xml:space="preserve"> </w:t>
      </w:r>
      <w:r>
        <w:t>Base case</w:t>
      </w:r>
      <w:r w:rsidRPr="7ADEDDC3">
        <w:t xml:space="preserve"> – </w:t>
      </w:r>
      <w:r>
        <w:t>Option 4</w:t>
      </w:r>
      <w:r w:rsidRPr="7ADEDDC3">
        <w:t>.</w:t>
      </w:r>
      <w:bookmarkEnd w:id="136"/>
    </w:p>
    <w:p w14:paraId="2ADCDFA7" w14:textId="382CD58D" w:rsidR="00491210" w:rsidRPr="00FA54BD" w:rsidRDefault="00EE200C" w:rsidP="00FA54BD">
      <w:pPr>
        <w:spacing w:after="0"/>
      </w:pPr>
      <w:r>
        <w:br w:type="page"/>
      </w:r>
    </w:p>
    <w:p w14:paraId="1C9B32D2" w14:textId="0DC5496B" w:rsidR="00491210" w:rsidRDefault="003E1401" w:rsidP="00F36D2D">
      <w:pPr>
        <w:spacing w:after="0"/>
        <w:jc w:val="center"/>
      </w:pPr>
      <w:r>
        <w:rPr>
          <w:noProof/>
          <w:lang w:eastAsia="en-AU"/>
        </w:rPr>
        <w:lastRenderedPageBreak/>
        <w:t xml:space="preserve"> </w:t>
      </w:r>
    </w:p>
    <w:p w14:paraId="66F75EEA" w14:textId="62A058EF" w:rsidR="00491210" w:rsidRDefault="00EE200C" w:rsidP="00F602FE">
      <w:pPr>
        <w:pStyle w:val="Caption-Figure"/>
      </w:pPr>
      <w:bookmarkStart w:id="137" w:name="_Ref104294479"/>
      <w:bookmarkStart w:id="138" w:name="_Toc116994997"/>
      <w:r w:rsidRPr="00DD7D8C">
        <w:t xml:space="preserve">Figure </w:t>
      </w:r>
      <w:r>
        <w:fldChar w:fldCharType="begin"/>
      </w:r>
      <w:r>
        <w:instrText>SEQ Figure \* ARABIC</w:instrText>
      </w:r>
      <w:r>
        <w:fldChar w:fldCharType="separate"/>
      </w:r>
      <w:r w:rsidR="005B672A">
        <w:rPr>
          <w:noProof/>
        </w:rPr>
        <w:t>28</w:t>
      </w:r>
      <w:r>
        <w:fldChar w:fldCharType="end"/>
      </w:r>
      <w:bookmarkEnd w:id="137"/>
      <w:r w:rsidRPr="00DD7D8C">
        <w:t xml:space="preserve">. </w:t>
      </w:r>
      <w:r w:rsidRPr="7ADEDDC3">
        <w:t xml:space="preserve">Modelled Golden Perch </w:t>
      </w:r>
      <w:r>
        <w:t xml:space="preserve">mean recruit (1-year-old) </w:t>
      </w:r>
      <w:r w:rsidRPr="7ADEDDC3">
        <w:t xml:space="preserve">population size </w:t>
      </w:r>
      <w:r>
        <w:t xml:space="preserve">aggregated </w:t>
      </w:r>
      <w:r w:rsidRPr="00DD7D8C">
        <w:t xml:space="preserve">across </w:t>
      </w:r>
      <w:r>
        <w:t>the Murray River RRCP</w:t>
      </w:r>
      <w:r w:rsidRPr="00DD7D8C">
        <w:t xml:space="preserve"> </w:t>
      </w:r>
      <w:r>
        <w:t>focal zones</w:t>
      </w:r>
      <w:r w:rsidRPr="00DD7D8C">
        <w:t xml:space="preserve"> </w:t>
      </w:r>
      <w:r>
        <w:t>(including the Edward River),</w:t>
      </w:r>
      <w:r w:rsidRPr="006B0ECF">
        <w:t xml:space="preserve"> </w:t>
      </w:r>
      <w:r>
        <w:t>together with the Wakool Junction to Wentworth</w:t>
      </w:r>
      <w:r w:rsidRPr="7ADEDDC3">
        <w:t xml:space="preserve"> </w:t>
      </w:r>
      <w:r>
        <w:t xml:space="preserve">reach, </w:t>
      </w:r>
      <w:r w:rsidRPr="7ADEDDC3">
        <w:t xml:space="preserve">for the flow scenarios </w:t>
      </w:r>
      <w:r>
        <w:t>Base case</w:t>
      </w:r>
      <w:r w:rsidRPr="7ADEDDC3">
        <w:t xml:space="preserve"> – </w:t>
      </w:r>
      <w:r>
        <w:t>Option 4</w:t>
      </w:r>
      <w:r w:rsidRPr="7ADEDDC3">
        <w:t>.</w:t>
      </w:r>
      <w:bookmarkEnd w:id="138"/>
    </w:p>
    <w:p w14:paraId="33058E58" w14:textId="26ADDFF6" w:rsidR="00491210" w:rsidRDefault="003E1401" w:rsidP="00F36D2D">
      <w:pPr>
        <w:spacing w:after="0"/>
        <w:jc w:val="center"/>
      </w:pPr>
      <w:r>
        <w:rPr>
          <w:noProof/>
          <w:lang w:eastAsia="en-AU"/>
        </w:rPr>
        <w:t xml:space="preserve"> </w:t>
      </w:r>
    </w:p>
    <w:p w14:paraId="2CA86E26" w14:textId="7AC7AE86" w:rsidR="00491210" w:rsidRDefault="00EE200C" w:rsidP="00F602FE">
      <w:pPr>
        <w:pStyle w:val="Caption-Figure"/>
      </w:pPr>
      <w:bookmarkStart w:id="139" w:name="_Ref104294489"/>
      <w:bookmarkStart w:id="140" w:name="_Toc116994998"/>
      <w:r w:rsidRPr="00DD7D8C">
        <w:t xml:space="preserve">Figure </w:t>
      </w:r>
      <w:r>
        <w:fldChar w:fldCharType="begin"/>
      </w:r>
      <w:r>
        <w:instrText>SEQ Figure \* ARABIC</w:instrText>
      </w:r>
      <w:r>
        <w:fldChar w:fldCharType="separate"/>
      </w:r>
      <w:r w:rsidR="005B672A">
        <w:rPr>
          <w:noProof/>
        </w:rPr>
        <w:t>29</w:t>
      </w:r>
      <w:r>
        <w:fldChar w:fldCharType="end"/>
      </w:r>
      <w:bookmarkEnd w:id="139"/>
      <w:r w:rsidRPr="00DD7D8C">
        <w:t xml:space="preserve">. </w:t>
      </w:r>
      <w:r w:rsidRPr="7ADEDDC3">
        <w:t xml:space="preserve">Modelled Golden Perch </w:t>
      </w:r>
      <w:r>
        <w:t xml:space="preserve">mean recruit (1-year-old) </w:t>
      </w:r>
      <w:r w:rsidRPr="7ADEDDC3">
        <w:t xml:space="preserve">population size </w:t>
      </w:r>
      <w:r>
        <w:t xml:space="preserve">aggregated </w:t>
      </w:r>
      <w:r w:rsidRPr="00DD7D8C">
        <w:t>across</w:t>
      </w:r>
      <w:r>
        <w:t xml:space="preserve"> the</w:t>
      </w:r>
      <w:r w:rsidRPr="00DD7D8C">
        <w:t xml:space="preserve"> </w:t>
      </w:r>
      <w:r>
        <w:t>Murrumbidgee River RRCP</w:t>
      </w:r>
      <w:r w:rsidRPr="00DD7D8C">
        <w:t xml:space="preserve"> </w:t>
      </w:r>
      <w:r>
        <w:t>focal area</w:t>
      </w:r>
      <w:r w:rsidRPr="7ADEDDC3">
        <w:t xml:space="preserve"> for the flow scenarios </w:t>
      </w:r>
      <w:r>
        <w:t>Base case</w:t>
      </w:r>
      <w:r w:rsidRPr="7ADEDDC3">
        <w:t xml:space="preserve"> – </w:t>
      </w:r>
      <w:r>
        <w:t>Option 4</w:t>
      </w:r>
      <w:r w:rsidRPr="7ADEDDC3">
        <w:t>.</w:t>
      </w:r>
      <w:bookmarkEnd w:id="140"/>
    </w:p>
    <w:p w14:paraId="568EBF50" w14:textId="33E5EAF2" w:rsidR="00491210" w:rsidRDefault="00EE200C">
      <w:pPr>
        <w:spacing w:after="0"/>
        <w:rPr>
          <w:b/>
          <w:sz w:val="24"/>
        </w:rPr>
      </w:pPr>
      <w:r>
        <w:br w:type="page"/>
      </w:r>
    </w:p>
    <w:p w14:paraId="11F389BD" w14:textId="7843A7F1" w:rsidR="00491210" w:rsidRDefault="00EE200C" w:rsidP="005F1F7F">
      <w:pPr>
        <w:pStyle w:val="Heading3-Numbered"/>
      </w:pPr>
      <w:bookmarkStart w:id="141" w:name="_Toc116994901"/>
      <w:r>
        <w:lastRenderedPageBreak/>
        <w:t>Murray Cod</w:t>
      </w:r>
      <w:bookmarkEnd w:id="141"/>
    </w:p>
    <w:p w14:paraId="52B2E1CB" w14:textId="253F629E" w:rsidR="00491210" w:rsidRDefault="00EE200C">
      <w:pPr>
        <w:spacing w:before="240" w:after="240"/>
        <w:jc w:val="both"/>
        <w:rPr>
          <w:color w:val="000000"/>
          <w:sz w:val="22"/>
          <w:szCs w:val="22"/>
          <w:lang w:eastAsia="en-AU"/>
        </w:rPr>
      </w:pPr>
      <w:r w:rsidRPr="003E4E94">
        <w:rPr>
          <w:color w:val="000000"/>
          <w:sz w:val="22"/>
          <w:szCs w:val="22"/>
          <w:lang w:eastAsia="en-AU"/>
        </w:rPr>
        <w:t xml:space="preserve">The results from the </w:t>
      </w:r>
      <w:r>
        <w:rPr>
          <w:color w:val="000000"/>
          <w:sz w:val="22"/>
          <w:szCs w:val="22"/>
          <w:lang w:eastAsia="en-AU"/>
        </w:rPr>
        <w:t xml:space="preserve">Murray </w:t>
      </w:r>
      <w:r w:rsidRPr="00D62090">
        <w:rPr>
          <w:rFonts w:eastAsia="Arial"/>
          <w:color w:val="000000"/>
          <w:sz w:val="22"/>
          <w:szCs w:val="22"/>
        </w:rPr>
        <w:t>Cod</w:t>
      </w:r>
      <w:r w:rsidRPr="003E4E94">
        <w:rPr>
          <w:color w:val="000000"/>
          <w:sz w:val="22"/>
          <w:szCs w:val="22"/>
          <w:lang w:eastAsia="en-AU"/>
        </w:rPr>
        <w:t xml:space="preserve"> modelling applying the relaxed</w:t>
      </w:r>
      <w:r>
        <w:rPr>
          <w:color w:val="000000"/>
          <w:sz w:val="22"/>
          <w:szCs w:val="22"/>
          <w:lang w:eastAsia="en-AU"/>
        </w:rPr>
        <w:t>-flow-</w:t>
      </w:r>
      <w:r w:rsidRPr="003E4E94">
        <w:rPr>
          <w:color w:val="000000"/>
          <w:sz w:val="22"/>
          <w:szCs w:val="22"/>
          <w:lang w:eastAsia="en-AU"/>
        </w:rPr>
        <w:t>constraint</w:t>
      </w:r>
      <w:r>
        <w:rPr>
          <w:color w:val="000000"/>
          <w:sz w:val="22"/>
          <w:szCs w:val="22"/>
          <w:lang w:eastAsia="en-AU"/>
        </w:rPr>
        <w:t>s</w:t>
      </w:r>
      <w:r w:rsidRPr="003E4E94">
        <w:rPr>
          <w:color w:val="000000"/>
          <w:sz w:val="22"/>
          <w:szCs w:val="22"/>
          <w:lang w:eastAsia="en-AU"/>
        </w:rPr>
        <w:t xml:space="preserve"> scenarios for the Murray River and the Murrumbidgee River</w:t>
      </w:r>
      <w:r>
        <w:rPr>
          <w:color w:val="000000"/>
          <w:sz w:val="22"/>
          <w:szCs w:val="22"/>
          <w:lang w:eastAsia="en-AU"/>
        </w:rPr>
        <w:t xml:space="preserve"> (</w:t>
      </w:r>
      <w:r>
        <w:rPr>
          <w:color w:val="000000"/>
          <w:sz w:val="22"/>
          <w:szCs w:val="22"/>
          <w:lang w:eastAsia="en-AU"/>
        </w:rPr>
        <w:fldChar w:fldCharType="begin"/>
      </w:r>
      <w:r>
        <w:rPr>
          <w:color w:val="000000"/>
          <w:sz w:val="22"/>
          <w:szCs w:val="22"/>
          <w:lang w:eastAsia="en-AU"/>
        </w:rPr>
        <w:instrText xml:space="preserve"> REF _Ref110379668 \h </w:instrText>
      </w:r>
      <w:r>
        <w:rPr>
          <w:color w:val="000000"/>
          <w:sz w:val="22"/>
          <w:szCs w:val="22"/>
          <w:lang w:eastAsia="en-AU"/>
        </w:rPr>
      </w:r>
      <w:r>
        <w:rPr>
          <w:color w:val="000000"/>
          <w:sz w:val="22"/>
          <w:szCs w:val="22"/>
          <w:lang w:eastAsia="en-AU"/>
        </w:rPr>
        <w:fldChar w:fldCharType="separate"/>
      </w:r>
      <w:r w:rsidR="005B672A">
        <w:t xml:space="preserve">Table </w:t>
      </w:r>
      <w:r w:rsidR="005B672A">
        <w:rPr>
          <w:noProof/>
        </w:rPr>
        <w:t>4</w:t>
      </w:r>
      <w:r>
        <w:rPr>
          <w:color w:val="000000"/>
          <w:sz w:val="22"/>
          <w:szCs w:val="22"/>
          <w:lang w:eastAsia="en-AU"/>
        </w:rPr>
        <w:fldChar w:fldCharType="end"/>
      </w:r>
      <w:r>
        <w:rPr>
          <w:color w:val="000000"/>
          <w:sz w:val="22"/>
          <w:szCs w:val="22"/>
          <w:lang w:eastAsia="en-AU"/>
        </w:rPr>
        <w:t>)</w:t>
      </w:r>
      <w:r w:rsidRPr="003E4E94">
        <w:rPr>
          <w:color w:val="000000"/>
          <w:sz w:val="22"/>
          <w:szCs w:val="22"/>
          <w:lang w:eastAsia="en-AU"/>
        </w:rPr>
        <w:t xml:space="preserve"> are presented in the following </w:t>
      </w:r>
      <w:r>
        <w:rPr>
          <w:color w:val="000000"/>
          <w:sz w:val="22"/>
          <w:szCs w:val="22"/>
          <w:lang w:eastAsia="en-AU"/>
        </w:rPr>
        <w:t>two</w:t>
      </w:r>
      <w:r w:rsidRPr="003E4E94">
        <w:rPr>
          <w:color w:val="000000"/>
          <w:sz w:val="22"/>
          <w:szCs w:val="22"/>
          <w:lang w:eastAsia="en-AU"/>
        </w:rPr>
        <w:t xml:space="preserve"> sections</w:t>
      </w:r>
      <w:r>
        <w:rPr>
          <w:color w:val="000000"/>
          <w:sz w:val="22"/>
          <w:szCs w:val="22"/>
          <w:lang w:eastAsia="en-AU"/>
        </w:rPr>
        <w:t>: adult Murray Cod; and recruitment of Murray Cod.</w:t>
      </w:r>
    </w:p>
    <w:p w14:paraId="338D0CED" w14:textId="05AC870D" w:rsidR="00491210" w:rsidRDefault="00EE200C" w:rsidP="0015103C">
      <w:pPr>
        <w:pStyle w:val="Heading4-Numbered"/>
      </w:pPr>
      <w:r w:rsidRPr="00C23C50">
        <w:t>Adult Murray Cod</w:t>
      </w:r>
    </w:p>
    <w:p w14:paraId="19216F8F" w14:textId="3AF59C88" w:rsidR="00491210" w:rsidRDefault="00EE200C" w:rsidP="006845A2">
      <w:pPr>
        <w:spacing w:before="240" w:after="240"/>
        <w:jc w:val="both"/>
        <w:rPr>
          <w:rFonts w:eastAsia="Arial"/>
          <w:color w:val="000000"/>
          <w:sz w:val="22"/>
          <w:szCs w:val="22"/>
        </w:rPr>
      </w:pPr>
      <w:r w:rsidRPr="00D62090">
        <w:rPr>
          <w:rFonts w:eastAsia="Arial"/>
          <w:color w:val="000000"/>
          <w:sz w:val="22"/>
          <w:szCs w:val="22"/>
        </w:rPr>
        <w:t xml:space="preserve">The modelling outputs </w:t>
      </w:r>
      <w:r>
        <w:rPr>
          <w:rFonts w:eastAsia="Arial"/>
          <w:color w:val="000000"/>
          <w:sz w:val="22"/>
          <w:szCs w:val="22"/>
        </w:rPr>
        <w:t xml:space="preserve">for the numbers </w:t>
      </w:r>
      <w:r w:rsidRPr="00D62090">
        <w:rPr>
          <w:rFonts w:eastAsia="Arial"/>
          <w:color w:val="000000"/>
          <w:sz w:val="22"/>
          <w:szCs w:val="22"/>
        </w:rPr>
        <w:t xml:space="preserve">of adult Murray Cod </w:t>
      </w:r>
      <w:r w:rsidRPr="00B845D1">
        <w:rPr>
          <w:sz w:val="22"/>
          <w:szCs w:val="22"/>
        </w:rPr>
        <w:t>for the</w:t>
      </w:r>
      <w:r>
        <w:rPr>
          <w:sz w:val="22"/>
          <w:szCs w:val="22"/>
        </w:rPr>
        <w:t xml:space="preserve"> Total RRCP Populations</w:t>
      </w:r>
      <w:r w:rsidRPr="00757F17">
        <w:rPr>
          <w:rFonts w:eastAsia="Arial"/>
          <w:color w:val="000000"/>
          <w:sz w:val="24"/>
        </w:rPr>
        <w:t xml:space="preserve"> </w:t>
      </w:r>
      <w:r>
        <w:rPr>
          <w:rFonts w:eastAsia="Arial"/>
          <w:color w:val="000000"/>
          <w:sz w:val="22"/>
          <w:szCs w:val="22"/>
        </w:rPr>
        <w:t>are</w:t>
      </w:r>
      <w:r w:rsidRPr="00D62090">
        <w:rPr>
          <w:rFonts w:eastAsia="Arial"/>
          <w:color w:val="000000"/>
          <w:sz w:val="22"/>
          <w:szCs w:val="22"/>
        </w:rPr>
        <w:t xml:space="preserve"> shown in </w:t>
      </w:r>
      <w:r w:rsidRPr="00D62090">
        <w:rPr>
          <w:rFonts w:eastAsia="Arial"/>
          <w:color w:val="000000"/>
          <w:sz w:val="22"/>
          <w:szCs w:val="22"/>
        </w:rPr>
        <w:fldChar w:fldCharType="begin"/>
      </w:r>
      <w:r w:rsidRPr="00D62090">
        <w:rPr>
          <w:rFonts w:eastAsia="Arial"/>
          <w:color w:val="000000"/>
          <w:sz w:val="22"/>
          <w:szCs w:val="22"/>
        </w:rPr>
        <w:instrText xml:space="preserve"> REF _Ref104547806 \h  \* MERGEFORMAT </w:instrText>
      </w:r>
      <w:r w:rsidRPr="00D62090">
        <w:rPr>
          <w:rFonts w:eastAsia="Arial"/>
          <w:color w:val="000000"/>
          <w:sz w:val="22"/>
          <w:szCs w:val="22"/>
        </w:rPr>
      </w:r>
      <w:r w:rsidRPr="00D62090">
        <w:rPr>
          <w:rFonts w:eastAsia="Arial"/>
          <w:color w:val="000000"/>
          <w:sz w:val="22"/>
          <w:szCs w:val="22"/>
        </w:rPr>
        <w:fldChar w:fldCharType="separate"/>
      </w:r>
      <w:r w:rsidR="005B672A" w:rsidRPr="005B672A">
        <w:rPr>
          <w:rFonts w:eastAsia="Arial"/>
          <w:color w:val="000000"/>
          <w:sz w:val="22"/>
          <w:szCs w:val="22"/>
        </w:rPr>
        <w:t>Figure 30</w:t>
      </w:r>
      <w:r w:rsidRPr="00D62090">
        <w:rPr>
          <w:rFonts w:eastAsia="Arial"/>
          <w:color w:val="000000"/>
          <w:sz w:val="22"/>
          <w:szCs w:val="22"/>
        </w:rPr>
        <w:fldChar w:fldCharType="end"/>
      </w:r>
      <w:r>
        <w:rPr>
          <w:rFonts w:eastAsia="Arial"/>
          <w:color w:val="000000"/>
          <w:sz w:val="22"/>
          <w:szCs w:val="22"/>
        </w:rPr>
        <w:t>; those for</w:t>
      </w:r>
      <w:r w:rsidRPr="00D62090">
        <w:rPr>
          <w:rFonts w:eastAsia="Arial"/>
          <w:color w:val="000000"/>
          <w:sz w:val="22"/>
          <w:szCs w:val="22"/>
        </w:rPr>
        <w:t xml:space="preserve"> </w:t>
      </w:r>
      <w:r w:rsidRPr="00B845D1">
        <w:rPr>
          <w:sz w:val="22"/>
          <w:szCs w:val="22"/>
        </w:rPr>
        <w:t xml:space="preserve">the </w:t>
      </w:r>
      <w:r>
        <w:rPr>
          <w:sz w:val="22"/>
          <w:szCs w:val="22"/>
        </w:rPr>
        <w:t>T</w:t>
      </w:r>
      <w:r w:rsidRPr="00B845D1">
        <w:rPr>
          <w:sz w:val="22"/>
          <w:szCs w:val="22"/>
        </w:rPr>
        <w:t>otal Murray</w:t>
      </w:r>
      <w:r>
        <w:rPr>
          <w:sz w:val="22"/>
          <w:szCs w:val="22"/>
        </w:rPr>
        <w:t xml:space="preserve"> P</w:t>
      </w:r>
      <w:r w:rsidRPr="00B845D1">
        <w:rPr>
          <w:sz w:val="22"/>
          <w:szCs w:val="22"/>
        </w:rPr>
        <w:t>opulations (</w:t>
      </w:r>
      <w:r>
        <w:rPr>
          <w:sz w:val="22"/>
          <w:szCs w:val="22"/>
        </w:rPr>
        <w:t>i.e. populations in the Murray River to Wentworth, and in the</w:t>
      </w:r>
      <w:r w:rsidRPr="00B845D1">
        <w:rPr>
          <w:sz w:val="22"/>
          <w:szCs w:val="22"/>
        </w:rPr>
        <w:t xml:space="preserve"> Edward River)</w:t>
      </w:r>
      <w:r>
        <w:rPr>
          <w:sz w:val="22"/>
          <w:szCs w:val="22"/>
        </w:rPr>
        <w:t xml:space="preserve"> </w:t>
      </w:r>
      <w:r>
        <w:rPr>
          <w:rFonts w:eastAsia="Arial"/>
          <w:color w:val="000000"/>
          <w:sz w:val="22"/>
          <w:szCs w:val="22"/>
        </w:rPr>
        <w:t>are</w:t>
      </w:r>
      <w:r w:rsidRPr="00D62090">
        <w:rPr>
          <w:rFonts w:eastAsia="Arial"/>
          <w:color w:val="000000"/>
          <w:sz w:val="22"/>
          <w:szCs w:val="22"/>
        </w:rPr>
        <w:t xml:space="preserve"> shown in </w:t>
      </w:r>
      <w:r w:rsidRPr="00D62090">
        <w:rPr>
          <w:rFonts w:eastAsia="Arial"/>
          <w:color w:val="000000"/>
          <w:sz w:val="22"/>
          <w:szCs w:val="22"/>
        </w:rPr>
        <w:fldChar w:fldCharType="begin"/>
      </w:r>
      <w:r w:rsidRPr="00D62090">
        <w:rPr>
          <w:rFonts w:eastAsia="Arial"/>
          <w:color w:val="000000"/>
          <w:sz w:val="22"/>
          <w:szCs w:val="22"/>
        </w:rPr>
        <w:instrText xml:space="preserve"> REF _Ref105515074 \h  \* MERGEFORMAT </w:instrText>
      </w:r>
      <w:r w:rsidRPr="00D62090">
        <w:rPr>
          <w:rFonts w:eastAsia="Arial"/>
          <w:color w:val="000000"/>
          <w:sz w:val="22"/>
          <w:szCs w:val="22"/>
        </w:rPr>
      </w:r>
      <w:r w:rsidRPr="00D62090">
        <w:rPr>
          <w:rFonts w:eastAsia="Arial"/>
          <w:color w:val="000000"/>
          <w:sz w:val="22"/>
          <w:szCs w:val="22"/>
        </w:rPr>
        <w:fldChar w:fldCharType="separate"/>
      </w:r>
      <w:r w:rsidR="005B672A" w:rsidRPr="005B672A">
        <w:rPr>
          <w:rFonts w:eastAsia="Arial"/>
          <w:color w:val="000000"/>
          <w:sz w:val="22"/>
          <w:szCs w:val="22"/>
        </w:rPr>
        <w:t>Figure 31</w:t>
      </w:r>
      <w:r w:rsidRPr="00D62090">
        <w:rPr>
          <w:rFonts w:eastAsia="Arial"/>
          <w:color w:val="000000"/>
          <w:sz w:val="22"/>
          <w:szCs w:val="22"/>
        </w:rPr>
        <w:fldChar w:fldCharType="end"/>
      </w:r>
      <w:r>
        <w:rPr>
          <w:rFonts w:eastAsia="Arial"/>
          <w:color w:val="000000"/>
          <w:sz w:val="22"/>
          <w:szCs w:val="22"/>
        </w:rPr>
        <w:t>;</w:t>
      </w:r>
      <w:r w:rsidRPr="00D62090">
        <w:rPr>
          <w:rFonts w:eastAsia="Arial"/>
          <w:color w:val="000000"/>
          <w:sz w:val="22"/>
          <w:szCs w:val="22"/>
        </w:rPr>
        <w:t xml:space="preserve"> and </w:t>
      </w:r>
      <w:r>
        <w:rPr>
          <w:rFonts w:eastAsia="Arial"/>
          <w:color w:val="000000"/>
          <w:sz w:val="22"/>
          <w:szCs w:val="22"/>
        </w:rPr>
        <w:t>those for the T</w:t>
      </w:r>
      <w:r w:rsidRPr="00D62090">
        <w:rPr>
          <w:rFonts w:eastAsia="Arial"/>
          <w:color w:val="000000"/>
          <w:sz w:val="22"/>
          <w:szCs w:val="22"/>
        </w:rPr>
        <w:t xml:space="preserve">otal Murrumbidgee </w:t>
      </w:r>
      <w:r>
        <w:rPr>
          <w:rFonts w:eastAsia="Arial"/>
          <w:color w:val="000000"/>
          <w:sz w:val="22"/>
          <w:szCs w:val="22"/>
        </w:rPr>
        <w:t>P</w:t>
      </w:r>
      <w:r w:rsidRPr="00D62090">
        <w:rPr>
          <w:rFonts w:eastAsia="Arial"/>
          <w:color w:val="000000"/>
          <w:sz w:val="22"/>
          <w:szCs w:val="22"/>
        </w:rPr>
        <w:t xml:space="preserve">opulations </w:t>
      </w:r>
      <w:r>
        <w:rPr>
          <w:rFonts w:eastAsia="Arial"/>
          <w:color w:val="000000"/>
          <w:sz w:val="22"/>
          <w:szCs w:val="22"/>
        </w:rPr>
        <w:t>(i.e. populations in the Murrumbidgee River) are</w:t>
      </w:r>
      <w:r w:rsidRPr="00D62090">
        <w:rPr>
          <w:rFonts w:eastAsia="Arial"/>
          <w:color w:val="000000"/>
          <w:sz w:val="22"/>
          <w:szCs w:val="22"/>
        </w:rPr>
        <w:t xml:space="preserve"> shown in </w:t>
      </w:r>
      <w:r w:rsidRPr="00D62090">
        <w:rPr>
          <w:rFonts w:eastAsia="Arial"/>
          <w:color w:val="000000"/>
          <w:sz w:val="22"/>
          <w:szCs w:val="22"/>
        </w:rPr>
        <w:fldChar w:fldCharType="begin"/>
      </w:r>
      <w:r w:rsidRPr="00D62090">
        <w:rPr>
          <w:rFonts w:eastAsia="Arial"/>
          <w:color w:val="000000"/>
          <w:sz w:val="22"/>
          <w:szCs w:val="22"/>
        </w:rPr>
        <w:instrText xml:space="preserve"> REF _Ref104547844 \h  \* MERGEFORMAT </w:instrText>
      </w:r>
      <w:r w:rsidRPr="00D62090">
        <w:rPr>
          <w:rFonts w:eastAsia="Arial"/>
          <w:color w:val="000000"/>
          <w:sz w:val="22"/>
          <w:szCs w:val="22"/>
        </w:rPr>
      </w:r>
      <w:r w:rsidRPr="00D62090">
        <w:rPr>
          <w:rFonts w:eastAsia="Arial"/>
          <w:color w:val="000000"/>
          <w:sz w:val="22"/>
          <w:szCs w:val="22"/>
        </w:rPr>
        <w:fldChar w:fldCharType="separate"/>
      </w:r>
      <w:r w:rsidR="005B672A" w:rsidRPr="005B672A">
        <w:rPr>
          <w:rFonts w:eastAsia="Arial"/>
          <w:color w:val="000000"/>
          <w:sz w:val="22"/>
          <w:szCs w:val="22"/>
        </w:rPr>
        <w:t>Figure 32</w:t>
      </w:r>
      <w:r w:rsidRPr="00D62090">
        <w:rPr>
          <w:rFonts w:eastAsia="Arial"/>
          <w:color w:val="000000"/>
          <w:sz w:val="22"/>
          <w:szCs w:val="22"/>
        </w:rPr>
        <w:fldChar w:fldCharType="end"/>
      </w:r>
      <w:r w:rsidRPr="00D62090">
        <w:rPr>
          <w:rFonts w:eastAsia="Arial"/>
          <w:color w:val="000000"/>
          <w:sz w:val="22"/>
          <w:szCs w:val="22"/>
        </w:rPr>
        <w:t xml:space="preserve">. </w:t>
      </w:r>
      <w:r>
        <w:rPr>
          <w:sz w:val="22"/>
          <w:szCs w:val="22"/>
        </w:rPr>
        <w:t xml:space="preserve">These aggregated results generally show the Murray Cod population model outcomes to be invariant among the </w:t>
      </w:r>
      <w:r w:rsidRPr="003E4E94">
        <w:rPr>
          <w:color w:val="000000"/>
          <w:sz w:val="22"/>
          <w:szCs w:val="22"/>
          <w:lang w:eastAsia="en-AU"/>
        </w:rPr>
        <w:t>relaxed</w:t>
      </w:r>
      <w:r>
        <w:rPr>
          <w:color w:val="000000"/>
          <w:sz w:val="22"/>
          <w:szCs w:val="22"/>
          <w:lang w:eastAsia="en-AU"/>
        </w:rPr>
        <w:t>-flow-</w:t>
      </w:r>
      <w:r w:rsidRPr="003E4E94">
        <w:rPr>
          <w:color w:val="000000"/>
          <w:sz w:val="22"/>
          <w:szCs w:val="22"/>
          <w:lang w:eastAsia="en-AU"/>
        </w:rPr>
        <w:t>constraint</w:t>
      </w:r>
      <w:r>
        <w:rPr>
          <w:color w:val="000000"/>
          <w:sz w:val="22"/>
          <w:szCs w:val="22"/>
          <w:lang w:eastAsia="en-AU"/>
        </w:rPr>
        <w:t xml:space="preserve">s </w:t>
      </w:r>
      <w:r w:rsidRPr="003E4E94">
        <w:rPr>
          <w:color w:val="000000"/>
          <w:sz w:val="22"/>
          <w:szCs w:val="22"/>
          <w:lang w:eastAsia="en-AU"/>
        </w:rPr>
        <w:t>scenarios</w:t>
      </w:r>
      <w:r>
        <w:rPr>
          <w:color w:val="000000"/>
          <w:sz w:val="22"/>
          <w:szCs w:val="22"/>
          <w:lang w:eastAsia="en-AU"/>
        </w:rPr>
        <w:t xml:space="preserve">, and that the greatest changes in population dynamics occur in response to blackwater disturbance. </w:t>
      </w:r>
      <w:r w:rsidRPr="00D62090">
        <w:rPr>
          <w:rFonts w:eastAsia="Arial"/>
          <w:color w:val="000000"/>
          <w:sz w:val="22"/>
          <w:szCs w:val="22"/>
        </w:rPr>
        <w:t xml:space="preserve">As the results for adult Murray Cod </w:t>
      </w:r>
      <w:r>
        <w:rPr>
          <w:rFonts w:eastAsia="Arial"/>
          <w:color w:val="000000"/>
          <w:sz w:val="22"/>
          <w:szCs w:val="22"/>
        </w:rPr>
        <w:t xml:space="preserve">populations </w:t>
      </w:r>
      <w:r w:rsidRPr="00D62090">
        <w:rPr>
          <w:rFonts w:eastAsia="Arial"/>
          <w:color w:val="000000"/>
          <w:sz w:val="22"/>
          <w:szCs w:val="22"/>
        </w:rPr>
        <w:t>are largely invariant across the range of relaxed</w:t>
      </w:r>
      <w:r>
        <w:rPr>
          <w:rFonts w:eastAsia="Arial"/>
          <w:color w:val="000000"/>
          <w:sz w:val="22"/>
          <w:szCs w:val="22"/>
        </w:rPr>
        <w:t>-flow-</w:t>
      </w:r>
      <w:r w:rsidRPr="00D62090">
        <w:rPr>
          <w:rFonts w:eastAsia="Arial"/>
          <w:color w:val="000000"/>
          <w:sz w:val="22"/>
          <w:szCs w:val="22"/>
        </w:rPr>
        <w:t>constraint</w:t>
      </w:r>
      <w:r>
        <w:rPr>
          <w:rFonts w:eastAsia="Arial"/>
          <w:color w:val="000000"/>
          <w:sz w:val="22"/>
          <w:szCs w:val="22"/>
        </w:rPr>
        <w:t>s</w:t>
      </w:r>
      <w:r w:rsidRPr="00D62090">
        <w:rPr>
          <w:rFonts w:eastAsia="Arial"/>
          <w:color w:val="000000"/>
          <w:sz w:val="22"/>
          <w:szCs w:val="22"/>
        </w:rPr>
        <w:t xml:space="preserve"> scenarios</w:t>
      </w:r>
      <w:r>
        <w:rPr>
          <w:rFonts w:eastAsia="Arial"/>
          <w:color w:val="000000"/>
          <w:sz w:val="22"/>
          <w:szCs w:val="22"/>
        </w:rPr>
        <w:t>,</w:t>
      </w:r>
      <w:r w:rsidRPr="00D62090">
        <w:rPr>
          <w:rFonts w:eastAsia="Arial"/>
          <w:color w:val="000000"/>
          <w:sz w:val="22"/>
          <w:szCs w:val="22"/>
        </w:rPr>
        <w:t xml:space="preserve"> </w:t>
      </w:r>
      <w:r>
        <w:rPr>
          <w:rFonts w:eastAsia="Arial"/>
          <w:color w:val="000000"/>
          <w:sz w:val="22"/>
          <w:szCs w:val="22"/>
        </w:rPr>
        <w:t xml:space="preserve">only </w:t>
      </w:r>
      <w:r w:rsidRPr="00D62090">
        <w:rPr>
          <w:rFonts w:eastAsia="Arial"/>
          <w:color w:val="000000"/>
          <w:sz w:val="22"/>
          <w:szCs w:val="22"/>
        </w:rPr>
        <w:t>a select number of reaches are presented here</w:t>
      </w:r>
      <w:r>
        <w:rPr>
          <w:rFonts w:eastAsia="Arial"/>
          <w:color w:val="000000"/>
          <w:sz w:val="22"/>
          <w:szCs w:val="22"/>
        </w:rPr>
        <w:t>:</w:t>
      </w:r>
      <w:r w:rsidRPr="00D62090">
        <w:rPr>
          <w:rFonts w:eastAsia="Arial"/>
          <w:color w:val="000000"/>
          <w:sz w:val="22"/>
          <w:szCs w:val="22"/>
        </w:rPr>
        <w:t xml:space="preserve"> two examples of invariant responses to the relaxed</w:t>
      </w:r>
      <w:r>
        <w:rPr>
          <w:rFonts w:eastAsia="Arial"/>
          <w:color w:val="000000"/>
          <w:sz w:val="22"/>
          <w:szCs w:val="22"/>
        </w:rPr>
        <w:t>-flow-</w:t>
      </w:r>
      <w:r w:rsidRPr="00D62090">
        <w:rPr>
          <w:rFonts w:eastAsia="Arial"/>
          <w:color w:val="000000"/>
          <w:sz w:val="22"/>
          <w:szCs w:val="22"/>
        </w:rPr>
        <w:t>constraint</w:t>
      </w:r>
      <w:r>
        <w:rPr>
          <w:rFonts w:eastAsia="Arial"/>
          <w:color w:val="000000"/>
          <w:sz w:val="22"/>
          <w:szCs w:val="22"/>
        </w:rPr>
        <w:t>s</w:t>
      </w:r>
      <w:r w:rsidRPr="00D62090">
        <w:rPr>
          <w:rFonts w:eastAsia="Arial"/>
          <w:color w:val="000000"/>
          <w:sz w:val="22"/>
          <w:szCs w:val="22"/>
        </w:rPr>
        <w:t xml:space="preserve"> scenarios (Yarrawonga to Torrumbarry – </w:t>
      </w:r>
      <w:r w:rsidRPr="00D62090">
        <w:rPr>
          <w:rFonts w:eastAsia="Arial"/>
          <w:color w:val="000000"/>
          <w:sz w:val="22"/>
          <w:szCs w:val="22"/>
        </w:rPr>
        <w:fldChar w:fldCharType="begin"/>
      </w:r>
      <w:r w:rsidRPr="00D62090">
        <w:rPr>
          <w:rFonts w:eastAsia="Arial"/>
          <w:color w:val="000000"/>
          <w:sz w:val="22"/>
          <w:szCs w:val="22"/>
        </w:rPr>
        <w:instrText xml:space="preserve"> REF _Ref104806722 \h  \* MERGEFORMAT </w:instrText>
      </w:r>
      <w:r w:rsidRPr="00D62090">
        <w:rPr>
          <w:rFonts w:eastAsia="Arial"/>
          <w:color w:val="000000"/>
          <w:sz w:val="22"/>
          <w:szCs w:val="22"/>
        </w:rPr>
      </w:r>
      <w:r w:rsidRPr="00D62090">
        <w:rPr>
          <w:rFonts w:eastAsia="Arial"/>
          <w:color w:val="000000"/>
          <w:sz w:val="22"/>
          <w:szCs w:val="22"/>
        </w:rPr>
        <w:fldChar w:fldCharType="separate"/>
      </w:r>
      <w:r w:rsidR="005B672A" w:rsidRPr="005B672A">
        <w:rPr>
          <w:rFonts w:eastAsia="Arial"/>
          <w:color w:val="000000"/>
          <w:sz w:val="22"/>
          <w:szCs w:val="22"/>
        </w:rPr>
        <w:t>Figure 33</w:t>
      </w:r>
      <w:r w:rsidRPr="00D62090">
        <w:rPr>
          <w:rFonts w:eastAsia="Arial"/>
          <w:color w:val="000000"/>
          <w:sz w:val="22"/>
          <w:szCs w:val="22"/>
        </w:rPr>
        <w:fldChar w:fldCharType="end"/>
      </w:r>
      <w:r>
        <w:rPr>
          <w:rFonts w:eastAsia="Arial"/>
          <w:color w:val="000000"/>
          <w:sz w:val="22"/>
          <w:szCs w:val="22"/>
        </w:rPr>
        <w:t>,</w:t>
      </w:r>
      <w:r w:rsidRPr="00D62090">
        <w:rPr>
          <w:rFonts w:eastAsia="Arial"/>
          <w:color w:val="000000"/>
          <w:sz w:val="22"/>
          <w:szCs w:val="22"/>
        </w:rPr>
        <w:t xml:space="preserve"> and Edward River – </w:t>
      </w:r>
      <w:r w:rsidRPr="00D62090">
        <w:rPr>
          <w:rFonts w:eastAsia="Arial"/>
          <w:color w:val="000000"/>
          <w:sz w:val="22"/>
          <w:szCs w:val="22"/>
        </w:rPr>
        <w:fldChar w:fldCharType="begin"/>
      </w:r>
      <w:r w:rsidRPr="00D62090">
        <w:rPr>
          <w:rFonts w:eastAsia="Arial"/>
          <w:color w:val="000000"/>
          <w:sz w:val="22"/>
          <w:szCs w:val="22"/>
        </w:rPr>
        <w:instrText xml:space="preserve"> REF _Ref104806731 \h  \* MERGEFORMAT </w:instrText>
      </w:r>
      <w:r w:rsidRPr="00D62090">
        <w:rPr>
          <w:rFonts w:eastAsia="Arial"/>
          <w:color w:val="000000"/>
          <w:sz w:val="22"/>
          <w:szCs w:val="22"/>
        </w:rPr>
      </w:r>
      <w:r w:rsidRPr="00D62090">
        <w:rPr>
          <w:rFonts w:eastAsia="Arial"/>
          <w:color w:val="000000"/>
          <w:sz w:val="22"/>
          <w:szCs w:val="22"/>
        </w:rPr>
        <w:fldChar w:fldCharType="separate"/>
      </w:r>
      <w:r w:rsidR="005B672A" w:rsidRPr="005B672A">
        <w:rPr>
          <w:rFonts w:eastAsia="Arial"/>
          <w:color w:val="000000"/>
          <w:sz w:val="22"/>
          <w:szCs w:val="22"/>
        </w:rPr>
        <w:t>Figure 34</w:t>
      </w:r>
      <w:r w:rsidRPr="00D62090">
        <w:rPr>
          <w:rFonts w:eastAsia="Arial"/>
          <w:color w:val="000000"/>
          <w:sz w:val="22"/>
          <w:szCs w:val="22"/>
        </w:rPr>
        <w:fldChar w:fldCharType="end"/>
      </w:r>
      <w:r w:rsidRPr="00D62090">
        <w:rPr>
          <w:rFonts w:eastAsia="Arial"/>
          <w:color w:val="000000"/>
          <w:sz w:val="22"/>
          <w:szCs w:val="22"/>
        </w:rPr>
        <w:t xml:space="preserve">) </w:t>
      </w:r>
      <w:r>
        <w:rPr>
          <w:rFonts w:eastAsia="Arial"/>
          <w:color w:val="000000"/>
          <w:sz w:val="22"/>
          <w:szCs w:val="22"/>
        </w:rPr>
        <w:t xml:space="preserve">(blackwater-affected reaches) </w:t>
      </w:r>
      <w:r w:rsidRPr="00D62090">
        <w:rPr>
          <w:rFonts w:eastAsia="Arial"/>
          <w:color w:val="000000"/>
          <w:sz w:val="22"/>
          <w:szCs w:val="22"/>
        </w:rPr>
        <w:t xml:space="preserve">and three examples of </w:t>
      </w:r>
      <w:r>
        <w:rPr>
          <w:rFonts w:eastAsia="Arial"/>
          <w:color w:val="000000"/>
          <w:sz w:val="22"/>
          <w:szCs w:val="22"/>
        </w:rPr>
        <w:t>varying</w:t>
      </w:r>
      <w:r w:rsidRPr="00D62090">
        <w:rPr>
          <w:rFonts w:eastAsia="Arial"/>
          <w:color w:val="000000"/>
          <w:sz w:val="22"/>
          <w:szCs w:val="22"/>
        </w:rPr>
        <w:t xml:space="preserve"> responses to the relaxed</w:t>
      </w:r>
      <w:r>
        <w:rPr>
          <w:rFonts w:eastAsia="Arial"/>
          <w:color w:val="000000"/>
          <w:sz w:val="22"/>
          <w:szCs w:val="22"/>
        </w:rPr>
        <w:t>-flow-</w:t>
      </w:r>
      <w:r w:rsidRPr="00D62090">
        <w:rPr>
          <w:rFonts w:eastAsia="Arial"/>
          <w:color w:val="000000"/>
          <w:sz w:val="22"/>
          <w:szCs w:val="22"/>
        </w:rPr>
        <w:t>constraint</w:t>
      </w:r>
      <w:r>
        <w:rPr>
          <w:rFonts w:eastAsia="Arial"/>
          <w:color w:val="000000"/>
          <w:sz w:val="22"/>
          <w:szCs w:val="22"/>
        </w:rPr>
        <w:t>s</w:t>
      </w:r>
      <w:r w:rsidRPr="00D62090">
        <w:rPr>
          <w:rFonts w:eastAsia="Arial"/>
          <w:color w:val="000000"/>
          <w:sz w:val="22"/>
          <w:szCs w:val="22"/>
        </w:rPr>
        <w:t xml:space="preserve"> scenarios (Hume to Yarrawonga – </w:t>
      </w:r>
      <w:r w:rsidRPr="00D62090">
        <w:rPr>
          <w:rFonts w:eastAsia="Arial"/>
          <w:color w:val="000000"/>
          <w:sz w:val="22"/>
          <w:szCs w:val="22"/>
        </w:rPr>
        <w:fldChar w:fldCharType="begin"/>
      </w:r>
      <w:r w:rsidRPr="00D62090">
        <w:rPr>
          <w:rFonts w:eastAsia="Arial"/>
          <w:color w:val="000000"/>
          <w:sz w:val="22"/>
          <w:szCs w:val="22"/>
        </w:rPr>
        <w:instrText xml:space="preserve"> REF _Ref104807327 \h  \* MERGEFORMAT </w:instrText>
      </w:r>
      <w:r w:rsidRPr="00D62090">
        <w:rPr>
          <w:rFonts w:eastAsia="Arial"/>
          <w:color w:val="000000"/>
          <w:sz w:val="22"/>
          <w:szCs w:val="22"/>
        </w:rPr>
      </w:r>
      <w:r w:rsidRPr="00D62090">
        <w:rPr>
          <w:rFonts w:eastAsia="Arial"/>
          <w:color w:val="000000"/>
          <w:sz w:val="22"/>
          <w:szCs w:val="22"/>
        </w:rPr>
        <w:fldChar w:fldCharType="separate"/>
      </w:r>
      <w:r w:rsidR="005B672A" w:rsidRPr="005B672A">
        <w:rPr>
          <w:rFonts w:eastAsia="Arial"/>
          <w:color w:val="000000"/>
          <w:sz w:val="22"/>
          <w:szCs w:val="22"/>
        </w:rPr>
        <w:t>Figure 35</w:t>
      </w:r>
      <w:r w:rsidRPr="00D62090">
        <w:rPr>
          <w:rFonts w:eastAsia="Arial"/>
          <w:color w:val="000000"/>
          <w:sz w:val="22"/>
          <w:szCs w:val="22"/>
        </w:rPr>
        <w:fldChar w:fldCharType="end"/>
      </w:r>
      <w:r w:rsidRPr="00D62090">
        <w:rPr>
          <w:rFonts w:eastAsia="Arial"/>
          <w:color w:val="000000"/>
          <w:sz w:val="22"/>
          <w:szCs w:val="22"/>
        </w:rPr>
        <w:t xml:space="preserve">; Gundagai to Berembed – </w:t>
      </w:r>
      <w:r w:rsidRPr="00D62090">
        <w:rPr>
          <w:rFonts w:eastAsia="Arial"/>
          <w:color w:val="000000"/>
          <w:sz w:val="22"/>
          <w:szCs w:val="22"/>
        </w:rPr>
        <w:fldChar w:fldCharType="begin"/>
      </w:r>
      <w:r w:rsidRPr="00D62090">
        <w:rPr>
          <w:rFonts w:eastAsia="Arial"/>
          <w:color w:val="000000"/>
          <w:sz w:val="22"/>
          <w:szCs w:val="22"/>
        </w:rPr>
        <w:instrText xml:space="preserve"> REF _Ref104807334 \h  \* MERGEFORMAT </w:instrText>
      </w:r>
      <w:r w:rsidRPr="00D62090">
        <w:rPr>
          <w:rFonts w:eastAsia="Arial"/>
          <w:color w:val="000000"/>
          <w:sz w:val="22"/>
          <w:szCs w:val="22"/>
        </w:rPr>
      </w:r>
      <w:r w:rsidRPr="00D62090">
        <w:rPr>
          <w:rFonts w:eastAsia="Arial"/>
          <w:color w:val="000000"/>
          <w:sz w:val="22"/>
          <w:szCs w:val="22"/>
        </w:rPr>
        <w:fldChar w:fldCharType="separate"/>
      </w:r>
      <w:r w:rsidR="005B672A" w:rsidRPr="005B672A">
        <w:rPr>
          <w:rFonts w:eastAsia="Arial"/>
          <w:color w:val="000000"/>
          <w:sz w:val="22"/>
          <w:szCs w:val="22"/>
        </w:rPr>
        <w:t>Figure 36</w:t>
      </w:r>
      <w:r w:rsidRPr="00D62090">
        <w:rPr>
          <w:rFonts w:eastAsia="Arial"/>
          <w:color w:val="000000"/>
          <w:sz w:val="22"/>
          <w:szCs w:val="22"/>
        </w:rPr>
        <w:fldChar w:fldCharType="end"/>
      </w:r>
      <w:r w:rsidRPr="00D62090">
        <w:rPr>
          <w:rFonts w:eastAsia="Arial"/>
          <w:color w:val="000000"/>
          <w:sz w:val="22"/>
          <w:szCs w:val="22"/>
        </w:rPr>
        <w:t xml:space="preserve">; and Yanco Creek – </w:t>
      </w:r>
      <w:r w:rsidRPr="00D62090">
        <w:rPr>
          <w:rFonts w:eastAsia="Arial"/>
          <w:color w:val="000000"/>
          <w:sz w:val="22"/>
          <w:szCs w:val="22"/>
        </w:rPr>
        <w:fldChar w:fldCharType="begin"/>
      </w:r>
      <w:r w:rsidRPr="00D62090">
        <w:rPr>
          <w:rFonts w:eastAsia="Arial"/>
          <w:color w:val="000000"/>
          <w:sz w:val="22"/>
          <w:szCs w:val="22"/>
        </w:rPr>
        <w:instrText xml:space="preserve"> REF _Ref104807347 \h  \* MERGEFORMAT </w:instrText>
      </w:r>
      <w:r w:rsidRPr="00D62090">
        <w:rPr>
          <w:rFonts w:eastAsia="Arial"/>
          <w:color w:val="000000"/>
          <w:sz w:val="22"/>
          <w:szCs w:val="22"/>
        </w:rPr>
      </w:r>
      <w:r w:rsidRPr="00D62090">
        <w:rPr>
          <w:rFonts w:eastAsia="Arial"/>
          <w:color w:val="000000"/>
          <w:sz w:val="22"/>
          <w:szCs w:val="22"/>
        </w:rPr>
        <w:fldChar w:fldCharType="separate"/>
      </w:r>
      <w:r w:rsidR="005B672A" w:rsidRPr="005B672A">
        <w:rPr>
          <w:rFonts w:eastAsia="Arial"/>
          <w:color w:val="000000"/>
          <w:sz w:val="22"/>
          <w:szCs w:val="22"/>
        </w:rPr>
        <w:t>Figure 37</w:t>
      </w:r>
      <w:r w:rsidRPr="00D62090">
        <w:rPr>
          <w:rFonts w:eastAsia="Arial"/>
          <w:color w:val="000000"/>
          <w:sz w:val="22"/>
          <w:szCs w:val="22"/>
        </w:rPr>
        <w:fldChar w:fldCharType="end"/>
      </w:r>
      <w:r w:rsidRPr="00D62090">
        <w:rPr>
          <w:rFonts w:eastAsia="Arial"/>
          <w:color w:val="000000"/>
          <w:sz w:val="22"/>
          <w:szCs w:val="22"/>
        </w:rPr>
        <w:t>)</w:t>
      </w:r>
      <w:r>
        <w:rPr>
          <w:rFonts w:eastAsia="Arial"/>
          <w:color w:val="000000"/>
          <w:sz w:val="22"/>
          <w:szCs w:val="22"/>
        </w:rPr>
        <w:t xml:space="preserve"> (temperature-affected reaches)</w:t>
      </w:r>
      <w:r w:rsidRPr="00D62090">
        <w:rPr>
          <w:rFonts w:eastAsia="Arial"/>
          <w:color w:val="000000"/>
          <w:sz w:val="22"/>
          <w:szCs w:val="22"/>
        </w:rPr>
        <w:t xml:space="preserve">. All other </w:t>
      </w:r>
      <w:r>
        <w:rPr>
          <w:rFonts w:eastAsia="Arial"/>
          <w:color w:val="000000"/>
          <w:sz w:val="22"/>
          <w:szCs w:val="22"/>
        </w:rPr>
        <w:t>modelling</w:t>
      </w:r>
      <w:r w:rsidRPr="00D62090">
        <w:rPr>
          <w:rFonts w:eastAsia="Arial"/>
          <w:color w:val="000000"/>
          <w:sz w:val="22"/>
          <w:szCs w:val="22"/>
        </w:rPr>
        <w:t xml:space="preserve"> output</w:t>
      </w:r>
      <w:r>
        <w:rPr>
          <w:rFonts w:eastAsia="Arial"/>
          <w:color w:val="000000"/>
          <w:sz w:val="22"/>
          <w:szCs w:val="22"/>
        </w:rPr>
        <w:t>s</w:t>
      </w:r>
      <w:r w:rsidRPr="00D62090">
        <w:rPr>
          <w:rFonts w:eastAsia="Arial"/>
          <w:color w:val="000000"/>
          <w:sz w:val="22"/>
          <w:szCs w:val="22"/>
        </w:rPr>
        <w:t xml:space="preserve"> for </w:t>
      </w:r>
      <w:r>
        <w:rPr>
          <w:rFonts w:eastAsia="Arial"/>
          <w:color w:val="000000"/>
          <w:sz w:val="22"/>
          <w:szCs w:val="22"/>
        </w:rPr>
        <w:t xml:space="preserve">adult populations in </w:t>
      </w:r>
      <w:r w:rsidRPr="00D62090">
        <w:rPr>
          <w:rFonts w:eastAsia="Arial"/>
          <w:color w:val="000000"/>
          <w:sz w:val="22"/>
          <w:szCs w:val="22"/>
        </w:rPr>
        <w:t xml:space="preserve">the individual RRCP river reaches are included in Appendix 3. </w:t>
      </w:r>
      <w:r>
        <w:rPr>
          <w:rFonts w:eastAsia="Arial"/>
          <w:color w:val="000000"/>
          <w:sz w:val="22"/>
          <w:szCs w:val="22"/>
        </w:rPr>
        <w:t>Note that the Murray Cod population model outcomes show a high level of convergence, which is explained by a lack of variation in their adult population size response to the relaxed-flow-constraints scenarios across the whole time series (</w:t>
      </w:r>
      <w:r w:rsidRPr="00420DAE">
        <w:rPr>
          <w:rFonts w:eastAsia="Arial"/>
          <w:color w:val="000000"/>
          <w:sz w:val="22"/>
          <w:szCs w:val="22"/>
        </w:rPr>
        <w:fldChar w:fldCharType="begin"/>
      </w:r>
      <w:r w:rsidRPr="00420DAE">
        <w:rPr>
          <w:rFonts w:eastAsia="Arial"/>
          <w:color w:val="000000"/>
          <w:sz w:val="22"/>
          <w:szCs w:val="22"/>
        </w:rPr>
        <w:instrText xml:space="preserve"> REF _Ref104547806 \h </w:instrText>
      </w:r>
      <w:r>
        <w:rPr>
          <w:rFonts w:eastAsia="Arial"/>
          <w:color w:val="000000"/>
          <w:sz w:val="22"/>
          <w:szCs w:val="22"/>
        </w:rPr>
        <w:instrText xml:space="preserve"> \* MERGEFORMAT </w:instrText>
      </w:r>
      <w:r w:rsidRPr="00420DAE">
        <w:rPr>
          <w:rFonts w:eastAsia="Arial"/>
          <w:color w:val="000000"/>
          <w:sz w:val="22"/>
          <w:szCs w:val="22"/>
        </w:rPr>
      </w:r>
      <w:r w:rsidRPr="00420DA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30</w:t>
      </w:r>
      <w:r w:rsidRPr="00420DAE">
        <w:rPr>
          <w:rFonts w:eastAsia="Arial"/>
          <w:color w:val="000000"/>
          <w:sz w:val="22"/>
          <w:szCs w:val="22"/>
        </w:rPr>
        <w:fldChar w:fldCharType="end"/>
      </w:r>
      <w:r>
        <w:rPr>
          <w:rFonts w:eastAsia="Arial"/>
          <w:color w:val="000000"/>
          <w:sz w:val="22"/>
          <w:szCs w:val="22"/>
        </w:rPr>
        <w:t>).</w:t>
      </w:r>
    </w:p>
    <w:p w14:paraId="73BD2065" w14:textId="2061B256" w:rsidR="00491210" w:rsidRPr="00D62090" w:rsidRDefault="00EE200C" w:rsidP="00F36D2D">
      <w:pPr>
        <w:spacing w:after="0"/>
        <w:rPr>
          <w:rFonts w:eastAsia="Arial"/>
          <w:color w:val="000000"/>
          <w:sz w:val="22"/>
          <w:szCs w:val="22"/>
        </w:rPr>
      </w:pPr>
      <w:r>
        <w:rPr>
          <w:rFonts w:eastAsia="Arial"/>
          <w:color w:val="000000"/>
          <w:sz w:val="22"/>
          <w:szCs w:val="22"/>
        </w:rPr>
        <w:br w:type="page"/>
      </w:r>
    </w:p>
    <w:p w14:paraId="6744ECCC" w14:textId="794D423E" w:rsidR="00491210" w:rsidRDefault="003E1401" w:rsidP="00F36D2D">
      <w:pPr>
        <w:spacing w:after="0"/>
        <w:jc w:val="center"/>
        <w:rPr>
          <w:color w:val="000000"/>
          <w:sz w:val="22"/>
          <w:szCs w:val="22"/>
          <w:lang w:eastAsia="en-AU"/>
        </w:rPr>
      </w:pPr>
      <w:r>
        <w:rPr>
          <w:noProof/>
          <w:color w:val="000000"/>
          <w:sz w:val="22"/>
          <w:szCs w:val="22"/>
          <w:lang w:eastAsia="en-AU"/>
        </w:rPr>
        <w:lastRenderedPageBreak/>
        <w:t xml:space="preserve"> </w:t>
      </w:r>
    </w:p>
    <w:p w14:paraId="03C97F74" w14:textId="46F0E1B2" w:rsidR="00491210" w:rsidRDefault="003E1401" w:rsidP="00F36D2D">
      <w:pPr>
        <w:spacing w:after="0"/>
        <w:jc w:val="center"/>
        <w:rPr>
          <w:color w:val="000000"/>
          <w:sz w:val="22"/>
          <w:szCs w:val="22"/>
          <w:lang w:eastAsia="en-AU"/>
        </w:rPr>
      </w:pPr>
      <w:r>
        <w:rPr>
          <w:noProof/>
          <w:color w:val="000000"/>
          <w:sz w:val="22"/>
          <w:szCs w:val="22"/>
          <w:lang w:eastAsia="en-AU"/>
        </w:rPr>
        <w:t xml:space="preserve"> </w:t>
      </w:r>
    </w:p>
    <w:p w14:paraId="41D6F2BD" w14:textId="3F8C12CD" w:rsidR="00491210" w:rsidRDefault="003E1401" w:rsidP="00F36D2D">
      <w:pPr>
        <w:spacing w:after="0"/>
        <w:jc w:val="center"/>
        <w:rPr>
          <w:color w:val="000000"/>
          <w:sz w:val="22"/>
          <w:szCs w:val="22"/>
          <w:lang w:eastAsia="en-AU"/>
        </w:rPr>
      </w:pPr>
      <w:r>
        <w:rPr>
          <w:noProof/>
          <w:color w:val="000000"/>
          <w:sz w:val="22"/>
          <w:szCs w:val="22"/>
          <w:lang w:eastAsia="en-AU"/>
        </w:rPr>
        <w:t xml:space="preserve"> </w:t>
      </w:r>
    </w:p>
    <w:p w14:paraId="7304EC7A" w14:textId="67021369" w:rsidR="00491210" w:rsidRPr="00EA2CBF" w:rsidRDefault="00EE200C" w:rsidP="00F602FE">
      <w:pPr>
        <w:pStyle w:val="Caption-Figure"/>
      </w:pPr>
      <w:bookmarkStart w:id="142" w:name="_Ref104547806"/>
      <w:bookmarkStart w:id="143" w:name="_Toc116994999"/>
      <w:r w:rsidRPr="000F4C0B">
        <w:t xml:space="preserve">Figure </w:t>
      </w:r>
      <w:r w:rsidRPr="00E2785E">
        <w:fldChar w:fldCharType="begin"/>
      </w:r>
      <w:r w:rsidRPr="000F4C0B">
        <w:instrText>SEQ Figure \* ARABIC</w:instrText>
      </w:r>
      <w:r w:rsidRPr="00E2785E">
        <w:fldChar w:fldCharType="separate"/>
      </w:r>
      <w:r w:rsidR="005B672A">
        <w:rPr>
          <w:noProof/>
        </w:rPr>
        <w:t>30</w:t>
      </w:r>
      <w:r w:rsidRPr="00E2785E">
        <w:fldChar w:fldCharType="end"/>
      </w:r>
      <w:bookmarkEnd w:id="142"/>
      <w:r w:rsidRPr="000F4C0B">
        <w:t xml:space="preserve">. Modelled Murray Cod </w:t>
      </w:r>
      <w:r>
        <w:t xml:space="preserve">adult </w:t>
      </w:r>
      <w:r w:rsidRPr="000F4C0B">
        <w:t>population</w:t>
      </w:r>
      <w:r>
        <w:t>s</w:t>
      </w:r>
      <w:r w:rsidRPr="000F4C0B">
        <w:t xml:space="preserve"> </w:t>
      </w:r>
      <w:r>
        <w:t xml:space="preserve">aggregated </w:t>
      </w:r>
      <w:r w:rsidRPr="000F4C0B">
        <w:t>across all modelled RRCP focal zones</w:t>
      </w:r>
      <w:r>
        <w:t>,</w:t>
      </w:r>
      <w:r w:rsidRPr="000F4C0B">
        <w:t xml:space="preserve"> together with </w:t>
      </w:r>
      <w:r>
        <w:t xml:space="preserve">the </w:t>
      </w:r>
      <w:r w:rsidRPr="000F4C0B">
        <w:t xml:space="preserve">Wakool </w:t>
      </w:r>
      <w:r>
        <w:t>Junction to Wentworth reach,</w:t>
      </w:r>
      <w:r w:rsidRPr="000F4C0B">
        <w:t xml:space="preserve"> for the RRCP flow scenarios Base case – Option 4. </w:t>
      </w:r>
      <w:r w:rsidRPr="00EA2CBF">
        <w:t>Top panel: mean adult population size through time</w:t>
      </w:r>
      <w:r w:rsidRPr="009674D3">
        <w:t>.</w:t>
      </w:r>
      <w:r w:rsidRPr="00EA2CBF">
        <w:t xml:space="preserve"> Middle panel: associated distribution of the mean </w:t>
      </w:r>
      <w:r w:rsidRPr="009674D3">
        <w:t xml:space="preserve">adult </w:t>
      </w:r>
      <w:r w:rsidRPr="00EA2CBF">
        <w:t>population sizes</w:t>
      </w:r>
      <w:r w:rsidRPr="009674D3">
        <w:t>.</w:t>
      </w:r>
      <w:r w:rsidRPr="00EA2CBF">
        <w:t xml:space="preserve"> Bottom panel: expected mean </w:t>
      </w:r>
      <w:r w:rsidRPr="009674D3">
        <w:t xml:space="preserve">adult </w:t>
      </w:r>
      <w:r w:rsidRPr="00EA2CBF">
        <w:t>population size</w:t>
      </w:r>
      <w:r w:rsidRPr="009674D3">
        <w:t>,</w:t>
      </w:r>
      <w:r w:rsidRPr="00EA2CBF">
        <w:t xml:space="preserve"> with </w:t>
      </w:r>
      <w:r w:rsidRPr="00D7363C">
        <w:t>the percentage</w:t>
      </w:r>
      <w:r w:rsidRPr="00EA2CBF">
        <w:t xml:space="preserve"> change from Base case shown in each bar.</w:t>
      </w:r>
      <w:bookmarkEnd w:id="143"/>
    </w:p>
    <w:p w14:paraId="5998CA47" w14:textId="1DE6FDD0" w:rsidR="00491210" w:rsidRDefault="003E1401" w:rsidP="00F36D2D">
      <w:pPr>
        <w:spacing w:after="0"/>
        <w:jc w:val="center"/>
        <w:rPr>
          <w:color w:val="000000"/>
          <w:sz w:val="22"/>
          <w:szCs w:val="22"/>
          <w:lang w:eastAsia="en-AU"/>
        </w:rPr>
      </w:pPr>
      <w:bookmarkStart w:id="144" w:name="_Ref104547829"/>
      <w:r>
        <w:rPr>
          <w:noProof/>
          <w:color w:val="000000"/>
          <w:sz w:val="22"/>
          <w:szCs w:val="22"/>
          <w:lang w:eastAsia="en-AU"/>
        </w:rPr>
        <w:t xml:space="preserve">   </w:t>
      </w:r>
    </w:p>
    <w:p w14:paraId="1698BF00" w14:textId="10D6B99F" w:rsidR="00491210" w:rsidRPr="00EA2CBF" w:rsidRDefault="00EE200C" w:rsidP="00733F34">
      <w:pPr>
        <w:pStyle w:val="Caption-Figure"/>
      </w:pPr>
      <w:bookmarkStart w:id="145" w:name="_Ref105515074"/>
      <w:bookmarkStart w:id="146" w:name="_Toc116995000"/>
      <w:r w:rsidRPr="00DD7D8C">
        <w:t xml:space="preserve">Figure </w:t>
      </w:r>
      <w:r>
        <w:fldChar w:fldCharType="begin"/>
      </w:r>
      <w:r>
        <w:instrText>SEQ Figure \* ARABIC</w:instrText>
      </w:r>
      <w:r>
        <w:fldChar w:fldCharType="separate"/>
      </w:r>
      <w:r w:rsidR="005B672A">
        <w:rPr>
          <w:noProof/>
        </w:rPr>
        <w:t>31</w:t>
      </w:r>
      <w:r>
        <w:fldChar w:fldCharType="end"/>
      </w:r>
      <w:bookmarkEnd w:id="144"/>
      <w:bookmarkEnd w:id="145"/>
      <w:r w:rsidRPr="00DD7D8C">
        <w:t xml:space="preserve">. Modelled </w:t>
      </w:r>
      <w:r>
        <w:t>Murray Cod</w:t>
      </w:r>
      <w:r w:rsidRPr="00DD7D8C">
        <w:t xml:space="preserve"> </w:t>
      </w:r>
      <w:r>
        <w:t xml:space="preserve">adult </w:t>
      </w:r>
      <w:r w:rsidRPr="00DD7D8C">
        <w:t>population</w:t>
      </w:r>
      <w:r>
        <w:t>s</w:t>
      </w:r>
      <w:r w:rsidRPr="00DD7D8C">
        <w:t xml:space="preserve"> </w:t>
      </w:r>
      <w:r>
        <w:t xml:space="preserve">aggregated </w:t>
      </w:r>
      <w:r w:rsidRPr="00DD7D8C">
        <w:t xml:space="preserve">across </w:t>
      </w:r>
      <w:r>
        <w:t>the Murray River RRCP</w:t>
      </w:r>
      <w:r w:rsidRPr="00DD7D8C">
        <w:t xml:space="preserve"> </w:t>
      </w:r>
      <w:r>
        <w:t>focal zones</w:t>
      </w:r>
      <w:r w:rsidRPr="00DD7D8C">
        <w:t xml:space="preserve"> </w:t>
      </w:r>
      <w:r>
        <w:t>(including the Edward River),</w:t>
      </w:r>
      <w:r w:rsidRPr="006B0ECF">
        <w:t xml:space="preserve"> </w:t>
      </w:r>
      <w:r>
        <w:t xml:space="preserve">together with the Wakool Junction to Wentworth reach, </w:t>
      </w:r>
      <w:r w:rsidRPr="7ADEDDC3">
        <w:t xml:space="preserve">for the </w:t>
      </w:r>
      <w:r>
        <w:t>RRCP flow scenarios</w:t>
      </w:r>
      <w:r w:rsidRPr="7ADEDDC3">
        <w:t xml:space="preserve"> </w:t>
      </w:r>
      <w:r>
        <w:t>Base case</w:t>
      </w:r>
      <w:r w:rsidRPr="7ADEDDC3">
        <w:t xml:space="preserve"> – </w:t>
      </w:r>
      <w:r>
        <w:t>Option 4</w:t>
      </w:r>
      <w:r w:rsidRPr="00DD7D8C">
        <w:t>.</w:t>
      </w:r>
      <w:r w:rsidRPr="00EA2CBF">
        <w:t xml:space="preserve"> Top panel: mean adult population size through time, Middle panel: associated distribution of the mean population sizes and, Bottom panel: expected mean </w:t>
      </w:r>
      <w:r w:rsidRPr="009674D3">
        <w:t xml:space="preserve">adult </w:t>
      </w:r>
      <w:r w:rsidRPr="00EA2CBF">
        <w:t>population size</w:t>
      </w:r>
      <w:r w:rsidRPr="009674D3">
        <w:t>,</w:t>
      </w:r>
      <w:r w:rsidRPr="00EA2CBF">
        <w:t xml:space="preserve"> with </w:t>
      </w:r>
      <w:r w:rsidRPr="00D7363C">
        <w:t>the percentage</w:t>
      </w:r>
      <w:r w:rsidRPr="00EA2CBF">
        <w:t xml:space="preserve"> change from Base case shown in each bar.</w:t>
      </w:r>
      <w:bookmarkEnd w:id="146"/>
    </w:p>
    <w:p w14:paraId="7093169F" w14:textId="491A178C" w:rsidR="00491210" w:rsidRDefault="003E1401" w:rsidP="00F36D2D">
      <w:pPr>
        <w:spacing w:after="0"/>
        <w:jc w:val="center"/>
        <w:rPr>
          <w:color w:val="000000"/>
          <w:sz w:val="22"/>
          <w:szCs w:val="22"/>
          <w:lang w:eastAsia="en-AU"/>
        </w:rPr>
      </w:pPr>
      <w:r>
        <w:rPr>
          <w:noProof/>
          <w:color w:val="000000"/>
          <w:sz w:val="22"/>
          <w:szCs w:val="22"/>
          <w:lang w:eastAsia="en-AU"/>
        </w:rPr>
        <w:t xml:space="preserve">   </w:t>
      </w:r>
    </w:p>
    <w:p w14:paraId="3A5054BA" w14:textId="27900E74" w:rsidR="00491210" w:rsidRPr="00EA2CBF" w:rsidRDefault="00EE200C" w:rsidP="00F602FE">
      <w:pPr>
        <w:pStyle w:val="Caption-Figure"/>
      </w:pPr>
      <w:bookmarkStart w:id="147" w:name="_Ref104547844"/>
      <w:bookmarkStart w:id="148" w:name="_Toc116995001"/>
      <w:r w:rsidRPr="00DD7D8C">
        <w:t xml:space="preserve">Figure </w:t>
      </w:r>
      <w:r>
        <w:fldChar w:fldCharType="begin"/>
      </w:r>
      <w:r>
        <w:instrText>SEQ Figure \* ARABIC</w:instrText>
      </w:r>
      <w:r>
        <w:fldChar w:fldCharType="separate"/>
      </w:r>
      <w:r w:rsidR="005B672A">
        <w:rPr>
          <w:noProof/>
        </w:rPr>
        <w:t>32</w:t>
      </w:r>
      <w:r>
        <w:fldChar w:fldCharType="end"/>
      </w:r>
      <w:bookmarkEnd w:id="147"/>
      <w:r w:rsidRPr="00DD7D8C">
        <w:t xml:space="preserve">. Modelled </w:t>
      </w:r>
      <w:r>
        <w:t>Murray Cod</w:t>
      </w:r>
      <w:r w:rsidRPr="00DD7D8C">
        <w:t xml:space="preserve"> </w:t>
      </w:r>
      <w:r>
        <w:t xml:space="preserve">adult </w:t>
      </w:r>
      <w:r w:rsidRPr="00DD7D8C">
        <w:t>population</w:t>
      </w:r>
      <w:r>
        <w:t>s</w:t>
      </w:r>
      <w:r w:rsidRPr="00DD7D8C">
        <w:t xml:space="preserve"> </w:t>
      </w:r>
      <w:r>
        <w:t xml:space="preserve">aggregated </w:t>
      </w:r>
      <w:r w:rsidRPr="00DD7D8C">
        <w:t xml:space="preserve">across </w:t>
      </w:r>
      <w:r>
        <w:t>the Murrumbidgee River RRCP</w:t>
      </w:r>
      <w:r w:rsidRPr="00DD7D8C">
        <w:t xml:space="preserve"> </w:t>
      </w:r>
      <w:r>
        <w:t>focal area</w:t>
      </w:r>
      <w:r w:rsidRPr="00DD7D8C">
        <w:t xml:space="preserve"> </w:t>
      </w:r>
      <w:r w:rsidRPr="7ADEDDC3">
        <w:t xml:space="preserve">for the </w:t>
      </w:r>
      <w:r>
        <w:t>RRCP flow scenarios</w:t>
      </w:r>
      <w:r w:rsidRPr="7ADEDDC3">
        <w:t xml:space="preserve"> </w:t>
      </w:r>
      <w:r>
        <w:t>Base case</w:t>
      </w:r>
      <w:r w:rsidRPr="7ADEDDC3">
        <w:t xml:space="preserve"> – </w:t>
      </w:r>
      <w:r>
        <w:t>Option 4</w:t>
      </w:r>
      <w:r w:rsidRPr="00DD7D8C">
        <w:t>.</w:t>
      </w:r>
      <w:r w:rsidRPr="00EA2CBF">
        <w:t xml:space="preserve"> Top panel: mean adult population size through time, Middle panel: associated distribution of the mean </w:t>
      </w:r>
      <w:r w:rsidRPr="009674D3">
        <w:t xml:space="preserve">adult </w:t>
      </w:r>
      <w:r w:rsidRPr="00EA2CBF">
        <w:t>population size</w:t>
      </w:r>
      <w:r w:rsidRPr="009674D3">
        <w:t>s.</w:t>
      </w:r>
      <w:r w:rsidRPr="00EA2CBF">
        <w:t xml:space="preserve"> Bottom panel: expected mean</w:t>
      </w:r>
      <w:r w:rsidRPr="009674D3">
        <w:t xml:space="preserve"> adult</w:t>
      </w:r>
      <w:r w:rsidRPr="00EA2CBF">
        <w:t xml:space="preserve"> population size</w:t>
      </w:r>
      <w:r w:rsidRPr="009674D3">
        <w:t>,</w:t>
      </w:r>
      <w:r w:rsidRPr="00EA2CBF">
        <w:t xml:space="preserve"> with </w:t>
      </w:r>
      <w:r w:rsidRPr="00D7363C">
        <w:t>the percentage</w:t>
      </w:r>
      <w:r w:rsidRPr="00EA2CBF">
        <w:t xml:space="preserve"> change from Base case shown in each bar.</w:t>
      </w:r>
      <w:bookmarkEnd w:id="148"/>
    </w:p>
    <w:p w14:paraId="2EB8B0E8" w14:textId="4FDAB6B9" w:rsidR="00491210" w:rsidRPr="00682E3F" w:rsidRDefault="003E1401" w:rsidP="00F36D2D">
      <w:pPr>
        <w:spacing w:after="0"/>
        <w:jc w:val="center"/>
        <w:rPr>
          <w:noProof/>
          <w:color w:val="000000"/>
          <w:sz w:val="22"/>
          <w:szCs w:val="22"/>
          <w:lang w:eastAsia="en-AU"/>
        </w:rPr>
      </w:pPr>
      <w:r>
        <w:rPr>
          <w:noProof/>
          <w:lang w:eastAsia="en-AU"/>
        </w:rPr>
        <w:t xml:space="preserve">  </w:t>
      </w:r>
    </w:p>
    <w:p w14:paraId="5FAA8C45" w14:textId="04EEB01C" w:rsidR="00491210" w:rsidRPr="00EA2CBF" w:rsidRDefault="00EE200C" w:rsidP="00F602FE">
      <w:pPr>
        <w:pStyle w:val="Caption-Figure"/>
      </w:pPr>
      <w:bookmarkStart w:id="149" w:name="_Ref104806722"/>
      <w:bookmarkStart w:id="150" w:name="_Toc116995002"/>
      <w:r w:rsidRPr="00DD7D8C">
        <w:t xml:space="preserve">Figure </w:t>
      </w:r>
      <w:r>
        <w:fldChar w:fldCharType="begin"/>
      </w:r>
      <w:r>
        <w:instrText>SEQ Figure \* ARABIC</w:instrText>
      </w:r>
      <w:r>
        <w:fldChar w:fldCharType="separate"/>
      </w:r>
      <w:r w:rsidR="005B672A">
        <w:rPr>
          <w:noProof/>
        </w:rPr>
        <w:t>33</w:t>
      </w:r>
      <w:r>
        <w:fldChar w:fldCharType="end"/>
      </w:r>
      <w:bookmarkEnd w:id="149"/>
      <w:r w:rsidRPr="00DD7D8C">
        <w:t xml:space="preserve">. </w:t>
      </w:r>
      <w:r w:rsidRPr="7ADEDDC3">
        <w:rPr>
          <w:szCs w:val="20"/>
        </w:rPr>
        <w:t xml:space="preserve">Modelled </w:t>
      </w:r>
      <w:r>
        <w:rPr>
          <w:szCs w:val="20"/>
        </w:rPr>
        <w:t>Murray Cod</w:t>
      </w:r>
      <w:r w:rsidRPr="7ADEDDC3">
        <w:rPr>
          <w:szCs w:val="20"/>
        </w:rPr>
        <w:t xml:space="preserve"> in the </w:t>
      </w:r>
      <w:r>
        <w:rPr>
          <w:szCs w:val="20"/>
        </w:rPr>
        <w:t xml:space="preserve">Yarrawonga to </w:t>
      </w:r>
      <w:r w:rsidRPr="7ADEDDC3">
        <w:rPr>
          <w:szCs w:val="20"/>
        </w:rPr>
        <w:t>Torrumbarry</w:t>
      </w:r>
      <w:r w:rsidRPr="006B0ECF">
        <w:t xml:space="preserve"> </w:t>
      </w:r>
      <w:r>
        <w:t xml:space="preserve">reach </w:t>
      </w:r>
      <w:r w:rsidRPr="7ADEDDC3">
        <w:t xml:space="preserve">for the </w:t>
      </w:r>
      <w:r>
        <w:t>RRCP flow scenarios</w:t>
      </w:r>
      <w:r w:rsidRPr="7ADEDDC3">
        <w:t xml:space="preserve"> </w:t>
      </w:r>
      <w:r>
        <w:t>Base case</w:t>
      </w:r>
      <w:r w:rsidRPr="7ADEDDC3">
        <w:t xml:space="preserve"> – </w:t>
      </w:r>
      <w:r>
        <w:t>Option 4</w:t>
      </w:r>
      <w:r w:rsidRPr="00DD7D8C">
        <w:t xml:space="preserve">. </w:t>
      </w:r>
      <w:r w:rsidRPr="00EA2CBF">
        <w:t>Top panel: mean adult population size through time</w:t>
      </w:r>
      <w:r w:rsidRPr="009674D3">
        <w:t>.</w:t>
      </w:r>
      <w:r w:rsidRPr="00EA2CBF">
        <w:t xml:space="preserve"> Bottom panel: expected mean </w:t>
      </w:r>
      <w:r w:rsidRPr="009674D3">
        <w:t xml:space="preserve">adult </w:t>
      </w:r>
      <w:r w:rsidRPr="00EA2CBF">
        <w:t>population size</w:t>
      </w:r>
      <w:r w:rsidRPr="009674D3">
        <w:t>,</w:t>
      </w:r>
      <w:r w:rsidRPr="00EA2CBF">
        <w:t xml:space="preserve"> with </w:t>
      </w:r>
      <w:r w:rsidRPr="00D7363C">
        <w:t>the percentage</w:t>
      </w:r>
      <w:r w:rsidRPr="00EA2CBF">
        <w:t xml:space="preserve"> change from Base case shown in each bar.</w:t>
      </w:r>
      <w:bookmarkEnd w:id="150"/>
    </w:p>
    <w:p w14:paraId="2782E3DC" w14:textId="27CD5C5A" w:rsidR="00491210" w:rsidRPr="00F36D2D" w:rsidRDefault="00EE200C" w:rsidP="00F36D2D">
      <w:pPr>
        <w:spacing w:after="0"/>
      </w:pPr>
      <w:r>
        <w:br w:type="page"/>
      </w:r>
    </w:p>
    <w:p w14:paraId="4364F430" w14:textId="72B273BF" w:rsidR="00491210" w:rsidRPr="00682E3F" w:rsidRDefault="003E1401" w:rsidP="00F36D2D">
      <w:pPr>
        <w:spacing w:after="0"/>
        <w:jc w:val="center"/>
        <w:rPr>
          <w:noProof/>
          <w:color w:val="000000"/>
          <w:sz w:val="22"/>
          <w:szCs w:val="22"/>
          <w:lang w:eastAsia="en-AU"/>
        </w:rPr>
      </w:pPr>
      <w:r>
        <w:rPr>
          <w:noProof/>
          <w:color w:val="000000"/>
          <w:sz w:val="22"/>
          <w:szCs w:val="22"/>
          <w:lang w:eastAsia="en-AU"/>
        </w:rPr>
        <w:lastRenderedPageBreak/>
        <w:t xml:space="preserve">  </w:t>
      </w:r>
    </w:p>
    <w:p w14:paraId="4E628CE7" w14:textId="543D5968" w:rsidR="00491210" w:rsidRPr="00EA2CBF" w:rsidRDefault="00EE200C" w:rsidP="00F602FE">
      <w:pPr>
        <w:pStyle w:val="Caption-Figure"/>
      </w:pPr>
      <w:bookmarkStart w:id="151" w:name="_Ref104806731"/>
      <w:bookmarkStart w:id="152" w:name="_Toc116995003"/>
      <w:r w:rsidRPr="00DD7D8C">
        <w:t xml:space="preserve">Figure </w:t>
      </w:r>
      <w:r>
        <w:fldChar w:fldCharType="begin"/>
      </w:r>
      <w:r>
        <w:instrText>SEQ Figure \* ARABIC</w:instrText>
      </w:r>
      <w:r>
        <w:fldChar w:fldCharType="separate"/>
      </w:r>
      <w:r w:rsidR="005B672A">
        <w:rPr>
          <w:noProof/>
        </w:rPr>
        <w:t>34</w:t>
      </w:r>
      <w:r>
        <w:fldChar w:fldCharType="end"/>
      </w:r>
      <w:bookmarkEnd w:id="151"/>
      <w:r w:rsidRPr="00DD7D8C">
        <w:t xml:space="preserve">. </w:t>
      </w:r>
      <w:r w:rsidRPr="7ADEDDC3">
        <w:rPr>
          <w:szCs w:val="20"/>
        </w:rPr>
        <w:t xml:space="preserve">Modelled </w:t>
      </w:r>
      <w:r>
        <w:rPr>
          <w:szCs w:val="20"/>
        </w:rPr>
        <w:t>Murray Cod</w:t>
      </w:r>
      <w:r w:rsidRPr="7ADEDDC3">
        <w:rPr>
          <w:szCs w:val="20"/>
        </w:rPr>
        <w:t xml:space="preserve"> </w:t>
      </w:r>
      <w:r>
        <w:rPr>
          <w:szCs w:val="20"/>
        </w:rPr>
        <w:t xml:space="preserve">adult population </w:t>
      </w:r>
      <w:r w:rsidRPr="7ADEDDC3">
        <w:rPr>
          <w:szCs w:val="20"/>
        </w:rPr>
        <w:t xml:space="preserve">in the </w:t>
      </w:r>
      <w:r>
        <w:rPr>
          <w:szCs w:val="20"/>
        </w:rPr>
        <w:t xml:space="preserve">Edward River </w:t>
      </w:r>
      <w:r w:rsidRPr="7ADEDDC3">
        <w:t xml:space="preserve">for the </w:t>
      </w:r>
      <w:r>
        <w:t>RRCP flow scenarios</w:t>
      </w:r>
      <w:r w:rsidRPr="7ADEDDC3">
        <w:t xml:space="preserve"> </w:t>
      </w:r>
      <w:r>
        <w:t>Base case</w:t>
      </w:r>
      <w:r w:rsidRPr="7ADEDDC3">
        <w:t xml:space="preserve"> – </w:t>
      </w:r>
      <w:r>
        <w:t>Option 4</w:t>
      </w:r>
      <w:r w:rsidRPr="00DD7D8C">
        <w:t xml:space="preserve">. </w:t>
      </w:r>
      <w:r w:rsidRPr="00EA2CBF">
        <w:t>Top panel: mean adult population size through time</w:t>
      </w:r>
      <w:r w:rsidRPr="009674D3">
        <w:t>.</w:t>
      </w:r>
      <w:r w:rsidRPr="00EA2CBF">
        <w:t xml:space="preserve"> Bottom panel: expected mean </w:t>
      </w:r>
      <w:r w:rsidRPr="009674D3">
        <w:t xml:space="preserve">adult </w:t>
      </w:r>
      <w:r w:rsidRPr="00EA2CBF">
        <w:t>population size</w:t>
      </w:r>
      <w:r w:rsidRPr="009674D3">
        <w:t>,</w:t>
      </w:r>
      <w:r w:rsidRPr="00EA2CBF">
        <w:t xml:space="preserve"> with </w:t>
      </w:r>
      <w:r w:rsidRPr="00D7363C">
        <w:t>the percentage</w:t>
      </w:r>
      <w:r w:rsidRPr="00EA2CBF">
        <w:t xml:space="preserve"> change from Base case shown in each bar.</w:t>
      </w:r>
      <w:bookmarkEnd w:id="152"/>
    </w:p>
    <w:p w14:paraId="24579620" w14:textId="0CF0FFF2" w:rsidR="00491210" w:rsidRPr="00F36D2D" w:rsidRDefault="00EE200C" w:rsidP="00F36D2D">
      <w:pPr>
        <w:spacing w:after="0"/>
      </w:pPr>
      <w:r>
        <w:br w:type="page"/>
      </w:r>
    </w:p>
    <w:p w14:paraId="412F4B24" w14:textId="11CA8778" w:rsidR="00491210" w:rsidRPr="00682E3F" w:rsidRDefault="003E1401" w:rsidP="00F36D2D">
      <w:pPr>
        <w:spacing w:after="0"/>
        <w:jc w:val="center"/>
        <w:rPr>
          <w:noProof/>
          <w:color w:val="000000"/>
          <w:sz w:val="22"/>
          <w:szCs w:val="22"/>
          <w:lang w:eastAsia="en-AU"/>
        </w:rPr>
      </w:pPr>
      <w:r>
        <w:rPr>
          <w:noProof/>
          <w:lang w:eastAsia="en-AU"/>
        </w:rPr>
        <w:lastRenderedPageBreak/>
        <w:t xml:space="preserve"> </w:t>
      </w:r>
      <w:r>
        <w:rPr>
          <w:noProof/>
          <w:color w:val="000000"/>
          <w:sz w:val="22"/>
          <w:szCs w:val="22"/>
          <w:lang w:eastAsia="en-AU"/>
        </w:rPr>
        <w:t xml:space="preserve"> </w:t>
      </w:r>
    </w:p>
    <w:p w14:paraId="00FF0DE5" w14:textId="760F71F6" w:rsidR="00491210" w:rsidRPr="00EA2CBF" w:rsidRDefault="00EE200C" w:rsidP="00F602FE">
      <w:pPr>
        <w:pStyle w:val="Caption-Figure"/>
      </w:pPr>
      <w:bookmarkStart w:id="153" w:name="_Ref104807327"/>
      <w:bookmarkStart w:id="154" w:name="_Toc116995004"/>
      <w:r w:rsidRPr="00DD7D8C">
        <w:t xml:space="preserve">Figure </w:t>
      </w:r>
      <w:r>
        <w:fldChar w:fldCharType="begin"/>
      </w:r>
      <w:r>
        <w:instrText>SEQ Figure \* ARABIC</w:instrText>
      </w:r>
      <w:r>
        <w:fldChar w:fldCharType="separate"/>
      </w:r>
      <w:r w:rsidR="005B672A">
        <w:rPr>
          <w:noProof/>
        </w:rPr>
        <w:t>35</w:t>
      </w:r>
      <w:r>
        <w:fldChar w:fldCharType="end"/>
      </w:r>
      <w:bookmarkEnd w:id="153"/>
      <w:r w:rsidRPr="00DD7D8C">
        <w:t xml:space="preserve">. </w:t>
      </w:r>
      <w:r w:rsidRPr="7ADEDDC3">
        <w:rPr>
          <w:szCs w:val="20"/>
        </w:rPr>
        <w:t xml:space="preserve">Modelled </w:t>
      </w:r>
      <w:r>
        <w:rPr>
          <w:szCs w:val="20"/>
        </w:rPr>
        <w:t>Murray Cod</w:t>
      </w:r>
      <w:r w:rsidRPr="7ADEDDC3">
        <w:rPr>
          <w:szCs w:val="20"/>
        </w:rPr>
        <w:t xml:space="preserve"> </w:t>
      </w:r>
      <w:r>
        <w:rPr>
          <w:szCs w:val="20"/>
        </w:rPr>
        <w:t xml:space="preserve">adult population </w:t>
      </w:r>
      <w:r w:rsidRPr="7ADEDDC3">
        <w:rPr>
          <w:szCs w:val="20"/>
        </w:rPr>
        <w:t xml:space="preserve">in the </w:t>
      </w:r>
      <w:r>
        <w:rPr>
          <w:szCs w:val="20"/>
        </w:rPr>
        <w:t>Hume to Yarrawonga</w:t>
      </w:r>
      <w:r w:rsidRPr="006B0ECF">
        <w:t xml:space="preserve"> </w:t>
      </w:r>
      <w:r>
        <w:t xml:space="preserve">reach </w:t>
      </w:r>
      <w:r w:rsidRPr="7ADEDDC3">
        <w:t xml:space="preserve">for the </w:t>
      </w:r>
      <w:r>
        <w:t>RRCP flow scenarios</w:t>
      </w:r>
      <w:r w:rsidRPr="7ADEDDC3">
        <w:t xml:space="preserve"> </w:t>
      </w:r>
      <w:r>
        <w:t>Base case</w:t>
      </w:r>
      <w:r w:rsidRPr="7ADEDDC3">
        <w:t xml:space="preserve"> – </w:t>
      </w:r>
      <w:r>
        <w:t>Option 4</w:t>
      </w:r>
      <w:r w:rsidRPr="00EA2CBF">
        <w:t>. Top panel: mean adult population size through time</w:t>
      </w:r>
      <w:r w:rsidRPr="009674D3">
        <w:t>.</w:t>
      </w:r>
      <w:r w:rsidRPr="00EA2CBF">
        <w:t xml:space="preserve"> Bottom panel: expected mean </w:t>
      </w:r>
      <w:r w:rsidRPr="009674D3">
        <w:t xml:space="preserve">adult </w:t>
      </w:r>
      <w:r w:rsidRPr="00EA2CBF">
        <w:t>population size</w:t>
      </w:r>
      <w:r w:rsidRPr="009674D3">
        <w:t>,</w:t>
      </w:r>
      <w:r w:rsidRPr="00EA2CBF">
        <w:t xml:space="preserve"> with </w:t>
      </w:r>
      <w:r w:rsidRPr="00D7363C">
        <w:t>the percentage</w:t>
      </w:r>
      <w:r w:rsidRPr="00EA2CBF">
        <w:t xml:space="preserve"> change from Base case shown in each bar.</w:t>
      </w:r>
      <w:bookmarkEnd w:id="154"/>
    </w:p>
    <w:p w14:paraId="068E116D" w14:textId="17C861F5" w:rsidR="00491210" w:rsidRDefault="00EE200C">
      <w:pPr>
        <w:spacing w:after="0"/>
      </w:pPr>
      <w:r>
        <w:br w:type="page"/>
      </w:r>
    </w:p>
    <w:p w14:paraId="6CB54403" w14:textId="61C3E6A2" w:rsidR="00491210" w:rsidRPr="00341A18" w:rsidRDefault="003E1401" w:rsidP="00F36D2D">
      <w:pPr>
        <w:spacing w:after="0"/>
        <w:jc w:val="center"/>
        <w:rPr>
          <w:noProof/>
          <w:color w:val="000000"/>
          <w:sz w:val="22"/>
          <w:szCs w:val="22"/>
          <w:lang w:eastAsia="en-AU"/>
        </w:rPr>
      </w:pPr>
      <w:r>
        <w:rPr>
          <w:noProof/>
          <w:lang w:eastAsia="en-AU"/>
        </w:rPr>
        <w:lastRenderedPageBreak/>
        <w:t xml:space="preserve"> </w:t>
      </w:r>
      <w:r>
        <w:rPr>
          <w:noProof/>
          <w:color w:val="000000"/>
          <w:sz w:val="22"/>
          <w:szCs w:val="22"/>
          <w:lang w:eastAsia="en-AU"/>
        </w:rPr>
        <w:t xml:space="preserve"> </w:t>
      </w:r>
    </w:p>
    <w:p w14:paraId="0A5F8936" w14:textId="1C8E7CF7" w:rsidR="00491210" w:rsidRPr="00EA2CBF" w:rsidRDefault="00EE200C" w:rsidP="00F602FE">
      <w:pPr>
        <w:pStyle w:val="Caption-Figure"/>
      </w:pPr>
      <w:bookmarkStart w:id="155" w:name="_Ref104807334"/>
      <w:bookmarkStart w:id="156" w:name="_Toc116995005"/>
      <w:r w:rsidRPr="00DD7D8C">
        <w:t xml:space="preserve">Figure </w:t>
      </w:r>
      <w:r>
        <w:fldChar w:fldCharType="begin"/>
      </w:r>
      <w:r>
        <w:instrText>SEQ Figure \* ARABIC</w:instrText>
      </w:r>
      <w:r>
        <w:fldChar w:fldCharType="separate"/>
      </w:r>
      <w:r w:rsidR="005B672A">
        <w:rPr>
          <w:noProof/>
        </w:rPr>
        <w:t>36</w:t>
      </w:r>
      <w:r>
        <w:fldChar w:fldCharType="end"/>
      </w:r>
      <w:bookmarkEnd w:id="155"/>
      <w:r w:rsidRPr="00DD7D8C">
        <w:t xml:space="preserve">. </w:t>
      </w:r>
      <w:r w:rsidRPr="7ADEDDC3">
        <w:rPr>
          <w:szCs w:val="20"/>
        </w:rPr>
        <w:t xml:space="preserve">Modelled </w:t>
      </w:r>
      <w:r>
        <w:rPr>
          <w:szCs w:val="20"/>
        </w:rPr>
        <w:t>Murray Cod adult population in</w:t>
      </w:r>
      <w:r w:rsidRPr="7ADEDDC3">
        <w:rPr>
          <w:szCs w:val="20"/>
        </w:rPr>
        <w:t xml:space="preserve"> the </w:t>
      </w:r>
      <w:r>
        <w:rPr>
          <w:szCs w:val="20"/>
        </w:rPr>
        <w:t>Gundagai to Berembed</w:t>
      </w:r>
      <w:r w:rsidRPr="00E34FAD">
        <w:t xml:space="preserve"> </w:t>
      </w:r>
      <w:r>
        <w:t xml:space="preserve">reach </w:t>
      </w:r>
      <w:r w:rsidRPr="7ADEDDC3">
        <w:t xml:space="preserve">for the </w:t>
      </w:r>
      <w:r>
        <w:t>RRCP flow scenarios</w:t>
      </w:r>
      <w:r w:rsidRPr="7ADEDDC3">
        <w:t xml:space="preserve"> </w:t>
      </w:r>
      <w:r>
        <w:t>Base case</w:t>
      </w:r>
      <w:r w:rsidRPr="7ADEDDC3">
        <w:t xml:space="preserve"> – </w:t>
      </w:r>
      <w:r>
        <w:t>Option 4</w:t>
      </w:r>
      <w:r w:rsidRPr="00DD7D8C">
        <w:t>.</w:t>
      </w:r>
      <w:r w:rsidRPr="00EA2CBF">
        <w:t xml:space="preserve"> Top panel: mean adult population size through time</w:t>
      </w:r>
      <w:r w:rsidRPr="00205BA6">
        <w:t>.</w:t>
      </w:r>
      <w:r w:rsidRPr="00EA2CBF">
        <w:t xml:space="preserve"> Bottom panel: expected mean </w:t>
      </w:r>
      <w:r w:rsidRPr="009F7CD2">
        <w:t xml:space="preserve">adult </w:t>
      </w:r>
      <w:r w:rsidRPr="00EA2CBF">
        <w:t>population size</w:t>
      </w:r>
      <w:r w:rsidRPr="009F7CD2">
        <w:t>,</w:t>
      </w:r>
      <w:r w:rsidRPr="00EA2CBF">
        <w:t xml:space="preserve"> with </w:t>
      </w:r>
      <w:r w:rsidRPr="00D7363C">
        <w:t>the percentage</w:t>
      </w:r>
      <w:r w:rsidRPr="00EA2CBF">
        <w:t xml:space="preserve"> change from Base case shown in each bar.</w:t>
      </w:r>
      <w:bookmarkEnd w:id="156"/>
    </w:p>
    <w:p w14:paraId="292F4B66" w14:textId="6A69863E" w:rsidR="00491210" w:rsidRPr="00F36D2D" w:rsidRDefault="00EE200C" w:rsidP="00F36D2D">
      <w:pPr>
        <w:spacing w:after="0"/>
      </w:pPr>
      <w:r>
        <w:br w:type="page"/>
      </w:r>
    </w:p>
    <w:p w14:paraId="68972B28" w14:textId="3FB750E0" w:rsidR="00491210" w:rsidRDefault="003E1401" w:rsidP="00F36D2D">
      <w:pPr>
        <w:spacing w:after="0"/>
        <w:jc w:val="center"/>
      </w:pPr>
      <w:r>
        <w:rPr>
          <w:noProof/>
          <w:lang w:eastAsia="en-AU"/>
        </w:rPr>
        <w:lastRenderedPageBreak/>
        <w:t xml:space="preserve">  </w:t>
      </w:r>
    </w:p>
    <w:p w14:paraId="66CDE16D" w14:textId="4C100473" w:rsidR="00491210" w:rsidRPr="00EA2CBF" w:rsidRDefault="00EE200C" w:rsidP="00F602FE">
      <w:pPr>
        <w:pStyle w:val="Caption-Figure"/>
      </w:pPr>
      <w:bookmarkStart w:id="157" w:name="_Ref104807347"/>
      <w:bookmarkStart w:id="158" w:name="_Toc116995006"/>
      <w:r w:rsidRPr="00DD7D8C">
        <w:t xml:space="preserve">Figure </w:t>
      </w:r>
      <w:r>
        <w:fldChar w:fldCharType="begin"/>
      </w:r>
      <w:r>
        <w:instrText>SEQ Figure \* ARABIC</w:instrText>
      </w:r>
      <w:r>
        <w:fldChar w:fldCharType="separate"/>
      </w:r>
      <w:r w:rsidR="005B672A">
        <w:rPr>
          <w:noProof/>
        </w:rPr>
        <w:t>37</w:t>
      </w:r>
      <w:r>
        <w:fldChar w:fldCharType="end"/>
      </w:r>
      <w:bookmarkEnd w:id="157"/>
      <w:r w:rsidRPr="00DD7D8C">
        <w:t xml:space="preserve">. </w:t>
      </w:r>
      <w:r w:rsidRPr="7ADEDDC3">
        <w:rPr>
          <w:szCs w:val="20"/>
        </w:rPr>
        <w:t xml:space="preserve">Modelled </w:t>
      </w:r>
      <w:r>
        <w:rPr>
          <w:szCs w:val="20"/>
        </w:rPr>
        <w:t>Murray Cod</w:t>
      </w:r>
      <w:r w:rsidRPr="7ADEDDC3">
        <w:rPr>
          <w:szCs w:val="20"/>
        </w:rPr>
        <w:t xml:space="preserve"> </w:t>
      </w:r>
      <w:r>
        <w:rPr>
          <w:szCs w:val="20"/>
        </w:rPr>
        <w:t xml:space="preserve">adult population </w:t>
      </w:r>
      <w:r w:rsidRPr="7ADEDDC3">
        <w:rPr>
          <w:szCs w:val="20"/>
        </w:rPr>
        <w:t>in</w:t>
      </w:r>
      <w:r>
        <w:rPr>
          <w:szCs w:val="20"/>
        </w:rPr>
        <w:t xml:space="preserve"> Yanco Creek</w:t>
      </w:r>
      <w:r w:rsidRPr="006B0ECF">
        <w:t xml:space="preserve"> </w:t>
      </w:r>
      <w:r w:rsidRPr="7ADEDDC3">
        <w:t xml:space="preserve">for the </w:t>
      </w:r>
      <w:r>
        <w:t>RRCP flow scenarios</w:t>
      </w:r>
      <w:r w:rsidRPr="7ADEDDC3">
        <w:t xml:space="preserve"> </w:t>
      </w:r>
      <w:r>
        <w:t>Base case</w:t>
      </w:r>
      <w:r w:rsidRPr="7ADEDDC3">
        <w:t xml:space="preserve"> – </w:t>
      </w:r>
      <w:r>
        <w:t>Option 4</w:t>
      </w:r>
      <w:r w:rsidRPr="00DD7D8C">
        <w:t xml:space="preserve">. </w:t>
      </w:r>
      <w:r w:rsidRPr="00EA2CBF">
        <w:t>Top panel: mean adult population size through time</w:t>
      </w:r>
      <w:r w:rsidRPr="009F7CD2">
        <w:t>.</w:t>
      </w:r>
      <w:r w:rsidRPr="00EA2CBF">
        <w:t xml:space="preserve"> Bottom panel: expected mean </w:t>
      </w:r>
      <w:r w:rsidRPr="009F7CD2">
        <w:t xml:space="preserve">adult </w:t>
      </w:r>
      <w:r w:rsidRPr="00EA2CBF">
        <w:t>population size</w:t>
      </w:r>
      <w:r w:rsidRPr="009F7CD2">
        <w:t>,</w:t>
      </w:r>
      <w:r w:rsidRPr="00EA2CBF">
        <w:t xml:space="preserve"> with </w:t>
      </w:r>
      <w:r w:rsidRPr="00D7363C">
        <w:t>the percentage</w:t>
      </w:r>
      <w:r w:rsidRPr="00EA2CBF">
        <w:t xml:space="preserve"> change from Base case shown in each bar.</w:t>
      </w:r>
      <w:bookmarkEnd w:id="158"/>
    </w:p>
    <w:p w14:paraId="2392D0A9" w14:textId="77777777" w:rsidR="00491210" w:rsidRDefault="00EE200C">
      <w:pPr>
        <w:spacing w:after="0"/>
        <w:rPr>
          <w:rFonts w:eastAsia="Arial"/>
          <w:b/>
          <w:sz w:val="22"/>
          <w:lang w:eastAsia="en-AU"/>
        </w:rPr>
      </w:pPr>
      <w:r>
        <w:br w:type="page"/>
      </w:r>
    </w:p>
    <w:p w14:paraId="207266B6" w14:textId="6801AE91" w:rsidR="00491210" w:rsidRPr="009656FD" w:rsidRDefault="00EE200C" w:rsidP="0015103C">
      <w:pPr>
        <w:pStyle w:val="Heading4-Numbered"/>
      </w:pPr>
      <w:r>
        <w:lastRenderedPageBreak/>
        <w:t>Recruitment of Murray Cod</w:t>
      </w:r>
    </w:p>
    <w:p w14:paraId="4535B451" w14:textId="4862446F" w:rsidR="00491210" w:rsidRDefault="00EE200C" w:rsidP="00F6203C">
      <w:pPr>
        <w:spacing w:before="240" w:after="240"/>
        <w:jc w:val="both"/>
        <w:rPr>
          <w:sz w:val="22"/>
          <w:szCs w:val="22"/>
        </w:rPr>
      </w:pPr>
      <w:r w:rsidRPr="00932A3F">
        <w:rPr>
          <w:sz w:val="22"/>
          <w:szCs w:val="22"/>
        </w:rPr>
        <w:t xml:space="preserve">The modelling outputs for the number </w:t>
      </w:r>
      <w:r>
        <w:rPr>
          <w:sz w:val="22"/>
          <w:szCs w:val="22"/>
        </w:rPr>
        <w:t xml:space="preserve">of </w:t>
      </w:r>
      <w:r w:rsidRPr="00932A3F">
        <w:rPr>
          <w:sz w:val="22"/>
          <w:szCs w:val="22"/>
        </w:rPr>
        <w:t xml:space="preserve">one year old (recruits) </w:t>
      </w:r>
      <w:r>
        <w:rPr>
          <w:sz w:val="22"/>
          <w:szCs w:val="22"/>
        </w:rPr>
        <w:t>Murray Cod</w:t>
      </w:r>
      <w:r w:rsidRPr="00932A3F">
        <w:rPr>
          <w:sz w:val="22"/>
          <w:szCs w:val="22"/>
        </w:rPr>
        <w:t xml:space="preserve"> </w:t>
      </w:r>
      <w:r w:rsidRPr="00B845D1">
        <w:rPr>
          <w:sz w:val="22"/>
          <w:szCs w:val="22"/>
        </w:rPr>
        <w:t>for the</w:t>
      </w:r>
      <w:r>
        <w:rPr>
          <w:sz w:val="22"/>
          <w:szCs w:val="22"/>
        </w:rPr>
        <w:t xml:space="preserve"> Total RRCP Populations</w:t>
      </w:r>
      <w:r w:rsidRPr="00757F17">
        <w:rPr>
          <w:sz w:val="24"/>
        </w:rPr>
        <w:t xml:space="preserve"> </w:t>
      </w:r>
      <w:r w:rsidRPr="00932A3F">
        <w:rPr>
          <w:sz w:val="22"/>
          <w:szCs w:val="22"/>
        </w:rPr>
        <w:t xml:space="preserve">is shown in </w:t>
      </w:r>
      <w:r w:rsidRPr="00F8106F">
        <w:rPr>
          <w:sz w:val="22"/>
          <w:szCs w:val="22"/>
        </w:rPr>
        <w:fldChar w:fldCharType="begin"/>
      </w:r>
      <w:r w:rsidRPr="00F8106F">
        <w:rPr>
          <w:sz w:val="22"/>
          <w:szCs w:val="22"/>
        </w:rPr>
        <w:instrText xml:space="preserve"> REF _Ref104549263 \h </w:instrText>
      </w:r>
      <w:r>
        <w:rPr>
          <w:sz w:val="22"/>
          <w:szCs w:val="22"/>
        </w:rPr>
        <w:instrText xml:space="preserve"> \* MERGEFORMAT </w:instrText>
      </w:r>
      <w:r w:rsidRPr="00F8106F">
        <w:rPr>
          <w:sz w:val="22"/>
          <w:szCs w:val="22"/>
        </w:rPr>
      </w:r>
      <w:r w:rsidRPr="00F8106F">
        <w:rPr>
          <w:sz w:val="22"/>
          <w:szCs w:val="22"/>
        </w:rPr>
        <w:fldChar w:fldCharType="separate"/>
      </w:r>
      <w:r w:rsidR="005B672A" w:rsidRPr="005B672A">
        <w:rPr>
          <w:sz w:val="22"/>
          <w:szCs w:val="22"/>
        </w:rPr>
        <w:t xml:space="preserve">Figure </w:t>
      </w:r>
      <w:r w:rsidR="005B672A" w:rsidRPr="005B672A">
        <w:rPr>
          <w:noProof/>
          <w:sz w:val="22"/>
          <w:szCs w:val="22"/>
        </w:rPr>
        <w:t>38</w:t>
      </w:r>
      <w:r w:rsidRPr="00F8106F">
        <w:rPr>
          <w:sz w:val="22"/>
          <w:szCs w:val="22"/>
        </w:rPr>
        <w:fldChar w:fldCharType="end"/>
      </w:r>
      <w:r w:rsidRPr="00F8106F">
        <w:rPr>
          <w:sz w:val="22"/>
          <w:szCs w:val="22"/>
        </w:rPr>
        <w:t>, the number of one year old Murray Cod in the</w:t>
      </w:r>
      <w:r>
        <w:rPr>
          <w:sz w:val="22"/>
          <w:szCs w:val="22"/>
        </w:rPr>
        <w:t xml:space="preserve"> Total </w:t>
      </w:r>
      <w:r w:rsidRPr="00F8106F">
        <w:rPr>
          <w:sz w:val="22"/>
          <w:szCs w:val="22"/>
        </w:rPr>
        <w:t xml:space="preserve">Murray </w:t>
      </w:r>
      <w:r w:rsidRPr="00D62090">
        <w:rPr>
          <w:rFonts w:eastAsia="Arial"/>
          <w:color w:val="000000"/>
          <w:sz w:val="22"/>
          <w:szCs w:val="22"/>
        </w:rPr>
        <w:t>populations</w:t>
      </w:r>
      <w:r w:rsidRPr="00F8106F">
        <w:rPr>
          <w:sz w:val="22"/>
          <w:szCs w:val="22"/>
        </w:rPr>
        <w:t xml:space="preserve"> (</w:t>
      </w:r>
      <w:r>
        <w:rPr>
          <w:sz w:val="22"/>
          <w:szCs w:val="22"/>
        </w:rPr>
        <w:t xml:space="preserve">to Wentworth, </w:t>
      </w:r>
      <w:r w:rsidRPr="00F8106F">
        <w:rPr>
          <w:sz w:val="22"/>
          <w:szCs w:val="22"/>
        </w:rPr>
        <w:t xml:space="preserve">including Edward River) is shown in </w:t>
      </w:r>
      <w:r w:rsidRPr="00F8106F">
        <w:rPr>
          <w:sz w:val="22"/>
          <w:szCs w:val="22"/>
        </w:rPr>
        <w:fldChar w:fldCharType="begin"/>
      </w:r>
      <w:r w:rsidRPr="00F8106F">
        <w:rPr>
          <w:sz w:val="22"/>
          <w:szCs w:val="22"/>
        </w:rPr>
        <w:instrText xml:space="preserve"> REF _Ref104549284 \h </w:instrText>
      </w:r>
      <w:r>
        <w:rPr>
          <w:sz w:val="22"/>
          <w:szCs w:val="22"/>
        </w:rPr>
        <w:instrText xml:space="preserve"> \* MERGEFORMAT </w:instrText>
      </w:r>
      <w:r w:rsidRPr="00F8106F">
        <w:rPr>
          <w:sz w:val="22"/>
          <w:szCs w:val="22"/>
        </w:rPr>
      </w:r>
      <w:r w:rsidRPr="00F8106F">
        <w:rPr>
          <w:sz w:val="22"/>
          <w:szCs w:val="22"/>
        </w:rPr>
        <w:fldChar w:fldCharType="separate"/>
      </w:r>
      <w:r w:rsidR="005B672A" w:rsidRPr="005B672A">
        <w:rPr>
          <w:sz w:val="22"/>
          <w:szCs w:val="22"/>
        </w:rPr>
        <w:t xml:space="preserve">Figure </w:t>
      </w:r>
      <w:r w:rsidR="005B672A" w:rsidRPr="005B672A">
        <w:rPr>
          <w:noProof/>
          <w:sz w:val="22"/>
          <w:szCs w:val="22"/>
        </w:rPr>
        <w:t>39</w:t>
      </w:r>
      <w:r w:rsidRPr="00F8106F">
        <w:rPr>
          <w:sz w:val="22"/>
          <w:szCs w:val="22"/>
        </w:rPr>
        <w:fldChar w:fldCharType="end"/>
      </w:r>
      <w:r w:rsidRPr="00F8106F">
        <w:rPr>
          <w:sz w:val="22"/>
          <w:szCs w:val="22"/>
        </w:rPr>
        <w:t xml:space="preserve"> and the </w:t>
      </w:r>
      <w:r w:rsidRPr="00932A3F">
        <w:rPr>
          <w:sz w:val="22"/>
          <w:szCs w:val="22"/>
        </w:rPr>
        <w:t xml:space="preserve">number of one year old </w:t>
      </w:r>
      <w:r>
        <w:rPr>
          <w:sz w:val="22"/>
          <w:szCs w:val="22"/>
        </w:rPr>
        <w:t>Murray Cod</w:t>
      </w:r>
      <w:r w:rsidRPr="00932A3F">
        <w:rPr>
          <w:sz w:val="22"/>
          <w:szCs w:val="22"/>
        </w:rPr>
        <w:t xml:space="preserve"> in the </w:t>
      </w:r>
      <w:r>
        <w:rPr>
          <w:sz w:val="22"/>
          <w:szCs w:val="22"/>
        </w:rPr>
        <w:t>T</w:t>
      </w:r>
      <w:r w:rsidRPr="00F8106F">
        <w:rPr>
          <w:sz w:val="22"/>
          <w:szCs w:val="22"/>
        </w:rPr>
        <w:t xml:space="preserve">otal Murrumbidgee populations is shown in </w:t>
      </w:r>
      <w:r w:rsidRPr="00F8106F">
        <w:rPr>
          <w:sz w:val="22"/>
          <w:szCs w:val="22"/>
        </w:rPr>
        <w:fldChar w:fldCharType="begin"/>
      </w:r>
      <w:r w:rsidRPr="00F8106F">
        <w:rPr>
          <w:sz w:val="22"/>
          <w:szCs w:val="22"/>
        </w:rPr>
        <w:instrText xml:space="preserve"> REF _Ref104549302 \h </w:instrText>
      </w:r>
      <w:r>
        <w:rPr>
          <w:sz w:val="22"/>
          <w:szCs w:val="22"/>
        </w:rPr>
        <w:instrText xml:space="preserve"> \* MERGEFORMAT </w:instrText>
      </w:r>
      <w:r w:rsidRPr="00F8106F">
        <w:rPr>
          <w:sz w:val="22"/>
          <w:szCs w:val="22"/>
        </w:rPr>
      </w:r>
      <w:r w:rsidRPr="00F8106F">
        <w:rPr>
          <w:sz w:val="22"/>
          <w:szCs w:val="22"/>
        </w:rPr>
        <w:fldChar w:fldCharType="separate"/>
      </w:r>
      <w:r w:rsidR="005B672A" w:rsidRPr="005B672A">
        <w:rPr>
          <w:sz w:val="22"/>
          <w:szCs w:val="22"/>
        </w:rPr>
        <w:t xml:space="preserve">Figure </w:t>
      </w:r>
      <w:r w:rsidR="005B672A" w:rsidRPr="005B672A">
        <w:rPr>
          <w:noProof/>
          <w:sz w:val="22"/>
          <w:szCs w:val="22"/>
        </w:rPr>
        <w:t>40</w:t>
      </w:r>
      <w:r w:rsidRPr="00F8106F">
        <w:rPr>
          <w:sz w:val="22"/>
          <w:szCs w:val="22"/>
        </w:rPr>
        <w:fldChar w:fldCharType="end"/>
      </w:r>
      <w:r w:rsidRPr="00F8106F">
        <w:rPr>
          <w:sz w:val="22"/>
          <w:szCs w:val="22"/>
        </w:rPr>
        <w:t>.</w:t>
      </w:r>
      <w:r w:rsidRPr="00932A3F">
        <w:rPr>
          <w:sz w:val="22"/>
          <w:szCs w:val="22"/>
        </w:rPr>
        <w:t xml:space="preserve"> </w:t>
      </w:r>
      <w:r>
        <w:rPr>
          <w:sz w:val="22"/>
          <w:szCs w:val="22"/>
        </w:rPr>
        <w:t xml:space="preserve">Some of the </w:t>
      </w:r>
      <w:r w:rsidRPr="002202A6">
        <w:rPr>
          <w:sz w:val="22"/>
          <w:szCs w:val="22"/>
        </w:rPr>
        <w:t xml:space="preserve">results for </w:t>
      </w:r>
      <w:r>
        <w:rPr>
          <w:sz w:val="22"/>
          <w:szCs w:val="22"/>
        </w:rPr>
        <w:t xml:space="preserve">1 year old </w:t>
      </w:r>
      <w:r w:rsidRPr="002202A6">
        <w:rPr>
          <w:sz w:val="22"/>
          <w:szCs w:val="22"/>
        </w:rPr>
        <w:t>Murray Cod are invariant across the range of relaxed</w:t>
      </w:r>
      <w:r>
        <w:rPr>
          <w:sz w:val="22"/>
          <w:szCs w:val="22"/>
        </w:rPr>
        <w:t>-flow-constraints</w:t>
      </w:r>
      <w:r w:rsidRPr="002202A6">
        <w:rPr>
          <w:sz w:val="22"/>
          <w:szCs w:val="22"/>
        </w:rPr>
        <w:t xml:space="preserve"> scenarios</w:t>
      </w:r>
      <w:r>
        <w:rPr>
          <w:sz w:val="22"/>
          <w:szCs w:val="22"/>
        </w:rPr>
        <w:t xml:space="preserve"> (for example </w:t>
      </w:r>
      <w:r w:rsidRPr="00287765">
        <w:rPr>
          <w:sz w:val="22"/>
          <w:szCs w:val="22"/>
        </w:rPr>
        <w:t>Yarrawonga to Torrumbarry</w:t>
      </w:r>
      <w:r>
        <w:rPr>
          <w:sz w:val="22"/>
          <w:szCs w:val="22"/>
        </w:rPr>
        <w:t xml:space="preserve"> </w:t>
      </w:r>
      <w:r w:rsidRPr="00287765">
        <w:rPr>
          <w:sz w:val="22"/>
          <w:szCs w:val="22"/>
        </w:rPr>
        <w:t xml:space="preserve">– </w:t>
      </w:r>
      <w:r w:rsidRPr="00287765">
        <w:rPr>
          <w:sz w:val="22"/>
          <w:szCs w:val="22"/>
        </w:rPr>
        <w:fldChar w:fldCharType="begin"/>
      </w:r>
      <w:r w:rsidRPr="00287765">
        <w:rPr>
          <w:sz w:val="22"/>
          <w:szCs w:val="22"/>
        </w:rPr>
        <w:instrText xml:space="preserve"> REF _Ref104549756 \h </w:instrText>
      </w:r>
      <w:r>
        <w:rPr>
          <w:sz w:val="22"/>
          <w:szCs w:val="22"/>
        </w:rPr>
        <w:instrText xml:space="preserve"> \* MERGEFORMAT </w:instrText>
      </w:r>
      <w:r w:rsidRPr="00287765">
        <w:rPr>
          <w:sz w:val="22"/>
          <w:szCs w:val="22"/>
        </w:rPr>
      </w:r>
      <w:r w:rsidRPr="00287765">
        <w:rPr>
          <w:sz w:val="22"/>
          <w:szCs w:val="22"/>
        </w:rPr>
        <w:fldChar w:fldCharType="separate"/>
      </w:r>
      <w:r w:rsidR="005B672A" w:rsidRPr="005B672A">
        <w:rPr>
          <w:sz w:val="22"/>
          <w:szCs w:val="22"/>
        </w:rPr>
        <w:t xml:space="preserve">Figure </w:t>
      </w:r>
      <w:r w:rsidR="005B672A" w:rsidRPr="005B672A">
        <w:rPr>
          <w:noProof/>
          <w:sz w:val="22"/>
          <w:szCs w:val="22"/>
        </w:rPr>
        <w:t>41</w:t>
      </w:r>
      <w:r w:rsidRPr="00287765">
        <w:rPr>
          <w:sz w:val="22"/>
          <w:szCs w:val="22"/>
        </w:rPr>
        <w:fldChar w:fldCharType="end"/>
      </w:r>
      <w:r>
        <w:rPr>
          <w:sz w:val="22"/>
          <w:szCs w:val="22"/>
        </w:rPr>
        <w:t xml:space="preserve">). However, some populations exhibit a recruitment response to the </w:t>
      </w:r>
      <w:r w:rsidRPr="002202A6">
        <w:rPr>
          <w:sz w:val="22"/>
          <w:szCs w:val="22"/>
        </w:rPr>
        <w:t>scenarios</w:t>
      </w:r>
      <w:r>
        <w:rPr>
          <w:sz w:val="22"/>
          <w:szCs w:val="22"/>
        </w:rPr>
        <w:t xml:space="preserve">, with mostly an increase from the Base case (Edward River – </w:t>
      </w:r>
      <w:r w:rsidRPr="009E29E3">
        <w:rPr>
          <w:sz w:val="22"/>
          <w:szCs w:val="22"/>
        </w:rPr>
        <w:fldChar w:fldCharType="begin"/>
      </w:r>
      <w:r w:rsidRPr="009E29E3">
        <w:rPr>
          <w:sz w:val="22"/>
          <w:szCs w:val="22"/>
        </w:rPr>
        <w:instrText xml:space="preserve"> REF _Ref104812702 \h </w:instrText>
      </w:r>
      <w:r>
        <w:rPr>
          <w:sz w:val="22"/>
          <w:szCs w:val="22"/>
        </w:rPr>
        <w:instrText xml:space="preserve"> \* MERGEFORMAT </w:instrText>
      </w:r>
      <w:r w:rsidRPr="009E29E3">
        <w:rPr>
          <w:sz w:val="22"/>
          <w:szCs w:val="22"/>
        </w:rPr>
      </w:r>
      <w:r w:rsidRPr="009E29E3">
        <w:rPr>
          <w:sz w:val="22"/>
          <w:szCs w:val="22"/>
        </w:rPr>
        <w:fldChar w:fldCharType="separate"/>
      </w:r>
      <w:r w:rsidR="005B672A" w:rsidRPr="005B672A">
        <w:rPr>
          <w:sz w:val="22"/>
          <w:szCs w:val="22"/>
        </w:rPr>
        <w:t xml:space="preserve">Figure </w:t>
      </w:r>
      <w:r w:rsidR="005B672A" w:rsidRPr="005B672A">
        <w:rPr>
          <w:noProof/>
          <w:sz w:val="22"/>
          <w:szCs w:val="22"/>
        </w:rPr>
        <w:t>42</w:t>
      </w:r>
      <w:r w:rsidRPr="009E29E3">
        <w:rPr>
          <w:sz w:val="22"/>
          <w:szCs w:val="22"/>
        </w:rPr>
        <w:fldChar w:fldCharType="end"/>
      </w:r>
      <w:r>
        <w:rPr>
          <w:sz w:val="22"/>
          <w:szCs w:val="22"/>
        </w:rPr>
        <w:t xml:space="preserve">; Hume to Yarrawonga – </w:t>
      </w:r>
      <w:r w:rsidRPr="009E29E3">
        <w:rPr>
          <w:sz w:val="22"/>
          <w:szCs w:val="22"/>
        </w:rPr>
        <w:fldChar w:fldCharType="begin"/>
      </w:r>
      <w:r w:rsidRPr="009E29E3">
        <w:rPr>
          <w:sz w:val="22"/>
          <w:szCs w:val="22"/>
        </w:rPr>
        <w:instrText xml:space="preserve"> REF _Ref104812705 \h </w:instrText>
      </w:r>
      <w:r>
        <w:rPr>
          <w:sz w:val="22"/>
          <w:szCs w:val="22"/>
        </w:rPr>
        <w:instrText xml:space="preserve"> \* MERGEFORMAT </w:instrText>
      </w:r>
      <w:r w:rsidRPr="009E29E3">
        <w:rPr>
          <w:sz w:val="22"/>
          <w:szCs w:val="22"/>
        </w:rPr>
      </w:r>
      <w:r w:rsidRPr="009E29E3">
        <w:rPr>
          <w:sz w:val="22"/>
          <w:szCs w:val="22"/>
        </w:rPr>
        <w:fldChar w:fldCharType="separate"/>
      </w:r>
      <w:r w:rsidR="005B672A" w:rsidRPr="005B672A">
        <w:rPr>
          <w:sz w:val="22"/>
          <w:szCs w:val="22"/>
        </w:rPr>
        <w:t xml:space="preserve">Figure </w:t>
      </w:r>
      <w:r w:rsidR="005B672A" w:rsidRPr="005B672A">
        <w:rPr>
          <w:noProof/>
          <w:sz w:val="22"/>
          <w:szCs w:val="22"/>
        </w:rPr>
        <w:t>43</w:t>
      </w:r>
      <w:r w:rsidRPr="009E29E3">
        <w:rPr>
          <w:sz w:val="22"/>
          <w:szCs w:val="22"/>
        </w:rPr>
        <w:fldChar w:fldCharType="end"/>
      </w:r>
      <w:r>
        <w:rPr>
          <w:sz w:val="22"/>
          <w:szCs w:val="22"/>
        </w:rPr>
        <w:t xml:space="preserve">; Gundagai to Hay – </w:t>
      </w:r>
      <w:r w:rsidRPr="009E29E3">
        <w:rPr>
          <w:sz w:val="22"/>
          <w:szCs w:val="22"/>
        </w:rPr>
        <w:fldChar w:fldCharType="begin"/>
      </w:r>
      <w:r w:rsidRPr="009E29E3">
        <w:rPr>
          <w:sz w:val="22"/>
          <w:szCs w:val="22"/>
        </w:rPr>
        <w:instrText xml:space="preserve"> REF _Ref104812707 \h </w:instrText>
      </w:r>
      <w:r>
        <w:rPr>
          <w:sz w:val="22"/>
          <w:szCs w:val="22"/>
        </w:rPr>
        <w:instrText xml:space="preserve"> \* MERGEFORMAT </w:instrText>
      </w:r>
      <w:r w:rsidRPr="009E29E3">
        <w:rPr>
          <w:sz w:val="22"/>
          <w:szCs w:val="22"/>
        </w:rPr>
      </w:r>
      <w:r w:rsidRPr="009E29E3">
        <w:rPr>
          <w:sz w:val="22"/>
          <w:szCs w:val="22"/>
        </w:rPr>
        <w:fldChar w:fldCharType="separate"/>
      </w:r>
      <w:r w:rsidR="005B672A" w:rsidRPr="005B672A">
        <w:rPr>
          <w:sz w:val="22"/>
          <w:szCs w:val="22"/>
        </w:rPr>
        <w:t xml:space="preserve">Figure </w:t>
      </w:r>
      <w:r w:rsidR="005B672A" w:rsidRPr="005B672A">
        <w:rPr>
          <w:noProof/>
          <w:sz w:val="22"/>
          <w:szCs w:val="22"/>
        </w:rPr>
        <w:t>45</w:t>
      </w:r>
      <w:r w:rsidRPr="009E29E3">
        <w:rPr>
          <w:sz w:val="22"/>
          <w:szCs w:val="22"/>
        </w:rPr>
        <w:fldChar w:fldCharType="end"/>
      </w:r>
      <w:r>
        <w:rPr>
          <w:sz w:val="22"/>
          <w:szCs w:val="22"/>
        </w:rPr>
        <w:t xml:space="preserve">; and Yanco Creek – </w:t>
      </w:r>
      <w:r w:rsidRPr="009E29E3">
        <w:rPr>
          <w:sz w:val="22"/>
          <w:szCs w:val="22"/>
        </w:rPr>
        <w:fldChar w:fldCharType="begin"/>
      </w:r>
      <w:r w:rsidRPr="009E29E3">
        <w:rPr>
          <w:sz w:val="22"/>
          <w:szCs w:val="22"/>
        </w:rPr>
        <w:instrText xml:space="preserve"> REF _Ref104549761 \h </w:instrText>
      </w:r>
      <w:r>
        <w:rPr>
          <w:sz w:val="22"/>
          <w:szCs w:val="22"/>
        </w:rPr>
        <w:instrText xml:space="preserve"> \* MERGEFORMAT </w:instrText>
      </w:r>
      <w:r w:rsidRPr="009E29E3">
        <w:rPr>
          <w:sz w:val="22"/>
          <w:szCs w:val="22"/>
        </w:rPr>
      </w:r>
      <w:r w:rsidRPr="009E29E3">
        <w:rPr>
          <w:sz w:val="22"/>
          <w:szCs w:val="22"/>
        </w:rPr>
        <w:fldChar w:fldCharType="separate"/>
      </w:r>
      <w:r w:rsidR="005B672A" w:rsidRPr="005B672A">
        <w:rPr>
          <w:sz w:val="22"/>
          <w:szCs w:val="22"/>
        </w:rPr>
        <w:t xml:space="preserve">Figure </w:t>
      </w:r>
      <w:r w:rsidR="005B672A" w:rsidRPr="005B672A">
        <w:rPr>
          <w:noProof/>
          <w:sz w:val="22"/>
          <w:szCs w:val="22"/>
        </w:rPr>
        <w:t>46</w:t>
      </w:r>
      <w:r w:rsidRPr="009E29E3">
        <w:rPr>
          <w:sz w:val="22"/>
          <w:szCs w:val="22"/>
        </w:rPr>
        <w:fldChar w:fldCharType="end"/>
      </w:r>
      <w:r>
        <w:rPr>
          <w:sz w:val="22"/>
          <w:szCs w:val="22"/>
        </w:rPr>
        <w:t xml:space="preserve">) and some a decrease (for example Berembed to Gogeldrie – </w:t>
      </w:r>
      <w:r w:rsidRPr="009E29E3">
        <w:rPr>
          <w:sz w:val="22"/>
          <w:szCs w:val="22"/>
        </w:rPr>
        <w:fldChar w:fldCharType="begin"/>
      </w:r>
      <w:r w:rsidRPr="009E29E3">
        <w:rPr>
          <w:sz w:val="22"/>
          <w:szCs w:val="22"/>
        </w:rPr>
        <w:instrText xml:space="preserve"> REF _Ref104812795 \h </w:instrText>
      </w:r>
      <w:r>
        <w:rPr>
          <w:sz w:val="22"/>
          <w:szCs w:val="22"/>
        </w:rPr>
        <w:instrText xml:space="preserve"> \* MERGEFORMAT </w:instrText>
      </w:r>
      <w:r w:rsidRPr="009E29E3">
        <w:rPr>
          <w:sz w:val="22"/>
          <w:szCs w:val="22"/>
        </w:rPr>
      </w:r>
      <w:r w:rsidRPr="009E29E3">
        <w:rPr>
          <w:sz w:val="22"/>
          <w:szCs w:val="22"/>
        </w:rPr>
        <w:fldChar w:fldCharType="separate"/>
      </w:r>
      <w:r w:rsidR="005B672A" w:rsidRPr="005B672A">
        <w:rPr>
          <w:sz w:val="22"/>
          <w:szCs w:val="22"/>
        </w:rPr>
        <w:t xml:space="preserve">Figure </w:t>
      </w:r>
      <w:r w:rsidR="005B672A" w:rsidRPr="005B672A">
        <w:rPr>
          <w:noProof/>
          <w:sz w:val="22"/>
          <w:szCs w:val="22"/>
        </w:rPr>
        <w:t>44</w:t>
      </w:r>
      <w:r w:rsidRPr="009E29E3">
        <w:rPr>
          <w:sz w:val="22"/>
          <w:szCs w:val="22"/>
        </w:rPr>
        <w:fldChar w:fldCharType="end"/>
      </w:r>
      <w:r>
        <w:rPr>
          <w:sz w:val="22"/>
          <w:szCs w:val="22"/>
        </w:rPr>
        <w:t xml:space="preserve">). </w:t>
      </w:r>
      <w:r w:rsidRPr="00932A3F">
        <w:rPr>
          <w:sz w:val="22"/>
          <w:szCs w:val="22"/>
        </w:rPr>
        <w:t xml:space="preserve">Outputs for </w:t>
      </w:r>
      <w:r>
        <w:rPr>
          <w:sz w:val="22"/>
          <w:szCs w:val="22"/>
        </w:rPr>
        <w:t>all</w:t>
      </w:r>
      <w:r w:rsidRPr="00932A3F">
        <w:rPr>
          <w:sz w:val="22"/>
          <w:szCs w:val="22"/>
        </w:rPr>
        <w:t xml:space="preserve"> individual river reaches are included in Appendix 3.</w:t>
      </w:r>
    </w:p>
    <w:p w14:paraId="6B2F8256" w14:textId="6C58D892" w:rsidR="00491210" w:rsidRDefault="003E1401" w:rsidP="00FA54BD">
      <w:pPr>
        <w:keepNext/>
        <w:keepLines/>
        <w:spacing w:after="0"/>
        <w:jc w:val="center"/>
      </w:pPr>
      <w:r>
        <w:rPr>
          <w:noProof/>
          <w:lang w:eastAsia="en-AU"/>
        </w:rPr>
        <w:t xml:space="preserve"> </w:t>
      </w:r>
    </w:p>
    <w:p w14:paraId="57F57B9E" w14:textId="750B3526" w:rsidR="00491210" w:rsidRDefault="003E1401" w:rsidP="00FA54BD">
      <w:pPr>
        <w:keepNext/>
        <w:keepLines/>
        <w:spacing w:after="0"/>
        <w:jc w:val="center"/>
      </w:pPr>
      <w:r>
        <w:rPr>
          <w:noProof/>
          <w:lang w:eastAsia="en-AU"/>
        </w:rPr>
        <w:t xml:space="preserve"> </w:t>
      </w:r>
    </w:p>
    <w:p w14:paraId="2AAEC8B4" w14:textId="23B33350" w:rsidR="00491210" w:rsidRPr="00EA2CBF" w:rsidRDefault="00EE200C" w:rsidP="00F602FE">
      <w:pPr>
        <w:pStyle w:val="Caption-Figure"/>
      </w:pPr>
      <w:bookmarkStart w:id="159" w:name="_Ref104549263"/>
      <w:bookmarkStart w:id="160" w:name="_Toc116995007"/>
      <w:r w:rsidRPr="00DD7D8C">
        <w:t xml:space="preserve">Figure </w:t>
      </w:r>
      <w:r>
        <w:fldChar w:fldCharType="begin"/>
      </w:r>
      <w:r>
        <w:instrText>SEQ Figure \* ARABIC</w:instrText>
      </w:r>
      <w:r>
        <w:fldChar w:fldCharType="separate"/>
      </w:r>
      <w:r w:rsidR="005B672A">
        <w:rPr>
          <w:noProof/>
        </w:rPr>
        <w:t>38</w:t>
      </w:r>
      <w:r>
        <w:fldChar w:fldCharType="end"/>
      </w:r>
      <w:bookmarkEnd w:id="159"/>
      <w:r w:rsidRPr="00DD7D8C">
        <w:t xml:space="preserve">. </w:t>
      </w:r>
      <w:r w:rsidRPr="7ADEDDC3">
        <w:t xml:space="preserve">Modelled </w:t>
      </w:r>
      <w:r>
        <w:t>Murray Cod</w:t>
      </w:r>
      <w:r w:rsidRPr="7ADEDDC3">
        <w:t xml:space="preserve"> </w:t>
      </w:r>
      <w:r>
        <w:t xml:space="preserve">mean recruit (1-year-old) </w:t>
      </w:r>
      <w:r w:rsidRPr="7ADEDDC3">
        <w:t>population</w:t>
      </w:r>
      <w:r>
        <w:t>s aggregated</w:t>
      </w:r>
      <w:r w:rsidRPr="7ADEDDC3">
        <w:t xml:space="preserve"> </w:t>
      </w:r>
      <w:r w:rsidRPr="00DD7D8C">
        <w:t>across all</w:t>
      </w:r>
      <w:r>
        <w:t xml:space="preserve"> modelled RRCP</w:t>
      </w:r>
      <w:r w:rsidRPr="00DD7D8C">
        <w:t xml:space="preserve"> </w:t>
      </w:r>
      <w:r>
        <w:t>focal zones, together with the Wakool Junction to Wentworth</w:t>
      </w:r>
      <w:r w:rsidRPr="7ADEDDC3">
        <w:t xml:space="preserve"> </w:t>
      </w:r>
      <w:r>
        <w:t xml:space="preserve">reach, </w:t>
      </w:r>
      <w:r w:rsidRPr="7ADEDDC3">
        <w:t xml:space="preserve">for the </w:t>
      </w:r>
      <w:r>
        <w:t>RRCP flow scenarios</w:t>
      </w:r>
      <w:r w:rsidRPr="7ADEDDC3">
        <w:t xml:space="preserve"> </w:t>
      </w:r>
      <w:r>
        <w:t>Base case</w:t>
      </w:r>
      <w:r w:rsidRPr="7ADEDDC3">
        <w:t xml:space="preserve"> – </w:t>
      </w:r>
      <w:r>
        <w:t>Option 4</w:t>
      </w:r>
      <w:r w:rsidRPr="7ADEDDC3">
        <w:t>.</w:t>
      </w:r>
      <w:r w:rsidRPr="00EA2CBF">
        <w:t xml:space="preserve"> Top panel: mean </w:t>
      </w:r>
      <w:r w:rsidRPr="009F7CD2">
        <w:t>recruit</w:t>
      </w:r>
      <w:r w:rsidRPr="00EA2CBF">
        <w:t xml:space="preserve"> population size through time</w:t>
      </w:r>
      <w:r w:rsidRPr="00666CED">
        <w:t>.</w:t>
      </w:r>
      <w:r w:rsidRPr="00EA2CBF">
        <w:t xml:space="preserve"> Bottom panel: expected mean </w:t>
      </w:r>
      <w:r w:rsidRPr="00666CED">
        <w:t xml:space="preserve">recruit </w:t>
      </w:r>
      <w:r w:rsidRPr="00EA2CBF">
        <w:t>population size</w:t>
      </w:r>
      <w:r w:rsidRPr="00666CED">
        <w:t>,</w:t>
      </w:r>
      <w:r w:rsidRPr="00EA2CBF">
        <w:t xml:space="preserve"> with </w:t>
      </w:r>
      <w:r w:rsidRPr="009F7CD2">
        <w:t>the percentage</w:t>
      </w:r>
      <w:r w:rsidRPr="00EA2CBF">
        <w:t xml:space="preserve"> change from Base case shown in each bar.</w:t>
      </w:r>
      <w:bookmarkEnd w:id="160"/>
    </w:p>
    <w:p w14:paraId="4ADF38F0" w14:textId="77061B93" w:rsidR="00491210" w:rsidRDefault="003E1401" w:rsidP="00FA54BD">
      <w:pPr>
        <w:keepNext/>
        <w:keepLines/>
        <w:spacing w:after="0"/>
        <w:jc w:val="center"/>
      </w:pPr>
      <w:r>
        <w:rPr>
          <w:noProof/>
          <w:lang w:eastAsia="en-AU"/>
        </w:rPr>
        <w:t xml:space="preserve">  </w:t>
      </w:r>
    </w:p>
    <w:p w14:paraId="26803B15" w14:textId="2638A990" w:rsidR="00491210" w:rsidRPr="00EA2CBF" w:rsidRDefault="00EE200C" w:rsidP="00F602FE">
      <w:pPr>
        <w:pStyle w:val="Caption-Figure"/>
      </w:pPr>
      <w:bookmarkStart w:id="161" w:name="_Ref104549284"/>
      <w:bookmarkStart w:id="162" w:name="_Toc116995008"/>
      <w:r w:rsidRPr="00DD7D8C">
        <w:t xml:space="preserve">Figure </w:t>
      </w:r>
      <w:r>
        <w:fldChar w:fldCharType="begin"/>
      </w:r>
      <w:r>
        <w:instrText>SEQ Figure \* ARABIC</w:instrText>
      </w:r>
      <w:r>
        <w:fldChar w:fldCharType="separate"/>
      </w:r>
      <w:r w:rsidR="005B672A">
        <w:rPr>
          <w:noProof/>
        </w:rPr>
        <w:t>39</w:t>
      </w:r>
      <w:r>
        <w:fldChar w:fldCharType="end"/>
      </w:r>
      <w:bookmarkEnd w:id="161"/>
      <w:r w:rsidRPr="00DD7D8C">
        <w:t xml:space="preserve">. </w:t>
      </w:r>
      <w:r w:rsidRPr="7ADEDDC3">
        <w:t xml:space="preserve">Modelled </w:t>
      </w:r>
      <w:r>
        <w:t>Murray Cod</w:t>
      </w:r>
      <w:r w:rsidRPr="7ADEDDC3">
        <w:t xml:space="preserve"> </w:t>
      </w:r>
      <w:r>
        <w:t xml:space="preserve">mean recruit (1-year-old) </w:t>
      </w:r>
      <w:r w:rsidRPr="7ADEDDC3">
        <w:t>population</w:t>
      </w:r>
      <w:r>
        <w:t>s aggregated</w:t>
      </w:r>
      <w:r w:rsidRPr="7ADEDDC3">
        <w:t xml:space="preserve"> </w:t>
      </w:r>
      <w:r w:rsidRPr="00DD7D8C">
        <w:t xml:space="preserve">across </w:t>
      </w:r>
      <w:r>
        <w:t>the Murray River RRCP</w:t>
      </w:r>
      <w:r w:rsidRPr="00DD7D8C">
        <w:t xml:space="preserve"> </w:t>
      </w:r>
      <w:r>
        <w:t>focal zones</w:t>
      </w:r>
      <w:r w:rsidRPr="00DD7D8C">
        <w:t xml:space="preserve"> </w:t>
      </w:r>
      <w:r>
        <w:t>(including the Edward River),</w:t>
      </w:r>
      <w:r w:rsidRPr="006B0ECF">
        <w:t xml:space="preserve"> </w:t>
      </w:r>
      <w:r>
        <w:t>together with the Wakool Junction to Wentworth</w:t>
      </w:r>
      <w:r w:rsidRPr="7ADEDDC3">
        <w:t xml:space="preserve"> </w:t>
      </w:r>
      <w:r>
        <w:t xml:space="preserve">reach, </w:t>
      </w:r>
      <w:r w:rsidRPr="7ADEDDC3">
        <w:t xml:space="preserve">for the flow scenarios </w:t>
      </w:r>
      <w:r>
        <w:t>Base case</w:t>
      </w:r>
      <w:r w:rsidRPr="7ADEDDC3">
        <w:t xml:space="preserve"> – </w:t>
      </w:r>
      <w:r>
        <w:t>Option 4</w:t>
      </w:r>
      <w:r w:rsidRPr="7ADEDDC3">
        <w:t>.</w:t>
      </w:r>
      <w:r>
        <w:t xml:space="preserve"> </w:t>
      </w:r>
      <w:r w:rsidRPr="00EA2CBF">
        <w:t xml:space="preserve">Top panel: mean </w:t>
      </w:r>
      <w:r w:rsidRPr="009F7CD2">
        <w:t>recruit</w:t>
      </w:r>
      <w:r w:rsidRPr="00EA2CBF">
        <w:t xml:space="preserve"> population size through time</w:t>
      </w:r>
      <w:r w:rsidRPr="00205BA6">
        <w:t>.</w:t>
      </w:r>
      <w:r w:rsidRPr="00EA2CBF">
        <w:t xml:space="preserve"> Bottom panel: expected mean </w:t>
      </w:r>
      <w:r w:rsidRPr="00205BA6">
        <w:t xml:space="preserve">recruit </w:t>
      </w:r>
      <w:r w:rsidRPr="00EA2CBF">
        <w:t>population size</w:t>
      </w:r>
      <w:r w:rsidRPr="00205BA6">
        <w:t>,</w:t>
      </w:r>
      <w:r w:rsidRPr="00EA2CBF">
        <w:t xml:space="preserve"> with </w:t>
      </w:r>
      <w:r w:rsidRPr="009F7CD2">
        <w:t>the percentage</w:t>
      </w:r>
      <w:r w:rsidRPr="00EA2CBF">
        <w:t xml:space="preserve"> change from Base case shown in each bar.</w:t>
      </w:r>
      <w:bookmarkEnd w:id="162"/>
    </w:p>
    <w:p w14:paraId="64884F4D" w14:textId="45AD297E" w:rsidR="00491210" w:rsidRDefault="003E1401" w:rsidP="00FA54BD">
      <w:pPr>
        <w:keepNext/>
        <w:keepLines/>
        <w:spacing w:after="0"/>
        <w:jc w:val="center"/>
      </w:pPr>
      <w:r>
        <w:rPr>
          <w:noProof/>
          <w:lang w:eastAsia="en-AU"/>
        </w:rPr>
        <w:t xml:space="preserve"> </w:t>
      </w:r>
    </w:p>
    <w:p w14:paraId="43842CA2" w14:textId="4E7C5AA5" w:rsidR="00491210" w:rsidRDefault="003E1401" w:rsidP="00FA54BD">
      <w:pPr>
        <w:keepNext/>
        <w:keepLines/>
        <w:spacing w:after="0"/>
        <w:jc w:val="center"/>
      </w:pPr>
      <w:r>
        <w:rPr>
          <w:noProof/>
          <w:lang w:eastAsia="en-AU"/>
        </w:rPr>
        <w:t xml:space="preserve"> </w:t>
      </w:r>
    </w:p>
    <w:p w14:paraId="37E98717" w14:textId="02008B10" w:rsidR="00491210" w:rsidRPr="00EA2CBF" w:rsidRDefault="00EE200C" w:rsidP="00F602FE">
      <w:pPr>
        <w:pStyle w:val="Caption-Figure"/>
      </w:pPr>
      <w:bookmarkStart w:id="163" w:name="_Ref104549302"/>
      <w:bookmarkStart w:id="164" w:name="_Toc116995009"/>
      <w:r w:rsidRPr="00DD7D8C">
        <w:t xml:space="preserve">Figure </w:t>
      </w:r>
      <w:r>
        <w:fldChar w:fldCharType="begin"/>
      </w:r>
      <w:r>
        <w:instrText>SEQ Figure \* ARABIC</w:instrText>
      </w:r>
      <w:r>
        <w:fldChar w:fldCharType="separate"/>
      </w:r>
      <w:r w:rsidR="005B672A">
        <w:rPr>
          <w:noProof/>
        </w:rPr>
        <w:t>40</w:t>
      </w:r>
      <w:r>
        <w:fldChar w:fldCharType="end"/>
      </w:r>
      <w:bookmarkEnd w:id="163"/>
      <w:r w:rsidRPr="00DD7D8C">
        <w:t xml:space="preserve">. </w:t>
      </w:r>
      <w:r w:rsidRPr="7ADEDDC3">
        <w:t xml:space="preserve">Modelled </w:t>
      </w:r>
      <w:r>
        <w:t>Murray Cod</w:t>
      </w:r>
      <w:r w:rsidRPr="7ADEDDC3">
        <w:t xml:space="preserve"> </w:t>
      </w:r>
      <w:r>
        <w:t xml:space="preserve">mean recruit (1-year-old) </w:t>
      </w:r>
      <w:r w:rsidRPr="7ADEDDC3">
        <w:t>population</w:t>
      </w:r>
      <w:r>
        <w:t>s</w:t>
      </w:r>
      <w:r w:rsidRPr="7ADEDDC3">
        <w:t xml:space="preserve"> </w:t>
      </w:r>
      <w:r>
        <w:t xml:space="preserve">aggregated </w:t>
      </w:r>
      <w:r w:rsidRPr="00DD7D8C">
        <w:t>across</w:t>
      </w:r>
      <w:r>
        <w:t xml:space="preserve"> the</w:t>
      </w:r>
      <w:r w:rsidRPr="00DD7D8C">
        <w:t xml:space="preserve"> </w:t>
      </w:r>
      <w:r>
        <w:t>Murrumbidgee River RRCP</w:t>
      </w:r>
      <w:r w:rsidRPr="00DD7D8C">
        <w:t xml:space="preserve"> </w:t>
      </w:r>
      <w:r>
        <w:t>focal area</w:t>
      </w:r>
      <w:r w:rsidRPr="7ADEDDC3">
        <w:t xml:space="preserve"> for the flow scenarios </w:t>
      </w:r>
      <w:r>
        <w:t>Base case</w:t>
      </w:r>
      <w:r w:rsidRPr="7ADEDDC3">
        <w:t xml:space="preserve"> – </w:t>
      </w:r>
      <w:r>
        <w:t>Option 4</w:t>
      </w:r>
      <w:r w:rsidRPr="7ADEDDC3">
        <w:t>.</w:t>
      </w:r>
      <w:r w:rsidRPr="00EA2CBF">
        <w:t xml:space="preserve"> Top panel: mean </w:t>
      </w:r>
      <w:r w:rsidRPr="009F7CD2">
        <w:t>recruit</w:t>
      </w:r>
      <w:r w:rsidRPr="00EA2CBF">
        <w:t xml:space="preserve"> population size through time</w:t>
      </w:r>
      <w:r w:rsidRPr="00666CED">
        <w:t>.</w:t>
      </w:r>
      <w:r w:rsidRPr="00EA2CBF">
        <w:t xml:space="preserve"> Bottom panel: expected mean </w:t>
      </w:r>
      <w:r w:rsidRPr="00666CED">
        <w:t xml:space="preserve">recruit </w:t>
      </w:r>
      <w:r w:rsidRPr="00EA2CBF">
        <w:t>population size</w:t>
      </w:r>
      <w:r w:rsidRPr="00666CED">
        <w:t>,</w:t>
      </w:r>
      <w:r w:rsidRPr="00EA2CBF">
        <w:t xml:space="preserve"> with </w:t>
      </w:r>
      <w:r w:rsidRPr="009F7CD2">
        <w:t>the percentage</w:t>
      </w:r>
      <w:r w:rsidRPr="00EA2CBF">
        <w:t xml:space="preserve"> change from Base case shown in each bar.</w:t>
      </w:r>
      <w:bookmarkEnd w:id="164"/>
    </w:p>
    <w:p w14:paraId="44623208" w14:textId="232A53A1" w:rsidR="00491210" w:rsidRDefault="003E1401" w:rsidP="00FA54BD">
      <w:pPr>
        <w:keepNext/>
        <w:keepLines/>
        <w:spacing w:after="0"/>
        <w:jc w:val="center"/>
      </w:pPr>
      <w:r>
        <w:rPr>
          <w:noProof/>
          <w:lang w:eastAsia="en-AU"/>
        </w:rPr>
        <w:t xml:space="preserve"> </w:t>
      </w:r>
    </w:p>
    <w:p w14:paraId="74568731" w14:textId="377506C2" w:rsidR="00491210" w:rsidRDefault="003E1401" w:rsidP="00FA54BD">
      <w:pPr>
        <w:keepNext/>
        <w:keepLines/>
        <w:spacing w:after="0"/>
        <w:jc w:val="center"/>
      </w:pPr>
      <w:r>
        <w:rPr>
          <w:noProof/>
          <w:lang w:eastAsia="en-AU"/>
        </w:rPr>
        <w:t xml:space="preserve"> </w:t>
      </w:r>
    </w:p>
    <w:p w14:paraId="062630FB" w14:textId="3CA081DF" w:rsidR="00491210" w:rsidRPr="00EA2CBF" w:rsidRDefault="00EE200C" w:rsidP="00F602FE">
      <w:pPr>
        <w:pStyle w:val="Caption-Figure"/>
      </w:pPr>
      <w:bookmarkStart w:id="165" w:name="_Ref104549756"/>
      <w:bookmarkStart w:id="166" w:name="_Toc116995010"/>
      <w:r w:rsidRPr="00DD7D8C">
        <w:t xml:space="preserve">Figure </w:t>
      </w:r>
      <w:r>
        <w:fldChar w:fldCharType="begin"/>
      </w:r>
      <w:r>
        <w:instrText>SEQ Figure \* ARABIC</w:instrText>
      </w:r>
      <w:r>
        <w:fldChar w:fldCharType="separate"/>
      </w:r>
      <w:r w:rsidR="005B672A">
        <w:rPr>
          <w:noProof/>
        </w:rPr>
        <w:t>41</w:t>
      </w:r>
      <w:r>
        <w:fldChar w:fldCharType="end"/>
      </w:r>
      <w:bookmarkEnd w:id="165"/>
      <w:r w:rsidRPr="00DD7D8C">
        <w:t xml:space="preserve">. </w:t>
      </w:r>
      <w:r w:rsidRPr="7ADEDDC3">
        <w:t xml:space="preserve">Modelled </w:t>
      </w:r>
      <w:r>
        <w:t xml:space="preserve">Murray Cod mean recruit (1-year-old) </w:t>
      </w:r>
      <w:r w:rsidRPr="7ADEDDC3">
        <w:t xml:space="preserve">population </w:t>
      </w:r>
      <w:r w:rsidRPr="7ADEDDC3">
        <w:rPr>
          <w:szCs w:val="20"/>
        </w:rPr>
        <w:t xml:space="preserve">in the </w:t>
      </w:r>
      <w:r>
        <w:rPr>
          <w:szCs w:val="20"/>
        </w:rPr>
        <w:t xml:space="preserve">Yarrawonga to </w:t>
      </w:r>
      <w:r w:rsidRPr="7ADEDDC3">
        <w:rPr>
          <w:szCs w:val="20"/>
        </w:rPr>
        <w:t>Torrumbarry</w:t>
      </w:r>
      <w:r w:rsidRPr="006B0ECF">
        <w:t xml:space="preserve"> </w:t>
      </w:r>
      <w:r>
        <w:t xml:space="preserve">reach </w:t>
      </w:r>
      <w:r w:rsidRPr="7ADEDDC3">
        <w:t xml:space="preserve">for the </w:t>
      </w:r>
      <w:r>
        <w:t>RRCP flow scenarios</w:t>
      </w:r>
      <w:r w:rsidRPr="7ADEDDC3">
        <w:t xml:space="preserve"> </w:t>
      </w:r>
      <w:r>
        <w:t>Base case</w:t>
      </w:r>
      <w:r w:rsidRPr="7ADEDDC3">
        <w:t xml:space="preserve"> – </w:t>
      </w:r>
      <w:r>
        <w:t>Option 4</w:t>
      </w:r>
      <w:r w:rsidRPr="7ADEDDC3">
        <w:t>.</w:t>
      </w:r>
      <w:r>
        <w:t xml:space="preserve"> </w:t>
      </w:r>
      <w:r w:rsidRPr="009F7CD2">
        <w:t>Top panel: mean recruit population size through time. Bottom panel: expected mean recruit population size, with the percentage change from Base case shown in each bar.</w:t>
      </w:r>
      <w:bookmarkEnd w:id="166"/>
    </w:p>
    <w:p w14:paraId="6C2ACCE7" w14:textId="1983AB71" w:rsidR="00491210" w:rsidRDefault="003E1401" w:rsidP="00FA54BD">
      <w:pPr>
        <w:keepNext/>
        <w:keepLines/>
        <w:spacing w:after="0"/>
        <w:jc w:val="center"/>
      </w:pPr>
      <w:r>
        <w:rPr>
          <w:noProof/>
          <w:lang w:eastAsia="en-AU"/>
        </w:rPr>
        <w:t xml:space="preserve"> </w:t>
      </w:r>
    </w:p>
    <w:p w14:paraId="490A9359" w14:textId="2E90FE35" w:rsidR="00491210" w:rsidRDefault="003E1401" w:rsidP="00FA54BD">
      <w:pPr>
        <w:keepNext/>
        <w:keepLines/>
        <w:spacing w:after="0"/>
        <w:jc w:val="center"/>
      </w:pPr>
      <w:r>
        <w:rPr>
          <w:noProof/>
          <w:lang w:eastAsia="en-AU"/>
        </w:rPr>
        <w:t xml:space="preserve"> </w:t>
      </w:r>
    </w:p>
    <w:p w14:paraId="268D2939" w14:textId="529C90B2" w:rsidR="00491210" w:rsidRPr="00EA2CBF" w:rsidRDefault="00EE200C" w:rsidP="00F602FE">
      <w:pPr>
        <w:pStyle w:val="Caption-Figure"/>
      </w:pPr>
      <w:bookmarkStart w:id="167" w:name="_Ref104812702"/>
      <w:bookmarkStart w:id="168" w:name="_Toc116995011"/>
      <w:r w:rsidRPr="00DD7D8C">
        <w:t xml:space="preserve">Figure </w:t>
      </w:r>
      <w:r>
        <w:fldChar w:fldCharType="begin"/>
      </w:r>
      <w:r>
        <w:instrText>SEQ Figure \* ARABIC</w:instrText>
      </w:r>
      <w:r>
        <w:fldChar w:fldCharType="separate"/>
      </w:r>
      <w:r w:rsidR="005B672A">
        <w:rPr>
          <w:noProof/>
        </w:rPr>
        <w:t>42</w:t>
      </w:r>
      <w:r>
        <w:fldChar w:fldCharType="end"/>
      </w:r>
      <w:bookmarkEnd w:id="167"/>
      <w:r w:rsidRPr="00DD7D8C">
        <w:t xml:space="preserve">. </w:t>
      </w:r>
      <w:r w:rsidRPr="7ADEDDC3">
        <w:t xml:space="preserve">Modelled </w:t>
      </w:r>
      <w:r>
        <w:t xml:space="preserve">Murray Cod mean recruit (1-year-old) </w:t>
      </w:r>
      <w:r w:rsidRPr="7ADEDDC3">
        <w:t xml:space="preserve">population </w:t>
      </w:r>
      <w:r>
        <w:t>in the Edward River</w:t>
      </w:r>
      <w:r w:rsidRPr="7ADEDDC3">
        <w:t xml:space="preserve"> for the </w:t>
      </w:r>
      <w:r>
        <w:t>RRCP flow scenarios</w:t>
      </w:r>
      <w:r w:rsidRPr="7ADEDDC3">
        <w:t xml:space="preserve"> </w:t>
      </w:r>
      <w:r>
        <w:t>Base case</w:t>
      </w:r>
      <w:r w:rsidRPr="7ADEDDC3">
        <w:t xml:space="preserve"> – </w:t>
      </w:r>
      <w:r>
        <w:t>Option 4</w:t>
      </w:r>
      <w:r w:rsidRPr="7ADEDDC3">
        <w:t>.</w:t>
      </w:r>
      <w:r w:rsidRPr="00EA2CBF">
        <w:t xml:space="preserve"> </w:t>
      </w:r>
      <w:r w:rsidRPr="009F7CD2">
        <w:t>Top panel: mean recruit population size through time. Bottom panel: expected mean recruit population size, with the percentage change from Base case shown in each bar.</w:t>
      </w:r>
      <w:bookmarkEnd w:id="168"/>
    </w:p>
    <w:p w14:paraId="02E8E5A5" w14:textId="788DD5DC" w:rsidR="00491210" w:rsidRDefault="003E1401" w:rsidP="00FA54BD">
      <w:pPr>
        <w:keepNext/>
        <w:keepLines/>
        <w:spacing w:after="0"/>
        <w:jc w:val="center"/>
      </w:pPr>
      <w:r>
        <w:rPr>
          <w:noProof/>
          <w:lang w:eastAsia="en-AU"/>
        </w:rPr>
        <w:t xml:space="preserve">  </w:t>
      </w:r>
    </w:p>
    <w:p w14:paraId="03DB88C2" w14:textId="1365B0B7" w:rsidR="00491210" w:rsidRPr="00EA2CBF" w:rsidRDefault="00EE200C" w:rsidP="00F602FE">
      <w:pPr>
        <w:pStyle w:val="Caption-Figure"/>
      </w:pPr>
      <w:bookmarkStart w:id="169" w:name="_Ref104812705"/>
      <w:bookmarkStart w:id="170" w:name="_Toc116995012"/>
      <w:r w:rsidRPr="00DD7D8C">
        <w:t xml:space="preserve">Figure </w:t>
      </w:r>
      <w:r>
        <w:fldChar w:fldCharType="begin"/>
      </w:r>
      <w:r>
        <w:instrText>SEQ Figure \* ARABIC</w:instrText>
      </w:r>
      <w:r>
        <w:fldChar w:fldCharType="separate"/>
      </w:r>
      <w:r w:rsidR="005B672A">
        <w:rPr>
          <w:noProof/>
        </w:rPr>
        <w:t>43</w:t>
      </w:r>
      <w:r>
        <w:fldChar w:fldCharType="end"/>
      </w:r>
      <w:bookmarkEnd w:id="169"/>
      <w:r w:rsidRPr="00DD7D8C">
        <w:t xml:space="preserve">. </w:t>
      </w:r>
      <w:r w:rsidRPr="7ADEDDC3">
        <w:t xml:space="preserve">Modelled </w:t>
      </w:r>
      <w:r>
        <w:t xml:space="preserve">Murray Cod mean recruit (1-year-old) </w:t>
      </w:r>
      <w:r w:rsidRPr="7ADEDDC3">
        <w:t xml:space="preserve">population </w:t>
      </w:r>
      <w:r>
        <w:t xml:space="preserve">in </w:t>
      </w:r>
      <w:r w:rsidRPr="7ADEDDC3">
        <w:rPr>
          <w:szCs w:val="20"/>
        </w:rPr>
        <w:t xml:space="preserve">the </w:t>
      </w:r>
      <w:r>
        <w:rPr>
          <w:szCs w:val="20"/>
        </w:rPr>
        <w:t xml:space="preserve">Hume to Yarrawonga reach </w:t>
      </w:r>
      <w:r w:rsidRPr="7ADEDDC3">
        <w:t xml:space="preserve">for the </w:t>
      </w:r>
      <w:r>
        <w:t>RRCP flow scenarios</w:t>
      </w:r>
      <w:r w:rsidRPr="7ADEDDC3">
        <w:t xml:space="preserve"> </w:t>
      </w:r>
      <w:r>
        <w:t>Base case</w:t>
      </w:r>
      <w:r w:rsidRPr="7ADEDDC3">
        <w:t xml:space="preserve"> – </w:t>
      </w:r>
      <w:r>
        <w:t>Option 4</w:t>
      </w:r>
      <w:r w:rsidRPr="7ADEDDC3">
        <w:t>.</w:t>
      </w:r>
      <w:r>
        <w:t xml:space="preserve"> </w:t>
      </w:r>
      <w:r w:rsidRPr="009F7CD2">
        <w:t>Top panel: mean recruit population size through time. Bottom panel: expected mean recruit population size, with the percentage change from Base case shown in each bar.</w:t>
      </w:r>
      <w:bookmarkEnd w:id="170"/>
    </w:p>
    <w:p w14:paraId="4B666F30" w14:textId="12F6179F" w:rsidR="00491210" w:rsidRDefault="003E1401" w:rsidP="006E093E">
      <w:pPr>
        <w:keepNext/>
        <w:keepLines/>
        <w:spacing w:after="0"/>
        <w:jc w:val="center"/>
      </w:pPr>
      <w:r>
        <w:rPr>
          <w:noProof/>
          <w:lang w:eastAsia="en-AU"/>
        </w:rPr>
        <w:t xml:space="preserve"> </w:t>
      </w:r>
    </w:p>
    <w:p w14:paraId="553FC07A" w14:textId="1F390898" w:rsidR="00491210" w:rsidRDefault="003E1401" w:rsidP="006E093E">
      <w:pPr>
        <w:keepNext/>
        <w:keepLines/>
        <w:spacing w:after="0"/>
        <w:jc w:val="center"/>
      </w:pPr>
      <w:r>
        <w:rPr>
          <w:noProof/>
          <w:lang w:eastAsia="en-AU"/>
        </w:rPr>
        <w:t xml:space="preserve"> </w:t>
      </w:r>
    </w:p>
    <w:p w14:paraId="09C7EA68" w14:textId="060D2F47" w:rsidR="00491210" w:rsidRPr="00EA2CBF" w:rsidRDefault="00EE200C" w:rsidP="00F602FE">
      <w:pPr>
        <w:pStyle w:val="Caption-Figure"/>
      </w:pPr>
      <w:bookmarkStart w:id="171" w:name="_Ref104812795"/>
      <w:bookmarkStart w:id="172" w:name="_Toc116995013"/>
      <w:r w:rsidRPr="00DD7D8C">
        <w:t xml:space="preserve">Figure </w:t>
      </w:r>
      <w:r>
        <w:fldChar w:fldCharType="begin"/>
      </w:r>
      <w:r>
        <w:instrText>SEQ Figure \* ARABIC</w:instrText>
      </w:r>
      <w:r>
        <w:fldChar w:fldCharType="separate"/>
      </w:r>
      <w:r w:rsidR="005B672A">
        <w:rPr>
          <w:noProof/>
        </w:rPr>
        <w:t>44</w:t>
      </w:r>
      <w:r>
        <w:fldChar w:fldCharType="end"/>
      </w:r>
      <w:bookmarkEnd w:id="171"/>
      <w:r w:rsidRPr="00DD7D8C">
        <w:t xml:space="preserve">. </w:t>
      </w:r>
      <w:r w:rsidRPr="7ADEDDC3">
        <w:t xml:space="preserve">Modelled </w:t>
      </w:r>
      <w:r>
        <w:t xml:space="preserve">Murray Cod mean recruit (1-year-old) </w:t>
      </w:r>
      <w:r w:rsidRPr="7ADEDDC3">
        <w:t xml:space="preserve">population </w:t>
      </w:r>
      <w:r>
        <w:t>in the</w:t>
      </w:r>
      <w:r w:rsidRPr="00DD7D8C">
        <w:t xml:space="preserve"> </w:t>
      </w:r>
      <w:r>
        <w:t xml:space="preserve">Berembed to Gogeldrie reach </w:t>
      </w:r>
      <w:r w:rsidRPr="7ADEDDC3">
        <w:t xml:space="preserve">for the </w:t>
      </w:r>
      <w:r>
        <w:t>RRCP flow scenarios</w:t>
      </w:r>
      <w:r w:rsidRPr="7ADEDDC3">
        <w:t xml:space="preserve"> </w:t>
      </w:r>
      <w:r>
        <w:t>Base case</w:t>
      </w:r>
      <w:r w:rsidRPr="7ADEDDC3">
        <w:t xml:space="preserve"> – </w:t>
      </w:r>
      <w:r>
        <w:t>Option 4</w:t>
      </w:r>
      <w:r w:rsidRPr="7ADEDDC3">
        <w:t>.</w:t>
      </w:r>
      <w:r>
        <w:t xml:space="preserve"> </w:t>
      </w:r>
      <w:r w:rsidRPr="009F7CD2">
        <w:t>Top panel: mean recruit population size through time. Bottom panel: expected mean recruit population size, with the percentage change from Base case shown in each bar.</w:t>
      </w:r>
      <w:bookmarkEnd w:id="172"/>
    </w:p>
    <w:p w14:paraId="1D660DEC" w14:textId="51ADDA25" w:rsidR="00491210" w:rsidRDefault="003E1401" w:rsidP="006E093E">
      <w:pPr>
        <w:keepNext/>
        <w:keepLines/>
        <w:spacing w:after="0"/>
        <w:jc w:val="center"/>
      </w:pPr>
      <w:r>
        <w:rPr>
          <w:noProof/>
          <w:lang w:eastAsia="en-AU"/>
        </w:rPr>
        <w:lastRenderedPageBreak/>
        <w:t xml:space="preserve"> </w:t>
      </w:r>
    </w:p>
    <w:p w14:paraId="78FF7248" w14:textId="500AD63D" w:rsidR="00491210" w:rsidRDefault="003E1401" w:rsidP="006E093E">
      <w:pPr>
        <w:keepNext/>
        <w:keepLines/>
        <w:spacing w:after="0"/>
        <w:jc w:val="center"/>
      </w:pPr>
      <w:r>
        <w:rPr>
          <w:noProof/>
          <w:lang w:eastAsia="en-AU"/>
        </w:rPr>
        <w:t xml:space="preserve"> </w:t>
      </w:r>
    </w:p>
    <w:p w14:paraId="7AD03C86" w14:textId="75E8CD97" w:rsidR="00491210" w:rsidRPr="00EA2CBF" w:rsidRDefault="00EE200C" w:rsidP="00F602FE">
      <w:pPr>
        <w:pStyle w:val="Caption-Figure"/>
      </w:pPr>
      <w:bookmarkStart w:id="173" w:name="_Ref104812707"/>
      <w:bookmarkStart w:id="174" w:name="_Toc116995014"/>
      <w:r w:rsidRPr="00DD7D8C">
        <w:t xml:space="preserve">Figure </w:t>
      </w:r>
      <w:r>
        <w:fldChar w:fldCharType="begin"/>
      </w:r>
      <w:r>
        <w:instrText>SEQ Figure \* ARABIC</w:instrText>
      </w:r>
      <w:r>
        <w:fldChar w:fldCharType="separate"/>
      </w:r>
      <w:r w:rsidR="005B672A">
        <w:rPr>
          <w:noProof/>
        </w:rPr>
        <w:t>45</w:t>
      </w:r>
      <w:r>
        <w:fldChar w:fldCharType="end"/>
      </w:r>
      <w:bookmarkEnd w:id="173"/>
      <w:r w:rsidRPr="00DD7D8C">
        <w:t xml:space="preserve">. </w:t>
      </w:r>
      <w:r w:rsidRPr="7ADEDDC3">
        <w:t xml:space="preserve">Modelled </w:t>
      </w:r>
      <w:r>
        <w:t xml:space="preserve">Murray Cod mean recruit (1-year-old) </w:t>
      </w:r>
      <w:r w:rsidRPr="7ADEDDC3">
        <w:t xml:space="preserve">population </w:t>
      </w:r>
      <w:r>
        <w:t>in the</w:t>
      </w:r>
      <w:r w:rsidRPr="00DD7D8C">
        <w:t xml:space="preserve"> </w:t>
      </w:r>
      <w:r>
        <w:t>Gundagai to Berembed</w:t>
      </w:r>
      <w:r w:rsidRPr="00DD7D8C">
        <w:t xml:space="preserve"> </w:t>
      </w:r>
      <w:r>
        <w:t xml:space="preserve">reach </w:t>
      </w:r>
      <w:r w:rsidRPr="7ADEDDC3">
        <w:t xml:space="preserve">for the </w:t>
      </w:r>
      <w:r>
        <w:t>RRCP flow scenarios</w:t>
      </w:r>
      <w:r w:rsidRPr="7ADEDDC3">
        <w:t xml:space="preserve"> </w:t>
      </w:r>
      <w:r>
        <w:t>Base case</w:t>
      </w:r>
      <w:r w:rsidRPr="7ADEDDC3">
        <w:t xml:space="preserve"> – </w:t>
      </w:r>
      <w:r>
        <w:t>Option 4</w:t>
      </w:r>
      <w:r w:rsidRPr="7ADEDDC3">
        <w:t>.</w:t>
      </w:r>
      <w:r w:rsidRPr="00EA2CBF">
        <w:t xml:space="preserve"> </w:t>
      </w:r>
      <w:r w:rsidRPr="009F7CD2">
        <w:t>Top panel: mean recruit population size through time. Bottom panel: expected mean recruit population size, with the percentage change from Base case shown in each bar.</w:t>
      </w:r>
      <w:bookmarkEnd w:id="174"/>
    </w:p>
    <w:p w14:paraId="6FF53174" w14:textId="37C5631B" w:rsidR="00491210" w:rsidRDefault="003E1401" w:rsidP="006E093E">
      <w:pPr>
        <w:keepNext/>
        <w:keepLines/>
        <w:spacing w:after="0"/>
        <w:jc w:val="center"/>
      </w:pPr>
      <w:r>
        <w:rPr>
          <w:noProof/>
          <w:lang w:eastAsia="en-AU"/>
        </w:rPr>
        <w:t xml:space="preserve"> </w:t>
      </w:r>
    </w:p>
    <w:p w14:paraId="62C0B68E" w14:textId="5078BF15" w:rsidR="00491210" w:rsidRDefault="003E1401" w:rsidP="006E093E">
      <w:pPr>
        <w:keepNext/>
        <w:keepLines/>
        <w:spacing w:after="0"/>
        <w:jc w:val="center"/>
      </w:pPr>
      <w:r>
        <w:rPr>
          <w:noProof/>
          <w:lang w:eastAsia="en-AU"/>
        </w:rPr>
        <w:t xml:space="preserve"> </w:t>
      </w:r>
    </w:p>
    <w:p w14:paraId="1A5E0CDE" w14:textId="4B71D04F" w:rsidR="00491210" w:rsidRPr="00EA2CBF" w:rsidRDefault="00EE200C" w:rsidP="00F602FE">
      <w:pPr>
        <w:pStyle w:val="Caption-Figure"/>
      </w:pPr>
      <w:bookmarkStart w:id="175" w:name="_Ref104549761"/>
      <w:bookmarkStart w:id="176" w:name="_Toc116995015"/>
      <w:r w:rsidRPr="00DD7D8C">
        <w:t xml:space="preserve">Figure </w:t>
      </w:r>
      <w:r>
        <w:fldChar w:fldCharType="begin"/>
      </w:r>
      <w:r>
        <w:instrText>SEQ Figure \* ARABIC</w:instrText>
      </w:r>
      <w:r>
        <w:fldChar w:fldCharType="separate"/>
      </w:r>
      <w:r w:rsidR="005B672A">
        <w:rPr>
          <w:noProof/>
        </w:rPr>
        <w:t>46</w:t>
      </w:r>
      <w:r>
        <w:fldChar w:fldCharType="end"/>
      </w:r>
      <w:bookmarkEnd w:id="175"/>
      <w:r w:rsidRPr="00DD7D8C">
        <w:t xml:space="preserve">. </w:t>
      </w:r>
      <w:r w:rsidRPr="7ADEDDC3">
        <w:t xml:space="preserve">Modelled </w:t>
      </w:r>
      <w:r>
        <w:t xml:space="preserve">Murray Cod mean recruit (1-year-old) </w:t>
      </w:r>
      <w:r w:rsidRPr="7ADEDDC3">
        <w:t xml:space="preserve">population </w:t>
      </w:r>
      <w:r>
        <w:t>in Yanco Creek</w:t>
      </w:r>
      <w:r w:rsidRPr="00DD7D8C">
        <w:t xml:space="preserve"> </w:t>
      </w:r>
      <w:r w:rsidRPr="7ADEDDC3">
        <w:t xml:space="preserve">for the </w:t>
      </w:r>
      <w:r>
        <w:t>RRCP flow scenarios</w:t>
      </w:r>
      <w:r w:rsidRPr="7ADEDDC3">
        <w:t xml:space="preserve"> </w:t>
      </w:r>
      <w:r>
        <w:t>Base case</w:t>
      </w:r>
      <w:r w:rsidRPr="7ADEDDC3">
        <w:t xml:space="preserve"> – </w:t>
      </w:r>
      <w:r>
        <w:t>Option 4</w:t>
      </w:r>
      <w:r w:rsidRPr="7ADEDDC3">
        <w:t>.</w:t>
      </w:r>
      <w:r w:rsidRPr="00EA2CBF">
        <w:t xml:space="preserve"> </w:t>
      </w:r>
      <w:r w:rsidRPr="00FE492B">
        <w:t>Top panel: mean recruit population size through time. Bottom panel: expected mean recruit population size, with the percentage change from Base case shown in each bar.</w:t>
      </w:r>
      <w:bookmarkEnd w:id="176"/>
    </w:p>
    <w:p w14:paraId="2A8A826E" w14:textId="77777777" w:rsidR="00491210" w:rsidRDefault="00EE200C">
      <w:pPr>
        <w:spacing w:after="0"/>
        <w:rPr>
          <w:b/>
          <w:color w:val="2E1E66" w:themeColor="accent3" w:themeTint="E6"/>
          <w:sz w:val="28"/>
          <w:szCs w:val="28"/>
          <w:lang w:eastAsia="en-AU"/>
        </w:rPr>
      </w:pPr>
      <w:bookmarkStart w:id="177" w:name="_Toc90388571"/>
      <w:r>
        <w:br w:type="page"/>
      </w:r>
    </w:p>
    <w:p w14:paraId="7ED162D7" w14:textId="10265B55" w:rsidR="00491210" w:rsidRPr="006F5F00" w:rsidRDefault="00EE200C" w:rsidP="00753F5C">
      <w:pPr>
        <w:pStyle w:val="Heading2-Numbered"/>
      </w:pPr>
      <w:bookmarkStart w:id="178" w:name="_Toc116994902"/>
      <w:r w:rsidRPr="006F5F00">
        <w:lastRenderedPageBreak/>
        <w:t xml:space="preserve">Model </w:t>
      </w:r>
      <w:bookmarkEnd w:id="177"/>
      <w:r w:rsidRPr="006F5F00">
        <w:t>validation</w:t>
      </w:r>
      <w:bookmarkEnd w:id="178"/>
    </w:p>
    <w:p w14:paraId="327583BD" w14:textId="0C37CC97" w:rsidR="00491210" w:rsidRPr="006F5F00" w:rsidRDefault="00EE200C" w:rsidP="3FC79A6E">
      <w:pPr>
        <w:spacing w:line="259" w:lineRule="auto"/>
        <w:jc w:val="both"/>
        <w:rPr>
          <w:rFonts w:eastAsia="Arial"/>
          <w:color w:val="000000"/>
          <w:sz w:val="22"/>
          <w:szCs w:val="22"/>
        </w:rPr>
      </w:pPr>
      <w:r w:rsidRPr="006F5F00">
        <w:rPr>
          <w:rFonts w:eastAsia="Arial"/>
          <w:color w:val="000000"/>
          <w:sz w:val="22"/>
          <w:szCs w:val="22"/>
        </w:rPr>
        <w:t>This chapter presents the results of the work undertaken to compare the predictions of the native fish population models with the independent datasets held by NSW Fisheries and ARI. The methods that were used to undertake these comparisons are described here, followed by an outline of the results. The interpretation of these results and a summary of their implications for the broader RRCP native fish modelling project can be found in the subsequent Discussion chapter.</w:t>
      </w:r>
    </w:p>
    <w:p w14:paraId="05553930" w14:textId="1110EECF" w:rsidR="00491210" w:rsidRPr="006F5F00" w:rsidRDefault="00EE200C" w:rsidP="005F1F7F">
      <w:pPr>
        <w:pStyle w:val="Heading3-Numbered"/>
      </w:pPr>
      <w:bookmarkStart w:id="179" w:name="_Toc116994903"/>
      <w:r w:rsidRPr="006F5F00">
        <w:t>Overview of validation approach</w:t>
      </w:r>
      <w:bookmarkEnd w:id="179"/>
    </w:p>
    <w:p w14:paraId="3C558436" w14:textId="69A2279A" w:rsidR="00491210" w:rsidRPr="006F5F00" w:rsidRDefault="00EE200C" w:rsidP="00382C39">
      <w:pPr>
        <w:spacing w:before="240" w:after="240"/>
        <w:jc w:val="both"/>
        <w:rPr>
          <w:rFonts w:eastAsia="Arial"/>
          <w:color w:val="000000"/>
          <w:sz w:val="22"/>
          <w:szCs w:val="22"/>
        </w:rPr>
      </w:pPr>
      <w:r w:rsidRPr="006F5F00">
        <w:rPr>
          <w:rFonts w:eastAsia="Arial"/>
          <w:color w:val="000000"/>
          <w:sz w:val="22"/>
          <w:szCs w:val="22"/>
        </w:rPr>
        <w:t xml:space="preserve">Our broad approach involved comparing the outputs from the stochastic population models constructed for Murray Cod and Golden Perch (hereafter referred to as ‘MODEL’ data) with independent datasets collected from two different sources (hereafter referred to as ‘OBSERVED’ data; derived from the ‘ARI’ and ‘NSW’ datasets </w:t>
      </w:r>
      <w:r w:rsidRPr="00E2785E">
        <w:rPr>
          <w:rFonts w:eastAsia="Arial"/>
          <w:color w:val="000000"/>
          <w:sz w:val="22"/>
          <w:szCs w:val="22"/>
        </w:rPr>
        <w:fldChar w:fldCharType="begin"/>
      </w:r>
      <w:r w:rsidRPr="006F5F00">
        <w:rPr>
          <w:rFonts w:eastAsia="Arial"/>
          <w:color w:val="000000"/>
          <w:sz w:val="22"/>
          <w:szCs w:val="22"/>
        </w:rPr>
        <w:instrText xml:space="preserve"> REF _Ref107932003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Table </w:t>
      </w:r>
      <w:r w:rsidR="005B672A" w:rsidRPr="005B672A">
        <w:rPr>
          <w:noProof/>
          <w:sz w:val="22"/>
          <w:szCs w:val="22"/>
        </w:rPr>
        <w:t>5</w:t>
      </w:r>
      <w:r w:rsidRPr="00E2785E">
        <w:rPr>
          <w:rFonts w:eastAsia="Arial"/>
          <w:color w:val="000000"/>
          <w:sz w:val="22"/>
          <w:szCs w:val="22"/>
        </w:rPr>
        <w:fldChar w:fldCharType="end"/>
      </w:r>
      <w:r w:rsidRPr="006F5F00">
        <w:rPr>
          <w:rFonts w:eastAsia="Arial"/>
          <w:color w:val="000000"/>
          <w:sz w:val="22"/>
          <w:szCs w:val="22"/>
        </w:rPr>
        <w:t xml:space="preserve">; </w:t>
      </w:r>
      <w:r w:rsidRPr="00E2785E">
        <w:rPr>
          <w:rFonts w:eastAsia="Arial"/>
          <w:color w:val="000000"/>
          <w:sz w:val="22"/>
          <w:szCs w:val="22"/>
        </w:rPr>
        <w:fldChar w:fldCharType="begin"/>
      </w:r>
      <w:r w:rsidRPr="006F5F00">
        <w:rPr>
          <w:rFonts w:eastAsia="Arial"/>
          <w:color w:val="000000"/>
          <w:sz w:val="22"/>
          <w:szCs w:val="22"/>
        </w:rPr>
        <w:instrText xml:space="preserve"> REF _Ref107932098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47</w:t>
      </w:r>
      <w:r w:rsidRPr="00E2785E">
        <w:rPr>
          <w:rFonts w:eastAsia="Arial"/>
          <w:color w:val="000000"/>
          <w:sz w:val="22"/>
          <w:szCs w:val="22"/>
        </w:rPr>
        <w:fldChar w:fldCharType="end"/>
      </w:r>
      <w:r w:rsidRPr="006F5F00">
        <w:rPr>
          <w:rFonts w:eastAsia="Arial"/>
          <w:color w:val="000000"/>
          <w:sz w:val="22"/>
          <w:szCs w:val="22"/>
        </w:rPr>
        <w:t>). The MODEL did not use any of the OBSERVED data as part of its formulation or training, so the OBSERVED data can be considered as a testing dataset. Implicitly, it was assumed that the OBSERVED data provided the best reflection of the actual population dynamics in the system (but see discussion of this assumption later). Before comparing the MODEL and OBSERVED datasets, several data preparation steps were undertaken, including ensuring temporal alignment of sampling and also that the same fish ages were included in comparisons (Appendix 6). From the NSW datasets, datasets were selected from riverine locations with more than five consecutive years of sampling from two or more sites (Appendix 6).</w:t>
      </w:r>
    </w:p>
    <w:p w14:paraId="1F7F1EBA" w14:textId="4709CA43" w:rsidR="00491210" w:rsidRPr="006F5F00" w:rsidRDefault="00EE200C" w:rsidP="00DB191C">
      <w:pPr>
        <w:pStyle w:val="Caption-Table"/>
        <w:rPr>
          <w:rFonts w:eastAsia="Arial"/>
        </w:rPr>
      </w:pPr>
      <w:bookmarkStart w:id="180" w:name="_Ref107932003"/>
      <w:bookmarkStart w:id="181" w:name="_Toc116994965"/>
      <w:r w:rsidRPr="006F5F00">
        <w:t xml:space="preserve">Table </w:t>
      </w:r>
      <w:r w:rsidRPr="00E2785E">
        <w:fldChar w:fldCharType="begin"/>
      </w:r>
      <w:r w:rsidRPr="006F5F00">
        <w:instrText xml:space="preserve"> SEQ Table \* ARABIC </w:instrText>
      </w:r>
      <w:r w:rsidRPr="00E2785E">
        <w:fldChar w:fldCharType="separate"/>
      </w:r>
      <w:r w:rsidR="005B672A">
        <w:rPr>
          <w:noProof/>
        </w:rPr>
        <w:t>5</w:t>
      </w:r>
      <w:r w:rsidRPr="00E2785E">
        <w:rPr>
          <w:noProof/>
        </w:rPr>
        <w:fldChar w:fldCharType="end"/>
      </w:r>
      <w:bookmarkEnd w:id="180"/>
      <w:r w:rsidRPr="006F5F00">
        <w:rPr>
          <w:rFonts w:eastAsia="Arial"/>
        </w:rPr>
        <w:t>. Description of the main datasets used for the validation component. The ‘ARI’ dataset was collected by scientists from the Arthur Rylah Institute for Environmental Research, which is part of the Department of Environment, Land, Water and Planning. The ‘NSW’ dataset was collected by the New South Wales (NSW) Department of Primary Industries, Fisheries.</w:t>
      </w:r>
      <w:bookmarkEnd w:id="181"/>
    </w:p>
    <w:tbl>
      <w:tblPr>
        <w:tblStyle w:val="TableGrid"/>
        <w:tblW w:w="9954" w:type="dxa"/>
        <w:tblLayout w:type="fixed"/>
        <w:tblLook w:val="04A0" w:firstRow="1" w:lastRow="0" w:firstColumn="1" w:lastColumn="0" w:noHBand="0" w:noVBand="1"/>
      </w:tblPr>
      <w:tblGrid>
        <w:gridCol w:w="1474"/>
        <w:gridCol w:w="850"/>
        <w:gridCol w:w="7630"/>
      </w:tblGrid>
      <w:tr w:rsidR="3FC79A6E" w:rsidRPr="006F5F00" w14:paraId="7DA1C020" w14:textId="77777777" w:rsidTr="00697EE3">
        <w:tc>
          <w:tcPr>
            <w:tcW w:w="1474" w:type="dxa"/>
            <w:tcBorders>
              <w:top w:val="single" w:sz="6" w:space="0" w:color="00B2A9" w:themeColor="accent1"/>
              <w:left w:val="nil"/>
              <w:bottom w:val="single" w:sz="6" w:space="0" w:color="00B2A9" w:themeColor="accent1"/>
              <w:right w:val="nil"/>
            </w:tcBorders>
            <w:shd w:val="clear" w:color="auto" w:fill="00B2A9" w:themeFill="accent1"/>
          </w:tcPr>
          <w:p w14:paraId="453021D8" w14:textId="21D04D0A" w:rsidR="00491210" w:rsidRPr="00FE492B" w:rsidRDefault="00EE200C">
            <w:pPr>
              <w:pStyle w:val="Tableheadingtext"/>
              <w:rPr>
                <w:rFonts w:eastAsia="Arial"/>
                <w:bCs/>
                <w:sz w:val="22"/>
                <w:szCs w:val="22"/>
              </w:rPr>
            </w:pPr>
            <w:r w:rsidRPr="00FE492B">
              <w:rPr>
                <w:rFonts w:eastAsia="Arial"/>
                <w:bCs/>
                <w:sz w:val="22"/>
                <w:szCs w:val="22"/>
              </w:rPr>
              <w:t>Name</w:t>
            </w:r>
          </w:p>
        </w:tc>
        <w:tc>
          <w:tcPr>
            <w:tcW w:w="850" w:type="dxa"/>
            <w:tcBorders>
              <w:top w:val="single" w:sz="6" w:space="0" w:color="00B2A9" w:themeColor="accent1"/>
              <w:left w:val="nil"/>
              <w:bottom w:val="single" w:sz="6" w:space="0" w:color="00B2A9" w:themeColor="accent1"/>
              <w:right w:val="nil"/>
            </w:tcBorders>
            <w:shd w:val="clear" w:color="auto" w:fill="00B2A9" w:themeFill="accent1"/>
          </w:tcPr>
          <w:p w14:paraId="4DA8FFBD" w14:textId="3D55D6D7" w:rsidR="00491210" w:rsidRPr="00FE492B" w:rsidRDefault="00EE200C">
            <w:pPr>
              <w:pStyle w:val="Tableheadingtext"/>
              <w:rPr>
                <w:rFonts w:eastAsia="Arial"/>
                <w:bCs/>
                <w:sz w:val="22"/>
                <w:szCs w:val="22"/>
              </w:rPr>
            </w:pPr>
            <w:r w:rsidRPr="00FE492B">
              <w:rPr>
                <w:rFonts w:eastAsia="Arial"/>
                <w:bCs/>
                <w:sz w:val="22"/>
                <w:szCs w:val="22"/>
              </w:rPr>
              <w:t>Data range</w:t>
            </w:r>
          </w:p>
        </w:tc>
        <w:tc>
          <w:tcPr>
            <w:tcW w:w="7630" w:type="dxa"/>
            <w:tcBorders>
              <w:top w:val="single" w:sz="6" w:space="0" w:color="00B2A9" w:themeColor="accent1"/>
              <w:left w:val="nil"/>
              <w:bottom w:val="single" w:sz="6" w:space="0" w:color="00B2A9" w:themeColor="accent1"/>
              <w:right w:val="nil"/>
            </w:tcBorders>
            <w:shd w:val="clear" w:color="auto" w:fill="00B2A9" w:themeFill="accent1"/>
          </w:tcPr>
          <w:p w14:paraId="26646AD9" w14:textId="7A31C7FA" w:rsidR="00491210" w:rsidRPr="00FE492B" w:rsidRDefault="00EE200C" w:rsidP="00FE492B">
            <w:pPr>
              <w:pStyle w:val="Tableheadingtext"/>
              <w:jc w:val="center"/>
              <w:rPr>
                <w:rFonts w:eastAsia="Arial"/>
                <w:bCs/>
                <w:sz w:val="22"/>
                <w:szCs w:val="22"/>
              </w:rPr>
            </w:pPr>
            <w:r w:rsidRPr="00FE492B">
              <w:rPr>
                <w:rFonts w:eastAsia="Arial"/>
                <w:bCs/>
                <w:sz w:val="22"/>
                <w:szCs w:val="22"/>
              </w:rPr>
              <w:t>Description</w:t>
            </w:r>
          </w:p>
        </w:tc>
      </w:tr>
      <w:tr w:rsidR="3FC79A6E" w:rsidRPr="006F5F00" w14:paraId="4901D8E8" w14:textId="77777777" w:rsidTr="00697EE3">
        <w:tc>
          <w:tcPr>
            <w:tcW w:w="1474" w:type="dxa"/>
            <w:tcBorders>
              <w:top w:val="single" w:sz="6" w:space="0" w:color="00B2A9" w:themeColor="accent1"/>
              <w:left w:val="nil"/>
              <w:bottom w:val="single" w:sz="6" w:space="0" w:color="00B2A9" w:themeColor="accent1"/>
              <w:right w:val="nil"/>
            </w:tcBorders>
          </w:tcPr>
          <w:p w14:paraId="17187E0D" w14:textId="28C234AB" w:rsidR="00491210" w:rsidRPr="006F5F00" w:rsidRDefault="00EE200C" w:rsidP="3FC79A6E">
            <w:pPr>
              <w:jc w:val="both"/>
              <w:rPr>
                <w:rFonts w:eastAsia="Arial"/>
                <w:color w:val="000000"/>
                <w:sz w:val="22"/>
                <w:szCs w:val="22"/>
              </w:rPr>
            </w:pPr>
            <w:r w:rsidRPr="006F5F00">
              <w:rPr>
                <w:rFonts w:eastAsia="Arial"/>
                <w:color w:val="000000"/>
                <w:sz w:val="22"/>
                <w:szCs w:val="22"/>
              </w:rPr>
              <w:t>ARI</w:t>
            </w:r>
            <w:r>
              <w:rPr>
                <w:rFonts w:eastAsia="Arial"/>
                <w:color w:val="000000"/>
                <w:sz w:val="22"/>
                <w:szCs w:val="22"/>
              </w:rPr>
              <w:t xml:space="preserve"> OBSERVED</w:t>
            </w:r>
          </w:p>
        </w:tc>
        <w:tc>
          <w:tcPr>
            <w:tcW w:w="850" w:type="dxa"/>
            <w:tcBorders>
              <w:top w:val="single" w:sz="6" w:space="0" w:color="00B2A9" w:themeColor="accent1"/>
              <w:left w:val="nil"/>
              <w:bottom w:val="single" w:sz="6" w:space="0" w:color="00B2A9" w:themeColor="accent1"/>
              <w:right w:val="nil"/>
            </w:tcBorders>
          </w:tcPr>
          <w:p w14:paraId="07161D07" w14:textId="7D750467" w:rsidR="00491210" w:rsidRPr="006F5F00" w:rsidRDefault="00EE200C">
            <w:pPr>
              <w:rPr>
                <w:rFonts w:eastAsia="Arial"/>
                <w:color w:val="000000"/>
                <w:sz w:val="22"/>
                <w:szCs w:val="22"/>
              </w:rPr>
            </w:pPr>
            <w:r w:rsidRPr="006F5F00">
              <w:rPr>
                <w:rFonts w:eastAsia="Arial"/>
                <w:color w:val="000000"/>
                <w:sz w:val="22"/>
                <w:szCs w:val="22"/>
              </w:rPr>
              <w:t>2000–2019</w:t>
            </w:r>
          </w:p>
        </w:tc>
        <w:tc>
          <w:tcPr>
            <w:tcW w:w="7630" w:type="dxa"/>
            <w:tcBorders>
              <w:top w:val="single" w:sz="6" w:space="0" w:color="00B2A9" w:themeColor="accent1"/>
              <w:left w:val="nil"/>
              <w:bottom w:val="single" w:sz="6" w:space="0" w:color="00B2A9" w:themeColor="accent1"/>
              <w:right w:val="nil"/>
            </w:tcBorders>
          </w:tcPr>
          <w:p w14:paraId="1F0A6BF5" w14:textId="1FE86715" w:rsidR="00491210" w:rsidRPr="005D1DC5" w:rsidRDefault="00EE200C" w:rsidP="00382C39">
            <w:pPr>
              <w:jc w:val="both"/>
              <w:rPr>
                <w:rFonts w:eastAsia="Arial"/>
                <w:color w:val="000000"/>
                <w:szCs w:val="20"/>
              </w:rPr>
            </w:pPr>
            <w:r w:rsidRPr="005D1DC5">
              <w:rPr>
                <w:rFonts w:eastAsia="Arial"/>
                <w:color w:val="000000"/>
                <w:szCs w:val="20"/>
              </w:rPr>
              <w:t>This dataset was generated from a long-term (1999–2018) study (Lyon et al. 2021) estimating the population size for Golden Perch and Murray Cod in the 100km stretch of the Mid Murray between Lake Mulwala downstream to Tocumwal (Figure 1). Every year, 90–120 sites within this reach were electro fished by boat, and fish ≥220 mm were tagged. In all, 9801 Golden Perch (</w:t>
            </w:r>
            <w:r w:rsidRPr="005D1DC5">
              <w:rPr>
                <w:rFonts w:eastAsia="Arial"/>
                <w:i/>
                <w:color w:val="000000"/>
                <w:szCs w:val="20"/>
              </w:rPr>
              <w:t>N</w:t>
            </w:r>
            <w:r w:rsidRPr="005D1DC5">
              <w:rPr>
                <w:rFonts w:eastAsia="Arial"/>
                <w:color w:val="000000"/>
                <w:szCs w:val="20"/>
              </w:rPr>
              <w:t> = 539 recaptures) and 13,271 Murray Cod (</w:t>
            </w:r>
            <w:r w:rsidRPr="005D1DC5">
              <w:rPr>
                <w:rFonts w:eastAsia="Arial"/>
                <w:i/>
                <w:color w:val="000000"/>
                <w:szCs w:val="20"/>
              </w:rPr>
              <w:t>N</w:t>
            </w:r>
            <w:r w:rsidRPr="005D1DC5">
              <w:rPr>
                <w:rFonts w:eastAsia="Arial"/>
                <w:color w:val="000000"/>
                <w:szCs w:val="20"/>
              </w:rPr>
              <w:t> = 1537 recaptures) were caught. A Jolly–Seber capture–mark–recapture model was then used to estimate the population size for the 100-km section (see Lyon et al. 2021 for more details on this model).</w:t>
            </w:r>
          </w:p>
          <w:p w14:paraId="6AC23D8C" w14:textId="5D6C8BA8" w:rsidR="00491210" w:rsidRPr="006F5F00" w:rsidRDefault="00EE200C" w:rsidP="3FC79A6E">
            <w:pPr>
              <w:jc w:val="both"/>
              <w:rPr>
                <w:rFonts w:eastAsia="Arial"/>
                <w:color w:val="000000"/>
                <w:sz w:val="22"/>
                <w:szCs w:val="22"/>
              </w:rPr>
            </w:pPr>
            <w:r w:rsidRPr="005D1DC5">
              <w:rPr>
                <w:rFonts w:eastAsia="Arial"/>
                <w:color w:val="000000"/>
                <w:szCs w:val="20"/>
              </w:rPr>
              <w:t>These data provide population size estimates and are the best available temporal dataset for population density. Sampling was consistently performed each year, and the model corrects for variation in detection rates.</w:t>
            </w:r>
          </w:p>
        </w:tc>
      </w:tr>
      <w:tr w:rsidR="3FC79A6E" w:rsidRPr="006F5F00" w14:paraId="0ACD887D" w14:textId="77777777" w:rsidTr="00697EE3">
        <w:tc>
          <w:tcPr>
            <w:tcW w:w="1474" w:type="dxa"/>
            <w:tcBorders>
              <w:top w:val="single" w:sz="6" w:space="0" w:color="00B2A9" w:themeColor="accent1"/>
              <w:left w:val="nil"/>
              <w:bottom w:val="single" w:sz="6" w:space="0" w:color="00B2A9" w:themeColor="accent1"/>
              <w:right w:val="nil"/>
            </w:tcBorders>
          </w:tcPr>
          <w:p w14:paraId="12C6C326" w14:textId="5FC59175" w:rsidR="00491210" w:rsidRPr="006F5F00" w:rsidRDefault="00EE200C" w:rsidP="3FC79A6E">
            <w:pPr>
              <w:jc w:val="both"/>
              <w:rPr>
                <w:rFonts w:eastAsia="Arial"/>
                <w:color w:val="000000"/>
                <w:sz w:val="22"/>
                <w:szCs w:val="22"/>
              </w:rPr>
            </w:pPr>
            <w:r w:rsidRPr="006F5F00">
              <w:rPr>
                <w:rFonts w:eastAsia="Arial"/>
                <w:color w:val="000000"/>
                <w:sz w:val="22"/>
                <w:szCs w:val="22"/>
              </w:rPr>
              <w:t>NSW</w:t>
            </w:r>
            <w:r>
              <w:rPr>
                <w:rFonts w:eastAsia="Arial"/>
                <w:color w:val="000000"/>
                <w:sz w:val="22"/>
                <w:szCs w:val="22"/>
              </w:rPr>
              <w:t xml:space="preserve"> OBSERVED</w:t>
            </w:r>
          </w:p>
        </w:tc>
        <w:tc>
          <w:tcPr>
            <w:tcW w:w="850" w:type="dxa"/>
            <w:tcBorders>
              <w:top w:val="single" w:sz="6" w:space="0" w:color="00B2A9" w:themeColor="accent1"/>
              <w:left w:val="nil"/>
              <w:bottom w:val="single" w:sz="6" w:space="0" w:color="00B2A9" w:themeColor="accent1"/>
              <w:right w:val="nil"/>
            </w:tcBorders>
          </w:tcPr>
          <w:p w14:paraId="6F1B49DB" w14:textId="3FFAA45F" w:rsidR="00491210" w:rsidRPr="006F5F00" w:rsidRDefault="00EE200C">
            <w:pPr>
              <w:rPr>
                <w:rFonts w:eastAsia="Arial"/>
                <w:color w:val="000000"/>
                <w:sz w:val="22"/>
                <w:szCs w:val="22"/>
              </w:rPr>
            </w:pPr>
            <w:r w:rsidRPr="006F5F00">
              <w:rPr>
                <w:rFonts w:eastAsia="Arial"/>
                <w:color w:val="000000"/>
                <w:sz w:val="22"/>
                <w:szCs w:val="22"/>
              </w:rPr>
              <w:t>1994–2021</w:t>
            </w:r>
          </w:p>
        </w:tc>
        <w:tc>
          <w:tcPr>
            <w:tcW w:w="7630" w:type="dxa"/>
            <w:tcBorders>
              <w:top w:val="single" w:sz="6" w:space="0" w:color="00B2A9" w:themeColor="accent1"/>
              <w:left w:val="nil"/>
              <w:bottom w:val="single" w:sz="6" w:space="0" w:color="00B2A9" w:themeColor="accent1"/>
              <w:right w:val="nil"/>
            </w:tcBorders>
          </w:tcPr>
          <w:p w14:paraId="565CB4B1" w14:textId="0FEE553D" w:rsidR="00491210" w:rsidRPr="006F5F00" w:rsidRDefault="00EE200C">
            <w:pPr>
              <w:jc w:val="both"/>
              <w:rPr>
                <w:rFonts w:eastAsia="Arial"/>
                <w:color w:val="000000"/>
                <w:sz w:val="22"/>
                <w:szCs w:val="22"/>
              </w:rPr>
            </w:pPr>
            <w:r w:rsidRPr="005D1DC5">
              <w:rPr>
                <w:rFonts w:eastAsia="Arial"/>
                <w:color w:val="000000"/>
                <w:szCs w:val="20"/>
              </w:rPr>
              <w:t>This dataset contains boat electro fishing data from locations across NSW. The dataset includes a relative abundance measure (catch-per-unit-effort) and can be used for validating temporal trends and underlying processes. The spatial sampling was extensive, but the temporal sampling at times was patchy. Varying detection rates across years may be problematic for validation purposes, as this would likely bias population estimates.</w:t>
            </w:r>
          </w:p>
        </w:tc>
      </w:tr>
      <w:tr w:rsidR="3FC79A6E" w:rsidRPr="006F5F00" w14:paraId="4899DA17" w14:textId="77777777" w:rsidTr="00697EE3">
        <w:tc>
          <w:tcPr>
            <w:tcW w:w="1474" w:type="dxa"/>
            <w:tcBorders>
              <w:top w:val="single" w:sz="6" w:space="0" w:color="00B2A9" w:themeColor="accent1"/>
              <w:left w:val="nil"/>
              <w:bottom w:val="single" w:sz="6" w:space="0" w:color="00B2A9" w:themeColor="accent1"/>
              <w:right w:val="nil"/>
            </w:tcBorders>
          </w:tcPr>
          <w:p w14:paraId="076E0A36" w14:textId="76807D53" w:rsidR="00491210" w:rsidRPr="006F5F00" w:rsidRDefault="00EE200C" w:rsidP="3FC79A6E">
            <w:pPr>
              <w:jc w:val="both"/>
              <w:rPr>
                <w:rFonts w:eastAsia="Arial"/>
                <w:color w:val="000000"/>
                <w:sz w:val="22"/>
                <w:szCs w:val="22"/>
              </w:rPr>
            </w:pPr>
            <w:r w:rsidRPr="006F5F00">
              <w:rPr>
                <w:rFonts w:eastAsia="Arial"/>
                <w:color w:val="000000"/>
                <w:sz w:val="22"/>
                <w:szCs w:val="22"/>
              </w:rPr>
              <w:t>MODEL</w:t>
            </w:r>
          </w:p>
        </w:tc>
        <w:tc>
          <w:tcPr>
            <w:tcW w:w="850" w:type="dxa"/>
            <w:tcBorders>
              <w:top w:val="single" w:sz="6" w:space="0" w:color="00B2A9" w:themeColor="accent1"/>
              <w:left w:val="nil"/>
              <w:bottom w:val="single" w:sz="6" w:space="0" w:color="00B2A9" w:themeColor="accent1"/>
              <w:right w:val="nil"/>
            </w:tcBorders>
          </w:tcPr>
          <w:p w14:paraId="6DB878CE" w14:textId="2F4C2B8D" w:rsidR="00491210" w:rsidRPr="006F5F00" w:rsidRDefault="00EE200C">
            <w:pPr>
              <w:rPr>
                <w:rFonts w:eastAsia="Arial"/>
                <w:color w:val="000000"/>
                <w:sz w:val="22"/>
                <w:szCs w:val="22"/>
              </w:rPr>
            </w:pPr>
            <w:r w:rsidRPr="006F5F00">
              <w:rPr>
                <w:rFonts w:eastAsia="Arial"/>
                <w:color w:val="000000"/>
                <w:sz w:val="22"/>
                <w:szCs w:val="22"/>
              </w:rPr>
              <w:t>1984–2019</w:t>
            </w:r>
          </w:p>
        </w:tc>
        <w:tc>
          <w:tcPr>
            <w:tcW w:w="7630" w:type="dxa"/>
            <w:tcBorders>
              <w:top w:val="single" w:sz="6" w:space="0" w:color="00B2A9" w:themeColor="accent1"/>
              <w:left w:val="nil"/>
              <w:bottom w:val="single" w:sz="6" w:space="0" w:color="00B2A9" w:themeColor="accent1"/>
              <w:right w:val="nil"/>
            </w:tcBorders>
          </w:tcPr>
          <w:p w14:paraId="560E2BE0" w14:textId="0DE5FF40" w:rsidR="00491210" w:rsidRPr="005D1DC5" w:rsidRDefault="00EE200C">
            <w:pPr>
              <w:jc w:val="both"/>
              <w:rPr>
                <w:rFonts w:eastAsia="Arial"/>
                <w:color w:val="000000"/>
                <w:szCs w:val="20"/>
              </w:rPr>
            </w:pPr>
            <w:r w:rsidRPr="005D1DC5">
              <w:rPr>
                <w:rFonts w:eastAsia="Arial"/>
                <w:color w:val="000000"/>
                <w:szCs w:val="20"/>
              </w:rPr>
              <w:t>This dataset is the population model outputs. The validation used the population model outputs generated from an ‘observed’ flow scenario in which the observed flows (ML day</w:t>
            </w:r>
            <w:r w:rsidRPr="005D1DC5">
              <w:rPr>
                <w:rFonts w:eastAsia="Arial"/>
                <w:color w:val="000000"/>
                <w:szCs w:val="20"/>
                <w:vertAlign w:val="superscript"/>
              </w:rPr>
              <w:t>–1</w:t>
            </w:r>
            <w:r w:rsidRPr="005D1DC5">
              <w:rPr>
                <w:rFonts w:eastAsia="Arial"/>
                <w:color w:val="000000"/>
                <w:szCs w:val="20"/>
              </w:rPr>
              <w:t>) at relevant gauges throughout the system were matched with modelled temperatures as generated by hydrological modelling (see section 2.9). For each population, population size estimates for each age class (1 year, 2 years, 3 years, adult) for every iteration were extracted from the model. Additionally, adult movement from Population 2 into Population 3 (from Yarrawonga to Torrumbarry) was also obtained.</w:t>
            </w:r>
          </w:p>
        </w:tc>
      </w:tr>
    </w:tbl>
    <w:p w14:paraId="5D51621D" w14:textId="6531F1AA" w:rsidR="00491210" w:rsidRDefault="00491210" w:rsidP="3FC79A6E">
      <w:pPr>
        <w:spacing w:after="0"/>
        <w:rPr>
          <w:noProof/>
          <w:lang w:eastAsia="en-AU"/>
        </w:rPr>
      </w:pPr>
    </w:p>
    <w:p w14:paraId="4810F73A" w14:textId="276806F0" w:rsidR="00491210" w:rsidRPr="006F5F00" w:rsidRDefault="003E1401" w:rsidP="3FC79A6E">
      <w:pPr>
        <w:spacing w:after="0"/>
        <w:rPr>
          <w:rFonts w:eastAsia="Arial"/>
          <w:color w:val="000000"/>
          <w:szCs w:val="20"/>
        </w:rPr>
      </w:pPr>
      <w:r>
        <w:rPr>
          <w:rFonts w:eastAsia="Arial"/>
          <w:noProof/>
          <w:color w:val="000000"/>
          <w:szCs w:val="20"/>
          <w:lang w:eastAsia="en-AU"/>
        </w:rPr>
        <w:t xml:space="preserve"> </w:t>
      </w:r>
    </w:p>
    <w:p w14:paraId="28EBC5A4" w14:textId="54D67EE6" w:rsidR="00491210" w:rsidRPr="006F5F00" w:rsidRDefault="00EE200C" w:rsidP="00F602FE">
      <w:pPr>
        <w:pStyle w:val="Caption-Figure"/>
        <w:rPr>
          <w:rFonts w:eastAsia="Arial"/>
        </w:rPr>
      </w:pPr>
      <w:bookmarkStart w:id="182" w:name="_Ref107932098"/>
      <w:bookmarkStart w:id="183" w:name="_Toc116995016"/>
      <w:r w:rsidRPr="006F5F00">
        <w:lastRenderedPageBreak/>
        <w:t xml:space="preserve">Figure </w:t>
      </w:r>
      <w:r w:rsidRPr="00E2785E">
        <w:fldChar w:fldCharType="begin"/>
      </w:r>
      <w:r w:rsidRPr="006F5F00">
        <w:instrText xml:space="preserve"> SEQ Figure \* ARABIC </w:instrText>
      </w:r>
      <w:r w:rsidRPr="00E2785E">
        <w:fldChar w:fldCharType="separate"/>
      </w:r>
      <w:r w:rsidR="005B672A">
        <w:rPr>
          <w:noProof/>
        </w:rPr>
        <w:t>47</w:t>
      </w:r>
      <w:r w:rsidRPr="00E2785E">
        <w:rPr>
          <w:noProof/>
        </w:rPr>
        <w:fldChar w:fldCharType="end"/>
      </w:r>
      <w:bookmarkEnd w:id="182"/>
      <w:r w:rsidRPr="006F5F00">
        <w:t xml:space="preserve">. </w:t>
      </w:r>
      <w:bookmarkStart w:id="184" w:name="_Hlk117083038"/>
      <w:r w:rsidRPr="006F5F00">
        <w:rPr>
          <w:rFonts w:eastAsia="Arial"/>
        </w:rPr>
        <w:t>Maps of the study area, showing the NSW sampling sites for which data was retained for population analysis</w:t>
      </w:r>
      <w:bookmarkEnd w:id="184"/>
      <w:r w:rsidRPr="006F5F00">
        <w:rPr>
          <w:rFonts w:eastAsia="Arial"/>
        </w:rPr>
        <w:t>: A) for Golden Perch and B) for Murray Cod. Dots show the NSW sites from which OBSERVED data was used for the validation assessment. The red rectangle (labelled ‘ARI’ on the larger maps) indicates the location of the ARI study.</w:t>
      </w:r>
      <w:bookmarkEnd w:id="183"/>
    </w:p>
    <w:p w14:paraId="464242F1" w14:textId="3EE159B5" w:rsidR="00491210" w:rsidRPr="006F5F00" w:rsidRDefault="00EE200C" w:rsidP="0015103C">
      <w:pPr>
        <w:pStyle w:val="Heading4"/>
      </w:pPr>
      <w:r w:rsidRPr="006F5F00">
        <w:t>Description of population model outputs</w:t>
      </w:r>
    </w:p>
    <w:p w14:paraId="5BFF67C2" w14:textId="1EF87CED" w:rsidR="00491210" w:rsidRPr="006F5F00" w:rsidRDefault="00EE200C" w:rsidP="00B17453">
      <w:pPr>
        <w:spacing w:line="259" w:lineRule="auto"/>
        <w:jc w:val="both"/>
        <w:rPr>
          <w:rFonts w:eastAsia="Arial"/>
          <w:color w:val="000000"/>
          <w:sz w:val="22"/>
          <w:szCs w:val="22"/>
        </w:rPr>
      </w:pPr>
      <w:r w:rsidRPr="006F5F00">
        <w:rPr>
          <w:rFonts w:eastAsia="Arial"/>
          <w:color w:val="000000"/>
          <w:sz w:val="22"/>
          <w:szCs w:val="22"/>
        </w:rPr>
        <w:t>For validation, the population model was run using ‘observed’ flow scenario inputs (from hydrological modelling as described in section 2.</w:t>
      </w:r>
      <w:r>
        <w:rPr>
          <w:rFonts w:eastAsia="Arial"/>
          <w:color w:val="000000"/>
          <w:sz w:val="22"/>
          <w:szCs w:val="22"/>
        </w:rPr>
        <w:t>9</w:t>
      </w:r>
      <w:r w:rsidRPr="006F5F00">
        <w:rPr>
          <w:rFonts w:eastAsia="Arial"/>
          <w:color w:val="000000"/>
          <w:sz w:val="22"/>
          <w:szCs w:val="22"/>
        </w:rPr>
        <w:t xml:space="preserve">) for each population area for both Golden Perch and Murray Cod. The </w:t>
      </w:r>
      <w:r>
        <w:rPr>
          <w:rFonts w:eastAsia="Arial"/>
          <w:color w:val="000000"/>
          <w:sz w:val="22"/>
          <w:szCs w:val="22"/>
        </w:rPr>
        <w:t>‘</w:t>
      </w:r>
      <w:r w:rsidRPr="006F5F00">
        <w:rPr>
          <w:rFonts w:eastAsia="Arial"/>
          <w:color w:val="000000"/>
          <w:sz w:val="22"/>
          <w:szCs w:val="22"/>
        </w:rPr>
        <w:t>observed</w:t>
      </w:r>
      <w:r>
        <w:rPr>
          <w:rFonts w:eastAsia="Arial"/>
          <w:color w:val="000000"/>
          <w:sz w:val="22"/>
          <w:szCs w:val="22"/>
        </w:rPr>
        <w:t>’</w:t>
      </w:r>
      <w:r w:rsidRPr="006F5F00">
        <w:rPr>
          <w:rFonts w:eastAsia="Arial"/>
          <w:color w:val="000000"/>
          <w:sz w:val="22"/>
          <w:szCs w:val="22"/>
        </w:rPr>
        <w:t xml:space="preserve"> flow scenario inputs comprised observed daily flows (ML day</w:t>
      </w:r>
      <w:r w:rsidRPr="006F5F00">
        <w:rPr>
          <w:rFonts w:eastAsia="Arial"/>
          <w:color w:val="000000"/>
          <w:sz w:val="22"/>
          <w:szCs w:val="22"/>
          <w:vertAlign w:val="superscript"/>
        </w:rPr>
        <w:t>–1</w:t>
      </w:r>
      <w:r w:rsidRPr="006F5F00">
        <w:rPr>
          <w:rFonts w:eastAsia="Arial"/>
          <w:color w:val="000000"/>
          <w:sz w:val="22"/>
          <w:szCs w:val="22"/>
        </w:rPr>
        <w:t xml:space="preserve">) paired with modelled temperature data at relevant gauges throughout the system. One thousand iterations were generated from the population model for each population. Each location was modelled independently for Murray Cod, while a single metapopulation model was used for Golden Perch to account for movement among locations. The population sizes </w:t>
      </w:r>
      <w:r w:rsidRPr="00AC5494">
        <w:rPr>
          <w:rFonts w:ascii="MathJax_Math-italic" w:eastAsia="MathJax_Math-italic" w:hAnsi="MathJax_Math-italic" w:cs="MathJax_Math-italic"/>
          <w:i/>
          <w:color w:val="000000"/>
          <w:sz w:val="22"/>
          <w:szCs w:val="22"/>
        </w:rPr>
        <w:t>N</w:t>
      </w:r>
      <w:r w:rsidRPr="006F5F00">
        <w:rPr>
          <w:rFonts w:ascii="MathJax_Math-italic" w:eastAsia="MathJax_Math-italic" w:hAnsi="MathJax_Math-italic" w:cs="MathJax_Math-italic"/>
          <w:color w:val="000000"/>
          <w:sz w:val="22"/>
          <w:szCs w:val="22"/>
        </w:rPr>
        <w:t xml:space="preserve"> </w:t>
      </w:r>
      <w:r w:rsidRPr="006F5F00">
        <w:rPr>
          <w:rFonts w:eastAsia="Arial"/>
          <w:color w:val="000000"/>
          <w:sz w:val="22"/>
          <w:szCs w:val="22"/>
        </w:rPr>
        <w:t xml:space="preserve">in each year </w:t>
      </w:r>
      <w:r w:rsidRPr="00AC5494">
        <w:rPr>
          <w:rFonts w:ascii="MathJax_Math-italic" w:eastAsia="MathJax_Math-italic" w:hAnsi="MathJax_Math-italic" w:cs="MathJax_Math-italic"/>
          <w:i/>
          <w:color w:val="000000"/>
          <w:sz w:val="22"/>
          <w:szCs w:val="22"/>
        </w:rPr>
        <w:t>t</w:t>
      </w:r>
      <w:r w:rsidRPr="006F5F00">
        <w:rPr>
          <w:rFonts w:ascii="MathJax_Math-italic" w:eastAsia="MathJax_Math-italic" w:hAnsi="MathJax_Math-italic" w:cs="MathJax_Math-italic"/>
          <w:color w:val="000000"/>
          <w:sz w:val="22"/>
          <w:szCs w:val="22"/>
        </w:rPr>
        <w:t xml:space="preserve"> </w:t>
      </w:r>
      <w:r w:rsidRPr="006F5F00">
        <w:rPr>
          <w:rFonts w:eastAsia="Arial"/>
          <w:color w:val="000000"/>
          <w:sz w:val="22"/>
          <w:szCs w:val="22"/>
        </w:rPr>
        <w:t>for age classes 1 year, 2 years and 3 years, and older (</w:t>
      </w:r>
      <m:oMath>
        <m:sSub>
          <m:sSubPr>
            <m:ctrlPr>
              <w:rPr>
                <w:rFonts w:ascii="Cambria Math" w:eastAsia="Arial" w:hAnsi="Cambria Math"/>
                <w:color w:val="000000"/>
                <w:sz w:val="22"/>
                <w:szCs w:val="22"/>
              </w:rPr>
            </m:ctrlPr>
          </m:sSubPr>
          <m:e>
            <m:r>
              <w:rPr>
                <w:rFonts w:ascii="Cambria Math" w:eastAsia="Arial" w:hAnsi="Cambria Math"/>
                <w:color w:val="000000"/>
                <w:sz w:val="22"/>
                <w:szCs w:val="22"/>
              </w:rPr>
              <m:t>N</m:t>
            </m:r>
          </m:e>
          <m:sub>
            <m:r>
              <w:rPr>
                <w:rFonts w:ascii="Cambria Math" w:eastAsia="Arial" w:hAnsi="Cambria Math"/>
                <w:color w:val="000000"/>
                <w:sz w:val="22"/>
                <w:szCs w:val="22"/>
              </w:rPr>
              <m:t>t</m:t>
            </m:r>
            <m:r>
              <m:rPr>
                <m:sty m:val="p"/>
              </m:rPr>
              <w:rPr>
                <w:rFonts w:ascii="Cambria Math" w:eastAsia="Arial" w:hAnsi="Cambria Math"/>
                <w:color w:val="000000"/>
                <w:sz w:val="22"/>
                <w:szCs w:val="22"/>
              </w:rPr>
              <m:t>,</m:t>
            </m:r>
            <m:r>
              <w:rPr>
                <w:rFonts w:ascii="Cambria Math" w:eastAsia="Arial" w:hAnsi="Cambria Math"/>
                <w:color w:val="000000"/>
                <w:sz w:val="22"/>
                <w:szCs w:val="22"/>
              </w:rPr>
              <m:t>adult</m:t>
            </m:r>
          </m:sub>
        </m:sSub>
        <m:r>
          <m:rPr>
            <m:sty m:val="p"/>
          </m:rPr>
          <w:rPr>
            <w:rFonts w:ascii="Cambria Math" w:eastAsia="Arial" w:hAnsi="Cambria Math"/>
            <w:color w:val="000000"/>
            <w:sz w:val="22"/>
            <w:szCs w:val="22"/>
          </w:rPr>
          <m:t>=</m:t>
        </m:r>
        <m:nary>
          <m:naryPr>
            <m:chr m:val="∑"/>
            <m:limLoc m:val="undOvr"/>
            <m:ctrlPr>
              <w:rPr>
                <w:rFonts w:ascii="Cambria Math" w:eastAsia="Arial" w:hAnsi="Cambria Math"/>
                <w:color w:val="000000"/>
                <w:sz w:val="22"/>
                <w:szCs w:val="22"/>
              </w:rPr>
            </m:ctrlPr>
          </m:naryPr>
          <m:sub>
            <m:r>
              <w:rPr>
                <w:rFonts w:ascii="Cambria Math" w:eastAsia="Arial" w:hAnsi="Cambria Math"/>
                <w:color w:val="000000"/>
                <w:sz w:val="22"/>
                <w:szCs w:val="22"/>
              </w:rPr>
              <m:t>i</m:t>
            </m:r>
            <m:r>
              <m:rPr>
                <m:sty m:val="p"/>
              </m:rPr>
              <w:rPr>
                <w:rFonts w:ascii="Cambria Math" w:eastAsia="Arial" w:hAnsi="Cambria Math"/>
                <w:color w:val="000000"/>
                <w:sz w:val="22"/>
                <w:szCs w:val="22"/>
              </w:rPr>
              <m:t>=3</m:t>
            </m:r>
          </m:sub>
          <m:sup>
            <m:r>
              <w:rPr>
                <w:rFonts w:ascii="Cambria Math" w:eastAsia="Arial" w:hAnsi="Cambria Math"/>
                <w:color w:val="000000"/>
                <w:sz w:val="22"/>
                <w:szCs w:val="22"/>
              </w:rPr>
              <m:t>I</m:t>
            </m:r>
          </m:sup>
          <m:e>
            <m:sSub>
              <m:sSubPr>
                <m:ctrlPr>
                  <w:rPr>
                    <w:rFonts w:ascii="Cambria Math" w:eastAsia="Arial" w:hAnsi="Cambria Math"/>
                    <w:color w:val="000000"/>
                    <w:sz w:val="22"/>
                    <w:szCs w:val="22"/>
                  </w:rPr>
                </m:ctrlPr>
              </m:sSubPr>
              <m:e>
                <m:r>
                  <w:rPr>
                    <w:rFonts w:ascii="Cambria Math" w:eastAsia="Arial" w:hAnsi="Cambria Math"/>
                    <w:color w:val="000000"/>
                    <w:sz w:val="22"/>
                    <w:szCs w:val="22"/>
                  </w:rPr>
                  <m:t>N</m:t>
                </m:r>
              </m:e>
              <m:sub>
                <m:r>
                  <w:rPr>
                    <w:rFonts w:ascii="Cambria Math" w:eastAsia="Arial" w:hAnsi="Cambria Math"/>
                    <w:color w:val="000000"/>
                    <w:sz w:val="22"/>
                    <w:szCs w:val="22"/>
                  </w:rPr>
                  <m:t>t</m:t>
                </m:r>
                <m:r>
                  <m:rPr>
                    <m:sty m:val="p"/>
                  </m:rPr>
                  <w:rPr>
                    <w:rFonts w:ascii="Cambria Math" w:eastAsia="Arial" w:hAnsi="Cambria Math"/>
                    <w:color w:val="000000"/>
                    <w:sz w:val="22"/>
                    <w:szCs w:val="22"/>
                  </w:rPr>
                  <m:t>,</m:t>
                </m:r>
                <m:r>
                  <w:rPr>
                    <w:rFonts w:ascii="Cambria Math" w:eastAsia="Arial" w:hAnsi="Cambria Math"/>
                    <w:color w:val="000000"/>
                    <w:sz w:val="22"/>
                    <w:szCs w:val="22"/>
                  </w:rPr>
                  <m:t>i</m:t>
                </m:r>
              </m:sub>
            </m:sSub>
          </m:e>
        </m:nary>
      </m:oMath>
      <w:r w:rsidRPr="006F5F00">
        <w:rPr>
          <w:rFonts w:eastAsia="Arial"/>
          <w:color w:val="000000"/>
          <w:sz w:val="22"/>
          <w:szCs w:val="22"/>
        </w:rPr>
        <w:t xml:space="preserve">) were calculated for each iteration, and then the finite population growth rate in each year </w:t>
      </w:r>
      <w:r w:rsidRPr="00AC5494">
        <w:rPr>
          <w:rFonts w:eastAsia="Arial"/>
          <w:i/>
          <w:color w:val="000000"/>
          <w:sz w:val="22"/>
          <w:szCs w:val="22"/>
        </w:rPr>
        <w:t>t</w:t>
      </w:r>
      <w:r w:rsidRPr="006F5F00">
        <w:rPr>
          <w:rFonts w:eastAsia="Arial"/>
          <w:color w:val="000000"/>
          <w:sz w:val="22"/>
          <w:szCs w:val="22"/>
        </w:rPr>
        <w:t xml:space="preserve">: </w:t>
      </w:r>
      <m:oMath>
        <m:sSub>
          <m:sSubPr>
            <m:ctrlPr>
              <w:rPr>
                <w:rFonts w:ascii="Cambria Math" w:eastAsia="Arial" w:hAnsi="Cambria Math"/>
                <w:color w:val="000000"/>
                <w:sz w:val="22"/>
                <w:szCs w:val="22"/>
              </w:rPr>
            </m:ctrlPr>
          </m:sSubPr>
          <m:e>
            <m:r>
              <w:rPr>
                <w:rFonts w:ascii="Cambria Math" w:eastAsia="Arial" w:hAnsi="Cambria Math"/>
                <w:color w:val="000000"/>
                <w:sz w:val="22"/>
                <w:szCs w:val="22"/>
              </w:rPr>
              <m:t>λ</m:t>
            </m:r>
          </m:e>
          <m:sub>
            <m:r>
              <w:rPr>
                <w:rFonts w:ascii="Cambria Math" w:eastAsia="Arial" w:hAnsi="Cambria Math"/>
                <w:color w:val="000000"/>
                <w:sz w:val="22"/>
                <w:szCs w:val="22"/>
              </w:rPr>
              <m:t>t</m:t>
            </m:r>
          </m:sub>
        </m:sSub>
        <m:r>
          <m:rPr>
            <m:sty m:val="p"/>
          </m:rPr>
          <w:rPr>
            <w:rFonts w:ascii="Cambria Math" w:eastAsia="Arial" w:hAnsi="Cambria Math"/>
            <w:color w:val="000000"/>
            <w:sz w:val="22"/>
            <w:szCs w:val="22"/>
          </w:rPr>
          <m:t>=</m:t>
        </m:r>
        <m:f>
          <m:fPr>
            <m:ctrlPr>
              <w:rPr>
                <w:rFonts w:ascii="Cambria Math" w:eastAsia="Arial" w:hAnsi="Cambria Math"/>
                <w:color w:val="000000"/>
                <w:sz w:val="22"/>
                <w:szCs w:val="22"/>
              </w:rPr>
            </m:ctrlPr>
          </m:fPr>
          <m:num>
            <m:sSub>
              <m:sSubPr>
                <m:ctrlPr>
                  <w:rPr>
                    <w:rFonts w:ascii="Cambria Math" w:eastAsia="Arial" w:hAnsi="Cambria Math"/>
                    <w:color w:val="000000"/>
                    <w:sz w:val="22"/>
                    <w:szCs w:val="22"/>
                  </w:rPr>
                </m:ctrlPr>
              </m:sSubPr>
              <m:e>
                <m:r>
                  <w:rPr>
                    <w:rFonts w:ascii="Cambria Math" w:eastAsia="Arial" w:hAnsi="Cambria Math"/>
                    <w:color w:val="000000"/>
                    <w:sz w:val="22"/>
                    <w:szCs w:val="22"/>
                  </w:rPr>
                  <m:t>N</m:t>
                </m:r>
              </m:e>
              <m:sub>
                <m:r>
                  <w:rPr>
                    <w:rFonts w:ascii="Cambria Math" w:eastAsia="Arial" w:hAnsi="Cambria Math"/>
                    <w:color w:val="000000"/>
                    <w:sz w:val="22"/>
                    <w:szCs w:val="22"/>
                  </w:rPr>
                  <m:t>t</m:t>
                </m:r>
              </m:sub>
            </m:sSub>
          </m:num>
          <m:den>
            <m:sSub>
              <m:sSubPr>
                <m:ctrlPr>
                  <w:rPr>
                    <w:rFonts w:ascii="Cambria Math" w:eastAsia="Arial" w:hAnsi="Cambria Math"/>
                    <w:color w:val="000000"/>
                    <w:sz w:val="22"/>
                    <w:szCs w:val="22"/>
                  </w:rPr>
                </m:ctrlPr>
              </m:sSubPr>
              <m:e>
                <m:r>
                  <w:rPr>
                    <w:rFonts w:ascii="Cambria Math" w:eastAsia="Arial" w:hAnsi="Cambria Math"/>
                    <w:color w:val="000000"/>
                    <w:sz w:val="22"/>
                    <w:szCs w:val="22"/>
                  </w:rPr>
                  <m:t>N</m:t>
                </m:r>
              </m:e>
              <m:sub>
                <m:r>
                  <w:rPr>
                    <w:rFonts w:ascii="Cambria Math" w:eastAsia="Arial" w:hAnsi="Cambria Math"/>
                    <w:color w:val="000000"/>
                    <w:sz w:val="22"/>
                    <w:szCs w:val="22"/>
                  </w:rPr>
                  <m:t>t</m:t>
                </m:r>
                <m:r>
                  <m:rPr>
                    <m:sty m:val="p"/>
                  </m:rPr>
                  <w:rPr>
                    <w:rFonts w:ascii="Cambria Math" w:eastAsia="Arial" w:hAnsi="Cambria Math"/>
                    <w:color w:val="000000"/>
                    <w:sz w:val="22"/>
                    <w:szCs w:val="22"/>
                  </w:rPr>
                  <m:t>-1</m:t>
                </m:r>
              </m:sub>
            </m:sSub>
          </m:den>
        </m:f>
      </m:oMath>
      <w:r w:rsidRPr="006F5F00">
        <w:rPr>
          <w:rFonts w:eastAsia="Arial"/>
          <w:color w:val="000000"/>
          <w:sz w:val="22"/>
          <w:szCs w:val="22"/>
        </w:rPr>
        <w:t xml:space="preserve"> was estimated. Next, the median growth rates [and 95% confidence interval (CI)] for each </w:t>
      </w:r>
      <w:r w:rsidRPr="00AC5494">
        <w:rPr>
          <w:rFonts w:ascii="MathJax_Math-italic" w:eastAsia="MathJax_Math-italic" w:hAnsi="MathJax_Math-italic" w:cs="MathJax_Math-italic"/>
          <w:i/>
          <w:color w:val="000000"/>
          <w:sz w:val="22"/>
          <w:szCs w:val="22"/>
        </w:rPr>
        <w:t>t</w:t>
      </w:r>
      <w:r w:rsidRPr="006F5F00">
        <w:rPr>
          <w:rFonts w:ascii="MathJax_Math-italic" w:eastAsia="MathJax_Math-italic" w:hAnsi="MathJax_Math-italic" w:cs="MathJax_Math-italic"/>
          <w:color w:val="000000"/>
          <w:sz w:val="22"/>
          <w:szCs w:val="22"/>
        </w:rPr>
        <w:t xml:space="preserve"> </w:t>
      </w:r>
      <w:r w:rsidRPr="006F5F00">
        <w:rPr>
          <w:rFonts w:eastAsia="Arial"/>
          <w:color w:val="000000"/>
          <w:sz w:val="22"/>
          <w:szCs w:val="22"/>
        </w:rPr>
        <w:t xml:space="preserve">across iterations for each population area and species were calculated. To compare predicted (MODEL) and OBSERVED movement, adult movement from the ‘Torrumbarry to Wentworth’ reach to the ‘Yarrawonga to Torrumbarry’ </w:t>
      </w:r>
      <w:r>
        <w:rPr>
          <w:rFonts w:eastAsia="Arial"/>
          <w:color w:val="000000"/>
          <w:sz w:val="22"/>
          <w:szCs w:val="22"/>
        </w:rPr>
        <w:t>reach</w:t>
      </w:r>
      <w:r w:rsidRPr="006F5F00">
        <w:rPr>
          <w:rFonts w:eastAsia="Arial"/>
          <w:color w:val="000000"/>
          <w:sz w:val="22"/>
          <w:szCs w:val="22"/>
        </w:rPr>
        <w:t xml:space="preserve"> was extracted (the two locations for which movement data was available in the ‘ARI’ dataset – </w:t>
      </w:r>
      <w:r w:rsidRPr="00E2785E">
        <w:rPr>
          <w:rFonts w:eastAsia="Arial"/>
          <w:color w:val="000000"/>
          <w:sz w:val="22"/>
          <w:szCs w:val="22"/>
        </w:rPr>
        <w:fldChar w:fldCharType="begin"/>
      </w:r>
      <w:r w:rsidRPr="006F5F00">
        <w:rPr>
          <w:rFonts w:eastAsia="Arial"/>
          <w:color w:val="000000"/>
          <w:sz w:val="22"/>
          <w:szCs w:val="22"/>
        </w:rPr>
        <w:instrText xml:space="preserve"> REF _Ref107932003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Table </w:t>
      </w:r>
      <w:r w:rsidR="005B672A" w:rsidRPr="005B672A">
        <w:rPr>
          <w:noProof/>
          <w:sz w:val="22"/>
          <w:szCs w:val="22"/>
        </w:rPr>
        <w:t>5</w:t>
      </w:r>
      <w:r w:rsidRPr="00E2785E">
        <w:rPr>
          <w:rFonts w:eastAsia="Arial"/>
          <w:color w:val="000000"/>
          <w:sz w:val="22"/>
          <w:szCs w:val="22"/>
        </w:rPr>
        <w:fldChar w:fldCharType="end"/>
      </w:r>
      <w:r w:rsidRPr="006F5F00">
        <w:rPr>
          <w:rFonts w:eastAsia="Arial"/>
          <w:color w:val="000000"/>
          <w:sz w:val="22"/>
          <w:szCs w:val="22"/>
        </w:rPr>
        <w:t xml:space="preserve">). The rate of change in movement was used for comparisons (analogous to </w:t>
      </w:r>
      <w:r w:rsidRPr="006F5F00">
        <w:rPr>
          <w:rFonts w:ascii="MathJax_Math-italic" w:eastAsia="MathJax_Math-italic" w:hAnsi="MathJax_Math-italic" w:cs="MathJax_Math-italic"/>
          <w:color w:val="000000"/>
          <w:sz w:val="22"/>
          <w:szCs w:val="22"/>
        </w:rPr>
        <w:t>λ</w:t>
      </w:r>
      <w:r w:rsidRPr="00B02E7B">
        <w:rPr>
          <w:rFonts w:ascii="MathJax_Math-italic" w:eastAsia="MathJax_Math-italic" w:hAnsi="MathJax_Math-italic" w:cs="MathJax_Math-italic"/>
          <w:i/>
          <w:iCs/>
          <w:color w:val="000000"/>
          <w:sz w:val="16"/>
          <w:szCs w:val="16"/>
        </w:rPr>
        <w:t>t</w:t>
      </w:r>
      <w:r w:rsidRPr="006F5F00">
        <w:rPr>
          <w:rFonts w:eastAsia="Arial"/>
          <w:color w:val="000000"/>
          <w:sz w:val="22"/>
          <w:szCs w:val="22"/>
        </w:rPr>
        <w:t>), taking the median and standard deviation across all runs.</w:t>
      </w:r>
    </w:p>
    <w:p w14:paraId="2E450065" w14:textId="2A160332" w:rsidR="00491210" w:rsidRPr="006F5F00" w:rsidRDefault="00EE200C" w:rsidP="0015103C">
      <w:pPr>
        <w:pStyle w:val="Heading4"/>
      </w:pPr>
      <w:r w:rsidRPr="006F5F00">
        <w:t>Validation of population size and growth rate</w:t>
      </w:r>
    </w:p>
    <w:p w14:paraId="638C4FE4" w14:textId="79D54898" w:rsidR="00491210" w:rsidRPr="006F5F00" w:rsidRDefault="00EE200C" w:rsidP="00B17453">
      <w:pPr>
        <w:spacing w:line="259" w:lineRule="auto"/>
        <w:jc w:val="both"/>
        <w:rPr>
          <w:rFonts w:eastAsia="Arial"/>
          <w:color w:val="000000"/>
          <w:sz w:val="22"/>
          <w:szCs w:val="22"/>
        </w:rPr>
      </w:pPr>
      <w:r w:rsidRPr="006F5F00">
        <w:rPr>
          <w:rFonts w:eastAsia="Arial"/>
          <w:color w:val="000000"/>
          <w:sz w:val="22"/>
          <w:szCs w:val="22"/>
        </w:rPr>
        <w:t>The key objective of the population MODEL was to assess predicted fish population sizes under various flow conditions. However, the population models were not spatially explicit, so there was no defined area/volume to calculate the population size for a given population. Also, the selection of an initial population size would affect the size of the predicted population. Consequently, attempting to validate/compare population sizes directly was not possible without using arbitrary and potentially misleading correction/adjustment factors. Therefore, scaled abundance estimates (population size from the MODEL data, population density from the ARI OBSERVED data, and relative abundance from the NSW OBSERVED data) were compared, and the correlation between these estimates over time was assessed.</w:t>
      </w:r>
    </w:p>
    <w:p w14:paraId="35ECB805" w14:textId="2E626804" w:rsidR="00491210" w:rsidRPr="006F5F00" w:rsidRDefault="00EE200C" w:rsidP="00B17453">
      <w:pPr>
        <w:spacing w:line="259" w:lineRule="auto"/>
        <w:jc w:val="both"/>
        <w:rPr>
          <w:rFonts w:eastAsia="Arial"/>
          <w:color w:val="000000"/>
          <w:sz w:val="22"/>
          <w:szCs w:val="22"/>
        </w:rPr>
      </w:pPr>
      <w:r w:rsidRPr="006F5F00">
        <w:rPr>
          <w:rFonts w:eastAsia="Arial"/>
          <w:color w:val="000000"/>
          <w:sz w:val="22"/>
          <w:szCs w:val="22"/>
        </w:rPr>
        <w:t xml:space="preserve">Predicted population growth rates can be extracted from the MODEL directly, but a statistical model was needed to estimate population growth rates from the ARI and NSW data. From the ARI dataset, population estimates (with uncertainties) were extracted for both species using the published Jolly–Seber capture–mark–recapture model (Lyon et al. 2021). As the aim was to compare population growth rates, it was necessary to obtain estimates of the finite population growth rate (λ). These data were not available, so they were calculated from the population estimates: </w:t>
      </w:r>
      <m:oMath>
        <m:sSub>
          <m:sSubPr>
            <m:ctrlPr>
              <w:rPr>
                <w:rFonts w:ascii="Cambria Math" w:eastAsia="Arial" w:hAnsi="Cambria Math"/>
                <w:color w:val="000000"/>
                <w:sz w:val="22"/>
                <w:szCs w:val="22"/>
              </w:rPr>
            </m:ctrlPr>
          </m:sSubPr>
          <m:e>
            <m:acc>
              <m:accPr>
                <m:ctrlPr>
                  <w:rPr>
                    <w:rFonts w:ascii="Cambria Math" w:eastAsia="Arial" w:hAnsi="Cambria Math"/>
                    <w:color w:val="000000"/>
                    <w:sz w:val="22"/>
                    <w:szCs w:val="22"/>
                  </w:rPr>
                </m:ctrlPr>
              </m:accPr>
              <m:e>
                <m:r>
                  <w:rPr>
                    <w:rFonts w:ascii="Cambria Math" w:eastAsia="Arial" w:hAnsi="Cambria Math"/>
                    <w:color w:val="000000"/>
                    <w:sz w:val="22"/>
                    <w:szCs w:val="22"/>
                  </w:rPr>
                  <m:t>λ</m:t>
                </m:r>
              </m:e>
            </m:acc>
          </m:e>
          <m:sub>
            <m:r>
              <w:rPr>
                <w:rFonts w:ascii="Cambria Math" w:eastAsia="Arial" w:hAnsi="Cambria Math"/>
                <w:color w:val="000000"/>
                <w:sz w:val="22"/>
                <w:szCs w:val="22"/>
              </w:rPr>
              <m:t>t</m:t>
            </m:r>
          </m:sub>
        </m:sSub>
        <m:r>
          <m:rPr>
            <m:sty m:val="p"/>
          </m:rPr>
          <w:rPr>
            <w:rFonts w:ascii="Cambria Math" w:eastAsia="Arial" w:hAnsi="Cambria Math"/>
            <w:color w:val="000000"/>
            <w:sz w:val="22"/>
            <w:szCs w:val="22"/>
          </w:rPr>
          <m:t>=</m:t>
        </m:r>
        <m:f>
          <m:fPr>
            <m:ctrlPr>
              <w:rPr>
                <w:rFonts w:ascii="Cambria Math" w:eastAsia="Arial" w:hAnsi="Cambria Math"/>
                <w:color w:val="000000"/>
                <w:sz w:val="22"/>
                <w:szCs w:val="22"/>
              </w:rPr>
            </m:ctrlPr>
          </m:fPr>
          <m:num>
            <m:sSub>
              <m:sSubPr>
                <m:ctrlPr>
                  <w:rPr>
                    <w:rFonts w:ascii="Cambria Math" w:eastAsia="Arial" w:hAnsi="Cambria Math"/>
                    <w:color w:val="000000"/>
                    <w:sz w:val="22"/>
                    <w:szCs w:val="22"/>
                  </w:rPr>
                </m:ctrlPr>
              </m:sSubPr>
              <m:e>
                <m:acc>
                  <m:accPr>
                    <m:ctrlPr>
                      <w:rPr>
                        <w:rFonts w:ascii="Cambria Math" w:eastAsia="Arial" w:hAnsi="Cambria Math"/>
                        <w:color w:val="000000"/>
                        <w:sz w:val="22"/>
                        <w:szCs w:val="22"/>
                      </w:rPr>
                    </m:ctrlPr>
                  </m:accPr>
                  <m:e>
                    <m:r>
                      <w:rPr>
                        <w:rFonts w:ascii="Cambria Math" w:eastAsia="Arial" w:hAnsi="Cambria Math"/>
                        <w:color w:val="000000"/>
                        <w:sz w:val="22"/>
                        <w:szCs w:val="22"/>
                      </w:rPr>
                      <m:t>N</m:t>
                    </m:r>
                  </m:e>
                </m:acc>
              </m:e>
              <m:sub>
                <m:r>
                  <w:rPr>
                    <w:rFonts w:ascii="Cambria Math" w:eastAsia="Arial" w:hAnsi="Cambria Math"/>
                    <w:color w:val="000000"/>
                    <w:sz w:val="22"/>
                    <w:szCs w:val="22"/>
                  </w:rPr>
                  <m:t>t</m:t>
                </m:r>
              </m:sub>
            </m:sSub>
          </m:num>
          <m:den>
            <m:sSub>
              <m:sSubPr>
                <m:ctrlPr>
                  <w:rPr>
                    <w:rFonts w:ascii="Cambria Math" w:eastAsia="Arial" w:hAnsi="Cambria Math"/>
                    <w:color w:val="000000"/>
                    <w:sz w:val="22"/>
                    <w:szCs w:val="22"/>
                  </w:rPr>
                </m:ctrlPr>
              </m:sSubPr>
              <m:e>
                <m:acc>
                  <m:accPr>
                    <m:ctrlPr>
                      <w:rPr>
                        <w:rFonts w:ascii="Cambria Math" w:eastAsia="Arial" w:hAnsi="Cambria Math"/>
                        <w:color w:val="000000"/>
                        <w:sz w:val="22"/>
                        <w:szCs w:val="22"/>
                      </w:rPr>
                    </m:ctrlPr>
                  </m:accPr>
                  <m:e>
                    <m:r>
                      <w:rPr>
                        <w:rFonts w:ascii="Cambria Math" w:eastAsia="Arial" w:hAnsi="Cambria Math"/>
                        <w:color w:val="000000"/>
                        <w:sz w:val="22"/>
                        <w:szCs w:val="22"/>
                      </w:rPr>
                      <m:t>N</m:t>
                    </m:r>
                  </m:e>
                </m:acc>
              </m:e>
              <m:sub>
                <m:r>
                  <w:rPr>
                    <w:rFonts w:ascii="Cambria Math" w:eastAsia="Arial" w:hAnsi="Cambria Math"/>
                    <w:color w:val="000000"/>
                    <w:sz w:val="22"/>
                    <w:szCs w:val="22"/>
                  </w:rPr>
                  <m:t>t</m:t>
                </m:r>
                <m:r>
                  <m:rPr>
                    <m:sty m:val="p"/>
                  </m:rPr>
                  <w:rPr>
                    <w:rFonts w:ascii="Cambria Math" w:eastAsia="Arial" w:hAnsi="Cambria Math"/>
                    <w:color w:val="000000"/>
                    <w:sz w:val="22"/>
                    <w:szCs w:val="22"/>
                  </w:rPr>
                  <m:t>-1</m:t>
                </m:r>
              </m:sub>
            </m:sSub>
          </m:den>
        </m:f>
      </m:oMath>
      <w:r w:rsidRPr="006F5F00">
        <w:rPr>
          <w:rFonts w:eastAsia="Arial"/>
          <w:color w:val="000000"/>
          <w:sz w:val="22"/>
          <w:szCs w:val="22"/>
        </w:rPr>
        <w:t xml:space="preserve">. To obtain some measure of the uncertainty, we assumed there was no correlation between </w:t>
      </w:r>
      <w:r w:rsidRPr="0072417E">
        <w:rPr>
          <w:rFonts w:eastAsia="Arial"/>
          <w:i/>
          <w:color w:val="000000"/>
          <w:sz w:val="22"/>
          <w:szCs w:val="22"/>
        </w:rPr>
        <w:t>N</w:t>
      </w:r>
      <w:r w:rsidRPr="006F5F00">
        <w:rPr>
          <w:rFonts w:eastAsia="Arial"/>
          <w:color w:val="000000"/>
          <w:sz w:val="22"/>
          <w:szCs w:val="22"/>
          <w:vertAlign w:val="subscript"/>
        </w:rPr>
        <w:t>t</w:t>
      </w:r>
      <w:r w:rsidRPr="006F5F00">
        <w:rPr>
          <w:rFonts w:eastAsia="Arial"/>
          <w:color w:val="000000"/>
          <w:sz w:val="22"/>
          <w:szCs w:val="22"/>
        </w:rPr>
        <w:t xml:space="preserve"> and </w:t>
      </w:r>
      <w:r w:rsidRPr="0072417E">
        <w:rPr>
          <w:rFonts w:eastAsia="Arial"/>
          <w:i/>
          <w:color w:val="000000"/>
          <w:sz w:val="22"/>
          <w:szCs w:val="22"/>
        </w:rPr>
        <w:t>N</w:t>
      </w:r>
      <w:r w:rsidRPr="006F5F00">
        <w:rPr>
          <w:rFonts w:eastAsia="Arial"/>
          <w:color w:val="000000"/>
          <w:sz w:val="22"/>
          <w:szCs w:val="22"/>
          <w:vertAlign w:val="subscript"/>
        </w:rPr>
        <w:t>t−1</w:t>
      </w:r>
      <w:r w:rsidRPr="006F5F00">
        <w:rPr>
          <w:rFonts w:eastAsia="Arial"/>
          <w:color w:val="000000"/>
          <w:sz w:val="22"/>
          <w:szCs w:val="22"/>
        </w:rPr>
        <w:t xml:space="preserve"> and used the delta method to estimate the standard error (SE) for λ (e.g. Mandel 2013). This SE estimate is likely to be conservative due to the probable positive correlation between estimates of </w:t>
      </w:r>
      <w:r w:rsidRPr="0072417E">
        <w:rPr>
          <w:rFonts w:eastAsia="Arial"/>
          <w:i/>
          <w:color w:val="000000"/>
          <w:sz w:val="22"/>
          <w:szCs w:val="22"/>
        </w:rPr>
        <w:t>N</w:t>
      </w:r>
      <w:r w:rsidRPr="006F5F00">
        <w:rPr>
          <w:rFonts w:eastAsia="Arial"/>
          <w:color w:val="000000"/>
          <w:sz w:val="22"/>
          <w:szCs w:val="22"/>
        </w:rPr>
        <w:t>.</w:t>
      </w:r>
    </w:p>
    <w:p w14:paraId="4F9653D9" w14:textId="5B45A1F0" w:rsidR="00491210" w:rsidRPr="006F5F00" w:rsidRDefault="00EE200C" w:rsidP="00B17453">
      <w:pPr>
        <w:spacing w:line="259" w:lineRule="auto"/>
        <w:jc w:val="both"/>
        <w:rPr>
          <w:rFonts w:eastAsia="Arial"/>
          <w:color w:val="000000"/>
          <w:sz w:val="22"/>
          <w:szCs w:val="22"/>
        </w:rPr>
      </w:pPr>
      <w:r w:rsidRPr="006F5F00">
        <w:rPr>
          <w:rFonts w:eastAsia="Arial"/>
          <w:color w:val="000000"/>
          <w:sz w:val="22"/>
          <w:szCs w:val="22"/>
        </w:rPr>
        <w:t>For the NSW dataset, we used a Bayesian state-based population model (Kéry and Schaub 2011) to obtain estimated growth rates from the relative abundance (catch-per-unit-effort; CPUE) data. Separate models were run for each population area. The model comprised two components: an observation model and a process model. The observation model was defined as:</w:t>
      </w:r>
    </w:p>
    <w:p w14:paraId="636514DA" w14:textId="77777777" w:rsidR="00491210" w:rsidRPr="006F5F00" w:rsidRDefault="003F1205" w:rsidP="00DF5806">
      <w:pPr>
        <w:spacing w:line="259" w:lineRule="auto"/>
        <w:jc w:val="both"/>
        <w:rPr>
          <w:rFonts w:eastAsia="Arial"/>
          <w:color w:val="000000"/>
          <w:sz w:val="22"/>
          <w:szCs w:val="22"/>
        </w:rPr>
      </w:pPr>
      <m:oMathPara>
        <m:oMathParaPr>
          <m:jc m:val="center"/>
        </m:oMathParaPr>
        <m:oMath>
          <m:sSub>
            <m:sSubPr>
              <m:ctrlPr>
                <w:rPr>
                  <w:rFonts w:ascii="Cambria Math" w:eastAsia="Arial" w:hAnsi="Cambria Math"/>
                  <w:color w:val="000000"/>
                  <w:sz w:val="22"/>
                  <w:szCs w:val="22"/>
                </w:rPr>
              </m:ctrlPr>
            </m:sSubPr>
            <m:e>
              <m:r>
                <w:rPr>
                  <w:rFonts w:ascii="Cambria Math" w:eastAsia="Arial" w:hAnsi="Cambria Math"/>
                  <w:color w:val="000000"/>
                  <w:sz w:val="22"/>
                  <w:szCs w:val="22"/>
                </w:rPr>
                <m:t>n</m:t>
              </m:r>
            </m:e>
            <m:sub>
              <m:r>
                <w:rPr>
                  <w:rFonts w:ascii="Cambria Math" w:eastAsia="Arial" w:hAnsi="Cambria Math"/>
                  <w:color w:val="000000"/>
                  <w:sz w:val="22"/>
                  <w:szCs w:val="22"/>
                </w:rPr>
                <m:t>i</m:t>
              </m:r>
              <m:r>
                <m:rPr>
                  <m:sty m:val="p"/>
                </m:rPr>
                <w:rPr>
                  <w:rFonts w:ascii="Cambria Math" w:eastAsia="Arial" w:hAnsi="Cambria Math"/>
                  <w:color w:val="000000"/>
                  <w:sz w:val="22"/>
                  <w:szCs w:val="22"/>
                </w:rPr>
                <m:t>,</m:t>
              </m:r>
              <m:r>
                <w:rPr>
                  <w:rFonts w:ascii="Cambria Math" w:eastAsia="Arial" w:hAnsi="Cambria Math"/>
                  <w:color w:val="000000"/>
                  <w:sz w:val="22"/>
                  <w:szCs w:val="22"/>
                </w:rPr>
                <m:t>t</m:t>
              </m:r>
            </m:sub>
          </m:sSub>
          <m:r>
            <m:rPr>
              <m:sty m:val="p"/>
            </m:rPr>
            <w:rPr>
              <w:rFonts w:ascii="Cambria Math" w:eastAsia="Arial" w:hAnsi="Cambria Math"/>
              <w:color w:val="000000"/>
              <w:sz w:val="22"/>
              <w:szCs w:val="22"/>
            </w:rPr>
            <m:t>∼</m:t>
          </m:r>
          <m:r>
            <w:rPr>
              <w:rFonts w:ascii="Cambria Math" w:eastAsia="Arial" w:hAnsi="Cambria Math"/>
              <w:color w:val="000000"/>
              <w:sz w:val="22"/>
              <w:szCs w:val="22"/>
            </w:rPr>
            <m:t>Pois</m:t>
          </m:r>
          <m:r>
            <m:rPr>
              <m:sty m:val="p"/>
            </m:rPr>
            <w:rPr>
              <w:rFonts w:ascii="Cambria Math" w:eastAsia="Arial" w:hAnsi="Cambria Math"/>
              <w:color w:val="000000"/>
              <w:sz w:val="22"/>
              <w:szCs w:val="22"/>
            </w:rPr>
            <m:t>(</m:t>
          </m:r>
          <m:sSub>
            <m:sSubPr>
              <m:ctrlPr>
                <w:rPr>
                  <w:rFonts w:ascii="Cambria Math" w:eastAsia="Arial" w:hAnsi="Cambria Math"/>
                  <w:color w:val="000000"/>
                  <w:sz w:val="22"/>
                  <w:szCs w:val="22"/>
                </w:rPr>
              </m:ctrlPr>
            </m:sSubPr>
            <m:e>
              <m:r>
                <w:rPr>
                  <w:rFonts w:ascii="Cambria Math" w:eastAsia="Arial" w:hAnsi="Cambria Math"/>
                  <w:color w:val="000000"/>
                  <w:sz w:val="22"/>
                  <w:szCs w:val="22"/>
                </w:rPr>
                <m:t>μ</m:t>
              </m:r>
            </m:e>
            <m:sub>
              <m:r>
                <w:rPr>
                  <w:rFonts w:ascii="Cambria Math" w:eastAsia="Arial" w:hAnsi="Cambria Math"/>
                  <w:color w:val="000000"/>
                  <w:sz w:val="22"/>
                  <w:szCs w:val="22"/>
                </w:rPr>
                <m:t>i</m:t>
              </m:r>
              <m:r>
                <m:rPr>
                  <m:sty m:val="p"/>
                </m:rPr>
                <w:rPr>
                  <w:rFonts w:ascii="Cambria Math" w:eastAsia="Arial" w:hAnsi="Cambria Math"/>
                  <w:color w:val="000000"/>
                  <w:sz w:val="22"/>
                  <w:szCs w:val="22"/>
                </w:rPr>
                <m:t>,</m:t>
              </m:r>
              <m:r>
                <w:rPr>
                  <w:rFonts w:ascii="Cambria Math" w:eastAsia="Arial" w:hAnsi="Cambria Math"/>
                  <w:color w:val="000000"/>
                  <w:sz w:val="22"/>
                  <w:szCs w:val="22"/>
                </w:rPr>
                <m:t>t</m:t>
              </m:r>
            </m:sub>
          </m:sSub>
          <m:r>
            <m:rPr>
              <m:sty m:val="p"/>
            </m:rPr>
            <w:rPr>
              <w:rFonts w:ascii="Cambria Math" w:eastAsia="Arial" w:hAnsi="Cambria Math"/>
              <w:color w:val="000000"/>
              <w:sz w:val="22"/>
              <w:szCs w:val="22"/>
            </w:rPr>
            <m:t>)</m:t>
          </m:r>
        </m:oMath>
      </m:oMathPara>
    </w:p>
    <w:p w14:paraId="7B8AC8C8" w14:textId="38F99CB7" w:rsidR="00491210" w:rsidRPr="006F5F00" w:rsidRDefault="00EE200C" w:rsidP="00B17453">
      <w:pPr>
        <w:spacing w:line="259" w:lineRule="auto"/>
        <w:jc w:val="both"/>
        <w:rPr>
          <w:rFonts w:eastAsia="Arial"/>
          <w:color w:val="363534" w:themeColor="text1"/>
          <w:sz w:val="22"/>
          <w:szCs w:val="22"/>
        </w:rPr>
      </w:pPr>
      <w:r w:rsidRPr="006F5F00">
        <w:rPr>
          <w:rFonts w:eastAsia="Arial"/>
          <w:color w:val="363534" w:themeColor="text1"/>
          <w:sz w:val="22"/>
          <w:szCs w:val="22"/>
          <w:lang w:val="en-US"/>
        </w:rPr>
        <w:t xml:space="preserve">where </w:t>
      </w:r>
      <w:r w:rsidRPr="0072417E">
        <w:rPr>
          <w:rFonts w:eastAsia="Arial"/>
          <w:i/>
          <w:color w:val="363534" w:themeColor="text1"/>
          <w:sz w:val="22"/>
          <w:szCs w:val="22"/>
          <w:lang w:val="en-US"/>
        </w:rPr>
        <w:t>i</w:t>
      </w:r>
      <w:r w:rsidRPr="006F5F00">
        <w:rPr>
          <w:rFonts w:ascii="MathJax_Math-italic" w:eastAsia="MathJax_Math-italic" w:hAnsi="MathJax_Math-italic" w:cs="MathJax_Math-italic"/>
          <w:color w:val="000000"/>
          <w:sz w:val="22"/>
          <w:szCs w:val="22"/>
        </w:rPr>
        <w:t> </w:t>
      </w:r>
      <w:r w:rsidRPr="006F5F00">
        <w:rPr>
          <w:rFonts w:eastAsia="Arial"/>
          <w:color w:val="363534" w:themeColor="text1"/>
          <w:sz w:val="22"/>
          <w:szCs w:val="22"/>
          <w:lang w:val="en-US"/>
        </w:rPr>
        <w:t xml:space="preserve">= site, </w:t>
      </w:r>
      <w:r w:rsidRPr="0072417E">
        <w:rPr>
          <w:rFonts w:ascii="MathJax_Math-italic" w:eastAsia="MathJax_Math-italic" w:hAnsi="MathJax_Math-italic" w:cs="MathJax_Math-italic"/>
          <w:i/>
          <w:color w:val="000000"/>
          <w:sz w:val="22"/>
          <w:szCs w:val="22"/>
        </w:rPr>
        <w:t>t</w:t>
      </w:r>
      <w:r w:rsidRPr="006F5F00">
        <w:rPr>
          <w:rFonts w:ascii="MathJax_Math-italic" w:eastAsia="MathJax_Math-italic" w:hAnsi="MathJax_Math-italic" w:cs="MathJax_Math-italic"/>
          <w:color w:val="000000"/>
          <w:sz w:val="22"/>
          <w:szCs w:val="22"/>
        </w:rPr>
        <w:t> </w:t>
      </w:r>
      <w:r w:rsidRPr="006F5F00">
        <w:rPr>
          <w:rFonts w:eastAsia="Arial"/>
          <w:color w:val="363534" w:themeColor="text1"/>
          <w:sz w:val="22"/>
          <w:szCs w:val="22"/>
          <w:lang w:val="en-US"/>
        </w:rPr>
        <w:t xml:space="preserve">= fish year. </w:t>
      </w:r>
      <m:oMath>
        <m:sSub>
          <m:sSubPr>
            <m:ctrlPr>
              <w:rPr>
                <w:rFonts w:ascii="Cambria Math" w:hAnsi="Cambria Math"/>
              </w:rPr>
            </m:ctrlPr>
          </m:sSubPr>
          <m:e>
            <m:r>
              <w:rPr>
                <w:rFonts w:ascii="Cambria Math" w:hAnsi="Cambria Math"/>
              </w:rPr>
              <m:t>μ</m:t>
            </m:r>
          </m:e>
          <m:sub>
            <m:r>
              <w:rPr>
                <w:rFonts w:ascii="Cambria Math" w:hAnsi="Cambria Math"/>
              </w:rPr>
              <m:t>i</m:t>
            </m:r>
            <m:r>
              <m:rPr>
                <m:sty m:val="p"/>
              </m:rPr>
              <w:rPr>
                <w:rFonts w:ascii="Cambria Math" w:hAnsi="Cambria Math"/>
              </w:rPr>
              <m:t>,</m:t>
            </m:r>
            <m:r>
              <w:rPr>
                <w:rFonts w:ascii="Cambria Math" w:hAnsi="Cambria Math"/>
              </w:rPr>
              <m:t>t</m:t>
            </m:r>
          </m:sub>
        </m:sSub>
      </m:oMath>
      <w:r w:rsidRPr="006F5F00">
        <w:rPr>
          <w:rFonts w:eastAsia="Arial"/>
        </w:rPr>
        <w:t xml:space="preserve"> </w:t>
      </w:r>
      <w:r w:rsidRPr="006F5F00">
        <w:rPr>
          <w:rFonts w:eastAsia="Arial"/>
          <w:color w:val="363534" w:themeColor="text1"/>
          <w:sz w:val="22"/>
          <w:szCs w:val="22"/>
          <w:lang w:val="en-US"/>
        </w:rPr>
        <w:t xml:space="preserve">is the population density rate (number/hour) for year </w:t>
      </w:r>
      <w:r w:rsidRPr="0072417E">
        <w:rPr>
          <w:rFonts w:ascii="MathJax_Math-italic" w:eastAsia="MathJax_Math-italic" w:hAnsi="MathJax_Math-italic" w:cs="MathJax_Math-italic"/>
          <w:i/>
          <w:color w:val="000000"/>
          <w:sz w:val="22"/>
          <w:szCs w:val="22"/>
        </w:rPr>
        <w:t>t</w:t>
      </w:r>
      <w:r w:rsidRPr="006F5F00">
        <w:rPr>
          <w:rFonts w:ascii="MathJax_Math-italic" w:eastAsia="MathJax_Math-italic" w:hAnsi="MathJax_Math-italic" w:cs="MathJax_Math-italic"/>
          <w:color w:val="000000"/>
          <w:sz w:val="22"/>
          <w:szCs w:val="22"/>
        </w:rPr>
        <w:t xml:space="preserve"> </w:t>
      </w:r>
      <w:r w:rsidRPr="006F5F00">
        <w:rPr>
          <w:rFonts w:eastAsia="Arial"/>
          <w:color w:val="363534" w:themeColor="text1"/>
          <w:sz w:val="22"/>
          <w:szCs w:val="22"/>
          <w:lang w:val="en-US"/>
        </w:rPr>
        <w:t xml:space="preserve">and site </w:t>
      </w:r>
      <w:r w:rsidRPr="0072417E">
        <w:rPr>
          <w:rFonts w:eastAsia="Arial"/>
          <w:i/>
          <w:color w:val="363534" w:themeColor="text1"/>
          <w:sz w:val="22"/>
          <w:szCs w:val="22"/>
          <w:lang w:val="en-US"/>
        </w:rPr>
        <w:t>i</w:t>
      </w:r>
      <w:r w:rsidRPr="006F5F00">
        <w:rPr>
          <w:rFonts w:eastAsia="Arial"/>
          <w:color w:val="363534" w:themeColor="text1"/>
          <w:sz w:val="22"/>
          <w:szCs w:val="22"/>
          <w:lang w:val="en-US"/>
        </w:rPr>
        <w:t xml:space="preserve">. A Poisson distribution was assumed, but it should be noted that additional variation in the process model was included, which mitigated overdispersion in the data. Note that the population density </w:t>
      </w:r>
      <w:r w:rsidRPr="006F5F00">
        <w:rPr>
          <w:rFonts w:eastAsia="Arial"/>
          <w:color w:val="363534" w:themeColor="text1"/>
          <w:sz w:val="22"/>
          <w:szCs w:val="22"/>
          <w:lang w:val="en-US"/>
        </w:rPr>
        <w:lastRenderedPageBreak/>
        <w:t xml:space="preserve">rate implicitly incorporates the detection rate of the electrofishing and assumes it to be constant. Therefore, </w:t>
      </w:r>
      <m:oMath>
        <m:sSub>
          <m:sSubPr>
            <m:ctrlPr>
              <w:rPr>
                <w:rFonts w:ascii="Cambria Math" w:hAnsi="Cambria Math"/>
              </w:rPr>
            </m:ctrlPr>
          </m:sSubPr>
          <m:e>
            <m:r>
              <w:rPr>
                <w:rFonts w:ascii="Cambria Math" w:hAnsi="Cambria Math"/>
              </w:rPr>
              <m:t>μ</m:t>
            </m:r>
          </m:e>
          <m:sub>
            <m:r>
              <w:rPr>
                <w:rFonts w:ascii="Cambria Math" w:hAnsi="Cambria Math"/>
              </w:rPr>
              <m:t>i</m:t>
            </m:r>
            <m:r>
              <m:rPr>
                <m:sty m:val="p"/>
              </m:rPr>
              <w:rPr>
                <w:rFonts w:ascii="Cambria Math" w:hAnsi="Cambria Math"/>
              </w:rPr>
              <m:t>,</m:t>
            </m:r>
            <m:r>
              <w:rPr>
                <w:rFonts w:ascii="Cambria Math" w:hAnsi="Cambria Math"/>
              </w:rPr>
              <m:t>t</m:t>
            </m:r>
          </m:sub>
        </m:sSub>
      </m:oMath>
      <w:r w:rsidRPr="006F5F00">
        <w:rPr>
          <w:rFonts w:eastAsia="Arial"/>
        </w:rPr>
        <w:t xml:space="preserve"> </w:t>
      </w:r>
      <w:r w:rsidRPr="006F5F00">
        <w:rPr>
          <w:rFonts w:eastAsia="Arial"/>
          <w:color w:val="363534" w:themeColor="text1"/>
          <w:sz w:val="22"/>
          <w:szCs w:val="22"/>
          <w:lang w:val="en-US"/>
        </w:rPr>
        <w:t>is a relative abundance.</w:t>
      </w:r>
    </w:p>
    <w:p w14:paraId="3FFADD14" w14:textId="6E4666E4" w:rsidR="00491210" w:rsidRPr="006F5F00" w:rsidRDefault="00EE200C" w:rsidP="00B17453">
      <w:pPr>
        <w:spacing w:line="259" w:lineRule="auto"/>
        <w:jc w:val="both"/>
        <w:rPr>
          <w:rFonts w:eastAsia="Arial"/>
          <w:color w:val="000000"/>
          <w:sz w:val="22"/>
          <w:szCs w:val="22"/>
        </w:rPr>
      </w:pPr>
      <w:r w:rsidRPr="006F5F00">
        <w:rPr>
          <w:rFonts w:eastAsia="Arial"/>
          <w:color w:val="000000"/>
          <w:sz w:val="22"/>
          <w:szCs w:val="22"/>
        </w:rPr>
        <w:t>The next component of the statistical model was a process model. This component underlies the population dynami</w:t>
      </w:r>
      <w:r>
        <w:rPr>
          <w:rFonts w:eastAsia="Arial"/>
          <w:color w:val="000000"/>
          <w:sz w:val="22"/>
          <w:szCs w:val="22"/>
        </w:rPr>
        <w:t>cs</w:t>
      </w:r>
      <w:r w:rsidRPr="006F5F00">
        <w:rPr>
          <w:rFonts w:eastAsia="Arial"/>
          <w:color w:val="000000"/>
          <w:sz w:val="22"/>
          <w:szCs w:val="22"/>
        </w:rPr>
        <w:t xml:space="preserve"> and estimates the growth rate. This component is described as:</w:t>
      </w:r>
    </w:p>
    <w:p w14:paraId="2479356E" w14:textId="77777777" w:rsidR="00491210" w:rsidRPr="006F5F00" w:rsidRDefault="003F1205" w:rsidP="00DF5806">
      <w:pPr>
        <w:spacing w:line="259" w:lineRule="auto"/>
        <w:jc w:val="both"/>
        <w:rPr>
          <w:rFonts w:eastAsia="Arial"/>
          <w:color w:val="000000"/>
          <w:sz w:val="22"/>
          <w:szCs w:val="22"/>
        </w:rPr>
      </w:pPr>
      <m:oMathPara>
        <m:oMathParaPr>
          <m:jc m:val="center"/>
        </m:oMathParaPr>
        <m:oMath>
          <m:m>
            <m:mPr>
              <m:plcHide m:val="1"/>
              <m:mcs>
                <m:mc>
                  <m:mcPr>
                    <m:count m:val="1"/>
                    <m:mcJc m:val="right"/>
                  </m:mcPr>
                </m:mc>
                <m:mc>
                  <m:mcPr>
                    <m:count m:val="1"/>
                    <m:mcJc m:val="left"/>
                  </m:mcPr>
                </m:mc>
              </m:mcs>
              <m:ctrlPr>
                <w:rPr>
                  <w:rFonts w:ascii="Cambria Math" w:eastAsia="Arial" w:hAnsi="Cambria Math"/>
                  <w:color w:val="000000"/>
                  <w:sz w:val="22"/>
                  <w:szCs w:val="22"/>
                </w:rPr>
              </m:ctrlPr>
            </m:mPr>
            <m:mr>
              <m:e>
                <m:r>
                  <w:rPr>
                    <w:rFonts w:ascii="Cambria Math" w:eastAsia="Arial" w:hAnsi="Cambria Math"/>
                    <w:color w:val="000000"/>
                    <w:sz w:val="22"/>
                    <w:szCs w:val="22"/>
                  </w:rPr>
                  <m:t>log</m:t>
                </m:r>
                <m:r>
                  <m:rPr>
                    <m:sty m:val="p"/>
                  </m:rPr>
                  <w:rPr>
                    <w:rFonts w:ascii="Cambria Math" w:eastAsia="Arial" w:hAnsi="Cambria Math"/>
                    <w:color w:val="000000"/>
                    <w:sz w:val="22"/>
                    <w:szCs w:val="22"/>
                  </w:rPr>
                  <m:t>(</m:t>
                </m:r>
                <m:sSub>
                  <m:sSubPr>
                    <m:ctrlPr>
                      <w:rPr>
                        <w:rFonts w:ascii="Cambria Math" w:eastAsia="Arial" w:hAnsi="Cambria Math"/>
                        <w:color w:val="000000"/>
                        <w:sz w:val="22"/>
                        <w:szCs w:val="22"/>
                      </w:rPr>
                    </m:ctrlPr>
                  </m:sSubPr>
                  <m:e>
                    <m:r>
                      <w:rPr>
                        <w:rFonts w:ascii="Cambria Math" w:eastAsia="Arial" w:hAnsi="Cambria Math"/>
                        <w:color w:val="000000"/>
                        <w:sz w:val="22"/>
                        <w:szCs w:val="22"/>
                      </w:rPr>
                      <m:t>μ</m:t>
                    </m:r>
                  </m:e>
                  <m:sub>
                    <m:r>
                      <w:rPr>
                        <w:rFonts w:ascii="Cambria Math" w:eastAsia="Arial" w:hAnsi="Cambria Math"/>
                        <w:color w:val="000000"/>
                        <w:sz w:val="22"/>
                        <w:szCs w:val="22"/>
                      </w:rPr>
                      <m:t>i</m:t>
                    </m:r>
                    <m:r>
                      <m:rPr>
                        <m:sty m:val="p"/>
                      </m:rPr>
                      <w:rPr>
                        <w:rFonts w:ascii="Cambria Math" w:eastAsia="Arial" w:hAnsi="Cambria Math"/>
                        <w:color w:val="000000"/>
                        <w:sz w:val="22"/>
                        <w:szCs w:val="22"/>
                      </w:rPr>
                      <m:t>,</m:t>
                    </m:r>
                    <m:r>
                      <w:rPr>
                        <w:rFonts w:ascii="Cambria Math" w:eastAsia="Arial" w:hAnsi="Cambria Math"/>
                        <w:color w:val="000000"/>
                        <w:sz w:val="22"/>
                        <w:szCs w:val="22"/>
                      </w:rPr>
                      <m:t>t</m:t>
                    </m:r>
                  </m:sub>
                </m:sSub>
                <m:r>
                  <m:rPr>
                    <m:sty m:val="p"/>
                  </m:rPr>
                  <w:rPr>
                    <w:rFonts w:ascii="Cambria Math" w:eastAsia="Arial" w:hAnsi="Cambria Math"/>
                    <w:color w:val="000000"/>
                    <w:sz w:val="22"/>
                    <w:szCs w:val="22"/>
                  </w:rPr>
                  <m:t>)</m:t>
                </m:r>
              </m:e>
              <m:e>
                <m:r>
                  <m:rPr>
                    <m:sty m:val="p"/>
                  </m:rPr>
                  <w:rPr>
                    <w:rFonts w:ascii="Cambria Math" w:eastAsia="Arial" w:hAnsi="Cambria Math"/>
                    <w:color w:val="000000"/>
                    <w:sz w:val="22"/>
                    <w:szCs w:val="22"/>
                  </w:rPr>
                  <m:t>=</m:t>
                </m:r>
                <m:r>
                  <w:rPr>
                    <w:rFonts w:ascii="Cambria Math" w:eastAsia="Arial" w:hAnsi="Cambria Math"/>
                    <w:color w:val="000000"/>
                    <w:sz w:val="22"/>
                    <w:szCs w:val="22"/>
                  </w:rPr>
                  <m:t>log</m:t>
                </m:r>
                <m:r>
                  <m:rPr>
                    <m:sty m:val="p"/>
                  </m:rPr>
                  <w:rPr>
                    <w:rFonts w:ascii="Cambria Math" w:eastAsia="Arial" w:hAnsi="Cambria Math"/>
                    <w:color w:val="000000"/>
                    <w:sz w:val="22"/>
                    <w:szCs w:val="22"/>
                  </w:rPr>
                  <m:t>(</m:t>
                </m:r>
                <m:sSub>
                  <m:sSubPr>
                    <m:ctrlPr>
                      <w:rPr>
                        <w:rFonts w:ascii="Cambria Math" w:eastAsia="Arial" w:hAnsi="Cambria Math"/>
                        <w:color w:val="000000"/>
                        <w:sz w:val="22"/>
                        <w:szCs w:val="22"/>
                      </w:rPr>
                    </m:ctrlPr>
                  </m:sSubPr>
                  <m:e>
                    <m:r>
                      <w:rPr>
                        <w:rFonts w:ascii="Cambria Math" w:eastAsia="Arial" w:hAnsi="Cambria Math"/>
                        <w:color w:val="000000"/>
                        <w:sz w:val="22"/>
                        <w:szCs w:val="22"/>
                      </w:rPr>
                      <m:t>μ</m:t>
                    </m:r>
                  </m:e>
                  <m:sub>
                    <m:r>
                      <w:rPr>
                        <w:rFonts w:ascii="Cambria Math" w:eastAsia="Arial" w:hAnsi="Cambria Math"/>
                        <w:color w:val="000000"/>
                        <w:sz w:val="22"/>
                        <w:szCs w:val="22"/>
                      </w:rPr>
                      <m:t>i</m:t>
                    </m:r>
                    <m:r>
                      <m:rPr>
                        <m:sty m:val="p"/>
                      </m:rPr>
                      <w:rPr>
                        <w:rFonts w:ascii="Cambria Math" w:eastAsia="Arial" w:hAnsi="Cambria Math"/>
                        <w:color w:val="000000"/>
                        <w:sz w:val="22"/>
                        <w:szCs w:val="22"/>
                      </w:rPr>
                      <m:t>,</m:t>
                    </m:r>
                    <m:r>
                      <w:rPr>
                        <w:rFonts w:ascii="Cambria Math" w:eastAsia="Arial" w:hAnsi="Cambria Math"/>
                        <w:color w:val="000000"/>
                        <w:sz w:val="22"/>
                        <w:szCs w:val="22"/>
                      </w:rPr>
                      <m:t>t</m:t>
                    </m:r>
                    <m:r>
                      <m:rPr>
                        <m:sty m:val="p"/>
                      </m:rPr>
                      <w:rPr>
                        <w:rFonts w:ascii="Cambria Math" w:eastAsia="Arial" w:hAnsi="Cambria Math"/>
                        <w:color w:val="000000"/>
                        <w:sz w:val="22"/>
                        <w:szCs w:val="22"/>
                      </w:rPr>
                      <m:t>-</m:t>
                    </m:r>
                    <m:r>
                      <m:rPr>
                        <m:sty m:val="p"/>
                      </m:rPr>
                      <w:rPr>
                        <w:rFonts w:ascii="Cambria Math" w:eastAsia="Arial" w:hAnsi="Cambria Math"/>
                        <w:color w:val="000000"/>
                        <w:sz w:val="22"/>
                        <w:szCs w:val="22"/>
                      </w:rPr>
                      <m:t>1</m:t>
                    </m:r>
                  </m:sub>
                </m:sSub>
                <m:r>
                  <m:rPr>
                    <m:sty m:val="p"/>
                  </m:rPr>
                  <w:rPr>
                    <w:rFonts w:ascii="Cambria Math" w:eastAsia="Arial" w:hAnsi="Cambria Math"/>
                    <w:color w:val="000000"/>
                    <w:sz w:val="22"/>
                    <w:szCs w:val="22"/>
                  </w:rPr>
                  <m:t>)+</m:t>
                </m:r>
                <m:r>
                  <w:rPr>
                    <w:rFonts w:ascii="Cambria Math" w:eastAsia="Arial" w:hAnsi="Cambria Math"/>
                    <w:color w:val="000000"/>
                    <w:sz w:val="22"/>
                    <w:szCs w:val="22"/>
                  </w:rPr>
                  <m:t>E</m:t>
                </m:r>
                <m:sSub>
                  <m:sSubPr>
                    <m:ctrlPr>
                      <w:rPr>
                        <w:rFonts w:ascii="Cambria Math" w:eastAsia="Arial" w:hAnsi="Cambria Math"/>
                        <w:color w:val="000000"/>
                        <w:sz w:val="22"/>
                        <w:szCs w:val="22"/>
                      </w:rPr>
                    </m:ctrlPr>
                  </m:sSubPr>
                  <m:e>
                    <m:r>
                      <w:rPr>
                        <w:rFonts w:ascii="Cambria Math" w:eastAsia="Arial" w:hAnsi="Cambria Math"/>
                        <w:color w:val="000000"/>
                        <w:sz w:val="22"/>
                        <w:szCs w:val="22"/>
                      </w:rPr>
                      <m:t>F</m:t>
                    </m:r>
                  </m:e>
                  <m:sub>
                    <m:r>
                      <w:rPr>
                        <w:rFonts w:ascii="Cambria Math" w:eastAsia="Arial" w:hAnsi="Cambria Math"/>
                        <w:color w:val="000000"/>
                        <w:sz w:val="22"/>
                        <w:szCs w:val="22"/>
                      </w:rPr>
                      <m:t>i</m:t>
                    </m:r>
                    <m:r>
                      <m:rPr>
                        <m:sty m:val="p"/>
                      </m:rPr>
                      <w:rPr>
                        <w:rFonts w:ascii="Cambria Math" w:eastAsia="Arial" w:hAnsi="Cambria Math"/>
                        <w:color w:val="000000"/>
                        <w:sz w:val="22"/>
                        <w:szCs w:val="22"/>
                      </w:rPr>
                      <m:t>,</m:t>
                    </m:r>
                    <m:r>
                      <w:rPr>
                        <w:rFonts w:ascii="Cambria Math" w:eastAsia="Arial" w:hAnsi="Cambria Math"/>
                        <w:color w:val="000000"/>
                        <w:sz w:val="22"/>
                        <w:szCs w:val="22"/>
                      </w:rPr>
                      <m:t>t</m:t>
                    </m:r>
                  </m:sub>
                </m:sSub>
                <m:r>
                  <m:rPr>
                    <m:sty m:val="p"/>
                  </m:rPr>
                  <w:rPr>
                    <w:rFonts w:ascii="Cambria Math" w:eastAsia="Arial" w:hAnsi="Cambria Math"/>
                    <w:color w:val="000000"/>
                    <w:sz w:val="22"/>
                    <w:szCs w:val="22"/>
                  </w:rPr>
                  <m:t>+</m:t>
                </m:r>
                <m:acc>
                  <m:accPr>
                    <m:chr m:val="‾"/>
                    <m:ctrlPr>
                      <w:rPr>
                        <w:rFonts w:ascii="Cambria Math" w:eastAsia="Arial" w:hAnsi="Cambria Math"/>
                        <w:color w:val="000000"/>
                        <w:sz w:val="22"/>
                        <w:szCs w:val="22"/>
                      </w:rPr>
                    </m:ctrlPr>
                  </m:accPr>
                  <m:e>
                    <m:r>
                      <w:rPr>
                        <w:rFonts w:ascii="Cambria Math" w:eastAsia="Arial" w:hAnsi="Cambria Math"/>
                        <w:color w:val="000000"/>
                        <w:sz w:val="22"/>
                        <w:szCs w:val="22"/>
                      </w:rPr>
                      <m:t>r</m:t>
                    </m:r>
                  </m:e>
                </m:acc>
                <m:r>
                  <m:rPr>
                    <m:sty m:val="p"/>
                  </m:rPr>
                  <w:rPr>
                    <w:rFonts w:ascii="Cambria Math" w:eastAsia="Arial" w:hAnsi="Cambria Math"/>
                    <w:color w:val="000000"/>
                    <w:sz w:val="22"/>
                    <w:szCs w:val="22"/>
                  </w:rPr>
                  <m:t>+</m:t>
                </m:r>
                <m:sSub>
                  <m:sSubPr>
                    <m:ctrlPr>
                      <w:rPr>
                        <w:rFonts w:ascii="Cambria Math" w:eastAsia="Arial" w:hAnsi="Cambria Math"/>
                        <w:color w:val="000000"/>
                        <w:sz w:val="22"/>
                        <w:szCs w:val="22"/>
                      </w:rPr>
                    </m:ctrlPr>
                  </m:sSubPr>
                  <m:e>
                    <m:r>
                      <w:rPr>
                        <w:rFonts w:ascii="Cambria Math" w:eastAsia="Arial" w:hAnsi="Cambria Math"/>
                        <w:color w:val="000000"/>
                        <w:sz w:val="22"/>
                        <w:szCs w:val="22"/>
                      </w:rPr>
                      <m:t>r</m:t>
                    </m:r>
                  </m:e>
                  <m:sub>
                    <m:r>
                      <w:rPr>
                        <w:rFonts w:ascii="Cambria Math" w:eastAsia="Arial" w:hAnsi="Cambria Math"/>
                        <w:color w:val="000000"/>
                        <w:sz w:val="22"/>
                        <w:szCs w:val="22"/>
                      </w:rPr>
                      <m:t>t</m:t>
                    </m:r>
                  </m:sub>
                </m:sSub>
                <m:r>
                  <m:rPr>
                    <m:sty m:val="p"/>
                  </m:rPr>
                  <w:rPr>
                    <w:rFonts w:ascii="Cambria Math" w:eastAsia="Arial" w:hAnsi="Cambria Math"/>
                    <w:color w:val="000000"/>
                    <w:sz w:val="22"/>
                    <w:szCs w:val="22"/>
                  </w:rPr>
                  <m:t>+</m:t>
                </m:r>
                <m:sSub>
                  <m:sSubPr>
                    <m:ctrlPr>
                      <w:rPr>
                        <w:rFonts w:ascii="Cambria Math" w:eastAsia="Arial" w:hAnsi="Cambria Math"/>
                        <w:color w:val="000000"/>
                        <w:sz w:val="22"/>
                        <w:szCs w:val="22"/>
                      </w:rPr>
                    </m:ctrlPr>
                  </m:sSubPr>
                  <m:e>
                    <m:r>
                      <w:rPr>
                        <w:rFonts w:ascii="Cambria Math" w:eastAsia="Arial" w:hAnsi="Cambria Math"/>
                        <w:color w:val="000000"/>
                        <w:sz w:val="22"/>
                        <w:szCs w:val="22"/>
                      </w:rPr>
                      <m:t>ϵ</m:t>
                    </m:r>
                  </m:e>
                  <m:sub>
                    <m:r>
                      <w:rPr>
                        <w:rFonts w:ascii="Cambria Math" w:eastAsia="Arial" w:hAnsi="Cambria Math"/>
                        <w:color w:val="000000"/>
                        <w:sz w:val="22"/>
                        <w:szCs w:val="22"/>
                      </w:rPr>
                      <m:t>i</m:t>
                    </m:r>
                    <m:r>
                      <m:rPr>
                        <m:sty m:val="p"/>
                      </m:rPr>
                      <w:rPr>
                        <w:rFonts w:ascii="Cambria Math" w:eastAsia="Arial" w:hAnsi="Cambria Math"/>
                        <w:color w:val="000000"/>
                        <w:sz w:val="22"/>
                        <w:szCs w:val="22"/>
                      </w:rPr>
                      <m:t>,</m:t>
                    </m:r>
                    <m:r>
                      <w:rPr>
                        <w:rFonts w:ascii="Cambria Math" w:eastAsia="Arial" w:hAnsi="Cambria Math"/>
                        <w:color w:val="000000"/>
                        <w:sz w:val="22"/>
                        <w:szCs w:val="22"/>
                      </w:rPr>
                      <m:t>t</m:t>
                    </m:r>
                  </m:sub>
                </m:sSub>
              </m:e>
            </m:mr>
            <m:mr>
              <m:e>
                <m:sSub>
                  <m:sSubPr>
                    <m:ctrlPr>
                      <w:rPr>
                        <w:rFonts w:ascii="Cambria Math" w:eastAsia="Arial" w:hAnsi="Cambria Math"/>
                        <w:color w:val="000000"/>
                        <w:sz w:val="22"/>
                        <w:szCs w:val="22"/>
                      </w:rPr>
                    </m:ctrlPr>
                  </m:sSubPr>
                  <m:e>
                    <m:r>
                      <w:rPr>
                        <w:rFonts w:ascii="Cambria Math" w:eastAsia="Arial" w:hAnsi="Cambria Math"/>
                        <w:color w:val="000000"/>
                        <w:sz w:val="22"/>
                        <w:szCs w:val="22"/>
                      </w:rPr>
                      <m:t>r</m:t>
                    </m:r>
                  </m:e>
                  <m:sub>
                    <m:r>
                      <w:rPr>
                        <w:rFonts w:ascii="Cambria Math" w:eastAsia="Arial" w:hAnsi="Cambria Math"/>
                        <w:color w:val="000000"/>
                        <w:sz w:val="22"/>
                        <w:szCs w:val="22"/>
                      </w:rPr>
                      <m:t>t</m:t>
                    </m:r>
                  </m:sub>
                </m:sSub>
              </m:e>
              <m:e>
                <m:r>
                  <m:rPr>
                    <m:sty m:val="p"/>
                  </m:rPr>
                  <w:rPr>
                    <w:rFonts w:ascii="Cambria Math" w:eastAsia="Arial" w:hAnsi="Cambria Math"/>
                    <w:color w:val="000000"/>
                    <w:sz w:val="22"/>
                    <w:szCs w:val="22"/>
                  </w:rPr>
                  <m:t>∼</m:t>
                </m:r>
                <m:r>
                  <w:rPr>
                    <w:rFonts w:ascii="Cambria Math" w:eastAsia="Arial" w:hAnsi="Cambria Math"/>
                    <w:color w:val="000000"/>
                    <w:sz w:val="22"/>
                    <w:szCs w:val="22"/>
                  </w:rPr>
                  <m:t>N</m:t>
                </m:r>
                <m:r>
                  <m:rPr>
                    <m:sty m:val="p"/>
                  </m:rPr>
                  <w:rPr>
                    <w:rFonts w:ascii="Cambria Math" w:eastAsia="Arial" w:hAnsi="Cambria Math"/>
                    <w:color w:val="000000"/>
                    <w:sz w:val="22"/>
                    <w:szCs w:val="22"/>
                  </w:rPr>
                  <m:t>(0,</m:t>
                </m:r>
                <m:sSubSup>
                  <m:sSubSupPr>
                    <m:ctrlPr>
                      <w:rPr>
                        <w:rFonts w:ascii="Cambria Math" w:eastAsia="Arial" w:hAnsi="Cambria Math"/>
                        <w:color w:val="000000"/>
                        <w:sz w:val="22"/>
                        <w:szCs w:val="22"/>
                      </w:rPr>
                    </m:ctrlPr>
                  </m:sSubSupPr>
                  <m:e>
                    <m:r>
                      <w:rPr>
                        <w:rFonts w:ascii="Cambria Math" w:eastAsia="Arial" w:hAnsi="Cambria Math"/>
                        <w:color w:val="000000"/>
                        <w:sz w:val="22"/>
                        <w:szCs w:val="22"/>
                      </w:rPr>
                      <m:t>σ</m:t>
                    </m:r>
                  </m:e>
                  <m:sub>
                    <m:r>
                      <w:rPr>
                        <w:rFonts w:ascii="Cambria Math" w:eastAsia="Arial" w:hAnsi="Cambria Math"/>
                        <w:color w:val="000000"/>
                        <w:sz w:val="22"/>
                        <w:szCs w:val="22"/>
                      </w:rPr>
                      <m:t>r</m:t>
                    </m:r>
                  </m:sub>
                  <m:sup>
                    <m:r>
                      <m:rPr>
                        <m:sty m:val="p"/>
                      </m:rPr>
                      <w:rPr>
                        <w:rFonts w:ascii="Cambria Math" w:eastAsia="Arial" w:hAnsi="Cambria Math"/>
                        <w:color w:val="000000"/>
                        <w:sz w:val="22"/>
                        <w:szCs w:val="22"/>
                      </w:rPr>
                      <m:t>2</m:t>
                    </m:r>
                  </m:sup>
                </m:sSubSup>
                <m:r>
                  <m:rPr>
                    <m:sty m:val="p"/>
                  </m:rPr>
                  <w:rPr>
                    <w:rFonts w:ascii="Cambria Math" w:eastAsia="Arial" w:hAnsi="Cambria Math"/>
                    <w:color w:val="000000"/>
                    <w:sz w:val="22"/>
                    <w:szCs w:val="22"/>
                  </w:rPr>
                  <m:t>)</m:t>
                </m:r>
              </m:e>
            </m:mr>
            <m:mr>
              <m:e>
                <m:sSub>
                  <m:sSubPr>
                    <m:ctrlPr>
                      <w:rPr>
                        <w:rFonts w:ascii="Cambria Math" w:eastAsia="Arial" w:hAnsi="Cambria Math"/>
                        <w:color w:val="000000"/>
                        <w:sz w:val="22"/>
                        <w:szCs w:val="22"/>
                      </w:rPr>
                    </m:ctrlPr>
                  </m:sSubPr>
                  <m:e>
                    <m:r>
                      <w:rPr>
                        <w:rFonts w:ascii="Cambria Math" w:eastAsia="Arial" w:hAnsi="Cambria Math"/>
                        <w:color w:val="000000"/>
                        <w:sz w:val="22"/>
                        <w:szCs w:val="22"/>
                      </w:rPr>
                      <m:t>ϵ</m:t>
                    </m:r>
                  </m:e>
                  <m:sub>
                    <m:r>
                      <w:rPr>
                        <w:rFonts w:ascii="Cambria Math" w:eastAsia="Arial" w:hAnsi="Cambria Math"/>
                        <w:color w:val="000000"/>
                        <w:sz w:val="22"/>
                        <w:szCs w:val="22"/>
                      </w:rPr>
                      <m:t>i</m:t>
                    </m:r>
                    <m:r>
                      <m:rPr>
                        <m:sty m:val="p"/>
                      </m:rPr>
                      <w:rPr>
                        <w:rFonts w:ascii="Cambria Math" w:eastAsia="Arial" w:hAnsi="Cambria Math"/>
                        <w:color w:val="000000"/>
                        <w:sz w:val="22"/>
                        <w:szCs w:val="22"/>
                      </w:rPr>
                      <m:t>,</m:t>
                    </m:r>
                    <m:r>
                      <w:rPr>
                        <w:rFonts w:ascii="Cambria Math" w:eastAsia="Arial" w:hAnsi="Cambria Math"/>
                        <w:color w:val="000000"/>
                        <w:sz w:val="22"/>
                        <w:szCs w:val="22"/>
                      </w:rPr>
                      <m:t>t</m:t>
                    </m:r>
                  </m:sub>
                </m:sSub>
              </m:e>
              <m:e>
                <m:r>
                  <m:rPr>
                    <m:sty m:val="p"/>
                  </m:rPr>
                  <w:rPr>
                    <w:rFonts w:ascii="Cambria Math" w:eastAsia="Arial" w:hAnsi="Cambria Math"/>
                    <w:color w:val="000000"/>
                    <w:sz w:val="22"/>
                    <w:szCs w:val="22"/>
                  </w:rPr>
                  <m:t>∼</m:t>
                </m:r>
                <m:r>
                  <w:rPr>
                    <w:rFonts w:ascii="Cambria Math" w:eastAsia="Arial" w:hAnsi="Cambria Math"/>
                    <w:color w:val="000000"/>
                    <w:sz w:val="22"/>
                    <w:szCs w:val="22"/>
                  </w:rPr>
                  <m:t>N</m:t>
                </m:r>
                <m:r>
                  <m:rPr>
                    <m:sty m:val="p"/>
                  </m:rPr>
                  <w:rPr>
                    <w:rFonts w:ascii="Cambria Math" w:eastAsia="Arial" w:hAnsi="Cambria Math"/>
                    <w:color w:val="000000"/>
                    <w:sz w:val="22"/>
                    <w:szCs w:val="22"/>
                  </w:rPr>
                  <m:t>(0,</m:t>
                </m:r>
                <m:sSup>
                  <m:sSupPr>
                    <m:ctrlPr>
                      <w:rPr>
                        <w:rFonts w:ascii="Cambria Math" w:eastAsia="Arial" w:hAnsi="Cambria Math"/>
                        <w:color w:val="000000"/>
                        <w:sz w:val="22"/>
                        <w:szCs w:val="22"/>
                      </w:rPr>
                    </m:ctrlPr>
                  </m:sSupPr>
                  <m:e>
                    <m:r>
                      <w:rPr>
                        <w:rFonts w:ascii="Cambria Math" w:eastAsia="Arial" w:hAnsi="Cambria Math"/>
                        <w:color w:val="000000"/>
                        <w:sz w:val="22"/>
                        <w:szCs w:val="22"/>
                      </w:rPr>
                      <m:t>σ</m:t>
                    </m:r>
                  </m:e>
                  <m:sup>
                    <m:r>
                      <m:rPr>
                        <m:sty m:val="p"/>
                      </m:rPr>
                      <w:rPr>
                        <w:rFonts w:ascii="Cambria Math" w:eastAsia="Arial" w:hAnsi="Cambria Math"/>
                        <w:color w:val="000000"/>
                        <w:sz w:val="22"/>
                        <w:szCs w:val="22"/>
                      </w:rPr>
                      <m:t>2</m:t>
                    </m:r>
                  </m:sup>
                </m:sSup>
                <m:r>
                  <m:rPr>
                    <m:sty m:val="p"/>
                  </m:rPr>
                  <w:rPr>
                    <w:rFonts w:ascii="Cambria Math" w:eastAsia="Arial" w:hAnsi="Cambria Math"/>
                    <w:color w:val="000000"/>
                    <w:sz w:val="22"/>
                    <w:szCs w:val="22"/>
                  </w:rPr>
                  <m:t>)</m:t>
                </m:r>
              </m:e>
            </m:mr>
          </m:m>
        </m:oMath>
      </m:oMathPara>
    </w:p>
    <w:p w14:paraId="3853678F" w14:textId="055B521F" w:rsidR="00491210" w:rsidRPr="006F5F00" w:rsidRDefault="00EE200C" w:rsidP="00B17453">
      <w:pPr>
        <w:spacing w:line="259" w:lineRule="auto"/>
        <w:jc w:val="both"/>
        <w:rPr>
          <w:rFonts w:eastAsia="Arial"/>
          <w:color w:val="000000"/>
          <w:sz w:val="22"/>
          <w:szCs w:val="22"/>
        </w:rPr>
      </w:pPr>
      <w:r w:rsidRPr="006F5F00">
        <w:rPr>
          <w:rFonts w:eastAsia="Arial"/>
          <w:color w:val="000000"/>
          <w:sz w:val="22"/>
          <w:szCs w:val="22"/>
        </w:rPr>
        <w:t xml:space="preserve">where </w:t>
      </w:r>
      <m:oMath>
        <m:sSub>
          <m:sSubPr>
            <m:ctrlPr>
              <w:rPr>
                <w:rFonts w:ascii="Cambria Math" w:hAnsi="Cambria Math"/>
                <w:sz w:val="22"/>
                <w:szCs w:val="22"/>
              </w:rPr>
            </m:ctrlPr>
          </m:sSubPr>
          <m:e>
            <m:r>
              <w:rPr>
                <w:rFonts w:ascii="Cambria Math" w:hAnsi="Cambria Math"/>
                <w:sz w:val="22"/>
                <w:szCs w:val="22"/>
              </w:rPr>
              <m:t>μ</m:t>
            </m:r>
          </m:e>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t</m:t>
            </m:r>
          </m:sub>
        </m:sSub>
      </m:oMath>
      <w:r w:rsidRPr="006F5F00">
        <w:t xml:space="preserve"> </w:t>
      </w:r>
      <w:r w:rsidRPr="006F5F00">
        <w:rPr>
          <w:rFonts w:eastAsia="Arial"/>
          <w:color w:val="000000"/>
          <w:sz w:val="22"/>
          <w:szCs w:val="22"/>
        </w:rPr>
        <w:t xml:space="preserve">is the mean abundance per hour electrofishing for year </w:t>
      </w:r>
      <w:r w:rsidRPr="0072417E">
        <w:rPr>
          <w:rFonts w:eastAsia="Arial"/>
          <w:i/>
          <w:color w:val="000000"/>
          <w:sz w:val="22"/>
          <w:szCs w:val="22"/>
        </w:rPr>
        <w:t>t</w:t>
      </w:r>
      <w:r w:rsidRPr="006F5F00">
        <w:rPr>
          <w:rFonts w:eastAsia="Arial"/>
          <w:color w:val="000000"/>
          <w:sz w:val="22"/>
          <w:szCs w:val="22"/>
        </w:rPr>
        <w:t xml:space="preserve">. </w:t>
      </w:r>
      <m:oMath>
        <m:r>
          <w:rPr>
            <w:rFonts w:ascii="Cambria Math" w:hAnsi="Cambria Math"/>
            <w:sz w:val="22"/>
            <w:szCs w:val="22"/>
          </w:rPr>
          <m:t>E</m:t>
        </m:r>
        <m:sSub>
          <m:sSubPr>
            <m:ctrlPr>
              <w:rPr>
                <w:rFonts w:ascii="Cambria Math" w:eastAsia="Arial" w:hAnsi="Cambria Math"/>
                <w:color w:val="000000"/>
                <w:sz w:val="22"/>
                <w:szCs w:val="22"/>
              </w:rPr>
            </m:ctrlPr>
          </m:sSubPr>
          <m:e>
            <m:r>
              <w:rPr>
                <w:rFonts w:ascii="Cambria Math" w:eastAsia="Arial" w:hAnsi="Cambria Math"/>
                <w:color w:val="000000"/>
                <w:sz w:val="22"/>
                <w:szCs w:val="22"/>
              </w:rPr>
              <m:t>F</m:t>
            </m:r>
          </m:e>
          <m:sub>
            <m:r>
              <w:rPr>
                <w:rFonts w:ascii="Cambria Math" w:eastAsia="Arial" w:hAnsi="Cambria Math"/>
                <w:color w:val="000000"/>
                <w:sz w:val="22"/>
                <w:szCs w:val="22"/>
              </w:rPr>
              <m:t>effort</m:t>
            </m:r>
          </m:sub>
        </m:sSub>
      </m:oMath>
      <w:r w:rsidRPr="006F5F00">
        <w:rPr>
          <w:rFonts w:eastAsia="Arial"/>
          <w:color w:val="000000"/>
          <w:sz w:val="22"/>
          <w:szCs w:val="22"/>
        </w:rPr>
        <w:t xml:space="preserve"> is electrofishing effort in hours (log-transformed). </w:t>
      </w:r>
      <m:oMath>
        <m:acc>
          <m:accPr>
            <m:chr m:val="‾"/>
            <m:ctrlPr>
              <w:rPr>
                <w:rFonts w:ascii="Cambria Math" w:eastAsia="Arial" w:hAnsi="Cambria Math"/>
                <w:color w:val="000000"/>
                <w:sz w:val="22"/>
                <w:szCs w:val="22"/>
              </w:rPr>
            </m:ctrlPr>
          </m:accPr>
          <m:e>
            <m:r>
              <w:rPr>
                <w:rFonts w:ascii="Cambria Math" w:eastAsia="Arial" w:hAnsi="Cambria Math"/>
                <w:color w:val="000000"/>
                <w:sz w:val="22"/>
                <w:szCs w:val="22"/>
              </w:rPr>
              <m:t>r</m:t>
            </m:r>
          </m:e>
        </m:acc>
      </m:oMath>
      <w:r w:rsidRPr="006F5F00">
        <w:rPr>
          <w:rFonts w:eastAsia="Arial"/>
          <w:color w:val="000000"/>
          <w:sz w:val="22"/>
          <w:szCs w:val="22"/>
        </w:rPr>
        <w:t xml:space="preserve"> is mean population growth. Growth rate varies each year (</w:t>
      </w:r>
      <m:oMath>
        <m:sSub>
          <m:sSubPr>
            <m:ctrlPr>
              <w:rPr>
                <w:rFonts w:ascii="Cambria Math" w:hAnsi="Cambria Math"/>
              </w:rPr>
            </m:ctrlPr>
          </m:sSubPr>
          <m:e>
            <m:r>
              <w:rPr>
                <w:rFonts w:ascii="Cambria Math" w:hAnsi="Cambria Math"/>
              </w:rPr>
              <m:t>r</m:t>
            </m:r>
          </m:e>
          <m:sub>
            <m:r>
              <w:rPr>
                <w:rFonts w:ascii="Cambria Math" w:hAnsi="Cambria Math"/>
              </w:rPr>
              <m:t>t</m:t>
            </m:r>
          </m:sub>
        </m:sSub>
      </m:oMath>
      <w:r w:rsidRPr="006F5F00">
        <w:rPr>
          <w:rFonts w:eastAsia="Arial"/>
          <w:color w:val="000000"/>
          <w:sz w:val="22"/>
          <w:szCs w:val="22"/>
        </w:rPr>
        <w:t xml:space="preserve">), following a normal distribution. It was assumed that sites had the same growth rate, with a process error </w:t>
      </w:r>
      <m:oMath>
        <m:sSub>
          <m:sSubPr>
            <m:ctrlPr>
              <w:rPr>
                <w:rFonts w:ascii="Cambria Math" w:hAnsi="Cambria Math"/>
              </w:rPr>
            </m:ctrlPr>
          </m:sSubPr>
          <m:e>
            <m:r>
              <w:rPr>
                <w:rFonts w:ascii="Cambria Math" w:hAnsi="Cambria Math"/>
              </w:rPr>
              <m:t>ϵ</m:t>
            </m:r>
          </m:e>
          <m:sub>
            <m:r>
              <w:rPr>
                <w:rFonts w:ascii="Cambria Math" w:hAnsi="Cambria Math"/>
              </w:rPr>
              <m:t>i</m:t>
            </m:r>
          </m:sub>
        </m:sSub>
        <m:r>
          <m:rPr>
            <m:sty m:val="p"/>
          </m:rPr>
          <w:rPr>
            <w:rFonts w:ascii="Cambria Math" w:hAnsi="Cambria Math"/>
          </w:rPr>
          <m:t>,</m:t>
        </m:r>
        <m:r>
          <w:rPr>
            <w:rFonts w:ascii="Cambria Math" w:hAnsi="Cambria Math"/>
          </w:rPr>
          <m:t>t</m:t>
        </m:r>
      </m:oMath>
      <w:r w:rsidRPr="006F5F00">
        <w:rPr>
          <w:rFonts w:eastAsia="Arial"/>
          <w:color w:val="000000"/>
          <w:sz w:val="22"/>
          <w:szCs w:val="22"/>
        </w:rPr>
        <w:t xml:space="preserve">, that was normally distributed. Summaries of the fit of these models </w:t>
      </w:r>
      <w:r>
        <w:rPr>
          <w:rFonts w:eastAsia="Arial"/>
          <w:color w:val="000000"/>
          <w:sz w:val="22"/>
          <w:szCs w:val="22"/>
        </w:rPr>
        <w:t>are</w:t>
      </w:r>
      <w:r w:rsidRPr="006F5F00">
        <w:rPr>
          <w:rFonts w:eastAsia="Arial"/>
          <w:color w:val="000000"/>
          <w:sz w:val="22"/>
          <w:szCs w:val="22"/>
        </w:rPr>
        <w:t xml:space="preserve"> provided in the Appendi</w:t>
      </w:r>
      <w:r>
        <w:rPr>
          <w:rFonts w:eastAsia="Arial"/>
          <w:color w:val="000000"/>
          <w:sz w:val="22"/>
          <w:szCs w:val="22"/>
        </w:rPr>
        <w:t>x 6</w:t>
      </w:r>
      <w:r w:rsidRPr="006F5F00">
        <w:rPr>
          <w:rFonts w:eastAsia="Arial"/>
          <w:color w:val="000000"/>
          <w:sz w:val="22"/>
          <w:szCs w:val="22"/>
        </w:rPr>
        <w:t xml:space="preserve"> (</w:t>
      </w:r>
      <w:r w:rsidRPr="00075E95">
        <w:rPr>
          <w:rFonts w:eastAsia="Arial"/>
          <w:color w:val="000000"/>
          <w:sz w:val="22"/>
          <w:szCs w:val="22"/>
        </w:rPr>
        <w:fldChar w:fldCharType="begin"/>
      </w:r>
      <w:r w:rsidRPr="00075E95">
        <w:rPr>
          <w:rFonts w:eastAsia="Arial"/>
          <w:color w:val="000000"/>
          <w:sz w:val="22"/>
          <w:szCs w:val="22"/>
        </w:rPr>
        <w:instrText xml:space="preserve"> REF _Ref111233089 \h </w:instrText>
      </w:r>
      <w:r>
        <w:rPr>
          <w:rFonts w:eastAsia="Arial"/>
          <w:color w:val="000000"/>
          <w:sz w:val="22"/>
          <w:szCs w:val="22"/>
        </w:rPr>
        <w:instrText xml:space="preserve"> \* MERGEFORMAT </w:instrText>
      </w:r>
      <w:r w:rsidRPr="00075E95">
        <w:rPr>
          <w:rFonts w:eastAsia="Arial"/>
          <w:color w:val="000000"/>
          <w:sz w:val="22"/>
          <w:szCs w:val="22"/>
        </w:rPr>
      </w:r>
      <w:r w:rsidRPr="00075E95">
        <w:rPr>
          <w:rFonts w:eastAsia="Arial"/>
          <w:color w:val="000000"/>
          <w:sz w:val="22"/>
          <w:szCs w:val="22"/>
        </w:rPr>
        <w:fldChar w:fldCharType="separate"/>
      </w:r>
      <w:r w:rsidR="005B672A" w:rsidRPr="005B672A">
        <w:rPr>
          <w:sz w:val="22"/>
          <w:szCs w:val="22"/>
        </w:rPr>
        <w:t>Figure A6.2</w:t>
      </w:r>
      <w:r w:rsidRPr="00075E95">
        <w:rPr>
          <w:rFonts w:eastAsia="Arial"/>
          <w:color w:val="000000"/>
          <w:sz w:val="22"/>
          <w:szCs w:val="22"/>
        </w:rPr>
        <w:fldChar w:fldCharType="end"/>
      </w:r>
      <w:r w:rsidRPr="006F5F00">
        <w:rPr>
          <w:rFonts w:eastAsia="Arial"/>
          <w:color w:val="000000"/>
          <w:sz w:val="22"/>
          <w:szCs w:val="22"/>
        </w:rPr>
        <w:t>).</w:t>
      </w:r>
    </w:p>
    <w:p w14:paraId="77467F68" w14:textId="3EE0C6C9" w:rsidR="00491210" w:rsidRPr="006F5F00" w:rsidRDefault="00EE200C" w:rsidP="00B17453">
      <w:pPr>
        <w:spacing w:line="259" w:lineRule="auto"/>
        <w:jc w:val="both"/>
        <w:rPr>
          <w:rFonts w:eastAsia="Arial"/>
          <w:color w:val="000000"/>
          <w:sz w:val="22"/>
          <w:szCs w:val="22"/>
        </w:rPr>
      </w:pPr>
      <w:r w:rsidRPr="006F5F00">
        <w:rPr>
          <w:rFonts w:eastAsia="Arial"/>
          <w:color w:val="000000"/>
          <w:sz w:val="22"/>
          <w:szCs w:val="22"/>
        </w:rPr>
        <w:t xml:space="preserve">All analyses were performed using R v3.3 (R Core Team 2019). Bayesian modelling was run using JAGS (Plummer 2004) and R2jags (Su and Masanao Yajima 2020). Non-informative priors were used for all models. Models were run for 40,000 iterations with a 1000 iteration burn-in. Model convergence was checked using the Gelman–Rubin statistic (all models had </w:t>
      </w:r>
      <m:oMath>
        <m:acc>
          <m:accPr>
            <m:ctrlPr>
              <w:rPr>
                <w:rFonts w:ascii="Cambria Math" w:hAnsi="Cambria Math"/>
              </w:rPr>
            </m:ctrlPr>
          </m:accPr>
          <m:e>
            <m:r>
              <w:rPr>
                <w:rFonts w:ascii="Cambria Math" w:hAnsi="Cambria Math"/>
              </w:rPr>
              <m:t>R</m:t>
            </m:r>
          </m:e>
        </m:acc>
        <m:r>
          <m:rPr>
            <m:sty m:val="p"/>
          </m:rPr>
          <w:rPr>
            <w:rFonts w:ascii="Cambria Math" w:hAnsi="Cambria Math"/>
          </w:rPr>
          <m:t>≤</m:t>
        </m:r>
        <m:r>
          <w:rPr>
            <w:rFonts w:ascii="Cambria Math" w:hAnsi="Cambria Math"/>
          </w:rPr>
          <m:t>1.05</m:t>
        </m:r>
      </m:oMath>
      <w:r w:rsidRPr="006F5F00">
        <w:rPr>
          <w:rFonts w:eastAsia="Arial"/>
          <w:color w:val="000000"/>
          <w:sz w:val="22"/>
          <w:szCs w:val="22"/>
        </w:rPr>
        <w:t>; Gelman and Rubin 1992).</w:t>
      </w:r>
    </w:p>
    <w:p w14:paraId="304DE386" w14:textId="2E77B406" w:rsidR="00491210" w:rsidRPr="006F5F00" w:rsidRDefault="00EE200C" w:rsidP="0015103C">
      <w:pPr>
        <w:pStyle w:val="Heading4"/>
      </w:pPr>
      <w:r w:rsidRPr="006F5F00">
        <w:t>Validation of rates of movement between Yarrawonga and Torrumbarry</w:t>
      </w:r>
    </w:p>
    <w:p w14:paraId="72B8B482" w14:textId="26ABB9C9" w:rsidR="00491210" w:rsidRPr="006F5F00" w:rsidRDefault="00EE200C" w:rsidP="00E52B14">
      <w:pPr>
        <w:spacing w:line="259" w:lineRule="auto"/>
        <w:jc w:val="both"/>
        <w:rPr>
          <w:rFonts w:eastAsia="Arial"/>
          <w:color w:val="000000"/>
          <w:sz w:val="22"/>
          <w:szCs w:val="22"/>
        </w:rPr>
      </w:pPr>
      <w:r w:rsidRPr="006F5F00">
        <w:rPr>
          <w:rFonts w:eastAsia="Arial"/>
          <w:color w:val="000000"/>
          <w:sz w:val="22"/>
          <w:szCs w:val="22"/>
        </w:rPr>
        <w:t>Given the high mobility of Golden Perch, assumptions around rates of movement are a key component of the MODEL for this species. The recruitment/migration parameter (PENT) was extracted from the Jolly–Seber model from the ARI dataset for Golden Perch, which mainly reflects immigration into the system rather than local recruitment (Lyon et al. 2021). Scaled MODEL immigration rates (from the Torrumbarry</w:t>
      </w:r>
      <w:r>
        <w:rPr>
          <w:rFonts w:eastAsia="Arial"/>
          <w:color w:val="000000"/>
          <w:sz w:val="22"/>
          <w:szCs w:val="22"/>
        </w:rPr>
        <w:t xml:space="preserve"> </w:t>
      </w:r>
      <w:r w:rsidRPr="006F5F00">
        <w:rPr>
          <w:rFonts w:eastAsia="Arial"/>
          <w:color w:val="000000"/>
          <w:sz w:val="22"/>
          <w:szCs w:val="22"/>
        </w:rPr>
        <w:t>to</w:t>
      </w:r>
      <w:r>
        <w:rPr>
          <w:rFonts w:eastAsia="Arial"/>
          <w:color w:val="000000"/>
          <w:sz w:val="22"/>
          <w:szCs w:val="22"/>
        </w:rPr>
        <w:t xml:space="preserve"> </w:t>
      </w:r>
      <w:r w:rsidRPr="006F5F00">
        <w:rPr>
          <w:rFonts w:eastAsia="Arial"/>
          <w:color w:val="000000"/>
          <w:sz w:val="22"/>
          <w:szCs w:val="22"/>
        </w:rPr>
        <w:t>Wentworth population to the Yarrawonga</w:t>
      </w:r>
      <w:r>
        <w:rPr>
          <w:rFonts w:eastAsia="Arial"/>
          <w:color w:val="000000"/>
          <w:sz w:val="22"/>
          <w:szCs w:val="22"/>
        </w:rPr>
        <w:t xml:space="preserve"> </w:t>
      </w:r>
      <w:r w:rsidRPr="006F5F00">
        <w:rPr>
          <w:rFonts w:eastAsia="Arial"/>
          <w:color w:val="000000"/>
          <w:sz w:val="22"/>
          <w:szCs w:val="22"/>
        </w:rPr>
        <w:t>to</w:t>
      </w:r>
      <w:r>
        <w:rPr>
          <w:rFonts w:eastAsia="Arial"/>
          <w:color w:val="000000"/>
          <w:sz w:val="22"/>
          <w:szCs w:val="22"/>
        </w:rPr>
        <w:t xml:space="preserve"> </w:t>
      </w:r>
      <w:r w:rsidRPr="006F5F00">
        <w:rPr>
          <w:rFonts w:eastAsia="Arial"/>
          <w:color w:val="000000"/>
          <w:sz w:val="22"/>
          <w:szCs w:val="22"/>
        </w:rPr>
        <w:t>Torrumbarry population) were compared with scaled immigration rates extracted from the ARI mark–recapture model. This comparison was focused on the correlation between the estimates as it was not possible to directly compare actual values.</w:t>
      </w:r>
    </w:p>
    <w:p w14:paraId="1274EC9A" w14:textId="02A0DF7D" w:rsidR="00491210" w:rsidRPr="006F5F00" w:rsidRDefault="00EE200C" w:rsidP="0015103C">
      <w:pPr>
        <w:pStyle w:val="Heading4"/>
      </w:pPr>
      <w:r w:rsidRPr="006F5F00">
        <w:t>Metri</w:t>
      </w:r>
      <w:r>
        <w:t>cs</w:t>
      </w:r>
      <w:r w:rsidRPr="006F5F00">
        <w:t xml:space="preserve"> used for validation</w:t>
      </w:r>
    </w:p>
    <w:p w14:paraId="208CA40D" w14:textId="56F3B4F6" w:rsidR="00491210" w:rsidRPr="006F5F00" w:rsidRDefault="00EE200C" w:rsidP="00E52B14">
      <w:pPr>
        <w:spacing w:line="259" w:lineRule="auto"/>
        <w:jc w:val="both"/>
        <w:rPr>
          <w:rFonts w:eastAsia="Arial"/>
          <w:color w:val="000000"/>
          <w:sz w:val="22"/>
          <w:szCs w:val="22"/>
        </w:rPr>
      </w:pPr>
      <w:r w:rsidRPr="006F5F00">
        <w:rPr>
          <w:rFonts w:eastAsia="Arial"/>
          <w:color w:val="000000"/>
          <w:sz w:val="22"/>
          <w:szCs w:val="22"/>
        </w:rPr>
        <w:t xml:space="preserve">We assessed the concordance between the MODEL and the </w:t>
      </w:r>
      <w:r>
        <w:rPr>
          <w:rFonts w:eastAsia="Arial"/>
          <w:color w:val="000000"/>
          <w:sz w:val="22"/>
          <w:szCs w:val="22"/>
        </w:rPr>
        <w:t>OBSERVED</w:t>
      </w:r>
      <w:r w:rsidRPr="006F5F00">
        <w:rPr>
          <w:rFonts w:eastAsia="Arial"/>
          <w:color w:val="000000"/>
          <w:sz w:val="22"/>
          <w:szCs w:val="22"/>
        </w:rPr>
        <w:t xml:space="preserve"> datasets (ARI, NSW) using multiple metrics (</w:t>
      </w:r>
      <w:r w:rsidRPr="00E2785E">
        <w:rPr>
          <w:rFonts w:eastAsia="Arial"/>
          <w:color w:val="000000"/>
          <w:sz w:val="22"/>
          <w:szCs w:val="22"/>
        </w:rPr>
        <w:fldChar w:fldCharType="begin"/>
      </w:r>
      <w:r w:rsidRPr="006F5F00">
        <w:rPr>
          <w:rFonts w:eastAsia="Arial"/>
          <w:color w:val="000000"/>
          <w:sz w:val="22"/>
          <w:szCs w:val="22"/>
        </w:rPr>
        <w:instrText xml:space="preserve"> REF _Ref107932308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Table </w:t>
      </w:r>
      <w:r w:rsidR="005B672A" w:rsidRPr="005B672A">
        <w:rPr>
          <w:noProof/>
          <w:sz w:val="22"/>
          <w:szCs w:val="22"/>
        </w:rPr>
        <w:t>6</w:t>
      </w:r>
      <w:r w:rsidRPr="00E2785E">
        <w:rPr>
          <w:rFonts w:eastAsia="Arial"/>
          <w:color w:val="000000"/>
          <w:sz w:val="22"/>
          <w:szCs w:val="22"/>
        </w:rPr>
        <w:fldChar w:fldCharType="end"/>
      </w:r>
      <w:r w:rsidRPr="006F5F00">
        <w:rPr>
          <w:rFonts w:eastAsia="Arial"/>
          <w:color w:val="000000"/>
          <w:sz w:val="22"/>
          <w:szCs w:val="22"/>
        </w:rPr>
        <w:t>). The differing metrics indicate different kinds of concordance and the metric used depended on the parameter of interest (</w:t>
      </w:r>
      <w:r w:rsidRPr="00E2785E">
        <w:rPr>
          <w:rFonts w:eastAsia="Arial"/>
          <w:color w:val="000000"/>
          <w:sz w:val="22"/>
          <w:szCs w:val="22"/>
        </w:rPr>
        <w:fldChar w:fldCharType="begin"/>
      </w:r>
      <w:r w:rsidRPr="006F5F00">
        <w:rPr>
          <w:rFonts w:eastAsia="Arial"/>
          <w:color w:val="000000"/>
          <w:sz w:val="22"/>
          <w:szCs w:val="22"/>
        </w:rPr>
        <w:instrText xml:space="preserve"> REF _Ref107932308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Table </w:t>
      </w:r>
      <w:r w:rsidR="005B672A" w:rsidRPr="005B672A">
        <w:rPr>
          <w:noProof/>
          <w:sz w:val="22"/>
          <w:szCs w:val="22"/>
        </w:rPr>
        <w:t>6</w:t>
      </w:r>
      <w:r w:rsidRPr="00E2785E">
        <w:rPr>
          <w:rFonts w:eastAsia="Arial"/>
          <w:color w:val="000000"/>
          <w:sz w:val="22"/>
          <w:szCs w:val="22"/>
        </w:rPr>
        <w:fldChar w:fldCharType="end"/>
      </w:r>
      <w:r w:rsidRPr="006F5F00">
        <w:rPr>
          <w:rFonts w:eastAsia="Arial"/>
          <w:color w:val="000000"/>
          <w:sz w:val="22"/>
          <w:szCs w:val="22"/>
        </w:rPr>
        <w:t>).</w:t>
      </w:r>
    </w:p>
    <w:p w14:paraId="6F6DD505" w14:textId="02E7FD0A" w:rsidR="00491210" w:rsidRPr="00EA2CBF" w:rsidRDefault="00EE200C" w:rsidP="004902E0">
      <w:pPr>
        <w:pStyle w:val="Caption-Table"/>
        <w:rPr>
          <w:rFonts w:eastAsia="Arial"/>
        </w:rPr>
      </w:pPr>
      <w:bookmarkStart w:id="185" w:name="_Ref107932308"/>
      <w:bookmarkStart w:id="186" w:name="_Toc116994966"/>
      <w:r w:rsidRPr="006F5F00">
        <w:t xml:space="preserve">Table </w:t>
      </w:r>
      <w:r w:rsidRPr="00E2785E">
        <w:fldChar w:fldCharType="begin"/>
      </w:r>
      <w:r w:rsidRPr="006F5F00">
        <w:instrText xml:space="preserve"> SEQ Table \* ARABIC </w:instrText>
      </w:r>
      <w:r w:rsidRPr="00E2785E">
        <w:fldChar w:fldCharType="separate"/>
      </w:r>
      <w:r w:rsidR="005B672A">
        <w:rPr>
          <w:noProof/>
        </w:rPr>
        <w:t>6</w:t>
      </w:r>
      <w:r w:rsidRPr="00E2785E">
        <w:rPr>
          <w:noProof/>
        </w:rPr>
        <w:fldChar w:fldCharType="end"/>
      </w:r>
      <w:bookmarkEnd w:id="185"/>
      <w:r w:rsidRPr="006F5F00">
        <w:rPr>
          <w:rFonts w:eastAsia="Arial"/>
        </w:rPr>
        <w:t xml:space="preserve">. Assessment metrics used for comparing the MODEL output dataset with the OBSERVED output dataset. </w:t>
      </w:r>
      <w:r w:rsidRPr="00EA2CBF">
        <w:rPr>
          <w:rFonts w:eastAsia="Arial"/>
        </w:rPr>
        <w:t xml:space="preserve">The criteria </w:t>
      </w:r>
      <w:r w:rsidRPr="00856070">
        <w:rPr>
          <w:rFonts w:eastAsia="Arial"/>
        </w:rPr>
        <w:t>clarify how</w:t>
      </w:r>
      <w:r w:rsidRPr="00EA2CBF">
        <w:rPr>
          <w:rFonts w:eastAsia="Arial"/>
        </w:rPr>
        <w:t xml:space="preserve"> the level of concordance between the MODEL and OBSERVED estimates </w:t>
      </w:r>
      <w:r w:rsidRPr="00856070">
        <w:rPr>
          <w:rFonts w:eastAsia="Arial"/>
        </w:rPr>
        <w:t xml:space="preserve">were deemed </w:t>
      </w:r>
      <w:r w:rsidRPr="00EA2CBF">
        <w:rPr>
          <w:rFonts w:eastAsia="Arial"/>
        </w:rPr>
        <w:t>‘weak’ or ‘strong’ support</w:t>
      </w:r>
      <w:r>
        <w:rPr>
          <w:rFonts w:eastAsia="Arial"/>
        </w:rPr>
        <w:t>s</w:t>
      </w:r>
      <w:r w:rsidRPr="00EA2CBF">
        <w:rPr>
          <w:rFonts w:eastAsia="Arial"/>
        </w:rPr>
        <w:t xml:space="preserve"> for the MODEL.</w:t>
      </w:r>
      <w:bookmarkEnd w:id="186"/>
    </w:p>
    <w:tbl>
      <w:tblPr>
        <w:tblStyle w:val="TableGrid"/>
        <w:tblW w:w="0" w:type="auto"/>
        <w:tblLayout w:type="fixed"/>
        <w:tblLook w:val="04A0" w:firstRow="1" w:lastRow="0" w:firstColumn="1" w:lastColumn="0" w:noHBand="0" w:noVBand="1"/>
      </w:tblPr>
      <w:tblGrid>
        <w:gridCol w:w="1334"/>
        <w:gridCol w:w="1553"/>
        <w:gridCol w:w="2621"/>
        <w:gridCol w:w="1662"/>
        <w:gridCol w:w="2469"/>
      </w:tblGrid>
      <w:tr w:rsidR="3FC79A6E" w:rsidRPr="006F5F00" w14:paraId="3E986F44" w14:textId="77777777" w:rsidTr="00856070">
        <w:tc>
          <w:tcPr>
            <w:tcW w:w="1334" w:type="dxa"/>
            <w:tcBorders>
              <w:top w:val="single" w:sz="6" w:space="0" w:color="00B2A9" w:themeColor="accent1"/>
              <w:left w:val="nil"/>
              <w:bottom w:val="single" w:sz="6" w:space="0" w:color="00B2A9" w:themeColor="accent1"/>
              <w:right w:val="nil"/>
            </w:tcBorders>
            <w:shd w:val="clear" w:color="auto" w:fill="00B2A9" w:themeFill="accent1"/>
          </w:tcPr>
          <w:p w14:paraId="5A3E409E" w14:textId="157B8CED" w:rsidR="00491210" w:rsidRPr="00856070" w:rsidRDefault="00EE200C">
            <w:pPr>
              <w:pStyle w:val="Tableheadingtext"/>
              <w:rPr>
                <w:rFonts w:eastAsia="Arial"/>
                <w:b w:val="0"/>
                <w:bCs/>
                <w:sz w:val="22"/>
                <w:szCs w:val="22"/>
              </w:rPr>
            </w:pPr>
            <w:r w:rsidRPr="00856070">
              <w:rPr>
                <w:rFonts w:eastAsia="Arial"/>
                <w:b w:val="0"/>
                <w:bCs/>
                <w:sz w:val="22"/>
                <w:szCs w:val="22"/>
              </w:rPr>
              <w:t>Parameter</w:t>
            </w:r>
          </w:p>
        </w:tc>
        <w:tc>
          <w:tcPr>
            <w:tcW w:w="1553" w:type="dxa"/>
            <w:tcBorders>
              <w:top w:val="single" w:sz="6" w:space="0" w:color="00B2A9" w:themeColor="accent1"/>
              <w:left w:val="nil"/>
              <w:bottom w:val="single" w:sz="6" w:space="0" w:color="00B2A9" w:themeColor="accent1"/>
              <w:right w:val="nil"/>
            </w:tcBorders>
            <w:shd w:val="clear" w:color="auto" w:fill="00B2A9" w:themeFill="accent1"/>
          </w:tcPr>
          <w:p w14:paraId="6A431169" w14:textId="52AE8A61" w:rsidR="00491210" w:rsidRPr="00856070" w:rsidRDefault="00EE200C">
            <w:pPr>
              <w:pStyle w:val="Tableheadingtext"/>
              <w:rPr>
                <w:rFonts w:eastAsia="Arial"/>
                <w:b w:val="0"/>
                <w:bCs/>
                <w:sz w:val="22"/>
                <w:szCs w:val="22"/>
              </w:rPr>
            </w:pPr>
            <w:r w:rsidRPr="00856070">
              <w:rPr>
                <w:rFonts w:eastAsia="Arial"/>
                <w:b w:val="0"/>
                <w:bCs/>
                <w:sz w:val="22"/>
                <w:szCs w:val="22"/>
              </w:rPr>
              <w:t>Metric name</w:t>
            </w:r>
          </w:p>
        </w:tc>
        <w:tc>
          <w:tcPr>
            <w:tcW w:w="2621" w:type="dxa"/>
            <w:tcBorders>
              <w:top w:val="single" w:sz="6" w:space="0" w:color="00B2A9" w:themeColor="accent1"/>
              <w:left w:val="nil"/>
              <w:bottom w:val="single" w:sz="6" w:space="0" w:color="00B2A9" w:themeColor="accent1"/>
              <w:right w:val="nil"/>
            </w:tcBorders>
            <w:shd w:val="clear" w:color="auto" w:fill="00B2A9" w:themeFill="accent1"/>
          </w:tcPr>
          <w:p w14:paraId="2C7699CF" w14:textId="1A220FC8" w:rsidR="00491210" w:rsidRPr="00856070" w:rsidRDefault="00EE200C">
            <w:pPr>
              <w:pStyle w:val="Tableheadingtext"/>
              <w:rPr>
                <w:rFonts w:eastAsia="Arial"/>
                <w:b w:val="0"/>
                <w:bCs/>
                <w:sz w:val="22"/>
                <w:szCs w:val="22"/>
              </w:rPr>
            </w:pPr>
            <w:r w:rsidRPr="00856070">
              <w:rPr>
                <w:rFonts w:eastAsia="Arial"/>
                <w:b w:val="0"/>
                <w:bCs/>
                <w:sz w:val="22"/>
                <w:szCs w:val="22"/>
              </w:rPr>
              <w:t>Description</w:t>
            </w:r>
          </w:p>
        </w:tc>
        <w:tc>
          <w:tcPr>
            <w:tcW w:w="1662" w:type="dxa"/>
            <w:tcBorders>
              <w:top w:val="single" w:sz="6" w:space="0" w:color="00B2A9" w:themeColor="accent1"/>
              <w:left w:val="nil"/>
              <w:bottom w:val="single" w:sz="6" w:space="0" w:color="00B2A9" w:themeColor="accent1"/>
              <w:right w:val="nil"/>
            </w:tcBorders>
            <w:shd w:val="clear" w:color="auto" w:fill="00B2A9" w:themeFill="accent1"/>
          </w:tcPr>
          <w:p w14:paraId="4C5DDC6A" w14:textId="188FCF80" w:rsidR="00491210" w:rsidRPr="00856070" w:rsidRDefault="00EE200C">
            <w:pPr>
              <w:pStyle w:val="Tableheadingtext"/>
              <w:rPr>
                <w:rFonts w:eastAsia="Arial"/>
                <w:b w:val="0"/>
                <w:bCs/>
                <w:sz w:val="22"/>
                <w:szCs w:val="22"/>
              </w:rPr>
            </w:pPr>
            <w:r w:rsidRPr="00856070">
              <w:rPr>
                <w:rFonts w:eastAsia="Arial"/>
                <w:b w:val="0"/>
                <w:bCs/>
                <w:sz w:val="22"/>
                <w:szCs w:val="22"/>
              </w:rPr>
              <w:t>Criteria</w:t>
            </w:r>
          </w:p>
        </w:tc>
        <w:tc>
          <w:tcPr>
            <w:tcW w:w="2469" w:type="dxa"/>
            <w:tcBorders>
              <w:top w:val="single" w:sz="6" w:space="0" w:color="00B2A9" w:themeColor="accent1"/>
              <w:left w:val="nil"/>
              <w:bottom w:val="single" w:sz="6" w:space="0" w:color="00B2A9" w:themeColor="accent1"/>
              <w:right w:val="nil"/>
            </w:tcBorders>
            <w:shd w:val="clear" w:color="auto" w:fill="00B2A9" w:themeFill="accent1"/>
          </w:tcPr>
          <w:p w14:paraId="64EC8F68" w14:textId="2DDFEFB5" w:rsidR="00491210" w:rsidRPr="00856070" w:rsidRDefault="00EE200C">
            <w:pPr>
              <w:pStyle w:val="Tableheadingtext"/>
              <w:rPr>
                <w:rFonts w:eastAsia="Arial"/>
                <w:b w:val="0"/>
                <w:bCs/>
                <w:szCs w:val="20"/>
              </w:rPr>
            </w:pPr>
            <w:r w:rsidRPr="00856070">
              <w:rPr>
                <w:rFonts w:eastAsia="Arial"/>
                <w:b w:val="0"/>
                <w:bCs/>
                <w:szCs w:val="20"/>
              </w:rPr>
              <w:t>Comments</w:t>
            </w:r>
          </w:p>
        </w:tc>
      </w:tr>
      <w:tr w:rsidR="3FC79A6E" w:rsidRPr="006F5F00" w14:paraId="4054E0C7" w14:textId="77777777" w:rsidTr="00856070">
        <w:tc>
          <w:tcPr>
            <w:tcW w:w="1334" w:type="dxa"/>
            <w:tcBorders>
              <w:top w:val="single" w:sz="6" w:space="0" w:color="00B2A9" w:themeColor="accent1"/>
              <w:left w:val="nil"/>
              <w:bottom w:val="single" w:sz="6" w:space="0" w:color="00B2A9" w:themeColor="accent1"/>
              <w:right w:val="nil"/>
            </w:tcBorders>
          </w:tcPr>
          <w:p w14:paraId="4E323BF6" w14:textId="708AF458" w:rsidR="00491210" w:rsidRPr="006F5F00" w:rsidRDefault="00EE200C">
            <w:pPr>
              <w:rPr>
                <w:rFonts w:eastAsia="Arial"/>
                <w:color w:val="000000"/>
                <w:sz w:val="22"/>
                <w:szCs w:val="22"/>
              </w:rPr>
            </w:pPr>
            <w:r w:rsidRPr="006F5F00">
              <w:rPr>
                <w:rFonts w:eastAsia="Arial"/>
                <w:color w:val="000000"/>
                <w:sz w:val="22"/>
                <w:szCs w:val="22"/>
              </w:rPr>
              <w:t>Population size migration rate</w:t>
            </w:r>
          </w:p>
        </w:tc>
        <w:tc>
          <w:tcPr>
            <w:tcW w:w="1553" w:type="dxa"/>
            <w:tcBorders>
              <w:top w:val="single" w:sz="6" w:space="0" w:color="00B2A9" w:themeColor="accent1"/>
              <w:left w:val="nil"/>
              <w:bottom w:val="single" w:sz="6" w:space="0" w:color="00B2A9" w:themeColor="accent1"/>
              <w:right w:val="nil"/>
            </w:tcBorders>
          </w:tcPr>
          <w:p w14:paraId="0E825B2D" w14:textId="57BA394C" w:rsidR="00491210" w:rsidRPr="006F5F00" w:rsidRDefault="00EE200C">
            <w:pPr>
              <w:rPr>
                <w:rFonts w:eastAsia="Arial"/>
                <w:color w:val="000000"/>
                <w:sz w:val="22"/>
                <w:szCs w:val="22"/>
              </w:rPr>
            </w:pPr>
            <w:r w:rsidRPr="006F5F00">
              <w:rPr>
                <w:rFonts w:eastAsia="Arial"/>
                <w:color w:val="000000"/>
                <w:sz w:val="22"/>
                <w:szCs w:val="22"/>
              </w:rPr>
              <w:t>Pearson</w:t>
            </w:r>
            <w:r>
              <w:rPr>
                <w:rFonts w:eastAsia="Arial"/>
                <w:color w:val="000000"/>
                <w:sz w:val="22"/>
                <w:szCs w:val="22"/>
              </w:rPr>
              <w:t xml:space="preserve"> </w:t>
            </w:r>
            <w:r w:rsidRPr="006F5F00">
              <w:rPr>
                <w:rFonts w:eastAsia="Arial"/>
                <w:color w:val="000000"/>
                <w:sz w:val="22"/>
                <w:szCs w:val="22"/>
              </w:rPr>
              <w:t>Spearman</w:t>
            </w:r>
          </w:p>
        </w:tc>
        <w:tc>
          <w:tcPr>
            <w:tcW w:w="2621" w:type="dxa"/>
            <w:tcBorders>
              <w:top w:val="single" w:sz="6" w:space="0" w:color="00B2A9" w:themeColor="accent1"/>
              <w:left w:val="nil"/>
              <w:bottom w:val="single" w:sz="6" w:space="0" w:color="00B2A9" w:themeColor="accent1"/>
              <w:right w:val="nil"/>
            </w:tcBorders>
          </w:tcPr>
          <w:p w14:paraId="25A74DE5" w14:textId="5450A51B" w:rsidR="00491210" w:rsidRPr="006F5F00" w:rsidRDefault="00EE200C">
            <w:pPr>
              <w:rPr>
                <w:rFonts w:eastAsia="Arial"/>
                <w:color w:val="000000"/>
                <w:sz w:val="22"/>
                <w:szCs w:val="22"/>
              </w:rPr>
            </w:pPr>
            <w:r w:rsidRPr="006F5F00">
              <w:rPr>
                <w:rFonts w:eastAsia="Arial"/>
                <w:color w:val="000000"/>
                <w:sz w:val="22"/>
                <w:szCs w:val="22"/>
              </w:rPr>
              <w:t>Pearson and Spearman correlations to measure association</w:t>
            </w:r>
          </w:p>
        </w:tc>
        <w:tc>
          <w:tcPr>
            <w:tcW w:w="1662" w:type="dxa"/>
            <w:tcBorders>
              <w:top w:val="single" w:sz="6" w:space="0" w:color="00B2A9" w:themeColor="accent1"/>
              <w:left w:val="nil"/>
              <w:bottom w:val="single" w:sz="6" w:space="0" w:color="00B2A9" w:themeColor="accent1"/>
              <w:right w:val="nil"/>
            </w:tcBorders>
          </w:tcPr>
          <w:p w14:paraId="6363B540" w14:textId="6E3612E0" w:rsidR="00491210" w:rsidRPr="006F5F00" w:rsidRDefault="00EE200C">
            <w:pPr>
              <w:rPr>
                <w:rFonts w:eastAsia="Arial"/>
                <w:color w:val="000000"/>
                <w:sz w:val="22"/>
                <w:szCs w:val="22"/>
              </w:rPr>
            </w:pPr>
            <w:r w:rsidRPr="006F5F00">
              <w:rPr>
                <w:rFonts w:eastAsia="Arial"/>
                <w:color w:val="000000"/>
                <w:sz w:val="22"/>
                <w:szCs w:val="22"/>
              </w:rPr>
              <w:t>&gt;0.4 = weak support</w:t>
            </w:r>
          </w:p>
          <w:p w14:paraId="44DDCC64" w14:textId="39373A6D" w:rsidR="00491210" w:rsidRPr="006F5F00" w:rsidRDefault="00EE200C">
            <w:pPr>
              <w:rPr>
                <w:rFonts w:eastAsia="Arial"/>
                <w:color w:val="000000"/>
                <w:sz w:val="22"/>
                <w:szCs w:val="22"/>
              </w:rPr>
            </w:pPr>
            <w:r w:rsidRPr="006F5F00">
              <w:rPr>
                <w:rFonts w:eastAsia="Arial"/>
                <w:color w:val="000000"/>
                <w:sz w:val="22"/>
                <w:szCs w:val="22"/>
              </w:rPr>
              <w:t>&gt;0.6 = strong support</w:t>
            </w:r>
          </w:p>
        </w:tc>
        <w:tc>
          <w:tcPr>
            <w:tcW w:w="2469" w:type="dxa"/>
            <w:tcBorders>
              <w:top w:val="single" w:sz="6" w:space="0" w:color="00B2A9" w:themeColor="accent1"/>
              <w:left w:val="nil"/>
              <w:bottom w:val="single" w:sz="6" w:space="0" w:color="00B2A9" w:themeColor="accent1"/>
              <w:right w:val="nil"/>
            </w:tcBorders>
          </w:tcPr>
          <w:p w14:paraId="769E9873" w14:textId="1EAFC426" w:rsidR="00491210" w:rsidRPr="006F5F00" w:rsidRDefault="00EE200C">
            <w:pPr>
              <w:rPr>
                <w:rFonts w:eastAsia="Arial"/>
                <w:color w:val="000000"/>
                <w:sz w:val="22"/>
                <w:szCs w:val="22"/>
              </w:rPr>
            </w:pPr>
            <w:r w:rsidRPr="006F5F00">
              <w:rPr>
                <w:rFonts w:eastAsia="Arial"/>
                <w:color w:val="000000"/>
                <w:sz w:val="22"/>
                <w:szCs w:val="22"/>
              </w:rPr>
              <w:t>Discrepancies between Pearson and Spearman correlations would indicate a potential for the peaks/troughs to be driving the correlations</w:t>
            </w:r>
          </w:p>
        </w:tc>
      </w:tr>
      <w:tr w:rsidR="3FC79A6E" w:rsidRPr="006F5F00" w14:paraId="37FDAC92" w14:textId="77777777" w:rsidTr="00856070">
        <w:tc>
          <w:tcPr>
            <w:tcW w:w="1334" w:type="dxa"/>
            <w:tcBorders>
              <w:top w:val="single" w:sz="6" w:space="0" w:color="00B2A9" w:themeColor="accent1"/>
              <w:left w:val="nil"/>
              <w:bottom w:val="single" w:sz="6" w:space="0" w:color="00B2A9" w:themeColor="accent1"/>
              <w:right w:val="nil"/>
            </w:tcBorders>
          </w:tcPr>
          <w:p w14:paraId="23EC4B15" w14:textId="3F01F750" w:rsidR="00491210" w:rsidRPr="006F5F00" w:rsidRDefault="00EE200C">
            <w:pPr>
              <w:rPr>
                <w:rFonts w:eastAsia="Arial"/>
                <w:color w:val="000000"/>
                <w:sz w:val="22"/>
                <w:szCs w:val="22"/>
              </w:rPr>
            </w:pPr>
            <w:r w:rsidRPr="006F5F00">
              <w:rPr>
                <w:rFonts w:eastAsia="Arial"/>
                <w:color w:val="000000"/>
                <w:sz w:val="22"/>
                <w:szCs w:val="22"/>
              </w:rPr>
              <w:t>Population growth rate</w:t>
            </w:r>
          </w:p>
        </w:tc>
        <w:tc>
          <w:tcPr>
            <w:tcW w:w="1553" w:type="dxa"/>
            <w:tcBorders>
              <w:top w:val="single" w:sz="6" w:space="0" w:color="00B2A9" w:themeColor="accent1"/>
              <w:left w:val="nil"/>
              <w:bottom w:val="single" w:sz="6" w:space="0" w:color="00B2A9" w:themeColor="accent1"/>
              <w:right w:val="nil"/>
            </w:tcBorders>
          </w:tcPr>
          <w:p w14:paraId="64EE11DD" w14:textId="1E393E83" w:rsidR="00491210" w:rsidRPr="006F5F00" w:rsidRDefault="00EE200C">
            <w:pPr>
              <w:rPr>
                <w:rFonts w:eastAsia="Arial"/>
                <w:color w:val="000000"/>
                <w:sz w:val="22"/>
                <w:szCs w:val="22"/>
              </w:rPr>
            </w:pPr>
            <w:r w:rsidRPr="006F5F00">
              <w:rPr>
                <w:rFonts w:eastAsia="Arial"/>
                <w:color w:val="000000"/>
                <w:sz w:val="22"/>
                <w:szCs w:val="22"/>
              </w:rPr>
              <w:t>Mean Absolute Percentage Error (MAPE)</w:t>
            </w:r>
          </w:p>
        </w:tc>
        <w:tc>
          <w:tcPr>
            <w:tcW w:w="2621" w:type="dxa"/>
            <w:tcBorders>
              <w:top w:val="single" w:sz="6" w:space="0" w:color="00B2A9" w:themeColor="accent1"/>
              <w:left w:val="nil"/>
              <w:bottom w:val="single" w:sz="6" w:space="0" w:color="00B2A9" w:themeColor="accent1"/>
              <w:right w:val="nil"/>
            </w:tcBorders>
          </w:tcPr>
          <w:p w14:paraId="3E2E5C43" w14:textId="45902FED" w:rsidR="00491210" w:rsidRPr="006F5F00" w:rsidRDefault="00EE200C">
            <w:pPr>
              <w:rPr>
                <w:rFonts w:eastAsia="Arial"/>
                <w:color w:val="000000"/>
                <w:sz w:val="22"/>
                <w:szCs w:val="22"/>
              </w:rPr>
            </w:pPr>
            <w:r w:rsidRPr="006F5F00">
              <w:rPr>
                <w:rFonts w:eastAsia="Arial"/>
                <w:color w:val="000000"/>
                <w:sz w:val="22"/>
                <w:szCs w:val="22"/>
              </w:rPr>
              <w:t>Assessment of magnitude of difference in population growth rate (log-scale), presented as percentage difference</w:t>
            </w:r>
          </w:p>
        </w:tc>
        <w:tc>
          <w:tcPr>
            <w:tcW w:w="1662" w:type="dxa"/>
            <w:tcBorders>
              <w:top w:val="single" w:sz="6" w:space="0" w:color="00B2A9" w:themeColor="accent1"/>
              <w:left w:val="nil"/>
              <w:bottom w:val="single" w:sz="6" w:space="0" w:color="00B2A9" w:themeColor="accent1"/>
              <w:right w:val="nil"/>
            </w:tcBorders>
          </w:tcPr>
          <w:p w14:paraId="595C9372" w14:textId="71FD97ED" w:rsidR="00491210" w:rsidRPr="006F5F00" w:rsidRDefault="00EE200C">
            <w:r w:rsidRPr="006F5F00">
              <w:rPr>
                <w:rFonts w:eastAsia="Arial"/>
                <w:color w:val="000000"/>
                <w:sz w:val="22"/>
                <w:szCs w:val="22"/>
              </w:rPr>
              <w:t>&lt;40% = weak support</w:t>
            </w:r>
          </w:p>
          <w:p w14:paraId="10B96003" w14:textId="0E84BA3D" w:rsidR="00491210" w:rsidRPr="006F5F00" w:rsidRDefault="00EE200C">
            <w:pPr>
              <w:rPr>
                <w:rFonts w:eastAsia="Arial"/>
                <w:color w:val="000000"/>
                <w:sz w:val="22"/>
                <w:szCs w:val="22"/>
              </w:rPr>
            </w:pPr>
            <w:r w:rsidRPr="006F5F00">
              <w:rPr>
                <w:rFonts w:eastAsia="Arial"/>
                <w:color w:val="000000"/>
                <w:sz w:val="22"/>
                <w:szCs w:val="22"/>
              </w:rPr>
              <w:t>&lt;20% = strong support</w:t>
            </w:r>
          </w:p>
        </w:tc>
        <w:tc>
          <w:tcPr>
            <w:tcW w:w="2469" w:type="dxa"/>
            <w:tcBorders>
              <w:top w:val="single" w:sz="6" w:space="0" w:color="00B2A9" w:themeColor="accent1"/>
              <w:left w:val="nil"/>
              <w:bottom w:val="single" w:sz="6" w:space="0" w:color="00B2A9" w:themeColor="accent1"/>
              <w:right w:val="nil"/>
            </w:tcBorders>
          </w:tcPr>
          <w:p w14:paraId="4952DAA6" w14:textId="3CEF55F4" w:rsidR="00491210" w:rsidRPr="006F5F00" w:rsidRDefault="00EE200C">
            <w:pPr>
              <w:rPr>
                <w:rFonts w:eastAsia="Arial"/>
                <w:color w:val="000000"/>
                <w:sz w:val="22"/>
                <w:szCs w:val="22"/>
              </w:rPr>
            </w:pPr>
            <w:r w:rsidRPr="006F5F00">
              <w:rPr>
                <w:rFonts w:eastAsia="Arial"/>
                <w:color w:val="000000"/>
                <w:sz w:val="22"/>
                <w:szCs w:val="22"/>
              </w:rPr>
              <w:t>MAPE provides the average percentage difference between the MODEL data and OBSERVED data</w:t>
            </w:r>
          </w:p>
        </w:tc>
      </w:tr>
      <w:tr w:rsidR="3FC79A6E" w:rsidRPr="006F5F00" w14:paraId="0483D3E7" w14:textId="77777777" w:rsidTr="00856070">
        <w:tc>
          <w:tcPr>
            <w:tcW w:w="1334" w:type="dxa"/>
            <w:tcBorders>
              <w:top w:val="single" w:sz="6" w:space="0" w:color="00B2A9" w:themeColor="accent1"/>
              <w:left w:val="nil"/>
              <w:bottom w:val="single" w:sz="6" w:space="0" w:color="00B2A9" w:themeColor="accent1"/>
              <w:right w:val="nil"/>
            </w:tcBorders>
          </w:tcPr>
          <w:p w14:paraId="5ED99C1A" w14:textId="33C94989" w:rsidR="00491210" w:rsidRPr="006F5F00" w:rsidRDefault="00491210">
            <w:pPr>
              <w:rPr>
                <w:rFonts w:eastAsia="Arial"/>
                <w:szCs w:val="20"/>
              </w:rPr>
            </w:pPr>
          </w:p>
        </w:tc>
        <w:tc>
          <w:tcPr>
            <w:tcW w:w="1553" w:type="dxa"/>
            <w:tcBorders>
              <w:top w:val="single" w:sz="6" w:space="0" w:color="00B2A9" w:themeColor="accent1"/>
              <w:left w:val="nil"/>
              <w:bottom w:val="single" w:sz="6" w:space="0" w:color="00B2A9" w:themeColor="accent1"/>
              <w:right w:val="nil"/>
            </w:tcBorders>
          </w:tcPr>
          <w:p w14:paraId="201C0651" w14:textId="151262A8" w:rsidR="00491210" w:rsidRPr="006F5F00" w:rsidRDefault="00EE200C">
            <w:pPr>
              <w:rPr>
                <w:rFonts w:eastAsia="Arial"/>
                <w:color w:val="000000"/>
                <w:sz w:val="22"/>
                <w:szCs w:val="22"/>
              </w:rPr>
            </w:pPr>
            <w:r w:rsidRPr="006F5F00">
              <w:rPr>
                <w:rFonts w:eastAsia="Arial"/>
                <w:color w:val="000000"/>
                <w:sz w:val="22"/>
                <w:szCs w:val="22"/>
              </w:rPr>
              <w:t>Bias</w:t>
            </w:r>
          </w:p>
        </w:tc>
        <w:tc>
          <w:tcPr>
            <w:tcW w:w="2621" w:type="dxa"/>
            <w:tcBorders>
              <w:top w:val="single" w:sz="6" w:space="0" w:color="00B2A9" w:themeColor="accent1"/>
              <w:left w:val="nil"/>
              <w:bottom w:val="single" w:sz="6" w:space="0" w:color="00B2A9" w:themeColor="accent1"/>
              <w:right w:val="nil"/>
            </w:tcBorders>
          </w:tcPr>
          <w:p w14:paraId="48615CA2" w14:textId="6660565C" w:rsidR="00491210" w:rsidRPr="006F5F00" w:rsidRDefault="00EE200C">
            <w:pPr>
              <w:rPr>
                <w:rFonts w:eastAsia="Arial"/>
                <w:color w:val="000000"/>
                <w:sz w:val="22"/>
                <w:szCs w:val="22"/>
              </w:rPr>
            </w:pPr>
            <w:r w:rsidRPr="006F5F00">
              <w:rPr>
                <w:rFonts w:eastAsia="Arial"/>
                <w:color w:val="000000"/>
                <w:sz w:val="22"/>
                <w:szCs w:val="22"/>
              </w:rPr>
              <w:t>Assessment of whether the MODEL consistently over- or under-estimates population growth rates (based on the average log difference between the MODEL data and the OBSERVED data; a negative result indicates the MODEL predicts a lower population growth rate)</w:t>
            </w:r>
          </w:p>
        </w:tc>
        <w:tc>
          <w:tcPr>
            <w:tcW w:w="1662" w:type="dxa"/>
            <w:tcBorders>
              <w:top w:val="single" w:sz="6" w:space="0" w:color="00B2A9" w:themeColor="accent1"/>
              <w:left w:val="nil"/>
              <w:bottom w:val="single" w:sz="6" w:space="0" w:color="00B2A9" w:themeColor="accent1"/>
              <w:right w:val="nil"/>
            </w:tcBorders>
          </w:tcPr>
          <w:p w14:paraId="1074AA1B" w14:textId="23E188D8" w:rsidR="00491210" w:rsidRPr="006F5F00" w:rsidRDefault="00EE200C">
            <w:pPr>
              <w:rPr>
                <w:rFonts w:eastAsia="Arial"/>
                <w:color w:val="000000"/>
                <w:sz w:val="22"/>
                <w:szCs w:val="22"/>
              </w:rPr>
            </w:pPr>
            <w:r w:rsidRPr="006F5F00">
              <w:rPr>
                <w:rFonts w:eastAsia="Arial"/>
                <w:color w:val="000000"/>
                <w:sz w:val="22"/>
                <w:szCs w:val="22"/>
              </w:rPr>
              <w:t>95% CI overlaps 0 OR &lt;20% = weak support</w:t>
            </w:r>
          </w:p>
          <w:p w14:paraId="34C1384C" w14:textId="7E91997B" w:rsidR="00491210" w:rsidRPr="006F5F00" w:rsidRDefault="00EE200C">
            <w:pPr>
              <w:rPr>
                <w:rFonts w:eastAsia="Arial"/>
                <w:color w:val="000000"/>
                <w:sz w:val="22"/>
                <w:szCs w:val="22"/>
              </w:rPr>
            </w:pPr>
            <w:r w:rsidRPr="006F5F00">
              <w:rPr>
                <w:rFonts w:eastAsia="Arial"/>
                <w:color w:val="000000"/>
                <w:sz w:val="22"/>
                <w:szCs w:val="22"/>
              </w:rPr>
              <w:t>95% CI overlaps 0 AND &lt;20% = strong support</w:t>
            </w:r>
          </w:p>
        </w:tc>
        <w:tc>
          <w:tcPr>
            <w:tcW w:w="2469" w:type="dxa"/>
            <w:tcBorders>
              <w:top w:val="single" w:sz="6" w:space="0" w:color="00B2A9" w:themeColor="accent1"/>
              <w:left w:val="nil"/>
              <w:bottom w:val="single" w:sz="6" w:space="0" w:color="00B2A9" w:themeColor="accent1"/>
              <w:right w:val="nil"/>
            </w:tcBorders>
          </w:tcPr>
          <w:p w14:paraId="3A31E244" w14:textId="0B3131CE" w:rsidR="00491210" w:rsidRPr="006F5F00" w:rsidRDefault="00EE200C">
            <w:pPr>
              <w:rPr>
                <w:rFonts w:eastAsia="Arial"/>
                <w:color w:val="000000"/>
                <w:sz w:val="22"/>
                <w:szCs w:val="22"/>
              </w:rPr>
            </w:pPr>
            <w:r w:rsidRPr="006F5F00">
              <w:rPr>
                <w:rFonts w:eastAsia="Arial"/>
                <w:color w:val="000000"/>
                <w:sz w:val="22"/>
                <w:szCs w:val="22"/>
              </w:rPr>
              <w:t>Bias provides insight into whether a MODEL might consistently over- or under-estimate population growth rates</w:t>
            </w:r>
          </w:p>
        </w:tc>
      </w:tr>
      <w:tr w:rsidR="3FC79A6E" w:rsidRPr="006F5F00" w14:paraId="29F73635" w14:textId="77777777" w:rsidTr="00856070">
        <w:tc>
          <w:tcPr>
            <w:tcW w:w="1334" w:type="dxa"/>
            <w:tcBorders>
              <w:top w:val="single" w:sz="6" w:space="0" w:color="00B2A9" w:themeColor="accent1"/>
              <w:left w:val="nil"/>
              <w:bottom w:val="single" w:sz="6" w:space="0" w:color="00B2A9" w:themeColor="accent1"/>
              <w:right w:val="nil"/>
            </w:tcBorders>
          </w:tcPr>
          <w:p w14:paraId="3D721C79" w14:textId="5FF352AA" w:rsidR="00491210" w:rsidRPr="006F5F00" w:rsidRDefault="00491210">
            <w:pPr>
              <w:rPr>
                <w:rFonts w:eastAsia="Arial"/>
                <w:szCs w:val="20"/>
              </w:rPr>
            </w:pPr>
          </w:p>
        </w:tc>
        <w:tc>
          <w:tcPr>
            <w:tcW w:w="1553" w:type="dxa"/>
            <w:tcBorders>
              <w:top w:val="single" w:sz="6" w:space="0" w:color="00B2A9" w:themeColor="accent1"/>
              <w:left w:val="nil"/>
              <w:bottom w:val="single" w:sz="6" w:space="0" w:color="00B2A9" w:themeColor="accent1"/>
              <w:right w:val="nil"/>
            </w:tcBorders>
          </w:tcPr>
          <w:p w14:paraId="2EE808AA" w14:textId="691D8CA5" w:rsidR="00491210" w:rsidRPr="006F5F00" w:rsidRDefault="00EE200C">
            <w:pPr>
              <w:rPr>
                <w:rFonts w:eastAsia="Arial"/>
                <w:color w:val="000000"/>
                <w:sz w:val="22"/>
                <w:szCs w:val="22"/>
              </w:rPr>
            </w:pPr>
            <w:r w:rsidRPr="006F5F00">
              <w:rPr>
                <w:rFonts w:eastAsia="Arial"/>
                <w:color w:val="000000"/>
                <w:sz w:val="22"/>
                <w:szCs w:val="22"/>
              </w:rPr>
              <w:t>Growth rate directionality</w:t>
            </w:r>
          </w:p>
        </w:tc>
        <w:tc>
          <w:tcPr>
            <w:tcW w:w="2621" w:type="dxa"/>
            <w:tcBorders>
              <w:top w:val="single" w:sz="6" w:space="0" w:color="00B2A9" w:themeColor="accent1"/>
              <w:left w:val="nil"/>
              <w:bottom w:val="single" w:sz="6" w:space="0" w:color="00B2A9" w:themeColor="accent1"/>
              <w:right w:val="nil"/>
            </w:tcBorders>
          </w:tcPr>
          <w:p w14:paraId="4319871D" w14:textId="255B393A" w:rsidR="00491210" w:rsidRPr="006F5F00" w:rsidRDefault="00EE200C">
            <w:pPr>
              <w:rPr>
                <w:rFonts w:eastAsia="Arial"/>
                <w:color w:val="000000"/>
                <w:sz w:val="22"/>
                <w:szCs w:val="22"/>
              </w:rPr>
            </w:pPr>
            <w:r>
              <w:rPr>
                <w:rFonts w:eastAsia="Arial"/>
                <w:color w:val="000000"/>
                <w:sz w:val="22"/>
                <w:szCs w:val="22"/>
              </w:rPr>
              <w:t>T</w:t>
            </w:r>
            <w:r w:rsidRPr="006F5F00">
              <w:rPr>
                <w:rFonts w:eastAsia="Arial"/>
                <w:color w:val="000000"/>
                <w:sz w:val="22"/>
                <w:szCs w:val="22"/>
              </w:rPr>
              <w:t>he proportion of the time that MODEL data and the OBSERVED data predict the same growth rate direction</w:t>
            </w:r>
          </w:p>
        </w:tc>
        <w:tc>
          <w:tcPr>
            <w:tcW w:w="1662" w:type="dxa"/>
            <w:tcBorders>
              <w:top w:val="single" w:sz="6" w:space="0" w:color="00B2A9" w:themeColor="accent1"/>
              <w:left w:val="nil"/>
              <w:bottom w:val="single" w:sz="6" w:space="0" w:color="00B2A9" w:themeColor="accent1"/>
              <w:right w:val="nil"/>
            </w:tcBorders>
          </w:tcPr>
          <w:p w14:paraId="7B015C85" w14:textId="6EAC8B38" w:rsidR="00491210" w:rsidRPr="006F5F00" w:rsidRDefault="00EE200C">
            <w:r w:rsidRPr="006F5F00">
              <w:rPr>
                <w:rFonts w:eastAsia="Arial"/>
                <w:color w:val="000000"/>
                <w:sz w:val="22"/>
                <w:szCs w:val="22"/>
              </w:rPr>
              <w:t>&gt;80% = weak support</w:t>
            </w:r>
          </w:p>
          <w:p w14:paraId="61D7839B" w14:textId="2F464A59" w:rsidR="00491210" w:rsidRPr="006F5F00" w:rsidRDefault="00EE200C">
            <w:pPr>
              <w:rPr>
                <w:rFonts w:eastAsia="Arial"/>
                <w:color w:val="000000"/>
                <w:sz w:val="22"/>
                <w:szCs w:val="22"/>
              </w:rPr>
            </w:pPr>
            <w:r w:rsidRPr="006F5F00">
              <w:rPr>
                <w:rFonts w:eastAsia="Arial"/>
                <w:color w:val="000000"/>
                <w:sz w:val="22"/>
                <w:szCs w:val="22"/>
              </w:rPr>
              <w:t>&gt;90% = strong support</w:t>
            </w:r>
          </w:p>
        </w:tc>
        <w:tc>
          <w:tcPr>
            <w:tcW w:w="2469" w:type="dxa"/>
            <w:tcBorders>
              <w:top w:val="single" w:sz="6" w:space="0" w:color="00B2A9" w:themeColor="accent1"/>
              <w:left w:val="nil"/>
              <w:bottom w:val="single" w:sz="6" w:space="0" w:color="00B2A9" w:themeColor="accent1"/>
              <w:right w:val="nil"/>
            </w:tcBorders>
          </w:tcPr>
          <w:p w14:paraId="06745F2C" w14:textId="522064D2" w:rsidR="00491210" w:rsidRPr="006F5F00" w:rsidRDefault="00EE200C">
            <w:pPr>
              <w:rPr>
                <w:rFonts w:eastAsia="Arial"/>
                <w:color w:val="000000"/>
                <w:sz w:val="22"/>
                <w:szCs w:val="22"/>
              </w:rPr>
            </w:pPr>
            <w:r w:rsidRPr="006F5F00">
              <w:rPr>
                <w:rFonts w:eastAsia="Arial"/>
                <w:color w:val="000000"/>
                <w:sz w:val="22"/>
                <w:szCs w:val="22"/>
              </w:rPr>
              <w:t>Growth rate directionality provides some indication of whether or not model predictions are reliable. It may be that peaks and troughs are well predicted, but that smaller changes are not.</w:t>
            </w:r>
          </w:p>
        </w:tc>
      </w:tr>
    </w:tbl>
    <w:p w14:paraId="04DD78A4" w14:textId="457C9580" w:rsidR="00491210" w:rsidRPr="006F5F00" w:rsidRDefault="00EE200C" w:rsidP="004902E0">
      <w:pPr>
        <w:spacing w:line="259" w:lineRule="auto"/>
        <w:jc w:val="both"/>
        <w:rPr>
          <w:rFonts w:eastAsia="Arial"/>
          <w:color w:val="000000"/>
          <w:sz w:val="22"/>
          <w:szCs w:val="22"/>
        </w:rPr>
      </w:pPr>
      <w:r w:rsidRPr="006F5F00">
        <w:rPr>
          <w:rFonts w:eastAsia="Arial"/>
          <w:color w:val="000000"/>
          <w:sz w:val="22"/>
          <w:szCs w:val="22"/>
        </w:rPr>
        <w:t>CI: confidence interval.</w:t>
      </w:r>
    </w:p>
    <w:p w14:paraId="7209807D" w14:textId="02A00470"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For population size and migratory rates, Pearson and Spearman correlations were used, which measure the association (–1 = perfectly negatively correlated; 0 = no association; 1 = perfectly positively correlated) between MODEL and OBSERVED abundances. The Pearson correlation assumes a normal distribution and a linear relationship, and hence is strongly affected by outliers. In contrast, the Spearman rank correlation is non-parametric and relies on ranked order, mitigating outlier effects. If MODEL and OBSERVED growth are tightly (positively) associated, both correlation indices will be close to 1. However, if the MODEL can only predict peaks, then the Pearson correlation may be near 1, but the Spearman correlation may be close to zero. Thus, discrepancies between the metrics can provide unique insights.</w:t>
      </w:r>
    </w:p>
    <w:p w14:paraId="32F1DE15" w14:textId="2F975BE7"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For growth rates, multiple metrics were used. Mean Absolute Percentage Error (MAPE) provides an estimate of the average difference between MODEL data and OBSERVED data. The log-difference between population growth rates were calculated and presented as the percentage difference:</w:t>
      </w:r>
    </w:p>
    <w:p w14:paraId="35046E95" w14:textId="0F081A01" w:rsidR="00491210" w:rsidRPr="006F5F00" w:rsidRDefault="00EE200C" w:rsidP="00292F68">
      <w:pPr>
        <w:spacing w:before="240" w:after="240"/>
        <w:jc w:val="both"/>
        <w:rPr>
          <w:rFonts w:eastAsia="Arial"/>
          <w:color w:val="000000"/>
          <w:sz w:val="22"/>
          <w:szCs w:val="22"/>
        </w:rPr>
      </w:pPr>
      <m:oMath>
        <m:r>
          <w:rPr>
            <w:rFonts w:ascii="Cambria Math" w:hAnsi="Cambria Math"/>
            <w:sz w:val="22"/>
            <w:szCs w:val="22"/>
          </w:rPr>
          <m:t>MAPE</m:t>
        </m:r>
        <m:r>
          <m:rPr>
            <m:sty m:val="p"/>
          </m:rPr>
          <w:rPr>
            <w:rFonts w:ascii="Cambria Math" w:hAnsi="Cambria Math"/>
            <w:sz w:val="22"/>
            <w:szCs w:val="22"/>
          </w:rPr>
          <m:t>=(</m:t>
        </m:r>
        <m:sSup>
          <m:sSupPr>
            <m:ctrlPr>
              <w:rPr>
                <w:rFonts w:ascii="Cambria Math" w:hAnsi="Cambria Math"/>
                <w:sz w:val="22"/>
                <w:szCs w:val="22"/>
              </w:rPr>
            </m:ctrlPr>
          </m:sSupPr>
          <m:e>
            <m:r>
              <w:rPr>
                <w:rFonts w:ascii="Cambria Math" w:hAnsi="Cambria Math"/>
                <w:sz w:val="22"/>
                <w:szCs w:val="22"/>
              </w:rPr>
              <m:t>e</m:t>
            </m:r>
          </m:e>
          <m:sup>
            <m:f>
              <m:fPr>
                <m:ctrlPr>
                  <w:rPr>
                    <w:rFonts w:ascii="Cambria Math" w:hAnsi="Cambria Math"/>
                    <w:sz w:val="22"/>
                    <w:szCs w:val="22"/>
                  </w:rPr>
                </m:ctrlPr>
              </m:fPr>
              <m:num>
                <m:r>
                  <m:rPr>
                    <m:sty m:val="p"/>
                  </m:rPr>
                  <w:rPr>
                    <w:rFonts w:ascii="Cambria Math" w:hAnsi="Cambria Math"/>
                    <w:sz w:val="22"/>
                    <w:szCs w:val="22"/>
                  </w:rPr>
                  <m:t>∑|</m:t>
                </m:r>
                <m:r>
                  <w:rPr>
                    <w:rFonts w:ascii="Cambria Math" w:hAnsi="Cambria Math"/>
                    <w:sz w:val="22"/>
                    <w:szCs w:val="22"/>
                  </w:rPr>
                  <m:t>log</m:t>
                </m:r>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λ</m:t>
                    </m:r>
                  </m:e>
                  <m:sub>
                    <m:r>
                      <w:rPr>
                        <w:rFonts w:ascii="Cambria Math" w:hAnsi="Cambria Math"/>
                        <w:sz w:val="22"/>
                        <w:szCs w:val="22"/>
                      </w:rPr>
                      <m:t>MOD</m:t>
                    </m:r>
                  </m:sub>
                </m:sSub>
                <m:r>
                  <m:rPr>
                    <m:sty m:val="p"/>
                  </m:rPr>
                  <w:rPr>
                    <w:rFonts w:ascii="Cambria Math" w:hAnsi="Cambria Math"/>
                    <w:sz w:val="22"/>
                    <w:szCs w:val="22"/>
                  </w:rPr>
                  <m:t>)-</m:t>
                </m:r>
                <m:r>
                  <w:rPr>
                    <w:rFonts w:ascii="Cambria Math" w:hAnsi="Cambria Math"/>
                    <w:sz w:val="22"/>
                    <w:szCs w:val="22"/>
                  </w:rPr>
                  <m:t>log</m:t>
                </m:r>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λ</m:t>
                    </m:r>
                  </m:e>
                  <m:sub>
                    <m:r>
                      <w:rPr>
                        <w:rFonts w:ascii="Cambria Math" w:hAnsi="Cambria Math"/>
                        <w:sz w:val="22"/>
                        <w:szCs w:val="22"/>
                      </w:rPr>
                      <m:t>OBS</m:t>
                    </m:r>
                  </m:sub>
                </m:sSub>
                <m:r>
                  <m:rPr>
                    <m:sty m:val="p"/>
                  </m:rPr>
                  <w:rPr>
                    <w:rFonts w:ascii="Cambria Math" w:hAnsi="Cambria Math"/>
                    <w:sz w:val="22"/>
                    <w:szCs w:val="22"/>
                  </w:rPr>
                  <m:t>)|</m:t>
                </m:r>
              </m:num>
              <m:den>
                <m:r>
                  <w:rPr>
                    <w:rFonts w:ascii="Cambria Math" w:hAnsi="Cambria Math"/>
                    <w:sz w:val="22"/>
                    <w:szCs w:val="22"/>
                  </w:rPr>
                  <m:t>n</m:t>
                </m:r>
              </m:den>
            </m:f>
          </m:sup>
        </m:sSup>
        <m:r>
          <m:rPr>
            <m:sty m:val="p"/>
          </m:rPr>
          <w:rPr>
            <w:rFonts w:ascii="Cambria Math" w:hAnsi="Cambria Math"/>
            <w:sz w:val="22"/>
            <w:szCs w:val="22"/>
          </w:rPr>
          <m:t>-</m:t>
        </m:r>
        <m:r>
          <w:rPr>
            <w:rFonts w:ascii="Cambria Math" w:hAnsi="Cambria Math"/>
            <w:sz w:val="22"/>
            <w:szCs w:val="22"/>
          </w:rPr>
          <m:t>1</m:t>
        </m:r>
        <m:r>
          <m:rPr>
            <m:sty m:val="p"/>
          </m:rPr>
          <w:rPr>
            <w:rFonts w:ascii="Cambria Math" w:hAnsi="Cambria Math"/>
            <w:sz w:val="22"/>
            <w:szCs w:val="22"/>
          </w:rPr>
          <m:t>)*</m:t>
        </m:r>
        <m:r>
          <m:rPr>
            <m:nor/>
          </m:rPr>
          <w:rPr>
            <w:sz w:val="22"/>
            <w:szCs w:val="22"/>
          </w:rPr>
          <m:t>100%</m:t>
        </m:r>
      </m:oMath>
      <w:r w:rsidRPr="006F5F00">
        <w:rPr>
          <w:rFonts w:eastAsia="Arial"/>
          <w:color w:val="000000"/>
          <w:sz w:val="22"/>
          <w:szCs w:val="22"/>
        </w:rPr>
        <w:t>. Thus, smaller MAPE indicates better concordance between MODEL and OBSERVED estimates.</w:t>
      </w:r>
    </w:p>
    <w:p w14:paraId="03E1930A" w14:textId="2C1AD55E"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In addition to using MAPE to compare growth rates, it is also useful to assess any bias between the MODEL outputs and the OBSERVED outputs. Here, the following equation was used:</w:t>
      </w:r>
    </w:p>
    <w:p w14:paraId="23E25A9A" w14:textId="7E1A885B" w:rsidR="00491210" w:rsidRPr="006F5F00" w:rsidRDefault="00EE200C" w:rsidP="00292F68">
      <w:pPr>
        <w:spacing w:before="240" w:after="240"/>
        <w:jc w:val="both"/>
        <w:rPr>
          <w:rFonts w:eastAsia="Arial"/>
          <w:color w:val="000000"/>
          <w:sz w:val="22"/>
          <w:szCs w:val="22"/>
        </w:rPr>
      </w:pPr>
      <m:oMath>
        <m:r>
          <w:rPr>
            <w:rFonts w:ascii="Cambria Math" w:hAnsi="Cambria Math"/>
            <w:sz w:val="22"/>
            <w:szCs w:val="22"/>
          </w:rPr>
          <m:t>BIAS</m:t>
        </m:r>
        <m:r>
          <m:rPr>
            <m:sty m:val="p"/>
          </m:rPr>
          <w:rPr>
            <w:rFonts w:ascii="Cambria Math" w:hAnsi="Cambria Math"/>
            <w:sz w:val="22"/>
            <w:szCs w:val="22"/>
          </w:rPr>
          <m:t>=(</m:t>
        </m:r>
        <m:sSup>
          <m:sSupPr>
            <m:ctrlPr>
              <w:rPr>
                <w:rFonts w:ascii="Cambria Math" w:hAnsi="Cambria Math"/>
                <w:sz w:val="22"/>
                <w:szCs w:val="22"/>
              </w:rPr>
            </m:ctrlPr>
          </m:sSupPr>
          <m:e>
            <m:r>
              <w:rPr>
                <w:rFonts w:ascii="Cambria Math" w:hAnsi="Cambria Math"/>
                <w:sz w:val="22"/>
                <w:szCs w:val="22"/>
              </w:rPr>
              <m:t>e</m:t>
            </m:r>
          </m:e>
          <m:sup>
            <m:f>
              <m:fPr>
                <m:ctrlPr>
                  <w:rPr>
                    <w:rFonts w:ascii="Cambria Math" w:hAnsi="Cambria Math"/>
                    <w:sz w:val="22"/>
                    <w:szCs w:val="22"/>
                  </w:rPr>
                </m:ctrlPr>
              </m:fPr>
              <m:num>
                <m:r>
                  <m:rPr>
                    <m:sty m:val="p"/>
                  </m:rPr>
                  <w:rPr>
                    <w:rFonts w:ascii="Cambria Math" w:hAnsi="Cambria Math"/>
                    <w:sz w:val="22"/>
                    <w:szCs w:val="22"/>
                  </w:rPr>
                  <m:t>∑</m:t>
                </m:r>
                <m:r>
                  <w:rPr>
                    <w:rFonts w:ascii="Cambria Math" w:hAnsi="Cambria Math"/>
                    <w:sz w:val="22"/>
                    <w:szCs w:val="22"/>
                  </w:rPr>
                  <m:t>log</m:t>
                </m:r>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λ</m:t>
                    </m:r>
                  </m:e>
                  <m:sub>
                    <m:r>
                      <w:rPr>
                        <w:rFonts w:ascii="Cambria Math" w:hAnsi="Cambria Math"/>
                        <w:sz w:val="22"/>
                        <w:szCs w:val="22"/>
                      </w:rPr>
                      <m:t>MOD</m:t>
                    </m:r>
                  </m:sub>
                </m:sSub>
                <m:r>
                  <m:rPr>
                    <m:sty m:val="p"/>
                  </m:rPr>
                  <w:rPr>
                    <w:rFonts w:ascii="Cambria Math" w:hAnsi="Cambria Math"/>
                    <w:sz w:val="22"/>
                    <w:szCs w:val="22"/>
                  </w:rPr>
                  <m:t>)-</m:t>
                </m:r>
                <m:r>
                  <w:rPr>
                    <w:rFonts w:ascii="Cambria Math" w:hAnsi="Cambria Math"/>
                    <w:sz w:val="22"/>
                    <w:szCs w:val="22"/>
                  </w:rPr>
                  <m:t>log</m:t>
                </m:r>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λ</m:t>
                    </m:r>
                  </m:e>
                  <m:sub>
                    <m:r>
                      <w:rPr>
                        <w:rFonts w:ascii="Cambria Math" w:hAnsi="Cambria Math"/>
                        <w:sz w:val="22"/>
                        <w:szCs w:val="22"/>
                      </w:rPr>
                      <m:t>OBS</m:t>
                    </m:r>
                  </m:sub>
                </m:sSub>
                <m:r>
                  <m:rPr>
                    <m:sty m:val="p"/>
                  </m:rPr>
                  <w:rPr>
                    <w:rFonts w:ascii="Cambria Math" w:hAnsi="Cambria Math"/>
                    <w:sz w:val="22"/>
                    <w:szCs w:val="22"/>
                  </w:rPr>
                  <m:t>)</m:t>
                </m:r>
              </m:num>
              <m:den>
                <m:r>
                  <w:rPr>
                    <w:rFonts w:ascii="Cambria Math" w:hAnsi="Cambria Math"/>
                    <w:sz w:val="22"/>
                    <w:szCs w:val="22"/>
                  </w:rPr>
                  <m:t>n</m:t>
                </m:r>
              </m:den>
            </m:f>
          </m:sup>
        </m:sSup>
        <m:r>
          <m:rPr>
            <m:sty m:val="p"/>
          </m:rPr>
          <w:rPr>
            <w:rFonts w:ascii="Cambria Math" w:hAnsi="Cambria Math"/>
            <w:sz w:val="22"/>
            <w:szCs w:val="22"/>
          </w:rPr>
          <m:t>-</m:t>
        </m:r>
        <m:r>
          <w:rPr>
            <w:rFonts w:ascii="Cambria Math" w:hAnsi="Cambria Math"/>
            <w:sz w:val="22"/>
            <w:szCs w:val="22"/>
          </w:rPr>
          <m:t>1</m:t>
        </m:r>
        <m:r>
          <m:rPr>
            <m:sty m:val="p"/>
          </m:rPr>
          <w:rPr>
            <w:rFonts w:ascii="Cambria Math" w:hAnsi="Cambria Math"/>
            <w:sz w:val="22"/>
            <w:szCs w:val="22"/>
          </w:rPr>
          <m:t>)*</m:t>
        </m:r>
        <m:r>
          <m:rPr>
            <m:nor/>
          </m:rPr>
          <w:rPr>
            <w:sz w:val="22"/>
            <w:szCs w:val="22"/>
          </w:rPr>
          <m:t>100%</m:t>
        </m:r>
      </m:oMath>
      <w:r w:rsidRPr="006F5F00">
        <w:rPr>
          <w:rFonts w:eastAsia="Arial"/>
          <w:color w:val="000000"/>
          <w:sz w:val="22"/>
          <w:szCs w:val="22"/>
        </w:rPr>
        <w:t>. This yielded the average percentage difference. The further away from 0, the larger the bias.</w:t>
      </w:r>
    </w:p>
    <w:p w14:paraId="3DBA7C45" w14:textId="52EF434E"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As a coarser metric, how well the model predicted directional changes in growth rates was assessed, in particular, the sensitivity of the MODEL to predict positive and negative growth rates. For every year, the proportion of times the MODEL data and OBSERVED data agreed was estimated. Perfect concordance would be 1.</w:t>
      </w:r>
    </w:p>
    <w:p w14:paraId="363E30FE" w14:textId="77777777" w:rsidR="00491210" w:rsidRPr="006F5F00" w:rsidRDefault="00EE200C" w:rsidP="0015103C">
      <w:pPr>
        <w:pStyle w:val="Heading4"/>
      </w:pPr>
      <w:r w:rsidRPr="006F5F00">
        <w:lastRenderedPageBreak/>
        <w:t>Incorporating uncertainty in estimates</w:t>
      </w:r>
    </w:p>
    <w:p w14:paraId="0AEA5685" w14:textId="4081725B"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A complicating component of the validation analysis is that there is uncertainty in all estimates. The population MODEL estimates are a distribution of estimates, not a single estimate. Similarly, growth rate estimates for ARI and NSW have uncertainty and are themselves distributions of possible values.</w:t>
      </w:r>
    </w:p>
    <w:p w14:paraId="5B05E26A" w14:textId="2465CD7A"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The approach taken here to incorporate this uncertainty was to obtain a distribution of the assessment metri</w:t>
      </w:r>
      <w:r>
        <w:rPr>
          <w:rFonts w:eastAsia="Arial"/>
          <w:color w:val="000000"/>
          <w:sz w:val="22"/>
          <w:szCs w:val="22"/>
        </w:rPr>
        <w:t>cs</w:t>
      </w:r>
      <w:r w:rsidRPr="006F5F00">
        <w:rPr>
          <w:rFonts w:eastAsia="Arial"/>
          <w:color w:val="000000"/>
          <w:sz w:val="22"/>
          <w:szCs w:val="22"/>
        </w:rPr>
        <w:t xml:space="preserve"> for each comparison. For the NSW data, 1000 iterations were randomly extracted from the Bayesian state model and paired with the 1000 model iterations. For each paired iteration, each assessment metric was calculated.</w:t>
      </w:r>
    </w:p>
    <w:p w14:paraId="0BCBDBE5" w14:textId="14F97332"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The same approach was repeated for the ARI datasets and the migration data, though each of these datasets had their own complications. For the ARI data, only standard errors for the growth rate estimates were available. It was assumed that each year growth rates were normally distributed according to the mean and standard error, and independent across years. One thousand iterations were randomly sampled and used as the input data. No uncertainty estimates for the ARI migration estimates were available, so we instead compared the ARI migration estimates with each MODEL iteration.</w:t>
      </w:r>
    </w:p>
    <w:p w14:paraId="26BF9C70" w14:textId="19A290BC"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 xml:space="preserve">The result was 1000 values of each assessment metric for each comparison. The median, 2.5% quantile, and 97.5% quantiles of these values were obtained. When presenting the results, the estimates were given as </w:t>
      </w:r>
      <w:bookmarkStart w:id="187" w:name="_Hlk117002270"/>
      <w:r w:rsidRPr="006F5F00">
        <w:rPr>
          <w:rFonts w:eastAsia="Arial"/>
          <w:color w:val="000000"/>
          <w:sz w:val="22"/>
          <w:szCs w:val="22"/>
        </w:rPr>
        <w:t>median values (2.5%, 97.5%).</w:t>
      </w:r>
      <w:bookmarkEnd w:id="187"/>
    </w:p>
    <w:p w14:paraId="1C082258" w14:textId="77777777" w:rsidR="00491210" w:rsidRPr="006F5F00" w:rsidRDefault="00EE200C" w:rsidP="0015103C">
      <w:pPr>
        <w:pStyle w:val="Heading4"/>
      </w:pPr>
      <w:r w:rsidRPr="006F5F00">
        <w:t>Presentation and interpretation of results</w:t>
      </w:r>
    </w:p>
    <w:p w14:paraId="7F1A5DA9" w14:textId="3170E791"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 xml:space="preserve">Assessing the results of model validation can be challenging, especially coming to a firm conclusion about whether a model is ‘validated’. This is very much the case here, given the complexity of the models and the uncertainties in the datasets available for the model validation (e.g. due to the influence of the variability in detection of fish in the NSW datasets). For this reason, we present the model validation results here in three ways. The first of these is a qualitative description of the population trends predicted by the MODEL, and those observed in the empirical OBSERVED data. The purpose of this qualitative description was to compare the broad patterns and </w:t>
      </w:r>
      <w:r w:rsidRPr="00953DF5">
        <w:rPr>
          <w:rFonts w:eastAsia="Arial"/>
          <w:color w:val="000000"/>
          <w:sz w:val="22"/>
          <w:szCs w:val="22"/>
        </w:rPr>
        <w:t xml:space="preserve">assess </w:t>
      </w:r>
      <w:r w:rsidRPr="006F5F00">
        <w:rPr>
          <w:rFonts w:eastAsia="Arial"/>
          <w:color w:val="000000"/>
          <w:sz w:val="22"/>
          <w:szCs w:val="22"/>
        </w:rPr>
        <w:t>the level of congruence between the patterns in the MODEL data</w:t>
      </w:r>
      <w:r w:rsidRPr="00953DF5">
        <w:rPr>
          <w:rFonts w:eastAsia="Arial"/>
          <w:color w:val="000000"/>
          <w:sz w:val="22"/>
          <w:szCs w:val="22"/>
        </w:rPr>
        <w:t>set</w:t>
      </w:r>
      <w:r w:rsidRPr="006F5F00">
        <w:rPr>
          <w:rFonts w:eastAsia="Arial"/>
          <w:color w:val="000000"/>
          <w:sz w:val="22"/>
          <w:szCs w:val="22"/>
        </w:rPr>
        <w:t xml:space="preserve"> and </w:t>
      </w:r>
      <w:r w:rsidRPr="00953DF5">
        <w:rPr>
          <w:rFonts w:eastAsia="Arial"/>
          <w:color w:val="000000"/>
          <w:sz w:val="22"/>
          <w:szCs w:val="22"/>
        </w:rPr>
        <w:t xml:space="preserve">those in </w:t>
      </w:r>
      <w:r w:rsidRPr="006F5F00">
        <w:rPr>
          <w:rFonts w:eastAsia="Arial"/>
          <w:color w:val="000000"/>
          <w:sz w:val="22"/>
          <w:szCs w:val="22"/>
        </w:rPr>
        <w:t>the OBSERVED data</w:t>
      </w:r>
      <w:r w:rsidRPr="00953DF5">
        <w:rPr>
          <w:rFonts w:eastAsia="Arial"/>
          <w:color w:val="000000"/>
          <w:sz w:val="22"/>
          <w:szCs w:val="22"/>
        </w:rPr>
        <w:t>set,</w:t>
      </w:r>
      <w:r w:rsidRPr="006F5F00">
        <w:rPr>
          <w:rFonts w:eastAsia="Arial"/>
          <w:color w:val="000000"/>
          <w:sz w:val="22"/>
          <w:szCs w:val="22"/>
        </w:rPr>
        <w:t xml:space="preserve"> and to highlight the locations where there is less or more congruence. The second component is a quantitative comparison based on the various metrics outlined in </w:t>
      </w:r>
      <w:r w:rsidRPr="00E2785E">
        <w:rPr>
          <w:rFonts w:eastAsia="Arial"/>
          <w:color w:val="000000"/>
          <w:sz w:val="22"/>
          <w:szCs w:val="22"/>
        </w:rPr>
        <w:fldChar w:fldCharType="begin"/>
      </w:r>
      <w:r w:rsidRPr="006F5F00">
        <w:rPr>
          <w:rFonts w:eastAsia="Arial"/>
          <w:color w:val="000000"/>
          <w:sz w:val="22"/>
          <w:szCs w:val="22"/>
        </w:rPr>
        <w:instrText xml:space="preserve"> REF _Ref107932308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Table </w:t>
      </w:r>
      <w:r w:rsidR="005B672A" w:rsidRPr="005B672A">
        <w:rPr>
          <w:noProof/>
          <w:sz w:val="22"/>
          <w:szCs w:val="22"/>
        </w:rPr>
        <w:t>6</w:t>
      </w:r>
      <w:r w:rsidRPr="00E2785E">
        <w:rPr>
          <w:rFonts w:eastAsia="Arial"/>
          <w:color w:val="000000"/>
          <w:sz w:val="22"/>
          <w:szCs w:val="22"/>
        </w:rPr>
        <w:fldChar w:fldCharType="end"/>
      </w:r>
      <w:r w:rsidRPr="006F5F00">
        <w:rPr>
          <w:rFonts w:eastAsia="Arial"/>
          <w:color w:val="000000"/>
          <w:sz w:val="22"/>
          <w:szCs w:val="22"/>
        </w:rPr>
        <w:t>. These comparisons have been used to add nuance to the qualitative description of the validation of the results, with the different metrics providing information about whether the MODEL dataset and the OBSERVED dataset differ in absolute or relative terms, or at the extremes. The third component is an assessment of the congruence (or lack of congruence) between the MODEL and OBSERVED datasets as a function of the hydrological conditions. The hydrological conditions considered here refer to the magnitudes of the difference in flow that are predicted between the lowest (i.e. Base case scenario) and the highest (i.e. Option 4) flow scenarios. This comparison allows us to assess how the MODEL dataset and OBSERVED dataset</w:t>
      </w:r>
      <w:r>
        <w:rPr>
          <w:rFonts w:eastAsia="Arial"/>
          <w:color w:val="000000"/>
          <w:sz w:val="22"/>
          <w:szCs w:val="22"/>
        </w:rPr>
        <w:t>s</w:t>
      </w:r>
      <w:r w:rsidRPr="006F5F00">
        <w:rPr>
          <w:rFonts w:eastAsia="Arial"/>
          <w:color w:val="000000"/>
          <w:sz w:val="22"/>
          <w:szCs w:val="22"/>
        </w:rPr>
        <w:t xml:space="preserve"> compare when we examine them across the hydrological conditions proposed under the RRCP. This final comparison was undertaken for the Yarrawonga</w:t>
      </w:r>
      <w:r>
        <w:rPr>
          <w:rFonts w:eastAsia="Arial"/>
          <w:color w:val="000000"/>
          <w:sz w:val="22"/>
          <w:szCs w:val="22"/>
        </w:rPr>
        <w:t xml:space="preserve"> </w:t>
      </w:r>
      <w:r w:rsidRPr="006F5F00">
        <w:rPr>
          <w:rFonts w:eastAsia="Arial"/>
          <w:color w:val="000000"/>
          <w:sz w:val="22"/>
          <w:szCs w:val="22"/>
        </w:rPr>
        <w:t>to</w:t>
      </w:r>
      <w:r>
        <w:rPr>
          <w:rFonts w:eastAsia="Arial"/>
          <w:color w:val="000000"/>
          <w:sz w:val="22"/>
          <w:szCs w:val="22"/>
        </w:rPr>
        <w:t xml:space="preserve"> </w:t>
      </w:r>
      <w:r w:rsidRPr="006F5F00">
        <w:rPr>
          <w:rFonts w:eastAsia="Arial"/>
          <w:color w:val="000000"/>
          <w:sz w:val="22"/>
          <w:szCs w:val="22"/>
        </w:rPr>
        <w:t>Torrumbarry reach, because this was the most comprehensively sampled reach (note, accounting to allow for detection variability was undertaken).</w:t>
      </w:r>
    </w:p>
    <w:p w14:paraId="2C8CCD80" w14:textId="65F8C6A5" w:rsidR="00491210" w:rsidRPr="006F5F00" w:rsidRDefault="00EE200C" w:rsidP="005F1F7F">
      <w:pPr>
        <w:pStyle w:val="Heading3-Numbered"/>
      </w:pPr>
      <w:bookmarkStart w:id="188" w:name="_Toc116994904"/>
      <w:r w:rsidRPr="006F5F00">
        <w:t>Validation results</w:t>
      </w:r>
      <w:bookmarkEnd w:id="188"/>
    </w:p>
    <w:p w14:paraId="65C00C67" w14:textId="571F419C" w:rsidR="00491210" w:rsidRPr="006F5F00" w:rsidRDefault="00EE200C" w:rsidP="0015103C">
      <w:pPr>
        <w:pStyle w:val="Heading4"/>
      </w:pPr>
      <w:r w:rsidRPr="006F5F00">
        <w:t>Golden Perch—population size and growth rate</w:t>
      </w:r>
    </w:p>
    <w:p w14:paraId="2DCBB374" w14:textId="46A88ED9"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The MODEL and ARI dataset showed similar changes in the size of Golden Perch populations through time in the Yarrawonga to Torrumbarry reach. Populations were generally small in the final years of the Millennium Drought (pre-2010), and both showed increases following 2010–2011 and 2016–2017, when flooding occurred (</w:t>
      </w:r>
      <w:r w:rsidRPr="00E2785E">
        <w:rPr>
          <w:rFonts w:eastAsia="Arial"/>
          <w:color w:val="000000"/>
          <w:sz w:val="22"/>
          <w:szCs w:val="22"/>
        </w:rPr>
        <w:fldChar w:fldCharType="begin"/>
      </w:r>
      <w:r w:rsidRPr="006F5F00">
        <w:rPr>
          <w:rFonts w:eastAsia="Arial"/>
          <w:color w:val="000000"/>
          <w:sz w:val="22"/>
          <w:szCs w:val="22"/>
        </w:rPr>
        <w:instrText xml:space="preserve"> REF _Ref107932864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48</w:t>
      </w:r>
      <w:r w:rsidRPr="00E2785E">
        <w:rPr>
          <w:rFonts w:eastAsia="Arial"/>
          <w:color w:val="000000"/>
          <w:sz w:val="22"/>
          <w:szCs w:val="22"/>
        </w:rPr>
        <w:fldChar w:fldCharType="end"/>
      </w:r>
      <w:r w:rsidRPr="006F5F00">
        <w:rPr>
          <w:rFonts w:eastAsia="Arial"/>
          <w:color w:val="000000"/>
          <w:sz w:val="22"/>
          <w:szCs w:val="22"/>
        </w:rPr>
        <w:t xml:space="preserve">B). The MODEL had lagged peaks though, compared with the ARI data, which sharply peaked and slowly declined. The temporal misalignment can be </w:t>
      </w:r>
      <w:r w:rsidRPr="006F5F00">
        <w:rPr>
          <w:rFonts w:eastAsia="Arial"/>
          <w:color w:val="000000"/>
          <w:sz w:val="22"/>
          <w:szCs w:val="22"/>
        </w:rPr>
        <w:lastRenderedPageBreak/>
        <w:t>seen more clearly by looking directly at the population growth rates (</w:t>
      </w:r>
      <w:r w:rsidRPr="00E2785E">
        <w:rPr>
          <w:rFonts w:eastAsia="Arial"/>
          <w:color w:val="000000"/>
          <w:sz w:val="22"/>
          <w:szCs w:val="22"/>
        </w:rPr>
        <w:fldChar w:fldCharType="begin"/>
      </w:r>
      <w:r w:rsidRPr="006F5F00">
        <w:rPr>
          <w:rFonts w:eastAsia="Arial"/>
          <w:color w:val="000000"/>
          <w:sz w:val="22"/>
          <w:szCs w:val="22"/>
        </w:rPr>
        <w:instrText xml:space="preserve"> REF _Ref107932864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48</w:t>
      </w:r>
      <w:r w:rsidRPr="00E2785E">
        <w:rPr>
          <w:rFonts w:eastAsia="Arial"/>
          <w:color w:val="000000"/>
          <w:sz w:val="22"/>
          <w:szCs w:val="22"/>
        </w:rPr>
        <w:fldChar w:fldCharType="end"/>
      </w:r>
      <w:r w:rsidRPr="006F5F00">
        <w:rPr>
          <w:rFonts w:eastAsia="Arial"/>
          <w:color w:val="000000"/>
          <w:sz w:val="22"/>
          <w:szCs w:val="22"/>
        </w:rPr>
        <w:t xml:space="preserve">C and D). For 2011 and 2017, both datasets had positive growth rates, but the ARI growth rates were substantially higher (e.g. both estimates are above the 1:1 line in </w:t>
      </w:r>
      <w:r w:rsidRPr="00E2785E">
        <w:rPr>
          <w:rFonts w:eastAsia="Arial"/>
          <w:color w:val="000000"/>
          <w:sz w:val="22"/>
          <w:szCs w:val="22"/>
        </w:rPr>
        <w:fldChar w:fldCharType="begin"/>
      </w:r>
      <w:r w:rsidRPr="006F5F00">
        <w:rPr>
          <w:rFonts w:eastAsia="Arial"/>
          <w:color w:val="000000"/>
          <w:sz w:val="22"/>
          <w:szCs w:val="22"/>
        </w:rPr>
        <w:instrText xml:space="preserve"> REF _Ref107932864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48</w:t>
      </w:r>
      <w:r w:rsidRPr="00E2785E">
        <w:rPr>
          <w:rFonts w:eastAsia="Arial"/>
          <w:color w:val="000000"/>
          <w:sz w:val="22"/>
          <w:szCs w:val="22"/>
        </w:rPr>
        <w:fldChar w:fldCharType="end"/>
      </w:r>
      <w:r w:rsidRPr="006F5F00">
        <w:rPr>
          <w:rFonts w:eastAsia="Arial"/>
          <w:color w:val="000000"/>
          <w:sz w:val="22"/>
          <w:szCs w:val="22"/>
        </w:rPr>
        <w:t>D). In contrast, the MODEL predicted positive growth rates in 2012 and 2013, but corresponding declines were observed in the ARI dataset. These growth rate discrepancies are reflected in the high MAPE values and the lack of apparent BIAS (</w:t>
      </w:r>
      <w:r w:rsidRPr="00E2785E">
        <w:rPr>
          <w:rFonts w:eastAsia="Arial"/>
          <w:color w:val="000000"/>
          <w:sz w:val="22"/>
          <w:szCs w:val="22"/>
        </w:rPr>
        <w:fldChar w:fldCharType="begin"/>
      </w:r>
      <w:r w:rsidRPr="006F5F00">
        <w:rPr>
          <w:rFonts w:eastAsia="Arial"/>
          <w:color w:val="000000"/>
          <w:sz w:val="22"/>
          <w:szCs w:val="22"/>
        </w:rPr>
        <w:instrText xml:space="preserve"> REF _Ref107994642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Table </w:t>
      </w:r>
      <w:r w:rsidR="005B672A" w:rsidRPr="005B672A">
        <w:rPr>
          <w:noProof/>
          <w:sz w:val="22"/>
          <w:szCs w:val="22"/>
        </w:rPr>
        <w:t>7</w:t>
      </w:r>
      <w:r w:rsidRPr="00E2785E">
        <w:rPr>
          <w:rFonts w:eastAsia="Arial"/>
          <w:color w:val="000000"/>
          <w:sz w:val="22"/>
          <w:szCs w:val="22"/>
        </w:rPr>
        <w:fldChar w:fldCharType="end"/>
      </w:r>
      <w:r w:rsidRPr="006F5F00">
        <w:rPr>
          <w:rFonts w:eastAsia="Arial"/>
          <w:color w:val="000000"/>
          <w:sz w:val="22"/>
          <w:szCs w:val="22"/>
        </w:rPr>
        <w:t>).</w:t>
      </w:r>
    </w:p>
    <w:p w14:paraId="062A2D2B" w14:textId="6517F93E"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The NSW dataset for the Yarrawonga</w:t>
      </w:r>
      <w:r>
        <w:rPr>
          <w:rFonts w:eastAsia="Arial"/>
          <w:color w:val="000000"/>
          <w:sz w:val="22"/>
          <w:szCs w:val="22"/>
        </w:rPr>
        <w:t xml:space="preserve"> </w:t>
      </w:r>
      <w:r w:rsidRPr="006F5F00">
        <w:rPr>
          <w:rFonts w:eastAsia="Arial"/>
          <w:color w:val="000000"/>
          <w:sz w:val="22"/>
          <w:szCs w:val="22"/>
        </w:rPr>
        <w:t>to</w:t>
      </w:r>
      <w:r>
        <w:rPr>
          <w:rFonts w:eastAsia="Arial"/>
          <w:color w:val="000000"/>
          <w:sz w:val="22"/>
          <w:szCs w:val="22"/>
        </w:rPr>
        <w:t xml:space="preserve"> </w:t>
      </w:r>
      <w:r w:rsidRPr="006F5F00">
        <w:rPr>
          <w:rFonts w:eastAsia="Arial"/>
          <w:color w:val="000000"/>
          <w:sz w:val="22"/>
          <w:szCs w:val="22"/>
        </w:rPr>
        <w:t>Torrumbarry reach (</w:t>
      </w:r>
      <w:r w:rsidRPr="00E2785E">
        <w:rPr>
          <w:rFonts w:eastAsia="Arial"/>
          <w:color w:val="000000"/>
          <w:sz w:val="22"/>
          <w:szCs w:val="22"/>
        </w:rPr>
        <w:fldChar w:fldCharType="begin"/>
      </w:r>
      <w:r w:rsidRPr="006F5F00">
        <w:rPr>
          <w:rFonts w:eastAsia="Arial"/>
          <w:color w:val="000000"/>
          <w:sz w:val="22"/>
          <w:szCs w:val="22"/>
        </w:rPr>
        <w:instrText xml:space="preserve"> REF _Ref108002987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49</w:t>
      </w:r>
      <w:r w:rsidRPr="00E2785E">
        <w:rPr>
          <w:rFonts w:eastAsia="Arial"/>
          <w:color w:val="000000"/>
          <w:sz w:val="22"/>
          <w:szCs w:val="22"/>
        </w:rPr>
        <w:fldChar w:fldCharType="end"/>
      </w:r>
      <w:r w:rsidRPr="006F5F00">
        <w:rPr>
          <w:rFonts w:eastAsia="Arial"/>
          <w:color w:val="000000"/>
          <w:sz w:val="22"/>
          <w:szCs w:val="22"/>
        </w:rPr>
        <w:t>C) was also broadly consistent with the MODEL, with the lowest population size observed in 2011, and larger population sizes in other years where data was available (2013–2014, 2016–2018). There were strong correlations between the MODEL and the OBSERVED NSW datasets, but the uncertainty was high (e.g. the median Pearson’s correlation was 0.55, but the 95% CI was –0.49 to 0.93), which reflects the smaller number of samples available in the NSW dataset than in the ARI dataset.</w:t>
      </w:r>
    </w:p>
    <w:p w14:paraId="192DDAC9" w14:textId="3F786F1E"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In the Lower Darling (</w:t>
      </w:r>
      <w:r w:rsidRPr="00953DF5">
        <w:rPr>
          <w:rFonts w:eastAsia="Arial"/>
          <w:color w:val="000000"/>
          <w:sz w:val="22"/>
          <w:szCs w:val="22"/>
        </w:rPr>
        <w:fldChar w:fldCharType="begin"/>
      </w:r>
      <w:r w:rsidRPr="00953DF5">
        <w:rPr>
          <w:rFonts w:eastAsia="Arial"/>
          <w:color w:val="000000"/>
          <w:sz w:val="22"/>
          <w:szCs w:val="22"/>
        </w:rPr>
        <w:instrText xml:space="preserve"> REF _Ref108002987 \h  \* MERGEFORMAT </w:instrText>
      </w:r>
      <w:r w:rsidRPr="00953DF5">
        <w:rPr>
          <w:rFonts w:eastAsia="Arial"/>
          <w:color w:val="000000"/>
          <w:sz w:val="22"/>
          <w:szCs w:val="22"/>
        </w:rPr>
      </w:r>
      <w:r w:rsidRPr="00953DF5">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49</w:t>
      </w:r>
      <w:r w:rsidRPr="00953DF5">
        <w:rPr>
          <w:rFonts w:eastAsia="Arial"/>
          <w:color w:val="000000"/>
          <w:sz w:val="22"/>
          <w:szCs w:val="22"/>
        </w:rPr>
        <w:fldChar w:fldCharType="end"/>
      </w:r>
      <w:r w:rsidRPr="006F5F00">
        <w:rPr>
          <w:rFonts w:eastAsia="Arial"/>
          <w:color w:val="000000"/>
          <w:sz w:val="22"/>
          <w:szCs w:val="22"/>
        </w:rPr>
        <w:t xml:space="preserve">D and </w:t>
      </w:r>
      <w:r w:rsidRPr="00E2785E">
        <w:rPr>
          <w:rFonts w:eastAsia="Arial"/>
          <w:color w:val="000000"/>
          <w:sz w:val="22"/>
          <w:szCs w:val="22"/>
        </w:rPr>
        <w:fldChar w:fldCharType="begin"/>
      </w:r>
      <w:r w:rsidRPr="006F5F00">
        <w:rPr>
          <w:rFonts w:eastAsia="Arial"/>
          <w:color w:val="000000"/>
          <w:sz w:val="22"/>
          <w:szCs w:val="22"/>
        </w:rPr>
        <w:instrText xml:space="preserve"> REF _Ref108004263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50</w:t>
      </w:r>
      <w:r w:rsidRPr="00E2785E">
        <w:rPr>
          <w:rFonts w:eastAsia="Arial"/>
          <w:color w:val="000000"/>
          <w:sz w:val="22"/>
          <w:szCs w:val="22"/>
        </w:rPr>
        <w:fldChar w:fldCharType="end"/>
      </w:r>
      <w:r w:rsidRPr="006F5F00">
        <w:rPr>
          <w:rFonts w:eastAsia="Arial"/>
          <w:color w:val="000000"/>
          <w:sz w:val="22"/>
          <w:szCs w:val="22"/>
        </w:rPr>
        <w:t>D), both the MODEL and NSW datasets showed a similar pattern of decreases (MODEL: 2000–2011; NSW: 2007–2008), followed by increases (MODEL: 2012–2013; NSW: 2009–2012). However, as the dates above indicate, there appears to be some temporal misalignment. Both correlation estimates suggested high congruence (~0.66). There was good accordance in the growth rates (</w:t>
      </w:r>
      <w:r w:rsidRPr="00E2785E">
        <w:rPr>
          <w:rFonts w:eastAsia="Arial"/>
          <w:color w:val="000000"/>
          <w:sz w:val="22"/>
          <w:szCs w:val="22"/>
        </w:rPr>
        <w:fldChar w:fldCharType="begin"/>
      </w:r>
      <w:r w:rsidRPr="006F5F00">
        <w:rPr>
          <w:rFonts w:eastAsia="Arial"/>
          <w:color w:val="000000"/>
          <w:sz w:val="22"/>
          <w:szCs w:val="22"/>
        </w:rPr>
        <w:instrText xml:space="preserve"> REF _Ref108004263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50</w:t>
      </w:r>
      <w:r w:rsidRPr="00E2785E">
        <w:rPr>
          <w:rFonts w:eastAsia="Arial"/>
          <w:color w:val="000000"/>
          <w:sz w:val="22"/>
          <w:szCs w:val="22"/>
        </w:rPr>
        <w:fldChar w:fldCharType="end"/>
      </w:r>
      <w:r w:rsidRPr="006F5F00">
        <w:rPr>
          <w:rFonts w:eastAsia="Arial"/>
          <w:color w:val="000000"/>
          <w:sz w:val="22"/>
          <w:szCs w:val="22"/>
        </w:rPr>
        <w:t>D</w:t>
      </w:r>
      <w:r w:rsidRPr="006F5F00">
        <w:rPr>
          <w:rStyle w:val="CommentReference"/>
        </w:rPr>
        <w:t xml:space="preserve"> </w:t>
      </w:r>
      <w:r w:rsidRPr="006F5F00">
        <w:rPr>
          <w:rFonts w:eastAsia="Arial"/>
          <w:color w:val="000000"/>
          <w:sz w:val="22"/>
          <w:szCs w:val="22"/>
        </w:rPr>
        <w:t>aligning along the 1:1 line), although the MODEL-predicted growth rate in 2012 was much higher than the OBSERVED growth rate. This mismatch in 2012 resulted in a MAPE higher than that for the Yarrawonga</w:t>
      </w:r>
      <w:r>
        <w:rPr>
          <w:rFonts w:eastAsia="Arial"/>
          <w:color w:val="000000"/>
          <w:sz w:val="22"/>
          <w:szCs w:val="22"/>
        </w:rPr>
        <w:t xml:space="preserve"> </w:t>
      </w:r>
      <w:r w:rsidRPr="006F5F00">
        <w:rPr>
          <w:rFonts w:eastAsia="Arial"/>
          <w:color w:val="000000"/>
          <w:sz w:val="22"/>
          <w:szCs w:val="22"/>
        </w:rPr>
        <w:t>to</w:t>
      </w:r>
      <w:r>
        <w:rPr>
          <w:rFonts w:eastAsia="Arial"/>
          <w:color w:val="000000"/>
          <w:sz w:val="22"/>
          <w:szCs w:val="22"/>
        </w:rPr>
        <w:t xml:space="preserve"> </w:t>
      </w:r>
      <w:r w:rsidRPr="006F5F00">
        <w:rPr>
          <w:rFonts w:eastAsia="Arial"/>
          <w:color w:val="000000"/>
          <w:sz w:val="22"/>
          <w:szCs w:val="22"/>
        </w:rPr>
        <w:t>Torrumbarry reach, at ~60%. It should be noted that the NSW dataset only had data for three of the seven sites for 2012, resulting in a higher MAPE (~60%) than in the Yarrawonga</w:t>
      </w:r>
      <w:r>
        <w:rPr>
          <w:rFonts w:eastAsia="Arial"/>
          <w:color w:val="000000"/>
          <w:sz w:val="22"/>
          <w:szCs w:val="22"/>
        </w:rPr>
        <w:t xml:space="preserve"> </w:t>
      </w:r>
      <w:r w:rsidRPr="006F5F00">
        <w:rPr>
          <w:rFonts w:eastAsia="Arial"/>
          <w:color w:val="000000"/>
          <w:sz w:val="22"/>
          <w:szCs w:val="22"/>
        </w:rPr>
        <w:t>to</w:t>
      </w:r>
      <w:r>
        <w:rPr>
          <w:rFonts w:eastAsia="Arial"/>
          <w:color w:val="000000"/>
          <w:sz w:val="22"/>
          <w:szCs w:val="22"/>
        </w:rPr>
        <w:t xml:space="preserve"> </w:t>
      </w:r>
      <w:r w:rsidRPr="006F5F00">
        <w:rPr>
          <w:rFonts w:eastAsia="Arial"/>
          <w:color w:val="000000"/>
          <w:sz w:val="22"/>
          <w:szCs w:val="22"/>
        </w:rPr>
        <w:t>Torrumbarry reach, i.e. a higher uncertainty in the abundance and growth rate estimates for that year. Length–frequency histograms suggested that recruits were still entering the adult population in 2012 (</w:t>
      </w:r>
      <w:r w:rsidRPr="00E2785E">
        <w:rPr>
          <w:rFonts w:eastAsia="Arial"/>
          <w:color w:val="000000"/>
          <w:sz w:val="22"/>
          <w:szCs w:val="22"/>
        </w:rPr>
        <w:fldChar w:fldCharType="begin"/>
      </w:r>
      <w:r w:rsidRPr="006F5F00">
        <w:rPr>
          <w:rFonts w:eastAsia="Arial"/>
          <w:color w:val="000000"/>
          <w:sz w:val="22"/>
          <w:szCs w:val="22"/>
        </w:rPr>
        <w:instrText xml:space="preserve"> REF _Ref108004463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Figure A6.3</w:t>
      </w:r>
      <w:r w:rsidRPr="00E2785E">
        <w:rPr>
          <w:rFonts w:eastAsia="Arial"/>
          <w:color w:val="000000"/>
          <w:sz w:val="22"/>
          <w:szCs w:val="22"/>
        </w:rPr>
        <w:fldChar w:fldCharType="end"/>
      </w:r>
      <w:r w:rsidRPr="006F5F00">
        <w:rPr>
          <w:rFonts w:eastAsia="Arial"/>
          <w:color w:val="000000"/>
          <w:sz w:val="22"/>
          <w:szCs w:val="22"/>
        </w:rPr>
        <w:t>).</w:t>
      </w:r>
    </w:p>
    <w:p w14:paraId="7FD29E14" w14:textId="228EC5B1"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The most striking qualitative differences in population sizes were observed in the Edward River (</w:t>
      </w:r>
      <w:r w:rsidRPr="00953DF5">
        <w:rPr>
          <w:rFonts w:eastAsia="Arial"/>
          <w:color w:val="000000"/>
          <w:sz w:val="22"/>
          <w:szCs w:val="22"/>
        </w:rPr>
        <w:fldChar w:fldCharType="begin"/>
      </w:r>
      <w:r w:rsidRPr="00953DF5">
        <w:rPr>
          <w:rFonts w:eastAsia="Arial"/>
          <w:color w:val="000000"/>
          <w:sz w:val="22"/>
          <w:szCs w:val="22"/>
        </w:rPr>
        <w:instrText xml:space="preserve"> REF _Ref108002987 \h  \* MERGEFORMAT </w:instrText>
      </w:r>
      <w:r w:rsidRPr="00953DF5">
        <w:rPr>
          <w:rFonts w:eastAsia="Arial"/>
          <w:color w:val="000000"/>
          <w:sz w:val="22"/>
          <w:szCs w:val="22"/>
        </w:rPr>
      </w:r>
      <w:r w:rsidRPr="00953DF5">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49</w:t>
      </w:r>
      <w:r w:rsidRPr="00953DF5">
        <w:rPr>
          <w:rFonts w:eastAsia="Arial"/>
          <w:color w:val="000000"/>
          <w:sz w:val="22"/>
          <w:szCs w:val="22"/>
        </w:rPr>
        <w:fldChar w:fldCharType="end"/>
      </w:r>
      <w:r w:rsidRPr="006F5F00">
        <w:rPr>
          <w:rFonts w:eastAsia="Arial"/>
          <w:color w:val="000000"/>
          <w:sz w:val="22"/>
          <w:szCs w:val="22"/>
        </w:rPr>
        <w:t xml:space="preserve">E and </w:t>
      </w:r>
      <w:r w:rsidRPr="00E2785E">
        <w:rPr>
          <w:rFonts w:eastAsia="Arial"/>
          <w:color w:val="000000"/>
          <w:sz w:val="22"/>
          <w:szCs w:val="22"/>
        </w:rPr>
        <w:fldChar w:fldCharType="begin"/>
      </w:r>
      <w:r w:rsidRPr="006F5F00">
        <w:rPr>
          <w:rFonts w:eastAsia="Arial"/>
          <w:color w:val="000000"/>
          <w:sz w:val="22"/>
          <w:szCs w:val="22"/>
        </w:rPr>
        <w:instrText xml:space="preserve"> REF _Ref108004263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50</w:t>
      </w:r>
      <w:r w:rsidRPr="00E2785E">
        <w:rPr>
          <w:rFonts w:eastAsia="Arial"/>
          <w:color w:val="000000"/>
          <w:sz w:val="22"/>
          <w:szCs w:val="22"/>
        </w:rPr>
        <w:fldChar w:fldCharType="end"/>
      </w:r>
      <w:r w:rsidRPr="006F5F00">
        <w:rPr>
          <w:rFonts w:eastAsia="Arial"/>
          <w:color w:val="000000"/>
          <w:sz w:val="22"/>
          <w:szCs w:val="22"/>
        </w:rPr>
        <w:t>E). The MODEL predicted a decrease in population size in 2012–2015, and the population size also decreased in the NSW OBSERVED datasets. However, post-2015, the MODEL predicted an increase in population size, whereas a decrease was observed in the NSW OBSERVED datasets. All assessment metri</w:t>
      </w:r>
      <w:r>
        <w:rPr>
          <w:rFonts w:eastAsia="Arial"/>
          <w:color w:val="000000"/>
          <w:sz w:val="22"/>
          <w:szCs w:val="22"/>
        </w:rPr>
        <w:t>cs</w:t>
      </w:r>
      <w:r w:rsidRPr="006F5F00">
        <w:rPr>
          <w:rFonts w:eastAsia="Arial"/>
          <w:color w:val="000000"/>
          <w:sz w:val="22"/>
          <w:szCs w:val="22"/>
        </w:rPr>
        <w:t xml:space="preserve"> reflected these mismatches between the MODEL predictions and the NSW data: low correlation, high MAPE, likely bias with the MODEL predictions, and low percentage of alignment in the direction of the population growth rate (</w:t>
      </w:r>
      <w:r w:rsidRPr="00E2785E">
        <w:rPr>
          <w:rFonts w:eastAsia="Arial"/>
          <w:color w:val="000000"/>
          <w:sz w:val="22"/>
          <w:szCs w:val="22"/>
        </w:rPr>
        <w:fldChar w:fldCharType="begin"/>
      </w:r>
      <w:r w:rsidRPr="006F5F00">
        <w:rPr>
          <w:rFonts w:eastAsia="Arial"/>
          <w:color w:val="000000"/>
          <w:sz w:val="22"/>
          <w:szCs w:val="22"/>
        </w:rPr>
        <w:instrText xml:space="preserve"> REF _Ref107994642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Table </w:t>
      </w:r>
      <w:r w:rsidR="005B672A" w:rsidRPr="005B672A">
        <w:rPr>
          <w:noProof/>
          <w:sz w:val="22"/>
          <w:szCs w:val="22"/>
        </w:rPr>
        <w:t>7</w:t>
      </w:r>
      <w:r w:rsidRPr="00E2785E">
        <w:rPr>
          <w:rFonts w:eastAsia="Arial"/>
          <w:color w:val="000000"/>
          <w:sz w:val="22"/>
          <w:szCs w:val="22"/>
        </w:rPr>
        <w:fldChar w:fldCharType="end"/>
      </w:r>
      <w:r w:rsidRPr="006F5F00">
        <w:rPr>
          <w:rFonts w:eastAsia="Arial"/>
          <w:color w:val="000000"/>
          <w:sz w:val="22"/>
          <w:szCs w:val="22"/>
        </w:rPr>
        <w:t>).</w:t>
      </w:r>
    </w:p>
    <w:p w14:paraId="4E074EFD" w14:textId="6BE9EA72"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In the Gundagai</w:t>
      </w:r>
      <w:r>
        <w:rPr>
          <w:rFonts w:eastAsia="Arial"/>
          <w:color w:val="000000"/>
          <w:sz w:val="22"/>
          <w:szCs w:val="22"/>
        </w:rPr>
        <w:t xml:space="preserve"> </w:t>
      </w:r>
      <w:r w:rsidRPr="006F5F00">
        <w:rPr>
          <w:rFonts w:eastAsia="Arial"/>
          <w:color w:val="000000"/>
          <w:sz w:val="22"/>
          <w:szCs w:val="22"/>
        </w:rPr>
        <w:t>to</w:t>
      </w:r>
      <w:r>
        <w:rPr>
          <w:rFonts w:eastAsia="Arial"/>
          <w:color w:val="000000"/>
          <w:sz w:val="22"/>
          <w:szCs w:val="22"/>
        </w:rPr>
        <w:t xml:space="preserve"> </w:t>
      </w:r>
      <w:r w:rsidRPr="006F5F00">
        <w:rPr>
          <w:rFonts w:eastAsia="Arial"/>
          <w:color w:val="000000"/>
          <w:sz w:val="22"/>
          <w:szCs w:val="22"/>
        </w:rPr>
        <w:t>Hay Reach (</w:t>
      </w:r>
      <w:r w:rsidRPr="00953DF5">
        <w:rPr>
          <w:rFonts w:eastAsia="Arial"/>
          <w:color w:val="000000"/>
          <w:sz w:val="22"/>
          <w:szCs w:val="22"/>
        </w:rPr>
        <w:fldChar w:fldCharType="begin"/>
      </w:r>
      <w:r w:rsidRPr="00953DF5">
        <w:rPr>
          <w:rFonts w:eastAsia="Arial"/>
          <w:color w:val="000000"/>
          <w:sz w:val="22"/>
          <w:szCs w:val="22"/>
        </w:rPr>
        <w:instrText xml:space="preserve"> REF _Ref108002987 \h  \* MERGEFORMAT </w:instrText>
      </w:r>
      <w:r w:rsidRPr="00953DF5">
        <w:rPr>
          <w:rFonts w:eastAsia="Arial"/>
          <w:color w:val="000000"/>
          <w:sz w:val="22"/>
          <w:szCs w:val="22"/>
        </w:rPr>
      </w:r>
      <w:r w:rsidRPr="00953DF5">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49</w:t>
      </w:r>
      <w:r w:rsidRPr="00953DF5">
        <w:rPr>
          <w:rFonts w:eastAsia="Arial"/>
          <w:color w:val="000000"/>
          <w:sz w:val="22"/>
          <w:szCs w:val="22"/>
        </w:rPr>
        <w:fldChar w:fldCharType="end"/>
      </w:r>
      <w:r w:rsidRPr="006F5F00">
        <w:rPr>
          <w:rFonts w:eastAsia="Arial"/>
          <w:color w:val="000000"/>
          <w:sz w:val="22"/>
          <w:szCs w:val="22"/>
        </w:rPr>
        <w:t xml:space="preserve">F and </w:t>
      </w:r>
      <w:r w:rsidRPr="00E2785E">
        <w:rPr>
          <w:rFonts w:eastAsia="Arial"/>
          <w:color w:val="000000"/>
          <w:sz w:val="22"/>
          <w:szCs w:val="22"/>
        </w:rPr>
        <w:fldChar w:fldCharType="begin"/>
      </w:r>
      <w:r w:rsidRPr="006F5F00">
        <w:rPr>
          <w:rFonts w:eastAsia="Arial"/>
          <w:color w:val="000000"/>
          <w:sz w:val="22"/>
          <w:szCs w:val="22"/>
        </w:rPr>
        <w:instrText xml:space="preserve"> REF _Ref108004263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50</w:t>
      </w:r>
      <w:r w:rsidRPr="00E2785E">
        <w:rPr>
          <w:rFonts w:eastAsia="Arial"/>
          <w:color w:val="000000"/>
          <w:sz w:val="22"/>
          <w:szCs w:val="22"/>
        </w:rPr>
        <w:fldChar w:fldCharType="end"/>
      </w:r>
      <w:r w:rsidRPr="006F5F00">
        <w:rPr>
          <w:rFonts w:eastAsia="Arial"/>
          <w:color w:val="000000"/>
          <w:sz w:val="22"/>
          <w:szCs w:val="22"/>
        </w:rPr>
        <w:t>F), the MODEL predicted a decline over the years 2000–2010, before an increase in 2010–2011 and higher population sizes post-2011. In comparison, the NSW OBSERVED datasets show a relatively consistent increase from 2005. Correlations were ~0.5–0.6 (</w:t>
      </w:r>
      <w:r w:rsidRPr="00E2785E">
        <w:rPr>
          <w:rFonts w:eastAsia="Arial"/>
          <w:color w:val="000000"/>
          <w:sz w:val="22"/>
          <w:szCs w:val="22"/>
        </w:rPr>
        <w:fldChar w:fldCharType="begin"/>
      </w:r>
      <w:r w:rsidRPr="006F5F00">
        <w:rPr>
          <w:rFonts w:eastAsia="Arial"/>
          <w:color w:val="000000"/>
          <w:sz w:val="22"/>
          <w:szCs w:val="22"/>
        </w:rPr>
        <w:instrText xml:space="preserve"> REF _Ref107932308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Table </w:t>
      </w:r>
      <w:r w:rsidR="005B672A" w:rsidRPr="005B672A">
        <w:rPr>
          <w:noProof/>
          <w:sz w:val="22"/>
          <w:szCs w:val="22"/>
        </w:rPr>
        <w:t>6</w:t>
      </w:r>
      <w:r w:rsidRPr="00E2785E">
        <w:rPr>
          <w:rFonts w:eastAsia="Arial"/>
          <w:color w:val="000000"/>
          <w:sz w:val="22"/>
          <w:szCs w:val="22"/>
        </w:rPr>
        <w:fldChar w:fldCharType="end"/>
      </w:r>
      <w:r w:rsidRPr="006F5F00">
        <w:rPr>
          <w:rFonts w:eastAsia="Arial"/>
          <w:color w:val="000000"/>
          <w:sz w:val="22"/>
          <w:szCs w:val="22"/>
        </w:rPr>
        <w:t>), which were driven by smaller population sizes during the drought, and increases afterwards. Both the MODEL and NSW OBVSERVED data captured these general patterns, but there was a lack of association in the growth rates (</w:t>
      </w:r>
      <w:r w:rsidRPr="00E2785E">
        <w:rPr>
          <w:rFonts w:eastAsia="Arial"/>
          <w:color w:val="000000"/>
          <w:sz w:val="22"/>
          <w:szCs w:val="22"/>
        </w:rPr>
        <w:fldChar w:fldCharType="begin"/>
      </w:r>
      <w:r w:rsidRPr="006F5F00">
        <w:rPr>
          <w:rFonts w:eastAsia="Arial"/>
          <w:color w:val="000000"/>
          <w:sz w:val="22"/>
          <w:szCs w:val="22"/>
        </w:rPr>
        <w:instrText xml:space="preserve"> REF _Ref108004263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50</w:t>
      </w:r>
      <w:r w:rsidRPr="00E2785E">
        <w:rPr>
          <w:rFonts w:eastAsia="Arial"/>
          <w:color w:val="000000"/>
          <w:sz w:val="22"/>
          <w:szCs w:val="22"/>
        </w:rPr>
        <w:fldChar w:fldCharType="end"/>
      </w:r>
      <w:r w:rsidRPr="006F5F00">
        <w:rPr>
          <w:rFonts w:eastAsia="Arial"/>
          <w:color w:val="000000"/>
          <w:sz w:val="22"/>
          <w:szCs w:val="22"/>
        </w:rPr>
        <w:t>), as reflected in the high MAPE. In particular, 2011 was an extreme outlier, with the MODEL predicting a &gt;100-fold increase, while little change in population size was observed in the NSW OBSERVED data.</w:t>
      </w:r>
    </w:p>
    <w:p w14:paraId="37F9B68B" w14:textId="3AC8AFB1"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In the Lower Murray (</w:t>
      </w:r>
      <w:r w:rsidRPr="00953DF5">
        <w:rPr>
          <w:rFonts w:eastAsia="Arial"/>
          <w:color w:val="000000"/>
          <w:sz w:val="22"/>
          <w:szCs w:val="22"/>
        </w:rPr>
        <w:fldChar w:fldCharType="begin"/>
      </w:r>
      <w:r w:rsidRPr="00953DF5">
        <w:rPr>
          <w:rFonts w:eastAsia="Arial"/>
          <w:color w:val="000000"/>
          <w:sz w:val="22"/>
          <w:szCs w:val="22"/>
        </w:rPr>
        <w:instrText xml:space="preserve"> REF _Ref108002987 \h  \* MERGEFORMAT </w:instrText>
      </w:r>
      <w:r w:rsidRPr="00953DF5">
        <w:rPr>
          <w:rFonts w:eastAsia="Arial"/>
          <w:color w:val="000000"/>
          <w:sz w:val="22"/>
          <w:szCs w:val="22"/>
        </w:rPr>
      </w:r>
      <w:r w:rsidRPr="00953DF5">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49</w:t>
      </w:r>
      <w:r w:rsidRPr="00953DF5">
        <w:rPr>
          <w:rFonts w:eastAsia="Arial"/>
          <w:color w:val="000000"/>
          <w:sz w:val="22"/>
          <w:szCs w:val="22"/>
        </w:rPr>
        <w:fldChar w:fldCharType="end"/>
      </w:r>
      <w:r w:rsidRPr="006F5F00">
        <w:rPr>
          <w:rFonts w:eastAsia="Arial"/>
          <w:color w:val="000000"/>
          <w:sz w:val="22"/>
          <w:szCs w:val="22"/>
        </w:rPr>
        <w:t xml:space="preserve">A and </w:t>
      </w:r>
      <w:r w:rsidRPr="00E2785E">
        <w:rPr>
          <w:rFonts w:eastAsia="Arial"/>
          <w:color w:val="000000"/>
          <w:sz w:val="22"/>
          <w:szCs w:val="22"/>
        </w:rPr>
        <w:fldChar w:fldCharType="begin"/>
      </w:r>
      <w:r w:rsidRPr="006F5F00">
        <w:rPr>
          <w:rFonts w:eastAsia="Arial"/>
          <w:color w:val="000000"/>
          <w:sz w:val="22"/>
          <w:szCs w:val="22"/>
        </w:rPr>
        <w:instrText xml:space="preserve"> REF _Ref108004263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50</w:t>
      </w:r>
      <w:r w:rsidRPr="00E2785E">
        <w:rPr>
          <w:rFonts w:eastAsia="Arial"/>
          <w:color w:val="000000"/>
          <w:sz w:val="22"/>
          <w:szCs w:val="22"/>
        </w:rPr>
        <w:fldChar w:fldCharType="end"/>
      </w:r>
      <w:r w:rsidRPr="006F5F00">
        <w:rPr>
          <w:rFonts w:eastAsia="Arial"/>
          <w:color w:val="000000"/>
          <w:sz w:val="22"/>
          <w:szCs w:val="22"/>
        </w:rPr>
        <w:t>A), NSW data were available for 2005–2006 and 2009–2012, during which times population sizes remained relatively consistent in the OBSERVED dataset. In contrast, the MODEL predicted more variability in the population size, with an increase over the years 2005–2006, a decrease over 2007–2010, and an increase post-2010. The Pearson and Spearman correlations were both low and indicated high uncertainty, and the MAPE value was high (</w:t>
      </w:r>
      <w:r w:rsidRPr="00E2785E">
        <w:rPr>
          <w:rFonts w:eastAsia="Arial"/>
          <w:color w:val="000000"/>
          <w:sz w:val="22"/>
          <w:szCs w:val="22"/>
        </w:rPr>
        <w:fldChar w:fldCharType="begin"/>
      </w:r>
      <w:r w:rsidRPr="006F5F00">
        <w:rPr>
          <w:rFonts w:eastAsia="Arial"/>
          <w:color w:val="000000"/>
          <w:sz w:val="22"/>
          <w:szCs w:val="22"/>
        </w:rPr>
        <w:instrText xml:space="preserve"> REF _Ref107994642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Table </w:t>
      </w:r>
      <w:r w:rsidR="005B672A" w:rsidRPr="005B672A">
        <w:rPr>
          <w:noProof/>
          <w:sz w:val="22"/>
          <w:szCs w:val="22"/>
        </w:rPr>
        <w:t>7</w:t>
      </w:r>
      <w:r w:rsidRPr="00E2785E">
        <w:rPr>
          <w:rFonts w:eastAsia="Arial"/>
          <w:color w:val="000000"/>
          <w:sz w:val="22"/>
          <w:szCs w:val="22"/>
        </w:rPr>
        <w:fldChar w:fldCharType="end"/>
      </w:r>
      <w:r w:rsidRPr="006F5F00">
        <w:rPr>
          <w:rFonts w:eastAsia="Arial"/>
          <w:color w:val="000000"/>
          <w:sz w:val="22"/>
          <w:szCs w:val="22"/>
        </w:rPr>
        <w:t>).</w:t>
      </w:r>
    </w:p>
    <w:p w14:paraId="20AF81C1" w14:textId="5351D724" w:rsidR="00491210" w:rsidRPr="006F5F00" w:rsidRDefault="00EE200C" w:rsidP="0015103C">
      <w:pPr>
        <w:pStyle w:val="Heading4"/>
      </w:pPr>
      <w:r w:rsidRPr="006F5F00">
        <w:t>Golden Perch—movement into the Yarrawonga</w:t>
      </w:r>
      <w:r>
        <w:t xml:space="preserve"> </w:t>
      </w:r>
      <w:r w:rsidRPr="006F5F00">
        <w:t>to</w:t>
      </w:r>
      <w:r>
        <w:t xml:space="preserve"> </w:t>
      </w:r>
      <w:r w:rsidRPr="006F5F00">
        <w:t>Torrumbarry population</w:t>
      </w:r>
    </w:p>
    <w:p w14:paraId="096E2524" w14:textId="505AFADB"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Movement results from the ARI OBSERVED dataset and the MODEL were remarkably similar (</w:t>
      </w:r>
      <w:r w:rsidRPr="00E2785E">
        <w:rPr>
          <w:rFonts w:eastAsia="Arial"/>
          <w:color w:val="000000"/>
          <w:sz w:val="22"/>
          <w:szCs w:val="22"/>
        </w:rPr>
        <w:fldChar w:fldCharType="begin"/>
      </w:r>
      <w:r w:rsidRPr="006F5F00">
        <w:rPr>
          <w:rFonts w:eastAsia="Arial"/>
          <w:color w:val="000000"/>
          <w:sz w:val="22"/>
          <w:szCs w:val="22"/>
        </w:rPr>
        <w:instrText xml:space="preserve"> REF _Ref108004629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51</w:t>
      </w:r>
      <w:r w:rsidRPr="00E2785E">
        <w:rPr>
          <w:rFonts w:eastAsia="Arial"/>
          <w:color w:val="000000"/>
          <w:sz w:val="22"/>
          <w:szCs w:val="22"/>
        </w:rPr>
        <w:fldChar w:fldCharType="end"/>
      </w:r>
      <w:r w:rsidRPr="006F5F00">
        <w:rPr>
          <w:rFonts w:eastAsia="Arial"/>
          <w:color w:val="000000"/>
          <w:sz w:val="22"/>
          <w:szCs w:val="22"/>
        </w:rPr>
        <w:t xml:space="preserve">; </w:t>
      </w:r>
      <w:r w:rsidRPr="00E2785E">
        <w:rPr>
          <w:rFonts w:eastAsia="Arial"/>
          <w:color w:val="000000"/>
          <w:sz w:val="22"/>
          <w:szCs w:val="22"/>
        </w:rPr>
        <w:fldChar w:fldCharType="begin"/>
      </w:r>
      <w:r w:rsidRPr="006F5F00">
        <w:rPr>
          <w:rFonts w:eastAsia="Arial"/>
          <w:color w:val="000000"/>
          <w:sz w:val="22"/>
          <w:szCs w:val="22"/>
        </w:rPr>
        <w:instrText xml:space="preserve"> REF _Ref107994642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Table </w:t>
      </w:r>
      <w:r w:rsidR="005B672A" w:rsidRPr="005B672A">
        <w:rPr>
          <w:noProof/>
          <w:sz w:val="22"/>
          <w:szCs w:val="22"/>
        </w:rPr>
        <w:t>7</w:t>
      </w:r>
      <w:r w:rsidRPr="00E2785E">
        <w:rPr>
          <w:rFonts w:eastAsia="Arial"/>
          <w:color w:val="000000"/>
          <w:sz w:val="22"/>
          <w:szCs w:val="22"/>
        </w:rPr>
        <w:fldChar w:fldCharType="end"/>
      </w:r>
      <w:r w:rsidRPr="006F5F00">
        <w:rPr>
          <w:rFonts w:eastAsia="Arial"/>
          <w:color w:val="000000"/>
          <w:sz w:val="22"/>
          <w:szCs w:val="22"/>
        </w:rPr>
        <w:t>). Both the MODEL and ARI indicated 2001, 2011 and 2017 as high movement years. While these high movement years strongly drove the Pearson correlation, the high Spearman correlation suggested that the MODEL was also doing well at lower migration rates.</w:t>
      </w:r>
    </w:p>
    <w:p w14:paraId="04AE57B6" w14:textId="7FF45690" w:rsidR="00491210" w:rsidRPr="006F5F00" w:rsidRDefault="00EE200C" w:rsidP="005D6200">
      <w:pPr>
        <w:pStyle w:val="Heading4"/>
        <w:rPr>
          <w:color w:val="000000"/>
          <w:szCs w:val="22"/>
        </w:rPr>
      </w:pPr>
      <w:r w:rsidRPr="006F5F00">
        <w:lastRenderedPageBreak/>
        <w:t>Golden Perch</w:t>
      </w:r>
      <w:r w:rsidRPr="00953DF5">
        <w:t>—</w:t>
      </w:r>
      <w:r w:rsidRPr="006F5F00">
        <w:t>comparing MODEL predictions and OBSERVED data across flow conditions</w:t>
      </w:r>
    </w:p>
    <w:p w14:paraId="5685B909" w14:textId="50EEE3A0" w:rsidR="00491210" w:rsidRPr="006F5F00" w:rsidRDefault="00EE200C" w:rsidP="00292F68">
      <w:pPr>
        <w:spacing w:before="240" w:after="240"/>
        <w:jc w:val="both"/>
        <w:rPr>
          <w:rFonts w:eastAsia="Arial"/>
          <w:color w:val="000000"/>
          <w:sz w:val="22"/>
          <w:szCs w:val="22"/>
        </w:rPr>
      </w:pPr>
      <w:r w:rsidRPr="006F5F00">
        <w:rPr>
          <w:rFonts w:eastAsia="Arial"/>
          <w:color w:val="000000"/>
          <w:sz w:val="22"/>
          <w:szCs w:val="22"/>
        </w:rPr>
        <w:t>There was no correlation (Pearsons and Spearman values were &lt;0.35) looking across the whole dataset (</w:t>
      </w:r>
      <w:r w:rsidRPr="00E2785E">
        <w:rPr>
          <w:rFonts w:eastAsia="Arial"/>
          <w:color w:val="000000"/>
          <w:sz w:val="22"/>
          <w:szCs w:val="22"/>
        </w:rPr>
        <w:fldChar w:fldCharType="begin"/>
      </w:r>
      <w:r w:rsidRPr="006F5F00">
        <w:rPr>
          <w:rFonts w:eastAsia="Arial"/>
          <w:color w:val="000000"/>
          <w:sz w:val="22"/>
          <w:szCs w:val="22"/>
        </w:rPr>
        <w:instrText xml:space="preserve"> REF _Ref108004653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52</w:t>
      </w:r>
      <w:r w:rsidRPr="00E2785E">
        <w:rPr>
          <w:rFonts w:eastAsia="Arial"/>
          <w:color w:val="000000"/>
          <w:sz w:val="22"/>
          <w:szCs w:val="22"/>
        </w:rPr>
        <w:fldChar w:fldCharType="end"/>
      </w:r>
      <w:r w:rsidRPr="006F5F00">
        <w:rPr>
          <w:rFonts w:eastAsia="Arial"/>
          <w:color w:val="000000"/>
          <w:sz w:val="22"/>
          <w:szCs w:val="22"/>
        </w:rPr>
        <w:t>). However, there was a far stronger correlation when only looking at this relationship for OBSERVED flows of between 10,000 and 20,000 ML day</w:t>
      </w:r>
      <w:r w:rsidRPr="00953DF5">
        <w:rPr>
          <w:rFonts w:eastAsia="Arial"/>
          <w:color w:val="000000"/>
          <w:sz w:val="22"/>
          <w:szCs w:val="22"/>
          <w:vertAlign w:val="superscript"/>
        </w:rPr>
        <w:t>–1</w:t>
      </w:r>
      <w:r w:rsidRPr="006F5F00">
        <w:rPr>
          <w:rFonts w:eastAsia="Arial"/>
          <w:color w:val="000000"/>
          <w:sz w:val="22"/>
          <w:szCs w:val="22"/>
        </w:rPr>
        <w:t xml:space="preserve"> (Pearson and Spearman correlations both ~0.70). This suggests that there is a reduced concordance between the MODEL and the OBSERVED data for this reach at the lowest and highest observed flows, and an increased concordance at more intermediate observed flows. To place these flows into context, the mean annual flow (for August to November, when most environmental flows under the RRCP will occur) under the Base case scenario and Option 4 since 2000 are ~16,000 ML day</w:t>
      </w:r>
      <w:r w:rsidRPr="00953DF5">
        <w:rPr>
          <w:rFonts w:eastAsia="Arial"/>
          <w:color w:val="000000"/>
          <w:sz w:val="22"/>
          <w:szCs w:val="22"/>
          <w:vertAlign w:val="superscript"/>
        </w:rPr>
        <w:t>–1</w:t>
      </w:r>
      <w:r w:rsidRPr="006F5F00">
        <w:rPr>
          <w:rFonts w:eastAsia="Arial"/>
          <w:color w:val="000000"/>
          <w:sz w:val="22"/>
          <w:szCs w:val="22"/>
        </w:rPr>
        <w:t xml:space="preserve"> and </w:t>
      </w:r>
      <w:r w:rsidRPr="006F5F00">
        <w:rPr>
          <w:rFonts w:eastAsia="Arial"/>
          <w:color w:val="000000"/>
          <w:sz w:val="22"/>
          <w:szCs w:val="22"/>
        </w:rPr>
        <w:br/>
        <w:t>17,500 ML day</w:t>
      </w:r>
      <w:r w:rsidRPr="00953DF5">
        <w:rPr>
          <w:rFonts w:eastAsia="Arial"/>
          <w:color w:val="000000"/>
          <w:sz w:val="22"/>
          <w:szCs w:val="22"/>
          <w:vertAlign w:val="superscript"/>
        </w:rPr>
        <w:t>–1</w:t>
      </w:r>
      <w:r w:rsidRPr="006F5F00">
        <w:rPr>
          <w:rFonts w:eastAsia="Arial"/>
          <w:color w:val="000000"/>
          <w:sz w:val="22"/>
          <w:szCs w:val="22"/>
        </w:rPr>
        <w:t>, respectively. Given the aim was to compare flow scenarios that differed in these intermediate flow ranges, rather than at the extremes, this suggests that the MODEL is likely to capture differences in abundances under the RRCP scenarios.</w:t>
      </w:r>
    </w:p>
    <w:p w14:paraId="13CABD39" w14:textId="333AC142" w:rsidR="00491210" w:rsidRPr="00953DF5" w:rsidRDefault="00EE200C">
      <w:pPr>
        <w:spacing w:after="0"/>
        <w:rPr>
          <w:rFonts w:eastAsia="Arial"/>
          <w:color w:val="000000"/>
          <w:sz w:val="22"/>
          <w:szCs w:val="22"/>
        </w:rPr>
      </w:pPr>
      <w:r w:rsidRPr="00953DF5">
        <w:rPr>
          <w:rFonts w:eastAsia="Arial"/>
          <w:color w:val="000000"/>
          <w:sz w:val="22"/>
          <w:szCs w:val="22"/>
        </w:rPr>
        <w:br w:type="page"/>
      </w:r>
    </w:p>
    <w:p w14:paraId="7014CC47" w14:textId="77777777" w:rsidR="00491210" w:rsidRPr="006F5F00" w:rsidRDefault="00491210" w:rsidP="00E52B14">
      <w:pPr>
        <w:spacing w:line="259" w:lineRule="auto"/>
        <w:jc w:val="both"/>
        <w:rPr>
          <w:rFonts w:eastAsia="Arial"/>
          <w:color w:val="000000"/>
          <w:sz w:val="22"/>
          <w:szCs w:val="22"/>
        </w:rPr>
      </w:pPr>
    </w:p>
    <w:p w14:paraId="01078970" w14:textId="6CEE3AA2" w:rsidR="00491210" w:rsidRPr="006F5F00" w:rsidRDefault="003E1401" w:rsidP="3FC79A6E">
      <w:pPr>
        <w:rPr>
          <w:rFonts w:eastAsia="Arial"/>
          <w:color w:val="000000"/>
          <w:szCs w:val="20"/>
        </w:rPr>
      </w:pPr>
      <w:r>
        <w:rPr>
          <w:noProof/>
          <w:lang w:eastAsia="en-AU"/>
        </w:rPr>
        <w:t xml:space="preserve"> </w:t>
      </w:r>
    </w:p>
    <w:p w14:paraId="6F8D18F9" w14:textId="1A70E954" w:rsidR="00491210" w:rsidRDefault="00EE200C" w:rsidP="00F602FE">
      <w:pPr>
        <w:pStyle w:val="Caption-Figure"/>
        <w:rPr>
          <w:rFonts w:eastAsia="Arial"/>
        </w:rPr>
      </w:pPr>
      <w:bookmarkStart w:id="189" w:name="_Ref107932864"/>
      <w:bookmarkStart w:id="190" w:name="_Toc116995017"/>
      <w:r w:rsidRPr="006F5F00">
        <w:t xml:space="preserve">Figure </w:t>
      </w:r>
      <w:r w:rsidRPr="00E2785E">
        <w:fldChar w:fldCharType="begin"/>
      </w:r>
      <w:r w:rsidRPr="006F5F00">
        <w:instrText xml:space="preserve"> SEQ Figure \* ARABIC </w:instrText>
      </w:r>
      <w:r w:rsidRPr="00E2785E">
        <w:fldChar w:fldCharType="separate"/>
      </w:r>
      <w:r w:rsidR="005B672A">
        <w:rPr>
          <w:noProof/>
        </w:rPr>
        <w:t>48</w:t>
      </w:r>
      <w:r w:rsidRPr="00E2785E">
        <w:rPr>
          <w:noProof/>
        </w:rPr>
        <w:fldChar w:fldCharType="end"/>
      </w:r>
      <w:bookmarkEnd w:id="189"/>
      <w:r w:rsidRPr="006F5F00">
        <w:t xml:space="preserve">. </w:t>
      </w:r>
      <w:r w:rsidRPr="006F5F00">
        <w:rPr>
          <w:rFonts w:eastAsia="Arial"/>
        </w:rPr>
        <w:t xml:space="preserve">Relationship between MODEL and ARI estimates for Golden Perch: A) shows monthly average discharge: B) shows the relationship between the scaled population estimates between the MODEL </w:t>
      </w:r>
      <w:r>
        <w:rPr>
          <w:rFonts w:eastAsia="Arial"/>
        </w:rPr>
        <w:t xml:space="preserve">(blue) </w:t>
      </w:r>
      <w:r w:rsidRPr="006F5F00">
        <w:rPr>
          <w:rFonts w:eastAsia="Arial"/>
        </w:rPr>
        <w:t xml:space="preserve">and the OBSERVED </w:t>
      </w:r>
      <w:r>
        <w:rPr>
          <w:rFonts w:eastAsia="Arial"/>
        </w:rPr>
        <w:t xml:space="preserve">(red) </w:t>
      </w:r>
      <w:r w:rsidRPr="006F5F00">
        <w:rPr>
          <w:rFonts w:eastAsia="Arial"/>
        </w:rPr>
        <w:t>data. Correlation estimates for the population sizes are shown in the upper-right corner (</w:t>
      </w:r>
      <w:r w:rsidRPr="001D1553">
        <w:rPr>
          <w:rFonts w:eastAsia="Arial"/>
          <w:i/>
        </w:rPr>
        <w:t>r</w:t>
      </w:r>
      <w:r w:rsidRPr="006F5F00">
        <w:rPr>
          <w:rFonts w:eastAsia="Arial"/>
        </w:rPr>
        <w:t> </w:t>
      </w:r>
      <w:r>
        <w:rPr>
          <w:rFonts w:eastAsia="Arial"/>
        </w:rPr>
        <w:t>=</w:t>
      </w:r>
      <w:r w:rsidRPr="006F5F00">
        <w:rPr>
          <w:rFonts w:eastAsia="Arial"/>
        </w:rPr>
        <w:t xml:space="preserve"> Pearson correlation; </w:t>
      </w:r>
      <w:r>
        <w:rPr>
          <w:rFonts w:eastAsia="Arial"/>
        </w:rPr>
        <w:t>ρ</w:t>
      </w:r>
      <w:r w:rsidRPr="006F5F00">
        <w:rPr>
          <w:rFonts w:eastAsia="Arial"/>
        </w:rPr>
        <w:t> = Spearman correlation); C) shows the temporal pattern with the growth rates; D) shows the relationship between the growth rate estimates for the MODEL and the OBSERVED data. Green areas indicate concordance in growth rate direction (e.g. both increasing), and red areas indicate disconcordance (e.g. the MODEL data predicts increasing but the OBSERVED data suggest decreasing). Growth rates show the end year (e.g. ‘2011’ is the change in population size from 2010 to 2011). The black line shows the 1:1 ratio. Correlation estimates for the growth rates are shown in the upper-right corner (</w:t>
      </w:r>
      <w:r w:rsidRPr="001D1553">
        <w:rPr>
          <w:rFonts w:eastAsia="Arial"/>
          <w:i/>
        </w:rPr>
        <w:t>r</w:t>
      </w:r>
      <w:r w:rsidRPr="006F5F00">
        <w:rPr>
          <w:rFonts w:eastAsia="Arial"/>
        </w:rPr>
        <w:t xml:space="preserve"> = Pearson correlation; </w:t>
      </w:r>
      <w:r>
        <w:rPr>
          <w:rFonts w:eastAsia="Arial"/>
        </w:rPr>
        <w:t>ρ</w:t>
      </w:r>
      <w:r w:rsidRPr="006F5F00">
        <w:rPr>
          <w:rFonts w:eastAsia="Arial"/>
        </w:rPr>
        <w:t> = Spearman correlation). Error bars show 95% CIs.</w:t>
      </w:r>
      <w:bookmarkEnd w:id="190"/>
    </w:p>
    <w:p w14:paraId="1825A553" w14:textId="2C2F94C9" w:rsidR="00491210" w:rsidRPr="006F5F00" w:rsidRDefault="003E1401" w:rsidP="3FC79A6E">
      <w:pPr>
        <w:rPr>
          <w:rFonts w:eastAsia="Arial"/>
          <w:color w:val="000000"/>
          <w:szCs w:val="20"/>
        </w:rPr>
      </w:pPr>
      <w:r>
        <w:rPr>
          <w:rFonts w:eastAsia="Arial"/>
          <w:noProof/>
          <w:color w:val="000000"/>
          <w:szCs w:val="20"/>
        </w:rPr>
        <w:t xml:space="preserve"> </w:t>
      </w:r>
    </w:p>
    <w:p w14:paraId="137932E3" w14:textId="16F66992" w:rsidR="00491210" w:rsidRPr="006F5F00" w:rsidRDefault="00EE200C" w:rsidP="00F602FE">
      <w:pPr>
        <w:pStyle w:val="Caption-Figure"/>
        <w:rPr>
          <w:rFonts w:eastAsia="Arial"/>
        </w:rPr>
      </w:pPr>
      <w:bookmarkStart w:id="191" w:name="_Ref108002987"/>
      <w:bookmarkStart w:id="192" w:name="_Toc116995018"/>
      <w:r w:rsidRPr="006F5F00">
        <w:t xml:space="preserve">Figure </w:t>
      </w:r>
      <w:r w:rsidRPr="00E2785E">
        <w:fldChar w:fldCharType="begin"/>
      </w:r>
      <w:r w:rsidRPr="006F5F00">
        <w:instrText xml:space="preserve"> SEQ Figure \* ARABIC </w:instrText>
      </w:r>
      <w:r w:rsidRPr="00E2785E">
        <w:fldChar w:fldCharType="separate"/>
      </w:r>
      <w:r w:rsidR="005B672A">
        <w:rPr>
          <w:noProof/>
        </w:rPr>
        <w:t>49</w:t>
      </w:r>
      <w:r w:rsidRPr="00E2785E">
        <w:rPr>
          <w:noProof/>
        </w:rPr>
        <w:fldChar w:fldCharType="end"/>
      </w:r>
      <w:bookmarkEnd w:id="191"/>
      <w:r w:rsidRPr="006F5F00">
        <w:rPr>
          <w:rFonts w:eastAsia="Arial"/>
        </w:rPr>
        <w:t>. Temporal patterns in NSW OBSERVED data and MODEL estimates for Golden Perch. The top panels show mean monthly discharge. The bottom panels show the scaled abundance estimates (see Methods section for explanation) for MODEL and NSW estimates. Correlations (</w:t>
      </w:r>
      <w:r w:rsidRPr="00E1164A">
        <w:rPr>
          <w:rFonts w:eastAsia="Arial"/>
          <w:i/>
        </w:rPr>
        <w:t>r</w:t>
      </w:r>
      <w:r w:rsidRPr="006F5F00">
        <w:rPr>
          <w:rFonts w:eastAsia="Arial"/>
        </w:rPr>
        <w:t xml:space="preserve"> = Pearson, </w:t>
      </w:r>
      <w:r>
        <w:rPr>
          <w:rFonts w:eastAsia="Arial"/>
        </w:rPr>
        <w:t>ρ</w:t>
      </w:r>
      <w:r w:rsidRPr="006F5F00">
        <w:rPr>
          <w:rFonts w:eastAsia="Arial"/>
        </w:rPr>
        <w:t xml:space="preserve"> = Spearman) are shown for each panel (see </w:t>
      </w:r>
      <w:r w:rsidRPr="00E2785E">
        <w:rPr>
          <w:rFonts w:eastAsia="Arial"/>
        </w:rPr>
        <w:fldChar w:fldCharType="begin"/>
      </w:r>
      <w:r w:rsidRPr="006F5F00">
        <w:rPr>
          <w:rFonts w:eastAsia="Arial"/>
        </w:rPr>
        <w:instrText xml:space="preserve"> REF _Ref107932308 \h  \* MERGEFORMAT </w:instrText>
      </w:r>
      <w:r w:rsidRPr="00E2785E">
        <w:rPr>
          <w:rFonts w:eastAsia="Arial"/>
        </w:rPr>
      </w:r>
      <w:r w:rsidRPr="00E2785E">
        <w:rPr>
          <w:rFonts w:eastAsia="Arial"/>
        </w:rPr>
        <w:fldChar w:fldCharType="separate"/>
      </w:r>
      <w:r w:rsidR="005B672A" w:rsidRPr="006F5F00">
        <w:t xml:space="preserve">Table </w:t>
      </w:r>
      <w:r w:rsidR="005B672A">
        <w:rPr>
          <w:noProof/>
        </w:rPr>
        <w:t>6</w:t>
      </w:r>
      <w:r w:rsidRPr="00E2785E">
        <w:rPr>
          <w:rFonts w:eastAsia="Arial"/>
        </w:rPr>
        <w:fldChar w:fldCharType="end"/>
      </w:r>
      <w:r w:rsidRPr="006F5F00">
        <w:rPr>
          <w:rFonts w:eastAsia="Arial"/>
        </w:rPr>
        <w:t>). Error bars and shaded regions are 95% CIs. Units in the top panels are ML day</w:t>
      </w:r>
      <w:r w:rsidRPr="006F5F00">
        <w:rPr>
          <w:rFonts w:eastAsia="Arial"/>
          <w:vertAlign w:val="superscript"/>
        </w:rPr>
        <w:t>–1</w:t>
      </w:r>
      <w:r w:rsidRPr="006F5F00">
        <w:rPr>
          <w:rFonts w:eastAsia="Arial"/>
        </w:rPr>
        <w:t>.</w:t>
      </w:r>
      <w:bookmarkEnd w:id="192"/>
    </w:p>
    <w:p w14:paraId="6A409853" w14:textId="15C391EB" w:rsidR="00491210" w:rsidRPr="006F5F00" w:rsidRDefault="003E1401" w:rsidP="3FC79A6E">
      <w:pPr>
        <w:rPr>
          <w:rFonts w:eastAsia="Arial"/>
          <w:color w:val="000000"/>
          <w:szCs w:val="20"/>
        </w:rPr>
      </w:pPr>
      <w:r>
        <w:rPr>
          <w:noProof/>
          <w:lang w:eastAsia="en-AU"/>
        </w:rPr>
        <w:t xml:space="preserve"> </w:t>
      </w:r>
    </w:p>
    <w:p w14:paraId="173E2A1F" w14:textId="31CB55CC" w:rsidR="00491210" w:rsidRPr="006F5F00" w:rsidRDefault="00EE200C" w:rsidP="00F602FE">
      <w:pPr>
        <w:pStyle w:val="Caption-Figure"/>
        <w:rPr>
          <w:rFonts w:eastAsia="Arial"/>
        </w:rPr>
      </w:pPr>
      <w:bookmarkStart w:id="193" w:name="_Ref108004263"/>
      <w:bookmarkStart w:id="194" w:name="_Toc116995019"/>
      <w:r w:rsidRPr="006F5F00">
        <w:t xml:space="preserve">Figure </w:t>
      </w:r>
      <w:r w:rsidRPr="00E2785E">
        <w:fldChar w:fldCharType="begin"/>
      </w:r>
      <w:r w:rsidRPr="006F5F00">
        <w:instrText xml:space="preserve"> SEQ Figure \* ARABIC </w:instrText>
      </w:r>
      <w:r w:rsidRPr="00E2785E">
        <w:fldChar w:fldCharType="separate"/>
      </w:r>
      <w:r w:rsidR="005B672A">
        <w:rPr>
          <w:noProof/>
        </w:rPr>
        <w:t>50</w:t>
      </w:r>
      <w:r w:rsidRPr="00E2785E">
        <w:rPr>
          <w:noProof/>
        </w:rPr>
        <w:fldChar w:fldCharType="end"/>
      </w:r>
      <w:bookmarkEnd w:id="193"/>
      <w:r w:rsidRPr="006F5F00">
        <w:rPr>
          <w:rFonts w:eastAsia="Arial"/>
        </w:rPr>
        <w:t>. Golden Perch biplots showing the relationship between NSW OBSERVED data growth rates and predicted MODEL rates. See Figure 6 caption for details on each component.</w:t>
      </w:r>
      <w:bookmarkEnd w:id="194"/>
    </w:p>
    <w:p w14:paraId="3859C5C4" w14:textId="42DF2F7E" w:rsidR="00491210" w:rsidRPr="006F5F00" w:rsidRDefault="003E1401" w:rsidP="3FC79A6E">
      <w:pPr>
        <w:rPr>
          <w:rFonts w:eastAsia="Arial"/>
          <w:color w:val="000000"/>
          <w:szCs w:val="20"/>
        </w:rPr>
      </w:pPr>
      <w:r>
        <w:rPr>
          <w:noProof/>
          <w:lang w:eastAsia="en-AU"/>
        </w:rPr>
        <w:t xml:space="preserve"> </w:t>
      </w:r>
    </w:p>
    <w:p w14:paraId="06115C51" w14:textId="1C5D3204" w:rsidR="00491210" w:rsidRPr="006F5F00" w:rsidRDefault="00EE200C" w:rsidP="00F602FE">
      <w:pPr>
        <w:pStyle w:val="Caption-Figure"/>
        <w:rPr>
          <w:rFonts w:eastAsia="Arial"/>
        </w:rPr>
      </w:pPr>
      <w:bookmarkStart w:id="195" w:name="_Ref108004629"/>
      <w:bookmarkStart w:id="196" w:name="_Toc116995020"/>
      <w:r w:rsidRPr="006F5F00">
        <w:t xml:space="preserve">Figure </w:t>
      </w:r>
      <w:r w:rsidRPr="00E2785E">
        <w:fldChar w:fldCharType="begin"/>
      </w:r>
      <w:r w:rsidRPr="006F5F00">
        <w:instrText xml:space="preserve"> SEQ Figure \* ARABIC </w:instrText>
      </w:r>
      <w:r w:rsidRPr="00E2785E">
        <w:fldChar w:fldCharType="separate"/>
      </w:r>
      <w:r w:rsidR="005B672A">
        <w:rPr>
          <w:noProof/>
        </w:rPr>
        <w:t>51</w:t>
      </w:r>
      <w:r w:rsidRPr="00E2785E">
        <w:rPr>
          <w:noProof/>
        </w:rPr>
        <w:fldChar w:fldCharType="end"/>
      </w:r>
      <w:bookmarkEnd w:id="195"/>
      <w:r w:rsidRPr="006F5F00">
        <w:t xml:space="preserve">. </w:t>
      </w:r>
      <w:r w:rsidRPr="006F5F00">
        <w:rPr>
          <w:rFonts w:eastAsia="Arial"/>
        </w:rPr>
        <w:t xml:space="preserve">Relationship between MODEL and ARI OBSERVED dataset migration estimates for Golden Perch. Panel A) shows the correlation between MODEL migration estimates and ARI OBSERVED migration </w:t>
      </w:r>
      <w:r>
        <w:rPr>
          <w:rFonts w:eastAsia="Arial"/>
        </w:rPr>
        <w:t>estimates</w:t>
      </w:r>
      <w:r w:rsidRPr="006F5F00">
        <w:rPr>
          <w:rFonts w:eastAsia="Arial"/>
        </w:rPr>
        <w:t xml:space="preserve"> (</w:t>
      </w:r>
      <w:r w:rsidRPr="00E1164A">
        <w:rPr>
          <w:rFonts w:eastAsia="Arial"/>
          <w:i/>
        </w:rPr>
        <w:t>r</w:t>
      </w:r>
      <w:r w:rsidRPr="006F5F00">
        <w:rPr>
          <w:rFonts w:eastAsia="Arial"/>
        </w:rPr>
        <w:t xml:space="preserve"> = Pearson correlation; </w:t>
      </w:r>
      <w:r>
        <w:rPr>
          <w:rFonts w:eastAsia="Arial"/>
        </w:rPr>
        <w:t>ρ</w:t>
      </w:r>
      <w:r w:rsidRPr="006F5F00">
        <w:rPr>
          <w:rFonts w:eastAsia="Arial"/>
        </w:rPr>
        <w:t> = Spearman correlation). Panel B) shows the scaled migration rate for the MODEL and ARI OBSERVED estimates for the adult stage.</w:t>
      </w:r>
      <w:bookmarkEnd w:id="196"/>
    </w:p>
    <w:p w14:paraId="4313AABC" w14:textId="01D8202C" w:rsidR="00491210" w:rsidRPr="006F5F00" w:rsidRDefault="003E1401" w:rsidP="3FC79A6E">
      <w:pPr>
        <w:rPr>
          <w:rFonts w:eastAsia="Arial"/>
          <w:color w:val="000000"/>
          <w:sz w:val="22"/>
          <w:szCs w:val="22"/>
        </w:rPr>
      </w:pPr>
      <w:r>
        <w:rPr>
          <w:noProof/>
          <w:lang w:eastAsia="en-AU"/>
        </w:rPr>
        <w:t xml:space="preserve"> </w:t>
      </w:r>
    </w:p>
    <w:p w14:paraId="16C104D4" w14:textId="5A379280" w:rsidR="00491210" w:rsidRPr="00EA2CBF" w:rsidRDefault="00EE200C" w:rsidP="001F2288">
      <w:pPr>
        <w:pStyle w:val="Caption-Figure"/>
        <w:rPr>
          <w:rFonts w:eastAsia="Arial"/>
          <w:szCs w:val="20"/>
        </w:rPr>
      </w:pPr>
      <w:bookmarkStart w:id="197" w:name="_Ref108004653"/>
      <w:bookmarkStart w:id="198" w:name="_Toc116995021"/>
      <w:r w:rsidRPr="00EA2CBF">
        <w:rPr>
          <w:bCs w:val="0"/>
        </w:rPr>
        <w:t xml:space="preserve">Figure </w:t>
      </w:r>
      <w:r w:rsidRPr="00EA2CBF">
        <w:rPr>
          <w:b w:val="0"/>
        </w:rPr>
        <w:fldChar w:fldCharType="begin"/>
      </w:r>
      <w:r w:rsidRPr="00EA2CBF">
        <w:rPr>
          <w:bCs w:val="0"/>
        </w:rPr>
        <w:instrText xml:space="preserve"> SEQ Figure \* ARABIC </w:instrText>
      </w:r>
      <w:r w:rsidRPr="00EA2CBF">
        <w:rPr>
          <w:b w:val="0"/>
        </w:rPr>
        <w:fldChar w:fldCharType="separate"/>
      </w:r>
      <w:r w:rsidR="005B672A">
        <w:rPr>
          <w:bCs w:val="0"/>
          <w:noProof/>
        </w:rPr>
        <w:t>52</w:t>
      </w:r>
      <w:r w:rsidRPr="00EA2CBF">
        <w:rPr>
          <w:b w:val="0"/>
          <w:noProof/>
        </w:rPr>
        <w:fldChar w:fldCharType="end"/>
      </w:r>
      <w:bookmarkEnd w:id="197"/>
      <w:r w:rsidRPr="00EA2CBF">
        <w:rPr>
          <w:rFonts w:eastAsia="Arial"/>
          <w:bCs w:val="0"/>
        </w:rPr>
        <w:t xml:space="preserve">. Golden Perch biplot of the relationship between scaled population size as predicted by the MODEL </w:t>
      </w:r>
      <w:r>
        <w:rPr>
          <w:rFonts w:eastAsia="Arial"/>
          <w:bCs w:val="0"/>
        </w:rPr>
        <w:t>(</w:t>
      </w:r>
      <w:r w:rsidRPr="00EA2CBF">
        <w:rPr>
          <w:rFonts w:eastAsia="Arial"/>
          <w:bCs w:val="0"/>
        </w:rPr>
        <w:t xml:space="preserve">Scaled </w:t>
      </w:r>
      <w:r w:rsidRPr="00E1164A">
        <w:rPr>
          <w:rFonts w:eastAsia="Arial"/>
          <w:i/>
        </w:rPr>
        <w:t>N</w:t>
      </w:r>
      <w:r>
        <w:rPr>
          <w:rFonts w:eastAsia="Arial"/>
          <w:iCs/>
        </w:rPr>
        <w:t>:</w:t>
      </w:r>
      <w:r w:rsidRPr="00EA2CBF">
        <w:rPr>
          <w:rFonts w:eastAsia="Arial"/>
          <w:bCs w:val="0"/>
        </w:rPr>
        <w:t xml:space="preserve"> MODEL) and in independent OBSERVED datasets </w:t>
      </w:r>
      <w:r>
        <w:rPr>
          <w:rFonts w:eastAsia="Arial"/>
          <w:bCs w:val="0"/>
        </w:rPr>
        <w:t>(</w:t>
      </w:r>
      <w:r w:rsidRPr="00EA2CBF">
        <w:rPr>
          <w:rFonts w:eastAsia="Arial"/>
          <w:bCs w:val="0"/>
        </w:rPr>
        <w:t xml:space="preserve">Scaled </w:t>
      </w:r>
      <w:r w:rsidRPr="00E1164A">
        <w:rPr>
          <w:rFonts w:eastAsia="Arial"/>
          <w:i/>
        </w:rPr>
        <w:t>N</w:t>
      </w:r>
      <w:r>
        <w:rPr>
          <w:rFonts w:eastAsia="Arial"/>
          <w:bCs w:val="0"/>
        </w:rPr>
        <w:t xml:space="preserve">: </w:t>
      </w:r>
      <w:r w:rsidRPr="00EA2CBF">
        <w:rPr>
          <w:rFonts w:eastAsia="Arial"/>
          <w:bCs w:val="0"/>
        </w:rPr>
        <w:t>OBSERVED). Colours and shapes indicate observed flow, based on average daily discharge from August to November.</w:t>
      </w:r>
      <w:bookmarkEnd w:id="198"/>
      <w:r w:rsidRPr="00EA2CBF">
        <w:rPr>
          <w:rFonts w:eastAsia="Arial"/>
          <w:szCs w:val="20"/>
        </w:rPr>
        <w:br w:type="page"/>
      </w:r>
    </w:p>
    <w:p w14:paraId="3AAAA432" w14:textId="7387AB4E" w:rsidR="00491210" w:rsidRDefault="00EE200C" w:rsidP="00550EFA">
      <w:pPr>
        <w:pStyle w:val="Caption-Table"/>
        <w:rPr>
          <w:rFonts w:eastAsia="Arial"/>
        </w:rPr>
      </w:pPr>
      <w:bookmarkStart w:id="199" w:name="_Ref107994642"/>
      <w:bookmarkStart w:id="200" w:name="_Toc116994967"/>
      <w:r w:rsidRPr="006F5F00">
        <w:lastRenderedPageBreak/>
        <w:t xml:space="preserve">Table </w:t>
      </w:r>
      <w:r w:rsidRPr="00E2785E">
        <w:fldChar w:fldCharType="begin"/>
      </w:r>
      <w:r w:rsidRPr="006F5F00">
        <w:instrText xml:space="preserve"> SEQ Table \* ARABIC </w:instrText>
      </w:r>
      <w:r w:rsidRPr="00E2785E">
        <w:fldChar w:fldCharType="separate"/>
      </w:r>
      <w:r w:rsidR="005B672A">
        <w:rPr>
          <w:noProof/>
        </w:rPr>
        <w:t>7</w:t>
      </w:r>
      <w:r w:rsidRPr="00E2785E">
        <w:rPr>
          <w:noProof/>
        </w:rPr>
        <w:fldChar w:fldCharType="end"/>
      </w:r>
      <w:bookmarkEnd w:id="199"/>
      <w:r w:rsidRPr="006F5F00">
        <w:t xml:space="preserve">. </w:t>
      </w:r>
      <w:r w:rsidRPr="006F5F00">
        <w:rPr>
          <w:rFonts w:eastAsia="Arial"/>
        </w:rPr>
        <w:t xml:space="preserve">Summary of assessment metrics for Golden Perch. Metrics shaded green indicate support for correlation between the MODEL data and the OBSERVED data from the specified study (as defined in </w:t>
      </w:r>
      <w:r w:rsidRPr="00E2785E">
        <w:rPr>
          <w:rFonts w:eastAsia="Arial"/>
          <w:color w:val="000000"/>
          <w:sz w:val="22"/>
        </w:rPr>
        <w:fldChar w:fldCharType="begin"/>
      </w:r>
      <w:r w:rsidRPr="006F5F00">
        <w:rPr>
          <w:rFonts w:eastAsia="Arial"/>
        </w:rPr>
        <w:instrText xml:space="preserve"> REF _Ref107932308 \h </w:instrText>
      </w:r>
      <w:r w:rsidRPr="00E1164A">
        <w:rPr>
          <w:rFonts w:eastAsia="Arial"/>
          <w:color w:val="000000"/>
          <w:sz w:val="22"/>
        </w:rPr>
        <w:instrText xml:space="preserve"> \* MERGEFORMAT </w:instrText>
      </w:r>
      <w:r w:rsidRPr="00E2785E">
        <w:rPr>
          <w:rFonts w:eastAsia="Arial"/>
          <w:color w:val="000000"/>
          <w:sz w:val="22"/>
        </w:rPr>
      </w:r>
      <w:r w:rsidRPr="00E2785E">
        <w:rPr>
          <w:rFonts w:eastAsia="Arial"/>
          <w:color w:val="000000"/>
          <w:sz w:val="22"/>
        </w:rPr>
        <w:fldChar w:fldCharType="separate"/>
      </w:r>
      <w:r w:rsidR="005B672A" w:rsidRPr="006F5F00">
        <w:t xml:space="preserve">Table </w:t>
      </w:r>
      <w:r w:rsidR="005B672A">
        <w:rPr>
          <w:noProof/>
        </w:rPr>
        <w:t>6</w:t>
      </w:r>
      <w:r w:rsidRPr="00E2785E">
        <w:rPr>
          <w:rFonts w:eastAsia="Arial"/>
          <w:color w:val="000000"/>
          <w:sz w:val="22"/>
        </w:rPr>
        <w:fldChar w:fldCharType="end"/>
      </w:r>
      <w:r w:rsidRPr="006F5F00">
        <w:rPr>
          <w:rFonts w:eastAsia="Arial"/>
        </w:rPr>
        <w:t xml:space="preserve">). Weak support is indicated by light green and strong support is indicated by the darker green. Each metric provides different insights (see </w:t>
      </w:r>
      <w:r w:rsidRPr="00E2785E">
        <w:rPr>
          <w:rFonts w:eastAsia="Arial"/>
          <w:color w:val="000000"/>
          <w:sz w:val="22"/>
        </w:rPr>
        <w:fldChar w:fldCharType="begin"/>
      </w:r>
      <w:r w:rsidRPr="006F5F00">
        <w:rPr>
          <w:rFonts w:eastAsia="Arial"/>
        </w:rPr>
        <w:instrText xml:space="preserve"> REF _Ref107932308 \h </w:instrText>
      </w:r>
      <w:r w:rsidRPr="00E1164A">
        <w:rPr>
          <w:rFonts w:eastAsia="Arial"/>
          <w:color w:val="000000"/>
          <w:sz w:val="22"/>
        </w:rPr>
        <w:instrText xml:space="preserve"> \* MERGEFORMAT </w:instrText>
      </w:r>
      <w:r w:rsidRPr="00E2785E">
        <w:rPr>
          <w:rFonts w:eastAsia="Arial"/>
          <w:color w:val="000000"/>
          <w:sz w:val="22"/>
        </w:rPr>
      </w:r>
      <w:r w:rsidRPr="00E2785E">
        <w:rPr>
          <w:rFonts w:eastAsia="Arial"/>
          <w:color w:val="000000"/>
          <w:sz w:val="22"/>
        </w:rPr>
        <w:fldChar w:fldCharType="separate"/>
      </w:r>
      <w:r w:rsidR="005B672A" w:rsidRPr="006F5F00">
        <w:t xml:space="preserve">Table </w:t>
      </w:r>
      <w:r w:rsidR="005B672A">
        <w:rPr>
          <w:noProof/>
        </w:rPr>
        <w:t>6</w:t>
      </w:r>
      <w:r w:rsidRPr="00E2785E">
        <w:rPr>
          <w:rFonts w:eastAsia="Arial"/>
          <w:color w:val="000000"/>
          <w:sz w:val="22"/>
        </w:rPr>
        <w:fldChar w:fldCharType="end"/>
      </w:r>
      <w:r w:rsidRPr="006F5F00">
        <w:rPr>
          <w:rFonts w:eastAsia="Arial"/>
        </w:rPr>
        <w:t xml:space="preserve"> for more details on each metric’s </w:t>
      </w:r>
      <w:r w:rsidRPr="00E1164A">
        <w:rPr>
          <w:rFonts w:eastAsia="Arial"/>
        </w:rPr>
        <w:t>comparative attributes</w:t>
      </w:r>
      <w:r w:rsidRPr="006F5F00">
        <w:rPr>
          <w:rFonts w:eastAsia="Arial"/>
        </w:rPr>
        <w:t>).</w:t>
      </w:r>
      <w:bookmarkEnd w:id="200"/>
      <w:r>
        <w:rPr>
          <w:rFonts w:eastAsia="Arial"/>
        </w:rPr>
        <w:t xml:space="preserve"> All output presented as the </w:t>
      </w:r>
      <w:r w:rsidRPr="007707AE">
        <w:rPr>
          <w:rFonts w:eastAsia="Arial"/>
        </w:rPr>
        <w:t xml:space="preserve">median </w:t>
      </w:r>
      <w:r>
        <w:rPr>
          <w:rFonts w:eastAsia="Arial"/>
        </w:rPr>
        <w:t xml:space="preserve">and confidence interval </w:t>
      </w:r>
      <w:r w:rsidRPr="007707AE">
        <w:rPr>
          <w:rFonts w:eastAsia="Arial"/>
        </w:rPr>
        <w:t>(2.5%, 97.5%).</w:t>
      </w:r>
    </w:p>
    <w:tbl>
      <w:tblPr>
        <w:tblW w:w="9545" w:type="dxa"/>
        <w:tblLayout w:type="fixed"/>
        <w:tblLook w:val="0420" w:firstRow="1" w:lastRow="0" w:firstColumn="0" w:lastColumn="0" w:noHBand="0" w:noVBand="1"/>
      </w:tblPr>
      <w:tblGrid>
        <w:gridCol w:w="1310"/>
        <w:gridCol w:w="1517"/>
        <w:gridCol w:w="917"/>
        <w:gridCol w:w="1157"/>
        <w:gridCol w:w="1299"/>
        <w:gridCol w:w="1050"/>
        <w:gridCol w:w="1090"/>
        <w:gridCol w:w="1205"/>
      </w:tblGrid>
      <w:tr w:rsidR="003B59F3" w:rsidRPr="008F67D1" w14:paraId="3AE9450B" w14:textId="77777777" w:rsidTr="007707AE">
        <w:tc>
          <w:tcPr>
            <w:tcW w:w="1310" w:type="dxa"/>
            <w:shd w:val="clear" w:color="auto" w:fill="00B2A9" w:themeFill="accent1"/>
          </w:tcPr>
          <w:p w14:paraId="4536FE5A" w14:textId="5C77C64B" w:rsidR="00491210" w:rsidRPr="002304E8" w:rsidRDefault="00EE200C" w:rsidP="00697EE3">
            <w:pPr>
              <w:spacing w:before="100" w:after="100"/>
              <w:ind w:left="100" w:right="100"/>
              <w:rPr>
                <w:rFonts w:eastAsia="Arial"/>
                <w:color w:val="FFFFFF" w:themeColor="background1"/>
                <w:sz w:val="18"/>
                <w:szCs w:val="18"/>
              </w:rPr>
            </w:pPr>
            <w:r w:rsidRPr="002304E8">
              <w:rPr>
                <w:rFonts w:eastAsia="Arial"/>
                <w:b/>
                <w:bCs/>
                <w:color w:val="FFFFFF" w:themeColor="background1"/>
                <w:sz w:val="18"/>
                <w:szCs w:val="18"/>
              </w:rPr>
              <w:t>Parameter</w:t>
            </w:r>
          </w:p>
        </w:tc>
        <w:tc>
          <w:tcPr>
            <w:tcW w:w="1517" w:type="dxa"/>
            <w:shd w:val="clear" w:color="auto" w:fill="00B2A9" w:themeFill="accent1"/>
          </w:tcPr>
          <w:p w14:paraId="247240ED" w14:textId="37DDC4B3" w:rsidR="00491210" w:rsidRPr="002304E8" w:rsidRDefault="00EE200C">
            <w:pPr>
              <w:spacing w:before="100" w:after="100"/>
              <w:ind w:left="100" w:right="100"/>
              <w:jc w:val="center"/>
              <w:rPr>
                <w:rFonts w:eastAsia="Arial"/>
                <w:color w:val="FFFFFF" w:themeColor="background1"/>
                <w:sz w:val="18"/>
                <w:szCs w:val="18"/>
              </w:rPr>
            </w:pPr>
            <w:r w:rsidRPr="002304E8">
              <w:rPr>
                <w:rFonts w:eastAsia="Arial"/>
                <w:b/>
                <w:bCs/>
                <w:color w:val="FFFFFF" w:themeColor="background1"/>
                <w:sz w:val="18"/>
                <w:szCs w:val="18"/>
              </w:rPr>
              <w:t>Pop</w:t>
            </w:r>
            <w:r w:rsidRPr="002304E8">
              <w:rPr>
                <w:rFonts w:eastAsia="Arial"/>
                <w:b/>
                <w:color w:val="FFFFFF" w:themeColor="background1"/>
                <w:sz w:val="18"/>
                <w:szCs w:val="18"/>
              </w:rPr>
              <w:t>ulation ID</w:t>
            </w:r>
          </w:p>
        </w:tc>
        <w:tc>
          <w:tcPr>
            <w:tcW w:w="917" w:type="dxa"/>
            <w:shd w:val="clear" w:color="auto" w:fill="00B2A9" w:themeFill="accent1"/>
          </w:tcPr>
          <w:p w14:paraId="6581A270" w14:textId="16966B72" w:rsidR="00491210" w:rsidRPr="002304E8" w:rsidRDefault="00EE200C">
            <w:pPr>
              <w:spacing w:before="100" w:after="100"/>
              <w:ind w:left="100" w:right="100"/>
              <w:jc w:val="center"/>
              <w:rPr>
                <w:rFonts w:eastAsia="Arial"/>
                <w:color w:val="FFFFFF" w:themeColor="background1"/>
                <w:sz w:val="18"/>
                <w:szCs w:val="18"/>
              </w:rPr>
            </w:pPr>
            <w:r w:rsidRPr="002304E8">
              <w:rPr>
                <w:rFonts w:eastAsia="Arial"/>
                <w:b/>
                <w:bCs/>
                <w:color w:val="FFFFFF" w:themeColor="background1"/>
                <w:sz w:val="18"/>
                <w:szCs w:val="18"/>
              </w:rPr>
              <w:t>Study</w:t>
            </w:r>
          </w:p>
        </w:tc>
        <w:tc>
          <w:tcPr>
            <w:tcW w:w="2456" w:type="dxa"/>
            <w:gridSpan w:val="2"/>
            <w:tcBorders>
              <w:bottom w:val="single" w:sz="4" w:space="0" w:color="FFFFFF" w:themeColor="background1"/>
            </w:tcBorders>
            <w:shd w:val="clear" w:color="auto" w:fill="00B2A9" w:themeFill="accent1"/>
          </w:tcPr>
          <w:p w14:paraId="535A0D72" w14:textId="20467B61" w:rsidR="00491210" w:rsidRPr="002304E8" w:rsidRDefault="00EE200C">
            <w:pPr>
              <w:spacing w:before="100" w:after="100"/>
              <w:ind w:left="100" w:right="100"/>
              <w:jc w:val="center"/>
              <w:rPr>
                <w:rFonts w:eastAsia="Arial"/>
                <w:b/>
                <w:color w:val="FFFFFF" w:themeColor="background1"/>
                <w:sz w:val="18"/>
                <w:szCs w:val="18"/>
              </w:rPr>
            </w:pPr>
            <w:r w:rsidRPr="002304E8">
              <w:rPr>
                <w:rFonts w:eastAsia="Arial"/>
                <w:b/>
                <w:color w:val="FFFFFF" w:themeColor="background1"/>
                <w:sz w:val="18"/>
                <w:szCs w:val="18"/>
              </w:rPr>
              <w:t>Population size</w:t>
            </w:r>
          </w:p>
        </w:tc>
        <w:tc>
          <w:tcPr>
            <w:tcW w:w="3345" w:type="dxa"/>
            <w:gridSpan w:val="3"/>
            <w:tcBorders>
              <w:bottom w:val="single" w:sz="4" w:space="0" w:color="FFFFFF" w:themeColor="background1"/>
            </w:tcBorders>
            <w:shd w:val="clear" w:color="auto" w:fill="00B2A9" w:themeFill="accent1"/>
          </w:tcPr>
          <w:p w14:paraId="3DA9EAE3" w14:textId="534788B1" w:rsidR="00491210" w:rsidRPr="002304E8" w:rsidRDefault="00EE200C">
            <w:pPr>
              <w:spacing w:before="100" w:after="100"/>
              <w:ind w:left="100" w:right="100"/>
              <w:jc w:val="center"/>
              <w:rPr>
                <w:rFonts w:eastAsia="Arial"/>
                <w:b/>
                <w:color w:val="FFFFFF" w:themeColor="background1"/>
                <w:sz w:val="18"/>
                <w:szCs w:val="18"/>
              </w:rPr>
            </w:pPr>
            <w:r w:rsidRPr="002304E8">
              <w:rPr>
                <w:rFonts w:eastAsia="Arial"/>
                <w:b/>
                <w:color w:val="FFFFFF" w:themeColor="background1"/>
                <w:sz w:val="18"/>
                <w:szCs w:val="18"/>
              </w:rPr>
              <w:t>Growth rate</w:t>
            </w:r>
          </w:p>
        </w:tc>
      </w:tr>
      <w:tr w:rsidR="003B59F3" w:rsidRPr="008F67D1" w14:paraId="0BD6C9C0" w14:textId="77777777" w:rsidTr="007707AE">
        <w:tc>
          <w:tcPr>
            <w:tcW w:w="1310" w:type="dxa"/>
            <w:shd w:val="clear" w:color="auto" w:fill="00B2A9" w:themeFill="accent1"/>
          </w:tcPr>
          <w:p w14:paraId="255C689C" w14:textId="0B629AA9" w:rsidR="00491210" w:rsidRPr="002304E8" w:rsidRDefault="00491210" w:rsidP="00697EE3">
            <w:pPr>
              <w:spacing w:before="100" w:after="100"/>
              <w:ind w:left="100" w:right="100"/>
              <w:rPr>
                <w:rFonts w:eastAsia="Arial"/>
                <w:sz w:val="18"/>
                <w:szCs w:val="18"/>
              </w:rPr>
            </w:pPr>
          </w:p>
        </w:tc>
        <w:tc>
          <w:tcPr>
            <w:tcW w:w="1517" w:type="dxa"/>
            <w:shd w:val="clear" w:color="auto" w:fill="00B2A9" w:themeFill="accent1"/>
          </w:tcPr>
          <w:p w14:paraId="78B91336" w14:textId="66A7E070" w:rsidR="00491210" w:rsidRPr="002304E8" w:rsidRDefault="00491210" w:rsidP="00E1164A">
            <w:pPr>
              <w:spacing w:before="100" w:after="100"/>
              <w:ind w:left="100" w:right="100"/>
              <w:jc w:val="center"/>
              <w:rPr>
                <w:rFonts w:eastAsia="Arial"/>
                <w:sz w:val="18"/>
                <w:szCs w:val="18"/>
              </w:rPr>
            </w:pPr>
          </w:p>
        </w:tc>
        <w:tc>
          <w:tcPr>
            <w:tcW w:w="917" w:type="dxa"/>
            <w:shd w:val="clear" w:color="auto" w:fill="00B2A9" w:themeFill="accent1"/>
          </w:tcPr>
          <w:p w14:paraId="224A2FC7" w14:textId="4289781D" w:rsidR="00491210" w:rsidRPr="002304E8" w:rsidRDefault="00491210" w:rsidP="00E1164A">
            <w:pPr>
              <w:spacing w:before="100" w:after="100"/>
              <w:ind w:left="100" w:right="100"/>
              <w:jc w:val="center"/>
              <w:rPr>
                <w:rFonts w:eastAsia="Arial"/>
                <w:sz w:val="18"/>
                <w:szCs w:val="18"/>
              </w:rPr>
            </w:pPr>
          </w:p>
        </w:tc>
        <w:tc>
          <w:tcPr>
            <w:tcW w:w="1157" w:type="dxa"/>
            <w:tcBorders>
              <w:top w:val="single" w:sz="4" w:space="0" w:color="FFFFFF" w:themeColor="background1"/>
            </w:tcBorders>
            <w:shd w:val="clear" w:color="auto" w:fill="00B2A9" w:themeFill="accent1"/>
          </w:tcPr>
          <w:p w14:paraId="08C3BB99" w14:textId="7DA2977F" w:rsidR="00491210" w:rsidRPr="002304E8" w:rsidRDefault="00EE200C">
            <w:pPr>
              <w:spacing w:before="100" w:after="100"/>
              <w:ind w:left="100" w:right="100"/>
              <w:jc w:val="center"/>
              <w:rPr>
                <w:rFonts w:eastAsia="Arial"/>
                <w:b/>
                <w:color w:val="FFFFFF" w:themeColor="background1"/>
                <w:sz w:val="18"/>
                <w:szCs w:val="18"/>
              </w:rPr>
            </w:pPr>
            <w:r w:rsidRPr="002304E8">
              <w:rPr>
                <w:rFonts w:eastAsia="Arial"/>
                <w:b/>
                <w:color w:val="FFFFFF" w:themeColor="background1"/>
                <w:sz w:val="18"/>
                <w:szCs w:val="18"/>
              </w:rPr>
              <w:t>Pearson</w:t>
            </w:r>
          </w:p>
        </w:tc>
        <w:tc>
          <w:tcPr>
            <w:tcW w:w="1299" w:type="dxa"/>
            <w:tcBorders>
              <w:top w:val="single" w:sz="4" w:space="0" w:color="FFFFFF" w:themeColor="background1"/>
            </w:tcBorders>
            <w:shd w:val="clear" w:color="auto" w:fill="00B2A9" w:themeFill="accent1"/>
          </w:tcPr>
          <w:p w14:paraId="3277F362" w14:textId="3E8FB195" w:rsidR="00491210" w:rsidRPr="002304E8" w:rsidRDefault="00EE200C">
            <w:pPr>
              <w:spacing w:before="100" w:after="100"/>
              <w:ind w:left="100" w:right="100"/>
              <w:jc w:val="center"/>
              <w:rPr>
                <w:rFonts w:eastAsia="Arial"/>
                <w:b/>
                <w:color w:val="FFFFFF" w:themeColor="background1"/>
                <w:sz w:val="18"/>
                <w:szCs w:val="18"/>
              </w:rPr>
            </w:pPr>
            <w:r w:rsidRPr="002304E8">
              <w:rPr>
                <w:rFonts w:eastAsia="Arial"/>
                <w:b/>
                <w:color w:val="FFFFFF" w:themeColor="background1"/>
                <w:sz w:val="18"/>
                <w:szCs w:val="18"/>
              </w:rPr>
              <w:t>Spearman</w:t>
            </w:r>
          </w:p>
        </w:tc>
        <w:tc>
          <w:tcPr>
            <w:tcW w:w="1050" w:type="dxa"/>
            <w:tcBorders>
              <w:top w:val="single" w:sz="4" w:space="0" w:color="FFFFFF" w:themeColor="background1"/>
            </w:tcBorders>
            <w:shd w:val="clear" w:color="auto" w:fill="00B2A9" w:themeFill="accent1"/>
          </w:tcPr>
          <w:p w14:paraId="4A0BCD09" w14:textId="7C76B022" w:rsidR="00491210" w:rsidRPr="002304E8" w:rsidRDefault="00EE200C">
            <w:pPr>
              <w:spacing w:before="100" w:after="100"/>
              <w:ind w:left="100" w:right="100"/>
              <w:jc w:val="center"/>
              <w:rPr>
                <w:rFonts w:eastAsia="Arial"/>
                <w:b/>
                <w:color w:val="FFFFFF" w:themeColor="background1"/>
                <w:sz w:val="18"/>
                <w:szCs w:val="18"/>
              </w:rPr>
            </w:pPr>
            <w:r w:rsidRPr="002304E8">
              <w:rPr>
                <w:rFonts w:eastAsia="Arial"/>
                <w:b/>
                <w:color w:val="FFFFFF" w:themeColor="background1"/>
                <w:sz w:val="18"/>
                <w:szCs w:val="18"/>
              </w:rPr>
              <w:t>MAPE</w:t>
            </w:r>
          </w:p>
        </w:tc>
        <w:tc>
          <w:tcPr>
            <w:tcW w:w="1090" w:type="dxa"/>
            <w:tcBorders>
              <w:top w:val="single" w:sz="4" w:space="0" w:color="FFFFFF" w:themeColor="background1"/>
            </w:tcBorders>
            <w:shd w:val="clear" w:color="auto" w:fill="00B2A9" w:themeFill="accent1"/>
          </w:tcPr>
          <w:p w14:paraId="3E450C96" w14:textId="0F3C269C" w:rsidR="00491210" w:rsidRPr="002304E8" w:rsidRDefault="00EE200C">
            <w:pPr>
              <w:spacing w:before="100" w:after="100"/>
              <w:ind w:left="100" w:right="100"/>
              <w:jc w:val="center"/>
              <w:rPr>
                <w:rFonts w:eastAsia="Arial"/>
                <w:b/>
                <w:color w:val="FFFFFF" w:themeColor="background1"/>
                <w:sz w:val="18"/>
                <w:szCs w:val="18"/>
              </w:rPr>
            </w:pPr>
            <w:r w:rsidRPr="002304E8">
              <w:rPr>
                <w:rFonts w:eastAsia="Arial"/>
                <w:b/>
                <w:color w:val="FFFFFF" w:themeColor="background1"/>
                <w:sz w:val="18"/>
                <w:szCs w:val="18"/>
              </w:rPr>
              <w:t>Bias</w:t>
            </w:r>
          </w:p>
        </w:tc>
        <w:tc>
          <w:tcPr>
            <w:tcW w:w="1205" w:type="dxa"/>
            <w:tcBorders>
              <w:top w:val="single" w:sz="4" w:space="0" w:color="FFFFFF" w:themeColor="background1"/>
            </w:tcBorders>
            <w:shd w:val="clear" w:color="auto" w:fill="00B2A9" w:themeFill="accent1"/>
          </w:tcPr>
          <w:p w14:paraId="00B9E402" w14:textId="6D696DFF" w:rsidR="00491210" w:rsidRPr="002304E8" w:rsidRDefault="00EE200C">
            <w:pPr>
              <w:spacing w:before="100" w:after="100"/>
              <w:ind w:left="100" w:right="100"/>
              <w:jc w:val="center"/>
              <w:rPr>
                <w:rFonts w:eastAsia="Arial"/>
                <w:b/>
                <w:color w:val="FFFFFF" w:themeColor="background1"/>
                <w:sz w:val="18"/>
                <w:szCs w:val="18"/>
              </w:rPr>
            </w:pPr>
            <w:r w:rsidRPr="002304E8">
              <w:rPr>
                <w:rFonts w:eastAsia="Arial"/>
                <w:b/>
                <w:color w:val="FFFFFF" w:themeColor="background1"/>
                <w:sz w:val="18"/>
                <w:szCs w:val="18"/>
              </w:rPr>
              <w:t>Direction</w:t>
            </w:r>
          </w:p>
        </w:tc>
      </w:tr>
      <w:tr w:rsidR="003B59F3" w14:paraId="73A27C85" w14:textId="77777777" w:rsidTr="007707AE">
        <w:tc>
          <w:tcPr>
            <w:tcW w:w="1310" w:type="dxa"/>
            <w:vMerge w:val="restart"/>
            <w:tcBorders>
              <w:bottom w:val="single" w:sz="6" w:space="0" w:color="00B2A9" w:themeColor="accent1"/>
            </w:tcBorders>
            <w:shd w:val="clear" w:color="auto" w:fill="FFFFFF" w:themeFill="background1"/>
          </w:tcPr>
          <w:p w14:paraId="5236378F" w14:textId="04472C35" w:rsidR="00491210" w:rsidRPr="002304E8" w:rsidRDefault="00EE200C" w:rsidP="00697EE3">
            <w:pPr>
              <w:spacing w:before="100" w:after="100"/>
              <w:ind w:left="100" w:right="100"/>
              <w:rPr>
                <w:rFonts w:eastAsia="Arial"/>
                <w:color w:val="000000"/>
                <w:sz w:val="18"/>
                <w:szCs w:val="18"/>
              </w:rPr>
            </w:pPr>
            <w:r w:rsidRPr="002304E8">
              <w:rPr>
                <w:rFonts w:eastAsia="Arial"/>
                <w:color w:val="000000"/>
                <w:sz w:val="18"/>
                <w:szCs w:val="18"/>
              </w:rPr>
              <w:t>‘Population size’</w:t>
            </w:r>
            <w:r w:rsidRPr="002304E8">
              <w:rPr>
                <w:sz w:val="18"/>
                <w:szCs w:val="18"/>
              </w:rPr>
              <w:t xml:space="preserve"> </w:t>
            </w:r>
            <w:r w:rsidRPr="002304E8">
              <w:rPr>
                <w:rFonts w:eastAsia="Arial"/>
                <w:color w:val="000000"/>
                <w:sz w:val="18"/>
                <w:szCs w:val="18"/>
              </w:rPr>
              <w:t>growth rate</w:t>
            </w:r>
          </w:p>
        </w:tc>
        <w:tc>
          <w:tcPr>
            <w:tcW w:w="1517" w:type="dxa"/>
            <w:tcBorders>
              <w:bottom w:val="single" w:sz="6" w:space="0" w:color="00B2A9" w:themeColor="accent1"/>
            </w:tcBorders>
            <w:shd w:val="clear" w:color="auto" w:fill="FFFFFF" w:themeFill="background1"/>
          </w:tcPr>
          <w:p w14:paraId="1A505562" w14:textId="0481F3ED" w:rsidR="00491210" w:rsidRPr="002304E8" w:rsidRDefault="00EE200C" w:rsidP="3FC79A6E">
            <w:pPr>
              <w:spacing w:before="100" w:after="100"/>
              <w:ind w:left="100" w:right="100"/>
              <w:rPr>
                <w:rFonts w:eastAsia="Arial"/>
                <w:color w:val="000000"/>
                <w:sz w:val="18"/>
                <w:szCs w:val="18"/>
              </w:rPr>
            </w:pPr>
            <w:r w:rsidRPr="002304E8">
              <w:rPr>
                <w:rFonts w:eastAsia="Arial"/>
                <w:color w:val="000000"/>
                <w:sz w:val="18"/>
                <w:szCs w:val="18"/>
              </w:rPr>
              <w:t>Lower Murray below Wentworth</w:t>
            </w:r>
          </w:p>
        </w:tc>
        <w:tc>
          <w:tcPr>
            <w:tcW w:w="917" w:type="dxa"/>
            <w:tcBorders>
              <w:bottom w:val="single" w:sz="6" w:space="0" w:color="00B2A9" w:themeColor="accent1"/>
            </w:tcBorders>
            <w:shd w:val="clear" w:color="auto" w:fill="FFFFFF" w:themeFill="background1"/>
          </w:tcPr>
          <w:p w14:paraId="3F27EF3C" w14:textId="19DDBFF1" w:rsidR="00491210" w:rsidRPr="002304E8" w:rsidRDefault="00EE200C" w:rsidP="3FC79A6E">
            <w:pPr>
              <w:spacing w:before="100" w:after="100"/>
              <w:ind w:left="100" w:right="100"/>
              <w:rPr>
                <w:rFonts w:eastAsia="Arial"/>
                <w:color w:val="000000"/>
                <w:sz w:val="18"/>
                <w:szCs w:val="18"/>
              </w:rPr>
            </w:pPr>
            <w:r w:rsidRPr="002304E8">
              <w:rPr>
                <w:rFonts w:eastAsia="Arial"/>
                <w:color w:val="000000"/>
                <w:sz w:val="18"/>
                <w:szCs w:val="18"/>
              </w:rPr>
              <w:t>NSW</w:t>
            </w:r>
          </w:p>
        </w:tc>
        <w:tc>
          <w:tcPr>
            <w:tcW w:w="1157" w:type="dxa"/>
            <w:tcBorders>
              <w:bottom w:val="single" w:sz="6" w:space="0" w:color="00B2A9" w:themeColor="accent1"/>
            </w:tcBorders>
            <w:shd w:val="clear" w:color="auto" w:fill="FFFFFF" w:themeFill="background1"/>
            <w:vAlign w:val="center"/>
          </w:tcPr>
          <w:p w14:paraId="37AEDE88" w14:textId="43612429" w:rsidR="00491210" w:rsidRPr="002304E8" w:rsidRDefault="00EE200C" w:rsidP="3FC79A6E">
            <w:pPr>
              <w:spacing w:before="100" w:after="100"/>
              <w:ind w:left="100" w:right="100"/>
              <w:jc w:val="center"/>
              <w:rPr>
                <w:rFonts w:eastAsia="Arial"/>
                <w:color w:val="000000"/>
                <w:sz w:val="18"/>
                <w:szCs w:val="18"/>
              </w:rPr>
            </w:pPr>
            <w:r>
              <w:rPr>
                <w:rFonts w:eastAsia="Arial"/>
                <w:color w:val="000000"/>
                <w:sz w:val="18"/>
                <w:szCs w:val="18"/>
              </w:rPr>
              <w:t>-</w:t>
            </w:r>
            <w:r w:rsidRPr="002304E8">
              <w:rPr>
                <w:rFonts w:eastAsia="Arial"/>
                <w:color w:val="000000"/>
                <w:sz w:val="18"/>
                <w:szCs w:val="18"/>
              </w:rPr>
              <w:t>0.17</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0.90, 0.80)</w:t>
            </w:r>
          </w:p>
        </w:tc>
        <w:tc>
          <w:tcPr>
            <w:tcW w:w="1299" w:type="dxa"/>
            <w:tcBorders>
              <w:bottom w:val="single" w:sz="6" w:space="0" w:color="00B2A9" w:themeColor="accent1"/>
            </w:tcBorders>
            <w:shd w:val="clear" w:color="auto" w:fill="FFFFFF" w:themeFill="background1"/>
            <w:vAlign w:val="center"/>
          </w:tcPr>
          <w:p w14:paraId="3FA70093" w14:textId="56D6C7EB" w:rsidR="00491210" w:rsidRPr="002304E8" w:rsidRDefault="00EE200C" w:rsidP="3FC79A6E">
            <w:pPr>
              <w:spacing w:before="100" w:after="100"/>
              <w:ind w:left="100" w:right="100"/>
              <w:jc w:val="center"/>
              <w:rPr>
                <w:rFonts w:eastAsia="Arial"/>
                <w:color w:val="000000"/>
                <w:sz w:val="18"/>
                <w:szCs w:val="18"/>
              </w:rPr>
            </w:pPr>
            <w:r>
              <w:rPr>
                <w:rFonts w:eastAsia="Arial"/>
                <w:color w:val="000000"/>
                <w:sz w:val="18"/>
                <w:szCs w:val="18"/>
              </w:rPr>
              <w:t>-</w:t>
            </w:r>
            <w:r w:rsidRPr="002304E8">
              <w:rPr>
                <w:rFonts w:eastAsia="Arial"/>
                <w:color w:val="000000"/>
                <w:sz w:val="18"/>
                <w:szCs w:val="18"/>
              </w:rPr>
              <w:t>0.14</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0.94, 0.89)</w:t>
            </w:r>
          </w:p>
        </w:tc>
        <w:tc>
          <w:tcPr>
            <w:tcW w:w="1050" w:type="dxa"/>
            <w:tcBorders>
              <w:bottom w:val="single" w:sz="6" w:space="0" w:color="00B2A9" w:themeColor="accent1"/>
            </w:tcBorders>
            <w:shd w:val="clear" w:color="auto" w:fill="FFFFFF" w:themeFill="background1"/>
            <w:vAlign w:val="center"/>
          </w:tcPr>
          <w:p w14:paraId="2673BAB1" w14:textId="488A8B29"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59%</w:t>
            </w:r>
            <w:r w:rsidRPr="002304E8">
              <w:rPr>
                <w:sz w:val="18"/>
                <w:szCs w:val="18"/>
              </w:rPr>
              <w:br/>
            </w:r>
            <w:r w:rsidRPr="002304E8">
              <w:rPr>
                <w:rFonts w:eastAsia="Arial"/>
                <w:color w:val="000000"/>
                <w:sz w:val="18"/>
                <w:szCs w:val="18"/>
              </w:rPr>
              <w:t>(28%, 157%)</w:t>
            </w:r>
          </w:p>
        </w:tc>
        <w:tc>
          <w:tcPr>
            <w:tcW w:w="1090" w:type="dxa"/>
            <w:tcBorders>
              <w:bottom w:val="single" w:sz="6" w:space="0" w:color="00B2A9" w:themeColor="accent1"/>
            </w:tcBorders>
            <w:shd w:val="clear" w:color="auto" w:fill="EAF1A9" w:themeFill="text2" w:themeFillTint="66"/>
            <w:vAlign w:val="center"/>
          </w:tcPr>
          <w:p w14:paraId="308B7236" w14:textId="5A24ECAE"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1%</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21%, 37%)</w:t>
            </w:r>
          </w:p>
        </w:tc>
        <w:tc>
          <w:tcPr>
            <w:tcW w:w="1205" w:type="dxa"/>
            <w:tcBorders>
              <w:bottom w:val="single" w:sz="6" w:space="0" w:color="00B2A9" w:themeColor="accent1"/>
            </w:tcBorders>
            <w:shd w:val="clear" w:color="auto" w:fill="FFFFFF" w:themeFill="background1"/>
            <w:vAlign w:val="center"/>
          </w:tcPr>
          <w:p w14:paraId="0A7D35E9" w14:textId="1C36C820"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50%</w:t>
            </w:r>
            <w:r w:rsidRPr="002304E8">
              <w:rPr>
                <w:sz w:val="18"/>
                <w:szCs w:val="18"/>
              </w:rPr>
              <w:br/>
            </w:r>
            <w:r w:rsidRPr="002304E8">
              <w:rPr>
                <w:rFonts w:eastAsia="Arial"/>
                <w:color w:val="000000"/>
                <w:sz w:val="18"/>
                <w:szCs w:val="18"/>
              </w:rPr>
              <w:t>(0%, 75%)</w:t>
            </w:r>
          </w:p>
        </w:tc>
      </w:tr>
      <w:tr w:rsidR="003B59F3" w14:paraId="16896DDE" w14:textId="77777777" w:rsidTr="007707AE">
        <w:tc>
          <w:tcPr>
            <w:tcW w:w="1310" w:type="dxa"/>
            <w:vMerge/>
            <w:vAlign w:val="center"/>
          </w:tcPr>
          <w:p w14:paraId="46A8EA65" w14:textId="77777777" w:rsidR="00491210" w:rsidRPr="002304E8" w:rsidRDefault="00491210" w:rsidP="00697EE3">
            <w:pPr>
              <w:rPr>
                <w:sz w:val="18"/>
                <w:szCs w:val="18"/>
              </w:rPr>
            </w:pPr>
          </w:p>
        </w:tc>
        <w:tc>
          <w:tcPr>
            <w:tcW w:w="1517" w:type="dxa"/>
            <w:tcBorders>
              <w:top w:val="single" w:sz="6" w:space="0" w:color="00B2A9" w:themeColor="accent1"/>
              <w:bottom w:val="single" w:sz="6" w:space="0" w:color="00B2A9" w:themeColor="accent1"/>
            </w:tcBorders>
            <w:shd w:val="clear" w:color="auto" w:fill="FFFFFF" w:themeFill="background1"/>
          </w:tcPr>
          <w:p w14:paraId="6EFDBBD5" w14:textId="6D7305B9" w:rsidR="00491210" w:rsidRPr="002304E8" w:rsidRDefault="00EE200C" w:rsidP="3FC79A6E">
            <w:pPr>
              <w:spacing w:before="100" w:after="100"/>
              <w:ind w:left="100" w:right="100"/>
              <w:rPr>
                <w:rFonts w:eastAsia="Arial"/>
                <w:color w:val="000000"/>
                <w:sz w:val="18"/>
                <w:szCs w:val="18"/>
              </w:rPr>
            </w:pPr>
            <w:r w:rsidRPr="002304E8">
              <w:rPr>
                <w:rFonts w:eastAsia="Arial"/>
                <w:color w:val="000000"/>
                <w:sz w:val="18"/>
                <w:szCs w:val="18"/>
              </w:rPr>
              <w:t>Torrumbarry to Wentworth</w:t>
            </w:r>
          </w:p>
        </w:tc>
        <w:tc>
          <w:tcPr>
            <w:tcW w:w="917" w:type="dxa"/>
            <w:tcBorders>
              <w:top w:val="single" w:sz="6" w:space="0" w:color="00B2A9" w:themeColor="accent1"/>
              <w:bottom w:val="single" w:sz="6" w:space="0" w:color="00B2A9" w:themeColor="accent1"/>
            </w:tcBorders>
            <w:shd w:val="clear" w:color="auto" w:fill="FFFFFF" w:themeFill="background1"/>
          </w:tcPr>
          <w:p w14:paraId="117FA22D" w14:textId="719AD7CC" w:rsidR="00491210" w:rsidRPr="002304E8" w:rsidRDefault="00EE200C" w:rsidP="3FC79A6E">
            <w:pPr>
              <w:spacing w:before="100" w:after="100"/>
              <w:ind w:left="100" w:right="100"/>
              <w:rPr>
                <w:rFonts w:eastAsia="Arial"/>
                <w:color w:val="000000"/>
                <w:sz w:val="18"/>
                <w:szCs w:val="18"/>
              </w:rPr>
            </w:pPr>
            <w:r w:rsidRPr="002304E8">
              <w:rPr>
                <w:rFonts w:eastAsia="Arial"/>
                <w:color w:val="000000"/>
                <w:sz w:val="18"/>
                <w:szCs w:val="18"/>
              </w:rPr>
              <w:t>NSW</w:t>
            </w:r>
          </w:p>
        </w:tc>
        <w:tc>
          <w:tcPr>
            <w:tcW w:w="1157" w:type="dxa"/>
            <w:tcBorders>
              <w:top w:val="single" w:sz="6" w:space="0" w:color="00B2A9" w:themeColor="accent1"/>
              <w:bottom w:val="single" w:sz="6" w:space="0" w:color="00B2A9" w:themeColor="accent1"/>
            </w:tcBorders>
            <w:shd w:val="clear" w:color="auto" w:fill="FFFFFF" w:themeFill="background1"/>
            <w:vAlign w:val="center"/>
          </w:tcPr>
          <w:p w14:paraId="6358C6E1" w14:textId="6B4B0B9E" w:rsidR="00491210" w:rsidRPr="002304E8" w:rsidRDefault="00EE200C" w:rsidP="3FC79A6E">
            <w:pPr>
              <w:spacing w:before="100" w:after="100"/>
              <w:ind w:left="100" w:right="100"/>
              <w:jc w:val="center"/>
              <w:rPr>
                <w:rFonts w:eastAsia="Arial"/>
                <w:color w:val="000000"/>
                <w:sz w:val="18"/>
                <w:szCs w:val="18"/>
              </w:rPr>
            </w:pPr>
            <w:r>
              <w:rPr>
                <w:rFonts w:eastAsia="Arial"/>
                <w:color w:val="000000"/>
                <w:sz w:val="18"/>
                <w:szCs w:val="18"/>
              </w:rPr>
              <w:t>-</w:t>
            </w:r>
            <w:r w:rsidRPr="002304E8">
              <w:rPr>
                <w:rFonts w:eastAsia="Arial"/>
                <w:color w:val="000000"/>
                <w:sz w:val="18"/>
                <w:szCs w:val="18"/>
              </w:rPr>
              <w:t>0.25</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0.69, 0.32)</w:t>
            </w:r>
          </w:p>
        </w:tc>
        <w:tc>
          <w:tcPr>
            <w:tcW w:w="1299" w:type="dxa"/>
            <w:tcBorders>
              <w:top w:val="single" w:sz="6" w:space="0" w:color="00B2A9" w:themeColor="accent1"/>
              <w:bottom w:val="single" w:sz="6" w:space="0" w:color="00B2A9" w:themeColor="accent1"/>
            </w:tcBorders>
            <w:shd w:val="clear" w:color="auto" w:fill="FFFFFF" w:themeFill="background1"/>
            <w:vAlign w:val="center"/>
          </w:tcPr>
          <w:p w14:paraId="5E543AFA" w14:textId="397CA237" w:rsidR="00491210" w:rsidRPr="002304E8" w:rsidRDefault="00EE200C" w:rsidP="3FC79A6E">
            <w:pPr>
              <w:spacing w:before="100" w:after="100"/>
              <w:ind w:left="100" w:right="100"/>
              <w:jc w:val="center"/>
              <w:rPr>
                <w:rFonts w:eastAsia="Arial"/>
                <w:color w:val="000000"/>
                <w:sz w:val="18"/>
                <w:szCs w:val="18"/>
              </w:rPr>
            </w:pPr>
            <w:r>
              <w:rPr>
                <w:rFonts w:eastAsia="Arial"/>
                <w:color w:val="000000"/>
                <w:sz w:val="18"/>
                <w:szCs w:val="18"/>
              </w:rPr>
              <w:t>-</w:t>
            </w:r>
            <w:r w:rsidRPr="002304E8">
              <w:rPr>
                <w:rFonts w:eastAsia="Arial"/>
                <w:color w:val="000000"/>
                <w:sz w:val="18"/>
                <w:szCs w:val="18"/>
              </w:rPr>
              <w:t>0.14</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0.64, 0.36)</w:t>
            </w:r>
          </w:p>
        </w:tc>
        <w:tc>
          <w:tcPr>
            <w:tcW w:w="1050" w:type="dxa"/>
            <w:tcBorders>
              <w:top w:val="single" w:sz="6" w:space="0" w:color="00B2A9" w:themeColor="accent1"/>
              <w:bottom w:val="single" w:sz="6" w:space="0" w:color="00B2A9" w:themeColor="accent1"/>
            </w:tcBorders>
            <w:shd w:val="clear" w:color="auto" w:fill="FFFFFF" w:themeFill="background1"/>
            <w:vAlign w:val="center"/>
          </w:tcPr>
          <w:p w14:paraId="047677F2" w14:textId="3717D0BA"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66%</w:t>
            </w:r>
            <w:r w:rsidRPr="002304E8">
              <w:rPr>
                <w:sz w:val="18"/>
                <w:szCs w:val="18"/>
              </w:rPr>
              <w:br/>
            </w:r>
            <w:r w:rsidRPr="002304E8">
              <w:rPr>
                <w:rFonts w:eastAsia="Arial"/>
                <w:color w:val="000000"/>
                <w:sz w:val="18"/>
                <w:szCs w:val="18"/>
              </w:rPr>
              <w:t>(32%, 122%)</w:t>
            </w:r>
          </w:p>
        </w:tc>
        <w:tc>
          <w:tcPr>
            <w:tcW w:w="1090" w:type="dxa"/>
            <w:tcBorders>
              <w:top w:val="single" w:sz="6" w:space="0" w:color="00B2A9" w:themeColor="accent1"/>
              <w:bottom w:val="single" w:sz="6" w:space="0" w:color="00B2A9" w:themeColor="accent1"/>
            </w:tcBorders>
            <w:shd w:val="clear" w:color="auto" w:fill="FFFFFF" w:themeFill="background1"/>
            <w:vAlign w:val="center"/>
          </w:tcPr>
          <w:p w14:paraId="367F2BEC" w14:textId="5E8B7AF6"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34%</w:t>
            </w:r>
            <w:r w:rsidRPr="002304E8">
              <w:rPr>
                <w:sz w:val="18"/>
                <w:szCs w:val="18"/>
              </w:rPr>
              <w:br/>
            </w:r>
            <w:r w:rsidRPr="002304E8">
              <w:rPr>
                <w:rFonts w:eastAsia="Arial"/>
                <w:color w:val="000000"/>
                <w:sz w:val="18"/>
                <w:szCs w:val="18"/>
              </w:rPr>
              <w:t>(9%, 70%)</w:t>
            </w:r>
          </w:p>
        </w:tc>
        <w:tc>
          <w:tcPr>
            <w:tcW w:w="1205" w:type="dxa"/>
            <w:tcBorders>
              <w:top w:val="single" w:sz="6" w:space="0" w:color="00B2A9" w:themeColor="accent1"/>
              <w:bottom w:val="single" w:sz="6" w:space="0" w:color="00B2A9" w:themeColor="accent1"/>
            </w:tcBorders>
            <w:shd w:val="clear" w:color="auto" w:fill="FFFFFF" w:themeFill="background1"/>
            <w:vAlign w:val="center"/>
          </w:tcPr>
          <w:p w14:paraId="4B9CB527" w14:textId="7C71FBD5"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50%</w:t>
            </w:r>
            <w:r w:rsidRPr="002304E8">
              <w:rPr>
                <w:sz w:val="18"/>
                <w:szCs w:val="18"/>
              </w:rPr>
              <w:br/>
            </w:r>
            <w:r w:rsidRPr="002304E8">
              <w:rPr>
                <w:rFonts w:eastAsia="Arial"/>
                <w:color w:val="000000"/>
                <w:sz w:val="18"/>
                <w:szCs w:val="18"/>
              </w:rPr>
              <w:t>(0%, 75%)</w:t>
            </w:r>
          </w:p>
        </w:tc>
      </w:tr>
      <w:tr w:rsidR="003B59F3" w14:paraId="74477022" w14:textId="77777777" w:rsidTr="007707AE">
        <w:tc>
          <w:tcPr>
            <w:tcW w:w="1310" w:type="dxa"/>
            <w:vMerge/>
            <w:vAlign w:val="center"/>
          </w:tcPr>
          <w:p w14:paraId="7E1DEA0C" w14:textId="77777777" w:rsidR="00491210" w:rsidRPr="002304E8" w:rsidRDefault="00491210" w:rsidP="00697EE3">
            <w:pPr>
              <w:rPr>
                <w:sz w:val="18"/>
                <w:szCs w:val="18"/>
              </w:rPr>
            </w:pPr>
          </w:p>
        </w:tc>
        <w:tc>
          <w:tcPr>
            <w:tcW w:w="1517" w:type="dxa"/>
            <w:vMerge w:val="restart"/>
            <w:tcBorders>
              <w:top w:val="single" w:sz="6" w:space="0" w:color="00B2A9" w:themeColor="accent1"/>
              <w:bottom w:val="single" w:sz="6" w:space="0" w:color="00B2A9" w:themeColor="accent1"/>
            </w:tcBorders>
            <w:shd w:val="clear" w:color="auto" w:fill="FFFFFF" w:themeFill="background1"/>
          </w:tcPr>
          <w:p w14:paraId="3450781B" w14:textId="27699098" w:rsidR="00491210" w:rsidRPr="002304E8" w:rsidRDefault="00EE200C" w:rsidP="3FC79A6E">
            <w:pPr>
              <w:spacing w:before="100" w:after="100"/>
              <w:ind w:left="100" w:right="100"/>
              <w:rPr>
                <w:rFonts w:eastAsia="Arial"/>
                <w:color w:val="000000"/>
                <w:sz w:val="18"/>
                <w:szCs w:val="18"/>
              </w:rPr>
            </w:pPr>
            <w:r w:rsidRPr="002304E8">
              <w:rPr>
                <w:rFonts w:eastAsia="Arial"/>
                <w:color w:val="000000"/>
                <w:sz w:val="18"/>
                <w:szCs w:val="18"/>
              </w:rPr>
              <w:t>Yarrawonga to Torrumbarry</w:t>
            </w:r>
          </w:p>
        </w:tc>
        <w:tc>
          <w:tcPr>
            <w:tcW w:w="917" w:type="dxa"/>
            <w:tcBorders>
              <w:top w:val="single" w:sz="6" w:space="0" w:color="00B2A9" w:themeColor="accent1"/>
              <w:bottom w:val="single" w:sz="6" w:space="0" w:color="00B2A9" w:themeColor="accent1"/>
            </w:tcBorders>
            <w:shd w:val="clear" w:color="auto" w:fill="FFFFFF" w:themeFill="background1"/>
          </w:tcPr>
          <w:p w14:paraId="3BDDA208" w14:textId="4BB988B6" w:rsidR="00491210" w:rsidRPr="002304E8" w:rsidRDefault="00EE200C" w:rsidP="3FC79A6E">
            <w:pPr>
              <w:spacing w:before="100" w:after="100"/>
              <w:ind w:left="100" w:right="100"/>
              <w:rPr>
                <w:rFonts w:eastAsia="Arial"/>
                <w:color w:val="000000"/>
                <w:sz w:val="18"/>
                <w:szCs w:val="18"/>
              </w:rPr>
            </w:pPr>
            <w:r w:rsidRPr="002304E8">
              <w:rPr>
                <w:rFonts w:eastAsia="Arial"/>
                <w:color w:val="000000"/>
                <w:sz w:val="18"/>
                <w:szCs w:val="18"/>
              </w:rPr>
              <w:t>ARI</w:t>
            </w:r>
          </w:p>
        </w:tc>
        <w:tc>
          <w:tcPr>
            <w:tcW w:w="1157" w:type="dxa"/>
            <w:tcBorders>
              <w:top w:val="single" w:sz="6" w:space="0" w:color="00B2A9" w:themeColor="accent1"/>
              <w:bottom w:val="single" w:sz="6" w:space="0" w:color="00B2A9" w:themeColor="accent1"/>
            </w:tcBorders>
            <w:shd w:val="clear" w:color="auto" w:fill="FFFFFF" w:themeFill="background1"/>
            <w:vAlign w:val="center"/>
          </w:tcPr>
          <w:p w14:paraId="7EE2D292" w14:textId="144DDE26"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0.09</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0.26, 0.40)</w:t>
            </w:r>
          </w:p>
        </w:tc>
        <w:tc>
          <w:tcPr>
            <w:tcW w:w="1299" w:type="dxa"/>
            <w:tcBorders>
              <w:top w:val="single" w:sz="6" w:space="0" w:color="00B2A9" w:themeColor="accent1"/>
              <w:bottom w:val="single" w:sz="6" w:space="0" w:color="00B2A9" w:themeColor="accent1"/>
            </w:tcBorders>
            <w:shd w:val="clear" w:color="auto" w:fill="FFFFFF" w:themeFill="background1"/>
            <w:vAlign w:val="center"/>
          </w:tcPr>
          <w:p w14:paraId="6F4C6E4B" w14:textId="3EE6F722"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0.30</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0.13, 0.59)</w:t>
            </w:r>
          </w:p>
        </w:tc>
        <w:tc>
          <w:tcPr>
            <w:tcW w:w="1050" w:type="dxa"/>
            <w:tcBorders>
              <w:top w:val="single" w:sz="6" w:space="0" w:color="00B2A9" w:themeColor="accent1"/>
              <w:bottom w:val="single" w:sz="6" w:space="0" w:color="00B2A9" w:themeColor="accent1"/>
            </w:tcBorders>
            <w:shd w:val="clear" w:color="auto" w:fill="FFFFFF" w:themeFill="background1"/>
            <w:vAlign w:val="center"/>
          </w:tcPr>
          <w:p w14:paraId="11D4C2DD" w14:textId="07D17327"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63%</w:t>
            </w:r>
            <w:r w:rsidRPr="002304E8">
              <w:rPr>
                <w:sz w:val="18"/>
                <w:szCs w:val="18"/>
              </w:rPr>
              <w:br/>
            </w:r>
            <w:r w:rsidRPr="002304E8">
              <w:rPr>
                <w:rFonts w:eastAsia="Arial"/>
                <w:color w:val="000000"/>
                <w:sz w:val="18"/>
                <w:szCs w:val="18"/>
              </w:rPr>
              <w:t>(41%, 92%)</w:t>
            </w:r>
          </w:p>
        </w:tc>
        <w:tc>
          <w:tcPr>
            <w:tcW w:w="1090" w:type="dxa"/>
            <w:tcBorders>
              <w:top w:val="single" w:sz="6" w:space="0" w:color="00B2A9" w:themeColor="accent1"/>
              <w:bottom w:val="single" w:sz="6" w:space="0" w:color="00B2A9" w:themeColor="accent1"/>
            </w:tcBorders>
            <w:shd w:val="clear" w:color="auto" w:fill="EAF1A9" w:themeFill="text2" w:themeFillTint="66"/>
            <w:vAlign w:val="center"/>
          </w:tcPr>
          <w:p w14:paraId="644D028A" w14:textId="32EF68D7" w:rsidR="00491210" w:rsidRPr="002304E8" w:rsidRDefault="00EE200C" w:rsidP="3FC79A6E">
            <w:pPr>
              <w:spacing w:before="100" w:after="100"/>
              <w:ind w:left="100" w:right="100"/>
              <w:jc w:val="center"/>
              <w:rPr>
                <w:rFonts w:eastAsia="Arial"/>
                <w:color w:val="000000"/>
                <w:sz w:val="18"/>
                <w:szCs w:val="18"/>
              </w:rPr>
            </w:pPr>
            <w:r>
              <w:rPr>
                <w:rFonts w:eastAsia="Arial"/>
                <w:color w:val="000000"/>
                <w:sz w:val="18"/>
                <w:szCs w:val="18"/>
              </w:rPr>
              <w:t>-</w:t>
            </w:r>
            <w:r w:rsidRPr="002304E8">
              <w:rPr>
                <w:rFonts w:eastAsia="Arial"/>
                <w:color w:val="000000"/>
                <w:sz w:val="18"/>
                <w:szCs w:val="18"/>
              </w:rPr>
              <w:t>2%</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20%, 19%)</w:t>
            </w:r>
          </w:p>
        </w:tc>
        <w:tc>
          <w:tcPr>
            <w:tcW w:w="1205" w:type="dxa"/>
            <w:tcBorders>
              <w:top w:val="single" w:sz="6" w:space="0" w:color="00B2A9" w:themeColor="accent1"/>
              <w:bottom w:val="single" w:sz="6" w:space="0" w:color="00B2A9" w:themeColor="accent1"/>
            </w:tcBorders>
            <w:shd w:val="clear" w:color="auto" w:fill="FFFFFF" w:themeFill="background1"/>
            <w:vAlign w:val="center"/>
          </w:tcPr>
          <w:p w14:paraId="68AC2562" w14:textId="263F71CE"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56%</w:t>
            </w:r>
            <w:r w:rsidRPr="002304E8">
              <w:rPr>
                <w:sz w:val="18"/>
                <w:szCs w:val="18"/>
              </w:rPr>
              <w:br/>
            </w:r>
            <w:r w:rsidRPr="002304E8">
              <w:rPr>
                <w:rFonts w:eastAsia="Arial"/>
                <w:color w:val="000000"/>
                <w:sz w:val="18"/>
                <w:szCs w:val="18"/>
              </w:rPr>
              <w:t>(33%, 72%)</w:t>
            </w:r>
          </w:p>
        </w:tc>
      </w:tr>
      <w:tr w:rsidR="003B59F3" w14:paraId="133294E4" w14:textId="77777777" w:rsidTr="007707AE">
        <w:tc>
          <w:tcPr>
            <w:tcW w:w="1310" w:type="dxa"/>
            <w:vMerge/>
            <w:vAlign w:val="center"/>
          </w:tcPr>
          <w:p w14:paraId="1C6CB615" w14:textId="77777777" w:rsidR="00491210" w:rsidRPr="002304E8" w:rsidRDefault="00491210" w:rsidP="00697EE3">
            <w:pPr>
              <w:rPr>
                <w:sz w:val="18"/>
                <w:szCs w:val="18"/>
              </w:rPr>
            </w:pPr>
          </w:p>
        </w:tc>
        <w:tc>
          <w:tcPr>
            <w:tcW w:w="1517" w:type="dxa"/>
            <w:vMerge/>
            <w:tcBorders>
              <w:bottom w:val="single" w:sz="0" w:space="0" w:color="00B2A9" w:themeColor="accent1"/>
            </w:tcBorders>
            <w:vAlign w:val="center"/>
          </w:tcPr>
          <w:p w14:paraId="65E50929" w14:textId="77777777" w:rsidR="00491210" w:rsidRPr="002304E8" w:rsidRDefault="00491210">
            <w:pPr>
              <w:rPr>
                <w:sz w:val="18"/>
                <w:szCs w:val="18"/>
              </w:rPr>
            </w:pPr>
          </w:p>
        </w:tc>
        <w:tc>
          <w:tcPr>
            <w:tcW w:w="917" w:type="dxa"/>
            <w:tcBorders>
              <w:top w:val="single" w:sz="6" w:space="0" w:color="00B2A9" w:themeColor="accent1"/>
              <w:bottom w:val="single" w:sz="6" w:space="0" w:color="00B2A9" w:themeColor="accent1"/>
            </w:tcBorders>
            <w:shd w:val="clear" w:color="auto" w:fill="FFFFFF" w:themeFill="background1"/>
          </w:tcPr>
          <w:p w14:paraId="167B8743" w14:textId="102BF420" w:rsidR="00491210" w:rsidRPr="002304E8" w:rsidRDefault="00EE200C" w:rsidP="3FC79A6E">
            <w:pPr>
              <w:spacing w:before="100" w:after="100"/>
              <w:ind w:left="100" w:right="100"/>
              <w:rPr>
                <w:rFonts w:eastAsia="Arial"/>
                <w:color w:val="000000"/>
                <w:sz w:val="18"/>
                <w:szCs w:val="18"/>
              </w:rPr>
            </w:pPr>
            <w:r w:rsidRPr="002304E8">
              <w:rPr>
                <w:rFonts w:eastAsia="Arial"/>
                <w:color w:val="000000"/>
                <w:sz w:val="18"/>
                <w:szCs w:val="18"/>
              </w:rPr>
              <w:t>NSW</w:t>
            </w:r>
          </w:p>
        </w:tc>
        <w:tc>
          <w:tcPr>
            <w:tcW w:w="1157" w:type="dxa"/>
            <w:tcBorders>
              <w:top w:val="single" w:sz="6" w:space="0" w:color="00B2A9" w:themeColor="accent1"/>
              <w:bottom w:val="single" w:sz="6" w:space="0" w:color="00B2A9" w:themeColor="accent1"/>
            </w:tcBorders>
            <w:shd w:val="clear" w:color="auto" w:fill="B4C62B" w:themeFill="background2" w:themeFillShade="80"/>
            <w:vAlign w:val="center"/>
          </w:tcPr>
          <w:p w14:paraId="71C5EF8C" w14:textId="60F70A1E"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0.55</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0.49, 0.93)</w:t>
            </w:r>
          </w:p>
        </w:tc>
        <w:tc>
          <w:tcPr>
            <w:tcW w:w="1299" w:type="dxa"/>
            <w:tcBorders>
              <w:top w:val="single" w:sz="6" w:space="0" w:color="00B2A9" w:themeColor="accent1"/>
              <w:bottom w:val="single" w:sz="6" w:space="0" w:color="00B2A9" w:themeColor="accent1"/>
            </w:tcBorders>
            <w:shd w:val="clear" w:color="auto" w:fill="B4C62B" w:themeFill="background2" w:themeFillShade="80"/>
            <w:vAlign w:val="center"/>
          </w:tcPr>
          <w:p w14:paraId="0BC25AC5" w14:textId="02656238"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0.49</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0.49, 0.94)</w:t>
            </w:r>
          </w:p>
        </w:tc>
        <w:tc>
          <w:tcPr>
            <w:tcW w:w="1050" w:type="dxa"/>
            <w:tcBorders>
              <w:top w:val="single" w:sz="6" w:space="0" w:color="00B2A9" w:themeColor="accent1"/>
              <w:bottom w:val="single" w:sz="6" w:space="0" w:color="00B2A9" w:themeColor="accent1"/>
            </w:tcBorders>
            <w:shd w:val="clear" w:color="auto" w:fill="B4C62B" w:themeFill="background2" w:themeFillShade="80"/>
            <w:vAlign w:val="center"/>
          </w:tcPr>
          <w:p w14:paraId="257DF462" w14:textId="42F85FF6"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30%</w:t>
            </w:r>
            <w:r w:rsidRPr="002304E8">
              <w:rPr>
                <w:sz w:val="18"/>
                <w:szCs w:val="18"/>
              </w:rPr>
              <w:br/>
            </w:r>
            <w:r w:rsidRPr="002304E8">
              <w:rPr>
                <w:rFonts w:eastAsia="Arial"/>
                <w:color w:val="000000"/>
                <w:sz w:val="18"/>
                <w:szCs w:val="18"/>
              </w:rPr>
              <w:t>(8%, 102%)</w:t>
            </w:r>
          </w:p>
        </w:tc>
        <w:tc>
          <w:tcPr>
            <w:tcW w:w="1090" w:type="dxa"/>
            <w:tcBorders>
              <w:top w:val="single" w:sz="6" w:space="0" w:color="00B2A9" w:themeColor="accent1"/>
              <w:bottom w:val="single" w:sz="6" w:space="0" w:color="00B2A9" w:themeColor="accent1"/>
            </w:tcBorders>
            <w:shd w:val="clear" w:color="auto" w:fill="EAF1A9" w:themeFill="text2" w:themeFillTint="66"/>
            <w:vAlign w:val="center"/>
          </w:tcPr>
          <w:p w14:paraId="23B8FBB5" w14:textId="6A761961"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13%</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15%, 69%)</w:t>
            </w:r>
          </w:p>
        </w:tc>
        <w:tc>
          <w:tcPr>
            <w:tcW w:w="1205" w:type="dxa"/>
            <w:tcBorders>
              <w:top w:val="single" w:sz="6" w:space="0" w:color="00B2A9" w:themeColor="accent1"/>
              <w:bottom w:val="single" w:sz="6" w:space="0" w:color="00B2A9" w:themeColor="accent1"/>
            </w:tcBorders>
            <w:shd w:val="clear" w:color="auto" w:fill="FFFFFF" w:themeFill="background1"/>
            <w:vAlign w:val="center"/>
          </w:tcPr>
          <w:p w14:paraId="7DB59423" w14:textId="690A9334"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67%</w:t>
            </w:r>
            <w:r w:rsidRPr="002304E8">
              <w:rPr>
                <w:sz w:val="18"/>
                <w:szCs w:val="18"/>
              </w:rPr>
              <w:br/>
            </w:r>
            <w:r w:rsidRPr="002304E8">
              <w:rPr>
                <w:rFonts w:eastAsia="Arial"/>
                <w:color w:val="000000"/>
                <w:sz w:val="18"/>
                <w:szCs w:val="18"/>
              </w:rPr>
              <w:t>(0%, 100%)</w:t>
            </w:r>
          </w:p>
        </w:tc>
      </w:tr>
      <w:tr w:rsidR="003B59F3" w14:paraId="306BD1AE" w14:textId="77777777" w:rsidTr="007707AE">
        <w:tc>
          <w:tcPr>
            <w:tcW w:w="1310" w:type="dxa"/>
            <w:vMerge/>
            <w:vAlign w:val="center"/>
          </w:tcPr>
          <w:p w14:paraId="77A02750" w14:textId="77777777" w:rsidR="00491210" w:rsidRPr="002304E8" w:rsidRDefault="00491210" w:rsidP="00697EE3">
            <w:pPr>
              <w:rPr>
                <w:sz w:val="18"/>
                <w:szCs w:val="18"/>
              </w:rPr>
            </w:pPr>
          </w:p>
        </w:tc>
        <w:tc>
          <w:tcPr>
            <w:tcW w:w="1517" w:type="dxa"/>
            <w:tcBorders>
              <w:top w:val="single" w:sz="6" w:space="0" w:color="00B2A9" w:themeColor="accent1"/>
              <w:bottom w:val="single" w:sz="6" w:space="0" w:color="00B2A9" w:themeColor="accent1"/>
            </w:tcBorders>
            <w:shd w:val="clear" w:color="auto" w:fill="FFFFFF" w:themeFill="background1"/>
          </w:tcPr>
          <w:p w14:paraId="505BAB81" w14:textId="34C3E1FE" w:rsidR="00491210" w:rsidRPr="002304E8" w:rsidRDefault="00EE200C" w:rsidP="3FC79A6E">
            <w:pPr>
              <w:spacing w:before="100" w:after="100"/>
              <w:ind w:left="100" w:right="100"/>
              <w:rPr>
                <w:rFonts w:eastAsia="Arial"/>
                <w:color w:val="000000"/>
                <w:sz w:val="18"/>
                <w:szCs w:val="18"/>
              </w:rPr>
            </w:pPr>
            <w:r w:rsidRPr="002304E8">
              <w:rPr>
                <w:rFonts w:eastAsia="Arial"/>
                <w:color w:val="000000"/>
                <w:sz w:val="18"/>
                <w:szCs w:val="18"/>
              </w:rPr>
              <w:t>Lower Darling</w:t>
            </w:r>
          </w:p>
        </w:tc>
        <w:tc>
          <w:tcPr>
            <w:tcW w:w="917" w:type="dxa"/>
            <w:tcBorders>
              <w:top w:val="single" w:sz="6" w:space="0" w:color="00B2A9" w:themeColor="accent1"/>
              <w:bottom w:val="single" w:sz="6" w:space="0" w:color="00B2A9" w:themeColor="accent1"/>
            </w:tcBorders>
            <w:shd w:val="clear" w:color="auto" w:fill="FFFFFF" w:themeFill="background1"/>
          </w:tcPr>
          <w:p w14:paraId="0A4FD7BA" w14:textId="62466214" w:rsidR="00491210" w:rsidRPr="002304E8" w:rsidRDefault="00EE200C" w:rsidP="3FC79A6E">
            <w:pPr>
              <w:spacing w:before="100" w:after="100"/>
              <w:ind w:left="100" w:right="100"/>
              <w:rPr>
                <w:rFonts w:eastAsia="Arial"/>
                <w:color w:val="000000"/>
                <w:sz w:val="18"/>
                <w:szCs w:val="18"/>
              </w:rPr>
            </w:pPr>
            <w:r w:rsidRPr="002304E8">
              <w:rPr>
                <w:rFonts w:eastAsia="Arial"/>
                <w:color w:val="000000"/>
                <w:sz w:val="18"/>
                <w:szCs w:val="18"/>
              </w:rPr>
              <w:t>NSW</w:t>
            </w:r>
          </w:p>
        </w:tc>
        <w:tc>
          <w:tcPr>
            <w:tcW w:w="1157" w:type="dxa"/>
            <w:tcBorders>
              <w:top w:val="single" w:sz="6" w:space="0" w:color="00B2A9" w:themeColor="accent1"/>
              <w:bottom w:val="single" w:sz="6" w:space="0" w:color="00B2A9" w:themeColor="accent1"/>
            </w:tcBorders>
            <w:shd w:val="clear" w:color="auto" w:fill="B4C62B" w:themeFill="background2" w:themeFillShade="80"/>
            <w:vAlign w:val="center"/>
          </w:tcPr>
          <w:p w14:paraId="5BCDE5BE" w14:textId="75DBB6B1"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0.55</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0.09, 0.95)</w:t>
            </w:r>
          </w:p>
        </w:tc>
        <w:tc>
          <w:tcPr>
            <w:tcW w:w="1299" w:type="dxa"/>
            <w:tcBorders>
              <w:top w:val="single" w:sz="6" w:space="0" w:color="00B2A9" w:themeColor="accent1"/>
              <w:bottom w:val="single" w:sz="6" w:space="0" w:color="00B2A9" w:themeColor="accent1"/>
            </w:tcBorders>
            <w:shd w:val="clear" w:color="auto" w:fill="EAF1A9" w:themeFill="text2" w:themeFillTint="66"/>
            <w:vAlign w:val="center"/>
          </w:tcPr>
          <w:p w14:paraId="32343A9B" w14:textId="5C48DCC0"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0.61</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0.11, 0.96)</w:t>
            </w:r>
          </w:p>
        </w:tc>
        <w:tc>
          <w:tcPr>
            <w:tcW w:w="1050" w:type="dxa"/>
            <w:tcBorders>
              <w:top w:val="single" w:sz="6" w:space="0" w:color="00B2A9" w:themeColor="accent1"/>
              <w:bottom w:val="single" w:sz="6" w:space="0" w:color="00B2A9" w:themeColor="accent1"/>
            </w:tcBorders>
            <w:shd w:val="clear" w:color="auto" w:fill="FFFFFF" w:themeFill="background1"/>
            <w:vAlign w:val="center"/>
          </w:tcPr>
          <w:p w14:paraId="6A01DD5B" w14:textId="2F0CB09A"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62%</w:t>
            </w:r>
            <w:r w:rsidRPr="002304E8">
              <w:rPr>
                <w:sz w:val="18"/>
                <w:szCs w:val="18"/>
              </w:rPr>
              <w:br/>
            </w:r>
            <w:r w:rsidRPr="002304E8">
              <w:rPr>
                <w:rFonts w:eastAsia="Arial"/>
                <w:color w:val="000000"/>
                <w:sz w:val="18"/>
                <w:szCs w:val="18"/>
              </w:rPr>
              <w:t>(22%, 162%)</w:t>
            </w:r>
          </w:p>
        </w:tc>
        <w:tc>
          <w:tcPr>
            <w:tcW w:w="1090" w:type="dxa"/>
            <w:tcBorders>
              <w:top w:val="single" w:sz="6" w:space="0" w:color="00B2A9" w:themeColor="accent1"/>
              <w:bottom w:val="single" w:sz="6" w:space="0" w:color="00B2A9" w:themeColor="accent1"/>
            </w:tcBorders>
            <w:shd w:val="clear" w:color="auto" w:fill="EAF1A9" w:themeFill="text2" w:themeFillTint="66"/>
            <w:vAlign w:val="center"/>
          </w:tcPr>
          <w:p w14:paraId="0FA6A128" w14:textId="0D87EE7C"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9%</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8%, 28%)</w:t>
            </w:r>
          </w:p>
        </w:tc>
        <w:tc>
          <w:tcPr>
            <w:tcW w:w="1205" w:type="dxa"/>
            <w:tcBorders>
              <w:top w:val="single" w:sz="6" w:space="0" w:color="00B2A9" w:themeColor="accent1"/>
              <w:bottom w:val="single" w:sz="6" w:space="0" w:color="00B2A9" w:themeColor="accent1"/>
            </w:tcBorders>
            <w:shd w:val="clear" w:color="auto" w:fill="FFFFFF" w:themeFill="background1"/>
            <w:vAlign w:val="center"/>
          </w:tcPr>
          <w:p w14:paraId="3B62453C" w14:textId="11120C1E"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67%</w:t>
            </w:r>
            <w:r w:rsidRPr="002304E8">
              <w:rPr>
                <w:sz w:val="18"/>
                <w:szCs w:val="18"/>
              </w:rPr>
              <w:br/>
            </w:r>
            <w:r w:rsidRPr="002304E8">
              <w:rPr>
                <w:rFonts w:eastAsia="Arial"/>
                <w:color w:val="000000"/>
                <w:sz w:val="18"/>
                <w:szCs w:val="18"/>
              </w:rPr>
              <w:t>(33%, 100%)</w:t>
            </w:r>
          </w:p>
        </w:tc>
      </w:tr>
      <w:tr w:rsidR="003B59F3" w14:paraId="3A4C2B32" w14:textId="77777777" w:rsidTr="007707AE">
        <w:tc>
          <w:tcPr>
            <w:tcW w:w="1310" w:type="dxa"/>
            <w:vMerge/>
            <w:vAlign w:val="center"/>
          </w:tcPr>
          <w:p w14:paraId="79E6637C" w14:textId="77777777" w:rsidR="00491210" w:rsidRPr="002304E8" w:rsidRDefault="00491210" w:rsidP="00697EE3">
            <w:pPr>
              <w:rPr>
                <w:sz w:val="18"/>
                <w:szCs w:val="18"/>
              </w:rPr>
            </w:pPr>
          </w:p>
        </w:tc>
        <w:tc>
          <w:tcPr>
            <w:tcW w:w="1517" w:type="dxa"/>
            <w:tcBorders>
              <w:top w:val="single" w:sz="6" w:space="0" w:color="00B2A9" w:themeColor="accent1"/>
              <w:bottom w:val="single" w:sz="6" w:space="0" w:color="00B2A9" w:themeColor="accent1"/>
            </w:tcBorders>
            <w:shd w:val="clear" w:color="auto" w:fill="FFFFFF" w:themeFill="background1"/>
          </w:tcPr>
          <w:p w14:paraId="33766ED7" w14:textId="3B3A9C05" w:rsidR="00491210" w:rsidRPr="002304E8" w:rsidRDefault="00EE200C" w:rsidP="3FC79A6E">
            <w:pPr>
              <w:spacing w:before="100" w:after="100"/>
              <w:ind w:left="100" w:right="100"/>
              <w:rPr>
                <w:rFonts w:eastAsia="Arial"/>
                <w:color w:val="000000"/>
                <w:sz w:val="18"/>
                <w:szCs w:val="18"/>
              </w:rPr>
            </w:pPr>
            <w:r w:rsidRPr="002304E8">
              <w:rPr>
                <w:rFonts w:eastAsia="Arial"/>
                <w:color w:val="000000"/>
                <w:sz w:val="18"/>
                <w:szCs w:val="18"/>
              </w:rPr>
              <w:t>Edward</w:t>
            </w:r>
          </w:p>
        </w:tc>
        <w:tc>
          <w:tcPr>
            <w:tcW w:w="917" w:type="dxa"/>
            <w:tcBorders>
              <w:top w:val="single" w:sz="6" w:space="0" w:color="00B2A9" w:themeColor="accent1"/>
              <w:bottom w:val="single" w:sz="6" w:space="0" w:color="00B2A9" w:themeColor="accent1"/>
            </w:tcBorders>
            <w:shd w:val="clear" w:color="auto" w:fill="FFFFFF" w:themeFill="background1"/>
          </w:tcPr>
          <w:p w14:paraId="135031D0" w14:textId="15C99810" w:rsidR="00491210" w:rsidRPr="002304E8" w:rsidRDefault="00EE200C" w:rsidP="3FC79A6E">
            <w:pPr>
              <w:spacing w:before="100" w:after="100"/>
              <w:ind w:left="100" w:right="100"/>
              <w:rPr>
                <w:rFonts w:eastAsia="Arial"/>
                <w:color w:val="000000"/>
                <w:sz w:val="18"/>
                <w:szCs w:val="18"/>
              </w:rPr>
            </w:pPr>
            <w:r w:rsidRPr="002304E8">
              <w:rPr>
                <w:rFonts w:eastAsia="Arial"/>
                <w:color w:val="000000"/>
                <w:sz w:val="18"/>
                <w:szCs w:val="18"/>
              </w:rPr>
              <w:t>NSW</w:t>
            </w:r>
          </w:p>
        </w:tc>
        <w:tc>
          <w:tcPr>
            <w:tcW w:w="1157" w:type="dxa"/>
            <w:tcBorders>
              <w:top w:val="single" w:sz="6" w:space="0" w:color="00B2A9" w:themeColor="accent1"/>
              <w:bottom w:val="single" w:sz="6" w:space="0" w:color="00B2A9" w:themeColor="accent1"/>
            </w:tcBorders>
            <w:shd w:val="clear" w:color="auto" w:fill="FFFFFF" w:themeFill="background1"/>
            <w:vAlign w:val="center"/>
          </w:tcPr>
          <w:p w14:paraId="01B04C01" w14:textId="0D2437A6" w:rsidR="00491210" w:rsidRPr="002304E8" w:rsidRDefault="00EE200C" w:rsidP="3FC79A6E">
            <w:pPr>
              <w:spacing w:before="100" w:after="100"/>
              <w:ind w:left="100" w:right="100"/>
              <w:jc w:val="center"/>
              <w:rPr>
                <w:rFonts w:eastAsia="Arial"/>
                <w:color w:val="000000"/>
                <w:sz w:val="18"/>
                <w:szCs w:val="18"/>
              </w:rPr>
            </w:pPr>
            <w:r>
              <w:rPr>
                <w:rFonts w:eastAsia="Arial"/>
                <w:color w:val="000000"/>
                <w:sz w:val="18"/>
                <w:szCs w:val="18"/>
              </w:rPr>
              <w:t>-</w:t>
            </w:r>
            <w:r w:rsidRPr="002304E8">
              <w:rPr>
                <w:rFonts w:eastAsia="Arial"/>
                <w:color w:val="000000"/>
                <w:sz w:val="18"/>
                <w:szCs w:val="18"/>
              </w:rPr>
              <w:t>0.36</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0.66, 0.06)</w:t>
            </w:r>
          </w:p>
        </w:tc>
        <w:tc>
          <w:tcPr>
            <w:tcW w:w="1299" w:type="dxa"/>
            <w:tcBorders>
              <w:top w:val="single" w:sz="6" w:space="0" w:color="00B2A9" w:themeColor="accent1"/>
              <w:bottom w:val="single" w:sz="6" w:space="0" w:color="00B2A9" w:themeColor="accent1"/>
            </w:tcBorders>
            <w:shd w:val="clear" w:color="auto" w:fill="FFFFFF" w:themeFill="background1"/>
            <w:vAlign w:val="center"/>
          </w:tcPr>
          <w:p w14:paraId="1B1977C5" w14:textId="3763472B" w:rsidR="00491210" w:rsidRPr="002304E8" w:rsidRDefault="00EE200C" w:rsidP="3FC79A6E">
            <w:pPr>
              <w:spacing w:before="100" w:after="100"/>
              <w:ind w:left="100" w:right="100"/>
              <w:jc w:val="center"/>
              <w:rPr>
                <w:rFonts w:eastAsia="Arial"/>
                <w:color w:val="000000"/>
                <w:sz w:val="18"/>
                <w:szCs w:val="18"/>
              </w:rPr>
            </w:pPr>
            <w:r>
              <w:rPr>
                <w:rFonts w:eastAsia="Arial"/>
                <w:color w:val="000000"/>
                <w:sz w:val="18"/>
                <w:szCs w:val="18"/>
              </w:rPr>
              <w:t>-</w:t>
            </w:r>
            <w:r w:rsidRPr="002304E8">
              <w:rPr>
                <w:rFonts w:eastAsia="Arial"/>
                <w:color w:val="000000"/>
                <w:sz w:val="18"/>
                <w:szCs w:val="18"/>
              </w:rPr>
              <w:t>0.38</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0.64, 0.09)</w:t>
            </w:r>
          </w:p>
        </w:tc>
        <w:tc>
          <w:tcPr>
            <w:tcW w:w="1050" w:type="dxa"/>
            <w:tcBorders>
              <w:top w:val="single" w:sz="6" w:space="0" w:color="00B2A9" w:themeColor="accent1"/>
              <w:bottom w:val="single" w:sz="6" w:space="0" w:color="00B2A9" w:themeColor="accent1"/>
            </w:tcBorders>
            <w:shd w:val="clear" w:color="auto" w:fill="FFFFFF" w:themeFill="background1"/>
            <w:vAlign w:val="center"/>
          </w:tcPr>
          <w:p w14:paraId="3286478B" w14:textId="6B29BB3E"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101%</w:t>
            </w:r>
            <w:r w:rsidRPr="002304E8">
              <w:rPr>
                <w:sz w:val="18"/>
                <w:szCs w:val="18"/>
              </w:rPr>
              <w:br/>
            </w:r>
            <w:r w:rsidRPr="002304E8">
              <w:rPr>
                <w:rFonts w:eastAsia="Arial"/>
                <w:color w:val="000000"/>
                <w:sz w:val="18"/>
                <w:szCs w:val="18"/>
              </w:rPr>
              <w:t>(49%, 202%)</w:t>
            </w:r>
          </w:p>
        </w:tc>
        <w:tc>
          <w:tcPr>
            <w:tcW w:w="1090" w:type="dxa"/>
            <w:tcBorders>
              <w:top w:val="single" w:sz="6" w:space="0" w:color="00B2A9" w:themeColor="accent1"/>
              <w:bottom w:val="single" w:sz="6" w:space="0" w:color="00B2A9" w:themeColor="accent1"/>
            </w:tcBorders>
            <w:shd w:val="clear" w:color="auto" w:fill="EAF1A9" w:themeFill="text2" w:themeFillTint="66"/>
            <w:vAlign w:val="center"/>
          </w:tcPr>
          <w:p w14:paraId="63AD74EE" w14:textId="26DC7086"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33%</w:t>
            </w:r>
            <w:r w:rsidRPr="002304E8">
              <w:rPr>
                <w:sz w:val="18"/>
                <w:szCs w:val="18"/>
              </w:rPr>
              <w:br/>
            </w:r>
            <w:r w:rsidRPr="002304E8">
              <w:rPr>
                <w:rFonts w:eastAsia="Arial"/>
                <w:color w:val="000000"/>
                <w:sz w:val="18"/>
                <w:szCs w:val="18"/>
              </w:rPr>
              <w:t>(20%, 48%)</w:t>
            </w:r>
          </w:p>
        </w:tc>
        <w:tc>
          <w:tcPr>
            <w:tcW w:w="1205" w:type="dxa"/>
            <w:tcBorders>
              <w:top w:val="single" w:sz="6" w:space="0" w:color="00B2A9" w:themeColor="accent1"/>
              <w:bottom w:val="single" w:sz="6" w:space="0" w:color="00B2A9" w:themeColor="accent1"/>
            </w:tcBorders>
            <w:shd w:val="clear" w:color="auto" w:fill="FFFFFF" w:themeFill="background1"/>
            <w:vAlign w:val="center"/>
          </w:tcPr>
          <w:p w14:paraId="6F9C879C" w14:textId="08231115"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44%</w:t>
            </w:r>
            <w:r w:rsidRPr="002304E8">
              <w:rPr>
                <w:sz w:val="18"/>
                <w:szCs w:val="18"/>
              </w:rPr>
              <w:br/>
            </w:r>
            <w:r w:rsidRPr="002304E8">
              <w:rPr>
                <w:rFonts w:eastAsia="Arial"/>
                <w:color w:val="000000"/>
                <w:sz w:val="18"/>
                <w:szCs w:val="18"/>
              </w:rPr>
              <w:t>(33%, 67%)</w:t>
            </w:r>
          </w:p>
        </w:tc>
      </w:tr>
      <w:tr w:rsidR="003B59F3" w14:paraId="51CDA3B8" w14:textId="77777777" w:rsidTr="007707AE">
        <w:tc>
          <w:tcPr>
            <w:tcW w:w="1310" w:type="dxa"/>
            <w:vMerge/>
            <w:tcBorders>
              <w:bottom w:val="single" w:sz="0" w:space="0" w:color="00B2A9" w:themeColor="accent1"/>
            </w:tcBorders>
            <w:vAlign w:val="center"/>
          </w:tcPr>
          <w:p w14:paraId="625A38E2" w14:textId="77777777" w:rsidR="00491210" w:rsidRPr="002304E8" w:rsidRDefault="00491210" w:rsidP="00697EE3">
            <w:pPr>
              <w:rPr>
                <w:sz w:val="18"/>
                <w:szCs w:val="18"/>
              </w:rPr>
            </w:pPr>
          </w:p>
        </w:tc>
        <w:tc>
          <w:tcPr>
            <w:tcW w:w="1517" w:type="dxa"/>
            <w:tcBorders>
              <w:top w:val="single" w:sz="6" w:space="0" w:color="00B2A9" w:themeColor="accent1"/>
              <w:bottom w:val="single" w:sz="6" w:space="0" w:color="00B2A9" w:themeColor="accent1"/>
            </w:tcBorders>
            <w:shd w:val="clear" w:color="auto" w:fill="FFFFFF" w:themeFill="background1"/>
          </w:tcPr>
          <w:p w14:paraId="00DB3196" w14:textId="0D26E61C" w:rsidR="00491210" w:rsidRPr="002304E8" w:rsidRDefault="00EE200C" w:rsidP="3FC79A6E">
            <w:pPr>
              <w:spacing w:before="100" w:after="100"/>
              <w:ind w:left="100" w:right="100"/>
              <w:rPr>
                <w:rFonts w:eastAsia="Arial"/>
                <w:color w:val="000000"/>
                <w:sz w:val="18"/>
                <w:szCs w:val="18"/>
              </w:rPr>
            </w:pPr>
            <w:r w:rsidRPr="002304E8">
              <w:rPr>
                <w:rFonts w:eastAsia="Arial"/>
                <w:color w:val="000000"/>
                <w:sz w:val="18"/>
                <w:szCs w:val="18"/>
              </w:rPr>
              <w:t>Gundagai to Hay</w:t>
            </w:r>
          </w:p>
        </w:tc>
        <w:tc>
          <w:tcPr>
            <w:tcW w:w="917" w:type="dxa"/>
            <w:tcBorders>
              <w:top w:val="single" w:sz="6" w:space="0" w:color="00B2A9" w:themeColor="accent1"/>
              <w:bottom w:val="single" w:sz="6" w:space="0" w:color="00B2A9" w:themeColor="accent1"/>
            </w:tcBorders>
            <w:shd w:val="clear" w:color="auto" w:fill="FFFFFF" w:themeFill="background1"/>
          </w:tcPr>
          <w:p w14:paraId="44316589" w14:textId="116849A5" w:rsidR="00491210" w:rsidRPr="002304E8" w:rsidRDefault="00EE200C" w:rsidP="3FC79A6E">
            <w:pPr>
              <w:spacing w:before="100" w:after="100"/>
              <w:ind w:left="100" w:right="100"/>
              <w:rPr>
                <w:rFonts w:eastAsia="Arial"/>
                <w:color w:val="000000"/>
                <w:sz w:val="18"/>
                <w:szCs w:val="18"/>
              </w:rPr>
            </w:pPr>
            <w:r w:rsidRPr="002304E8">
              <w:rPr>
                <w:rFonts w:eastAsia="Arial"/>
                <w:color w:val="000000"/>
                <w:sz w:val="18"/>
                <w:szCs w:val="18"/>
              </w:rPr>
              <w:t>NSW</w:t>
            </w:r>
          </w:p>
        </w:tc>
        <w:tc>
          <w:tcPr>
            <w:tcW w:w="1157" w:type="dxa"/>
            <w:tcBorders>
              <w:top w:val="single" w:sz="6" w:space="0" w:color="00B2A9" w:themeColor="accent1"/>
              <w:bottom w:val="single" w:sz="6" w:space="0" w:color="00B2A9" w:themeColor="accent1"/>
            </w:tcBorders>
            <w:shd w:val="clear" w:color="auto" w:fill="B4C62B" w:themeFill="background2" w:themeFillShade="80"/>
            <w:vAlign w:val="center"/>
          </w:tcPr>
          <w:p w14:paraId="39F13D6F" w14:textId="338CDD0B"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0.49</w:t>
            </w:r>
            <w:r w:rsidRPr="002304E8">
              <w:rPr>
                <w:sz w:val="18"/>
                <w:szCs w:val="18"/>
              </w:rPr>
              <w:br/>
            </w:r>
            <w:r w:rsidRPr="002304E8">
              <w:rPr>
                <w:rFonts w:eastAsia="Arial"/>
                <w:color w:val="000000"/>
                <w:sz w:val="18"/>
                <w:szCs w:val="18"/>
              </w:rPr>
              <w:t>(0.12, 0.73)</w:t>
            </w:r>
          </w:p>
        </w:tc>
        <w:tc>
          <w:tcPr>
            <w:tcW w:w="1299" w:type="dxa"/>
            <w:tcBorders>
              <w:top w:val="single" w:sz="6" w:space="0" w:color="00B2A9" w:themeColor="accent1"/>
              <w:bottom w:val="single" w:sz="6" w:space="0" w:color="00B2A9" w:themeColor="accent1"/>
            </w:tcBorders>
            <w:shd w:val="clear" w:color="auto" w:fill="B4C62B" w:themeFill="background2" w:themeFillShade="80"/>
            <w:vAlign w:val="center"/>
          </w:tcPr>
          <w:p w14:paraId="70A85BA4" w14:textId="4B01A6E5"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0.59</w:t>
            </w:r>
            <w:r w:rsidRPr="002304E8">
              <w:rPr>
                <w:sz w:val="18"/>
                <w:szCs w:val="18"/>
              </w:rPr>
              <w:br/>
            </w:r>
            <w:r w:rsidRPr="002304E8">
              <w:rPr>
                <w:rFonts w:eastAsia="Arial"/>
                <w:color w:val="000000"/>
                <w:sz w:val="18"/>
                <w:szCs w:val="18"/>
              </w:rPr>
              <w:t>(0.12, 0.76)</w:t>
            </w:r>
          </w:p>
        </w:tc>
        <w:tc>
          <w:tcPr>
            <w:tcW w:w="1050" w:type="dxa"/>
            <w:tcBorders>
              <w:top w:val="single" w:sz="6" w:space="0" w:color="00B2A9" w:themeColor="accent1"/>
              <w:bottom w:val="single" w:sz="6" w:space="0" w:color="00B2A9" w:themeColor="accent1"/>
            </w:tcBorders>
            <w:shd w:val="clear" w:color="auto" w:fill="FFFFFF" w:themeFill="background1"/>
            <w:vAlign w:val="center"/>
          </w:tcPr>
          <w:p w14:paraId="19368E95" w14:textId="34E8D62B"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225%</w:t>
            </w:r>
            <w:r w:rsidRPr="002304E8">
              <w:rPr>
                <w:sz w:val="18"/>
                <w:szCs w:val="18"/>
              </w:rPr>
              <w:br/>
            </w:r>
            <w:r w:rsidRPr="002304E8">
              <w:rPr>
                <w:rFonts w:eastAsia="Arial"/>
                <w:color w:val="000000"/>
                <w:sz w:val="18"/>
                <w:szCs w:val="18"/>
              </w:rPr>
              <w:t>(156%, 420%)</w:t>
            </w:r>
          </w:p>
        </w:tc>
        <w:tc>
          <w:tcPr>
            <w:tcW w:w="1090" w:type="dxa"/>
            <w:tcBorders>
              <w:top w:val="single" w:sz="6" w:space="0" w:color="00B2A9" w:themeColor="accent1"/>
              <w:bottom w:val="single" w:sz="6" w:space="0" w:color="00B2A9" w:themeColor="accent1"/>
            </w:tcBorders>
            <w:shd w:val="clear" w:color="auto" w:fill="EAF1A9" w:themeFill="text2" w:themeFillTint="66"/>
            <w:vAlign w:val="center"/>
          </w:tcPr>
          <w:p w14:paraId="6075541E" w14:textId="0C2B2660"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12%</w:t>
            </w:r>
            <w:r w:rsidRPr="002304E8">
              <w:rPr>
                <w:sz w:val="18"/>
                <w:szCs w:val="18"/>
              </w:rPr>
              <w:br/>
            </w:r>
            <w:r w:rsidRPr="002304E8">
              <w:rPr>
                <w:rFonts w:eastAsia="Arial"/>
                <w:color w:val="000000"/>
                <w:sz w:val="18"/>
                <w:szCs w:val="18"/>
              </w:rPr>
              <w:t>(</w:t>
            </w:r>
            <w:r>
              <w:rPr>
                <w:rFonts w:eastAsia="Arial"/>
                <w:color w:val="000000"/>
                <w:sz w:val="18"/>
                <w:szCs w:val="18"/>
              </w:rPr>
              <w:t>-</w:t>
            </w:r>
            <w:r w:rsidRPr="002304E8">
              <w:rPr>
                <w:rFonts w:eastAsia="Arial"/>
                <w:color w:val="000000"/>
                <w:sz w:val="18"/>
                <w:szCs w:val="18"/>
              </w:rPr>
              <w:t>10%, 32%)</w:t>
            </w:r>
          </w:p>
        </w:tc>
        <w:tc>
          <w:tcPr>
            <w:tcW w:w="1205" w:type="dxa"/>
            <w:tcBorders>
              <w:top w:val="single" w:sz="6" w:space="0" w:color="00B2A9" w:themeColor="accent1"/>
              <w:bottom w:val="single" w:sz="6" w:space="0" w:color="00B2A9" w:themeColor="accent1"/>
            </w:tcBorders>
            <w:shd w:val="clear" w:color="auto" w:fill="FFFFFF" w:themeFill="background1"/>
            <w:vAlign w:val="center"/>
          </w:tcPr>
          <w:p w14:paraId="26AE63E5" w14:textId="4923BEEE"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36%</w:t>
            </w:r>
            <w:r w:rsidRPr="002304E8">
              <w:rPr>
                <w:sz w:val="18"/>
                <w:szCs w:val="18"/>
              </w:rPr>
              <w:br/>
            </w:r>
            <w:r w:rsidRPr="002304E8">
              <w:rPr>
                <w:rFonts w:eastAsia="Arial"/>
                <w:color w:val="000000"/>
                <w:sz w:val="18"/>
                <w:szCs w:val="18"/>
              </w:rPr>
              <w:t>(18%, 55%)</w:t>
            </w:r>
          </w:p>
        </w:tc>
      </w:tr>
      <w:tr w:rsidR="003B59F3" w14:paraId="26DD1E9B" w14:textId="77777777" w:rsidTr="007707AE">
        <w:tc>
          <w:tcPr>
            <w:tcW w:w="1310" w:type="dxa"/>
            <w:tcBorders>
              <w:top w:val="single" w:sz="6" w:space="0" w:color="00B2A9" w:themeColor="accent1"/>
              <w:bottom w:val="single" w:sz="6" w:space="0" w:color="00B2A9" w:themeColor="accent1"/>
            </w:tcBorders>
            <w:shd w:val="clear" w:color="auto" w:fill="FFFFFF" w:themeFill="background1"/>
          </w:tcPr>
          <w:p w14:paraId="414D4C25" w14:textId="57AFD229" w:rsidR="00491210" w:rsidRPr="002304E8" w:rsidRDefault="00EE200C" w:rsidP="00697EE3">
            <w:pPr>
              <w:spacing w:before="100" w:after="100"/>
              <w:ind w:left="100" w:right="100"/>
              <w:rPr>
                <w:rFonts w:eastAsia="Arial"/>
                <w:color w:val="000000"/>
                <w:sz w:val="18"/>
                <w:szCs w:val="18"/>
              </w:rPr>
            </w:pPr>
            <w:r w:rsidRPr="002304E8">
              <w:rPr>
                <w:rFonts w:eastAsia="Arial"/>
                <w:color w:val="000000"/>
                <w:sz w:val="18"/>
                <w:szCs w:val="18"/>
              </w:rPr>
              <w:t>Migration</w:t>
            </w:r>
          </w:p>
        </w:tc>
        <w:tc>
          <w:tcPr>
            <w:tcW w:w="1517" w:type="dxa"/>
            <w:tcBorders>
              <w:top w:val="single" w:sz="6" w:space="0" w:color="00B2A9" w:themeColor="accent1"/>
              <w:bottom w:val="single" w:sz="6" w:space="0" w:color="00B2A9" w:themeColor="accent1"/>
            </w:tcBorders>
            <w:shd w:val="clear" w:color="auto" w:fill="FFFFFF" w:themeFill="background1"/>
          </w:tcPr>
          <w:p w14:paraId="42E85EBC" w14:textId="3FCAED79" w:rsidR="00491210" w:rsidRPr="002304E8" w:rsidRDefault="00EE200C" w:rsidP="3FC79A6E">
            <w:pPr>
              <w:spacing w:before="100" w:after="100"/>
              <w:ind w:left="100" w:right="100"/>
              <w:rPr>
                <w:rFonts w:eastAsia="Arial"/>
                <w:color w:val="000000"/>
                <w:sz w:val="18"/>
                <w:szCs w:val="18"/>
              </w:rPr>
            </w:pPr>
            <w:r w:rsidRPr="002304E8">
              <w:rPr>
                <w:rFonts w:eastAsia="Arial"/>
                <w:color w:val="000000"/>
                <w:sz w:val="18"/>
                <w:szCs w:val="18"/>
              </w:rPr>
              <w:t>Yarrawonga to Torrumbarry</w:t>
            </w:r>
          </w:p>
        </w:tc>
        <w:tc>
          <w:tcPr>
            <w:tcW w:w="917" w:type="dxa"/>
            <w:tcBorders>
              <w:top w:val="single" w:sz="6" w:space="0" w:color="00B2A9" w:themeColor="accent1"/>
              <w:bottom w:val="single" w:sz="6" w:space="0" w:color="00B2A9" w:themeColor="accent1"/>
            </w:tcBorders>
            <w:shd w:val="clear" w:color="auto" w:fill="FFFFFF" w:themeFill="background1"/>
          </w:tcPr>
          <w:p w14:paraId="6F1A104C" w14:textId="604C7037" w:rsidR="00491210" w:rsidRPr="002304E8" w:rsidRDefault="00EE200C" w:rsidP="3FC79A6E">
            <w:pPr>
              <w:spacing w:before="100" w:after="100"/>
              <w:ind w:left="100" w:right="100"/>
              <w:rPr>
                <w:rFonts w:eastAsia="Arial"/>
                <w:color w:val="000000"/>
                <w:sz w:val="18"/>
                <w:szCs w:val="18"/>
              </w:rPr>
            </w:pPr>
            <w:r w:rsidRPr="002304E8">
              <w:rPr>
                <w:rFonts w:eastAsia="Arial"/>
                <w:color w:val="000000"/>
                <w:sz w:val="18"/>
                <w:szCs w:val="18"/>
              </w:rPr>
              <w:t>ARI</w:t>
            </w:r>
          </w:p>
        </w:tc>
        <w:tc>
          <w:tcPr>
            <w:tcW w:w="1157" w:type="dxa"/>
            <w:tcBorders>
              <w:top w:val="single" w:sz="6" w:space="0" w:color="00B2A9" w:themeColor="accent1"/>
              <w:bottom w:val="single" w:sz="6" w:space="0" w:color="00B2A9" w:themeColor="accent1"/>
            </w:tcBorders>
            <w:shd w:val="clear" w:color="auto" w:fill="EAF1A9" w:themeFill="text2" w:themeFillTint="66"/>
            <w:vAlign w:val="center"/>
          </w:tcPr>
          <w:p w14:paraId="42B22990" w14:textId="145724DA"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0.98</w:t>
            </w:r>
            <w:r w:rsidRPr="002304E8">
              <w:rPr>
                <w:sz w:val="18"/>
                <w:szCs w:val="18"/>
              </w:rPr>
              <w:br/>
            </w:r>
            <w:r w:rsidRPr="002304E8">
              <w:rPr>
                <w:rFonts w:eastAsia="Arial"/>
                <w:color w:val="000000"/>
                <w:sz w:val="18"/>
                <w:szCs w:val="18"/>
              </w:rPr>
              <w:t>(0.95, 0.99)</w:t>
            </w:r>
          </w:p>
        </w:tc>
        <w:tc>
          <w:tcPr>
            <w:tcW w:w="1299" w:type="dxa"/>
            <w:tcBorders>
              <w:top w:val="single" w:sz="6" w:space="0" w:color="00B2A9" w:themeColor="accent1"/>
              <w:bottom w:val="single" w:sz="6" w:space="0" w:color="00B2A9" w:themeColor="accent1"/>
            </w:tcBorders>
            <w:shd w:val="clear" w:color="auto" w:fill="EAF1A9" w:themeFill="text2" w:themeFillTint="66"/>
            <w:vAlign w:val="center"/>
          </w:tcPr>
          <w:p w14:paraId="25B3B442" w14:textId="4F112B27" w:rsidR="00491210" w:rsidRPr="002304E8" w:rsidRDefault="00EE200C" w:rsidP="3FC79A6E">
            <w:pPr>
              <w:spacing w:before="100" w:after="100"/>
              <w:ind w:left="100" w:right="100"/>
              <w:jc w:val="center"/>
              <w:rPr>
                <w:rFonts w:eastAsia="Arial"/>
                <w:color w:val="000000"/>
                <w:sz w:val="18"/>
                <w:szCs w:val="18"/>
              </w:rPr>
            </w:pPr>
            <w:r w:rsidRPr="002304E8">
              <w:rPr>
                <w:rFonts w:eastAsia="Arial"/>
                <w:color w:val="000000"/>
                <w:sz w:val="18"/>
                <w:szCs w:val="18"/>
              </w:rPr>
              <w:t>0.81</w:t>
            </w:r>
            <w:r w:rsidRPr="002304E8">
              <w:rPr>
                <w:sz w:val="18"/>
                <w:szCs w:val="18"/>
              </w:rPr>
              <w:br/>
            </w:r>
            <w:r w:rsidRPr="002304E8">
              <w:rPr>
                <w:rFonts w:eastAsia="Arial"/>
                <w:color w:val="000000"/>
                <w:sz w:val="18"/>
                <w:szCs w:val="18"/>
              </w:rPr>
              <w:t>(0.76, 0.90)</w:t>
            </w:r>
          </w:p>
        </w:tc>
        <w:tc>
          <w:tcPr>
            <w:tcW w:w="1050" w:type="dxa"/>
            <w:tcBorders>
              <w:top w:val="single" w:sz="6" w:space="0" w:color="00B2A9" w:themeColor="accent1"/>
              <w:bottom w:val="single" w:sz="6" w:space="0" w:color="00B2A9" w:themeColor="accent1"/>
            </w:tcBorders>
            <w:shd w:val="clear" w:color="auto" w:fill="FFFFFF" w:themeFill="background1"/>
            <w:vAlign w:val="center"/>
          </w:tcPr>
          <w:p w14:paraId="711C41BB" w14:textId="68952B19" w:rsidR="00491210" w:rsidRPr="002304E8" w:rsidRDefault="00491210" w:rsidP="3FC79A6E">
            <w:pPr>
              <w:spacing w:before="100" w:after="100"/>
              <w:ind w:left="100" w:right="100"/>
              <w:jc w:val="center"/>
              <w:rPr>
                <w:rFonts w:eastAsia="Arial"/>
                <w:sz w:val="18"/>
                <w:szCs w:val="18"/>
              </w:rPr>
            </w:pPr>
          </w:p>
        </w:tc>
        <w:tc>
          <w:tcPr>
            <w:tcW w:w="1090" w:type="dxa"/>
            <w:tcBorders>
              <w:top w:val="single" w:sz="6" w:space="0" w:color="00B2A9" w:themeColor="accent1"/>
              <w:bottom w:val="single" w:sz="6" w:space="0" w:color="00B2A9" w:themeColor="accent1"/>
            </w:tcBorders>
            <w:shd w:val="clear" w:color="auto" w:fill="FFFFFF" w:themeFill="background1"/>
            <w:vAlign w:val="center"/>
          </w:tcPr>
          <w:p w14:paraId="6BF77F41" w14:textId="2D6F26F7" w:rsidR="00491210" w:rsidRPr="002304E8" w:rsidRDefault="00491210" w:rsidP="3FC79A6E">
            <w:pPr>
              <w:spacing w:before="100" w:after="100"/>
              <w:ind w:left="100" w:right="100"/>
              <w:jc w:val="center"/>
              <w:rPr>
                <w:rFonts w:eastAsia="Arial"/>
                <w:sz w:val="18"/>
                <w:szCs w:val="18"/>
              </w:rPr>
            </w:pPr>
          </w:p>
        </w:tc>
        <w:tc>
          <w:tcPr>
            <w:tcW w:w="1205" w:type="dxa"/>
            <w:tcBorders>
              <w:top w:val="single" w:sz="6" w:space="0" w:color="00B2A9" w:themeColor="accent1"/>
              <w:bottom w:val="single" w:sz="6" w:space="0" w:color="00B2A9" w:themeColor="accent1"/>
            </w:tcBorders>
            <w:shd w:val="clear" w:color="auto" w:fill="FFFFFF" w:themeFill="background1"/>
            <w:vAlign w:val="center"/>
          </w:tcPr>
          <w:p w14:paraId="561A9969" w14:textId="0724807A" w:rsidR="00491210" w:rsidRPr="002304E8" w:rsidRDefault="00491210" w:rsidP="3FC79A6E">
            <w:pPr>
              <w:spacing w:before="100" w:after="100"/>
              <w:ind w:left="100" w:right="100"/>
              <w:jc w:val="center"/>
              <w:rPr>
                <w:rFonts w:eastAsia="Arial"/>
                <w:sz w:val="18"/>
                <w:szCs w:val="18"/>
              </w:rPr>
            </w:pPr>
          </w:p>
        </w:tc>
      </w:tr>
    </w:tbl>
    <w:p w14:paraId="628D994F" w14:textId="0D7E1FD7" w:rsidR="00491210" w:rsidRDefault="00EE200C" w:rsidP="3FC79A6E">
      <w:pPr>
        <w:rPr>
          <w:rFonts w:eastAsia="Arial"/>
          <w:color w:val="000000"/>
          <w:sz w:val="22"/>
          <w:szCs w:val="22"/>
        </w:rPr>
      </w:pPr>
      <w:r>
        <w:br w:type="page"/>
      </w:r>
    </w:p>
    <w:p w14:paraId="3C4A0A8D" w14:textId="773BC74C" w:rsidR="00491210" w:rsidRPr="006F5F00" w:rsidRDefault="00EE200C">
      <w:pPr>
        <w:pStyle w:val="Heading4"/>
      </w:pPr>
      <w:r w:rsidRPr="006F5F00">
        <w:lastRenderedPageBreak/>
        <w:t>Murray Cod—population size and growth rate</w:t>
      </w:r>
    </w:p>
    <w:p w14:paraId="619398C3" w14:textId="0532BA54" w:rsidR="00491210" w:rsidRPr="006F5F00" w:rsidRDefault="00EE200C">
      <w:pPr>
        <w:spacing w:before="240" w:after="240"/>
        <w:jc w:val="both"/>
        <w:rPr>
          <w:rFonts w:eastAsia="Arial"/>
          <w:color w:val="000000"/>
          <w:sz w:val="22"/>
          <w:szCs w:val="22"/>
        </w:rPr>
      </w:pPr>
      <w:r w:rsidRPr="006F5F00">
        <w:rPr>
          <w:rFonts w:eastAsia="Arial"/>
          <w:color w:val="000000"/>
          <w:sz w:val="22"/>
          <w:szCs w:val="22"/>
        </w:rPr>
        <w:t>In the Yarrawonga</w:t>
      </w:r>
      <w:r>
        <w:rPr>
          <w:rFonts w:eastAsia="Arial"/>
          <w:color w:val="000000"/>
          <w:sz w:val="22"/>
          <w:szCs w:val="22"/>
        </w:rPr>
        <w:t xml:space="preserve"> </w:t>
      </w:r>
      <w:r w:rsidRPr="006F5F00">
        <w:rPr>
          <w:rFonts w:eastAsia="Arial"/>
          <w:color w:val="000000"/>
          <w:sz w:val="22"/>
          <w:szCs w:val="22"/>
        </w:rPr>
        <w:t>to</w:t>
      </w:r>
      <w:r>
        <w:rPr>
          <w:rFonts w:eastAsia="Arial"/>
          <w:color w:val="000000"/>
          <w:sz w:val="22"/>
          <w:szCs w:val="22"/>
        </w:rPr>
        <w:t xml:space="preserve"> </w:t>
      </w:r>
      <w:r w:rsidRPr="006F5F00">
        <w:rPr>
          <w:rFonts w:eastAsia="Arial"/>
          <w:color w:val="000000"/>
          <w:sz w:val="22"/>
          <w:szCs w:val="22"/>
        </w:rPr>
        <w:t>Torrumbarry reach, the MODEL predicted that the population was relatively stable, with low interannual variability (</w:t>
      </w:r>
      <w:r w:rsidRPr="00E2785E">
        <w:rPr>
          <w:rFonts w:eastAsia="Arial"/>
          <w:color w:val="000000"/>
          <w:sz w:val="22"/>
          <w:szCs w:val="22"/>
        </w:rPr>
        <w:fldChar w:fldCharType="begin"/>
      </w:r>
      <w:r w:rsidRPr="006F5F00">
        <w:rPr>
          <w:rFonts w:eastAsia="Arial"/>
          <w:color w:val="000000"/>
          <w:sz w:val="22"/>
          <w:szCs w:val="22"/>
        </w:rPr>
        <w:instrText xml:space="preserve"> REF _Ref108004707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53</w:t>
      </w:r>
      <w:r w:rsidRPr="00E2785E">
        <w:rPr>
          <w:rFonts w:eastAsia="Arial"/>
          <w:color w:val="000000"/>
          <w:sz w:val="22"/>
          <w:szCs w:val="22"/>
        </w:rPr>
        <w:fldChar w:fldCharType="end"/>
      </w:r>
      <w:r w:rsidRPr="006F5F00">
        <w:rPr>
          <w:rFonts w:eastAsia="Arial"/>
          <w:color w:val="000000"/>
          <w:sz w:val="22"/>
          <w:szCs w:val="22"/>
        </w:rPr>
        <w:t>B). In comparison, in the ARI OBSERVED dataset, a decline was observed between 2000 and 2010, before an increase in 2014–2015 and a decline thereafter. Assessment metrics indicated a poor association, with both correlation metrics near 0 (</w:t>
      </w:r>
      <w:r w:rsidRPr="00E2785E">
        <w:rPr>
          <w:rFonts w:eastAsia="Arial"/>
          <w:color w:val="000000"/>
          <w:sz w:val="22"/>
          <w:szCs w:val="22"/>
        </w:rPr>
        <w:fldChar w:fldCharType="begin"/>
      </w:r>
      <w:r w:rsidRPr="006F5F00">
        <w:rPr>
          <w:rFonts w:eastAsia="Arial"/>
          <w:color w:val="000000"/>
          <w:sz w:val="22"/>
          <w:szCs w:val="22"/>
        </w:rPr>
        <w:instrText xml:space="preserve"> REF _Ref107932308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Table </w:t>
      </w:r>
      <w:r w:rsidR="005B672A" w:rsidRPr="005B672A">
        <w:rPr>
          <w:noProof/>
          <w:sz w:val="22"/>
          <w:szCs w:val="22"/>
        </w:rPr>
        <w:t>6</w:t>
      </w:r>
      <w:r w:rsidRPr="00E2785E">
        <w:rPr>
          <w:rFonts w:eastAsia="Arial"/>
          <w:color w:val="000000"/>
          <w:sz w:val="22"/>
          <w:szCs w:val="22"/>
        </w:rPr>
        <w:fldChar w:fldCharType="end"/>
      </w:r>
      <w:r w:rsidRPr="006F5F00">
        <w:rPr>
          <w:rFonts w:eastAsia="Arial"/>
          <w:color w:val="000000"/>
          <w:sz w:val="22"/>
          <w:szCs w:val="22"/>
        </w:rPr>
        <w:t>). These patterns can be seen in the growth rates (</w:t>
      </w:r>
      <w:r w:rsidRPr="00E2785E">
        <w:rPr>
          <w:rFonts w:eastAsia="Arial"/>
          <w:color w:val="000000"/>
          <w:sz w:val="22"/>
          <w:szCs w:val="22"/>
        </w:rPr>
        <w:fldChar w:fldCharType="begin"/>
      </w:r>
      <w:r w:rsidRPr="006F5F00">
        <w:rPr>
          <w:rFonts w:eastAsia="Arial"/>
          <w:color w:val="000000"/>
          <w:sz w:val="22"/>
          <w:szCs w:val="22"/>
        </w:rPr>
        <w:instrText xml:space="preserve"> REF _Ref108004707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53</w:t>
      </w:r>
      <w:r w:rsidRPr="00E2785E">
        <w:rPr>
          <w:rFonts w:eastAsia="Arial"/>
          <w:color w:val="000000"/>
          <w:sz w:val="22"/>
          <w:szCs w:val="22"/>
        </w:rPr>
        <w:fldChar w:fldCharType="end"/>
      </w:r>
      <w:r w:rsidRPr="006F5F00">
        <w:rPr>
          <w:rFonts w:eastAsia="Arial"/>
          <w:color w:val="000000"/>
          <w:sz w:val="22"/>
          <w:szCs w:val="22"/>
        </w:rPr>
        <w:t>D). Most of the growth rates are in the bottom-right quadrant: whereas the MODEL predicted positive growth, negative growth was observed in the ARI dataset. The MAPE was ~40%, but was low due to growth rates being close to 1.0 in most years. Directionality was not consistent (</w:t>
      </w:r>
      <w:r w:rsidRPr="00E2785E">
        <w:rPr>
          <w:rFonts w:eastAsia="Arial"/>
          <w:color w:val="000000"/>
          <w:sz w:val="22"/>
          <w:szCs w:val="22"/>
        </w:rPr>
        <w:fldChar w:fldCharType="begin"/>
      </w:r>
      <w:r w:rsidRPr="006F5F00">
        <w:rPr>
          <w:rFonts w:eastAsia="Arial"/>
          <w:color w:val="000000"/>
          <w:sz w:val="22"/>
          <w:szCs w:val="22"/>
        </w:rPr>
        <w:instrText xml:space="preserve"> REF _Ref107995085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Table </w:t>
      </w:r>
      <w:r w:rsidR="005B672A" w:rsidRPr="005B672A">
        <w:rPr>
          <w:noProof/>
          <w:sz w:val="22"/>
          <w:szCs w:val="22"/>
        </w:rPr>
        <w:t>8</w:t>
      </w:r>
      <w:r w:rsidRPr="00E2785E">
        <w:rPr>
          <w:rFonts w:eastAsia="Arial"/>
          <w:color w:val="000000"/>
          <w:sz w:val="22"/>
          <w:szCs w:val="22"/>
        </w:rPr>
        <w:fldChar w:fldCharType="end"/>
      </w:r>
      <w:r w:rsidRPr="006F5F00">
        <w:rPr>
          <w:rFonts w:eastAsia="Arial"/>
          <w:color w:val="000000"/>
          <w:sz w:val="22"/>
          <w:szCs w:val="22"/>
        </w:rPr>
        <w:t>), except for the mismatch between the MODEL predicting an increase and the ARI OBSERVED dataset showing a decrease (upper-right square). There was also a lack of strong associations between the MODEL and the NSW OBSERVED dataset for the Yarrawonga</w:t>
      </w:r>
      <w:r>
        <w:rPr>
          <w:rFonts w:eastAsia="Arial"/>
          <w:color w:val="000000"/>
          <w:sz w:val="22"/>
          <w:szCs w:val="22"/>
        </w:rPr>
        <w:t xml:space="preserve"> </w:t>
      </w:r>
      <w:r w:rsidRPr="006F5F00">
        <w:rPr>
          <w:rFonts w:eastAsia="Arial"/>
          <w:color w:val="000000"/>
          <w:sz w:val="22"/>
          <w:szCs w:val="22"/>
        </w:rPr>
        <w:t>to</w:t>
      </w:r>
      <w:r>
        <w:rPr>
          <w:rFonts w:eastAsia="Arial"/>
          <w:color w:val="000000"/>
          <w:sz w:val="22"/>
          <w:szCs w:val="22"/>
        </w:rPr>
        <w:t xml:space="preserve"> </w:t>
      </w:r>
      <w:r w:rsidRPr="006F5F00">
        <w:rPr>
          <w:rFonts w:eastAsia="Arial"/>
          <w:color w:val="000000"/>
          <w:sz w:val="22"/>
          <w:szCs w:val="22"/>
        </w:rPr>
        <w:t>Torrumbarry reach (</w:t>
      </w:r>
      <w:r w:rsidRPr="00E2785E">
        <w:rPr>
          <w:rFonts w:eastAsia="Arial"/>
          <w:color w:val="000000"/>
          <w:sz w:val="22"/>
          <w:szCs w:val="22"/>
        </w:rPr>
        <w:fldChar w:fldCharType="begin"/>
      </w:r>
      <w:r w:rsidRPr="006F5F00">
        <w:rPr>
          <w:rFonts w:eastAsia="Arial"/>
          <w:color w:val="000000"/>
          <w:sz w:val="22"/>
          <w:szCs w:val="22"/>
        </w:rPr>
        <w:instrText xml:space="preserve"> REF _Ref108004757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54</w:t>
      </w:r>
      <w:r w:rsidRPr="00E2785E">
        <w:rPr>
          <w:rFonts w:eastAsia="Arial"/>
          <w:color w:val="000000"/>
          <w:sz w:val="22"/>
          <w:szCs w:val="22"/>
        </w:rPr>
        <w:fldChar w:fldCharType="end"/>
      </w:r>
      <w:r w:rsidRPr="006F5F00">
        <w:rPr>
          <w:rFonts w:eastAsia="Arial"/>
          <w:color w:val="000000"/>
          <w:sz w:val="22"/>
          <w:szCs w:val="22"/>
        </w:rPr>
        <w:t xml:space="preserve">B; </w:t>
      </w:r>
      <w:r w:rsidRPr="00E2785E">
        <w:rPr>
          <w:rFonts w:eastAsia="Arial"/>
          <w:color w:val="000000"/>
          <w:sz w:val="22"/>
          <w:szCs w:val="22"/>
        </w:rPr>
        <w:fldChar w:fldCharType="begin"/>
      </w:r>
      <w:r w:rsidRPr="006F5F00">
        <w:rPr>
          <w:rFonts w:eastAsia="Arial"/>
          <w:color w:val="000000"/>
          <w:sz w:val="22"/>
          <w:szCs w:val="22"/>
        </w:rPr>
        <w:instrText xml:space="preserve"> REF _Ref107995085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Table </w:t>
      </w:r>
      <w:r w:rsidR="005B672A" w:rsidRPr="005B672A">
        <w:rPr>
          <w:noProof/>
          <w:sz w:val="22"/>
          <w:szCs w:val="22"/>
        </w:rPr>
        <w:t>8</w:t>
      </w:r>
      <w:r w:rsidRPr="00E2785E">
        <w:rPr>
          <w:rFonts w:eastAsia="Arial"/>
          <w:color w:val="000000"/>
          <w:sz w:val="22"/>
          <w:szCs w:val="22"/>
        </w:rPr>
        <w:fldChar w:fldCharType="end"/>
      </w:r>
      <w:r w:rsidRPr="006F5F00">
        <w:rPr>
          <w:rFonts w:eastAsia="Arial"/>
          <w:color w:val="000000"/>
          <w:sz w:val="22"/>
          <w:szCs w:val="22"/>
        </w:rPr>
        <w:t>).</w:t>
      </w:r>
    </w:p>
    <w:p w14:paraId="6C57CA0A" w14:textId="70B68CA5" w:rsidR="00491210" w:rsidRPr="006F5F00" w:rsidRDefault="00EE200C">
      <w:pPr>
        <w:spacing w:before="240" w:after="240"/>
        <w:jc w:val="both"/>
        <w:rPr>
          <w:rFonts w:eastAsia="Arial"/>
          <w:color w:val="000000"/>
          <w:sz w:val="22"/>
          <w:szCs w:val="22"/>
        </w:rPr>
      </w:pPr>
      <w:r w:rsidRPr="006F5F00">
        <w:rPr>
          <w:rFonts w:eastAsia="Arial"/>
          <w:color w:val="000000"/>
          <w:sz w:val="22"/>
          <w:szCs w:val="22"/>
        </w:rPr>
        <w:t>Only two other populations had sufficient NSW OBSERVED data for comparison (</w:t>
      </w:r>
      <w:r w:rsidRPr="00E2785E">
        <w:rPr>
          <w:rFonts w:eastAsia="Arial"/>
          <w:color w:val="000000"/>
          <w:sz w:val="22"/>
          <w:szCs w:val="22"/>
        </w:rPr>
        <w:fldChar w:fldCharType="begin"/>
      </w:r>
      <w:r w:rsidRPr="006F5F00">
        <w:rPr>
          <w:rFonts w:eastAsia="Arial"/>
          <w:color w:val="000000"/>
          <w:sz w:val="22"/>
          <w:szCs w:val="22"/>
        </w:rPr>
        <w:instrText xml:space="preserve"> REF _Ref108004757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54</w:t>
      </w:r>
      <w:r w:rsidRPr="00E2785E">
        <w:rPr>
          <w:rFonts w:eastAsia="Arial"/>
          <w:color w:val="000000"/>
          <w:sz w:val="22"/>
          <w:szCs w:val="22"/>
        </w:rPr>
        <w:fldChar w:fldCharType="end"/>
      </w:r>
      <w:r w:rsidRPr="006F5F00">
        <w:rPr>
          <w:rFonts w:eastAsia="Arial"/>
          <w:color w:val="000000"/>
          <w:sz w:val="22"/>
          <w:szCs w:val="22"/>
        </w:rPr>
        <w:t xml:space="preserve">; </w:t>
      </w:r>
      <w:r w:rsidRPr="00E2785E">
        <w:rPr>
          <w:sz w:val="22"/>
          <w:szCs w:val="22"/>
        </w:rPr>
        <w:fldChar w:fldCharType="begin"/>
      </w:r>
      <w:r w:rsidRPr="006F5F00">
        <w:rPr>
          <w:sz w:val="22"/>
          <w:szCs w:val="22"/>
        </w:rPr>
        <w:instrText xml:space="preserve"> REF _Ref108104271 \h  \* MERGEFORMAT </w:instrText>
      </w:r>
      <w:r w:rsidRPr="00E2785E">
        <w:rPr>
          <w:sz w:val="22"/>
          <w:szCs w:val="22"/>
        </w:rPr>
      </w:r>
      <w:r w:rsidRPr="00E2785E">
        <w:rPr>
          <w:sz w:val="22"/>
          <w:szCs w:val="22"/>
        </w:rPr>
        <w:fldChar w:fldCharType="separate"/>
      </w:r>
      <w:r w:rsidR="005B672A" w:rsidRPr="005B672A">
        <w:rPr>
          <w:sz w:val="22"/>
          <w:szCs w:val="22"/>
        </w:rPr>
        <w:t xml:space="preserve">Figure </w:t>
      </w:r>
      <w:r w:rsidR="005B672A" w:rsidRPr="005B672A">
        <w:rPr>
          <w:noProof/>
          <w:sz w:val="22"/>
          <w:szCs w:val="22"/>
        </w:rPr>
        <w:t>55</w:t>
      </w:r>
      <w:r w:rsidRPr="00E2785E">
        <w:rPr>
          <w:rFonts w:eastAsia="Arial"/>
          <w:color w:val="000000"/>
          <w:sz w:val="22"/>
          <w:szCs w:val="22"/>
        </w:rPr>
        <w:fldChar w:fldCharType="end"/>
      </w:r>
      <w:r w:rsidRPr="006F5F00">
        <w:rPr>
          <w:rFonts w:eastAsia="Arial"/>
          <w:color w:val="000000"/>
          <w:sz w:val="22"/>
          <w:szCs w:val="22"/>
        </w:rPr>
        <w:t>). Torrumbarry</w:t>
      </w:r>
      <w:r>
        <w:rPr>
          <w:rFonts w:eastAsia="Arial"/>
          <w:color w:val="000000"/>
          <w:sz w:val="22"/>
          <w:szCs w:val="22"/>
        </w:rPr>
        <w:t xml:space="preserve"> </w:t>
      </w:r>
      <w:r w:rsidRPr="006F5F00">
        <w:rPr>
          <w:rFonts w:eastAsia="Arial"/>
          <w:color w:val="000000"/>
          <w:sz w:val="22"/>
          <w:szCs w:val="22"/>
        </w:rPr>
        <w:t>to</w:t>
      </w:r>
      <w:r>
        <w:rPr>
          <w:rFonts w:eastAsia="Arial"/>
          <w:color w:val="000000"/>
          <w:sz w:val="22"/>
          <w:szCs w:val="22"/>
        </w:rPr>
        <w:t xml:space="preserve"> </w:t>
      </w:r>
      <w:r w:rsidRPr="006F5F00">
        <w:rPr>
          <w:rFonts w:eastAsia="Arial"/>
          <w:color w:val="000000"/>
          <w:sz w:val="22"/>
          <w:szCs w:val="22"/>
        </w:rPr>
        <w:t>Wentworth had the highest correlation metri</w:t>
      </w:r>
      <w:r>
        <w:rPr>
          <w:rFonts w:eastAsia="Arial"/>
          <w:color w:val="000000"/>
          <w:sz w:val="22"/>
          <w:szCs w:val="22"/>
        </w:rPr>
        <w:t>cs</w:t>
      </w:r>
      <w:r w:rsidRPr="006F5F00">
        <w:rPr>
          <w:rFonts w:eastAsia="Arial"/>
          <w:color w:val="000000"/>
          <w:sz w:val="22"/>
          <w:szCs w:val="22"/>
        </w:rPr>
        <w:t xml:space="preserve"> (</w:t>
      </w:r>
      <w:r w:rsidRPr="00E2785E">
        <w:rPr>
          <w:rFonts w:eastAsia="Arial"/>
          <w:color w:val="000000"/>
          <w:sz w:val="22"/>
          <w:szCs w:val="22"/>
        </w:rPr>
        <w:fldChar w:fldCharType="begin"/>
      </w:r>
      <w:r w:rsidRPr="006F5F00">
        <w:rPr>
          <w:rFonts w:eastAsia="Arial"/>
          <w:color w:val="000000"/>
          <w:sz w:val="22"/>
          <w:szCs w:val="22"/>
        </w:rPr>
        <w:instrText xml:space="preserve"> REF _Ref107995085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Table </w:t>
      </w:r>
      <w:r w:rsidR="005B672A" w:rsidRPr="005B672A">
        <w:rPr>
          <w:noProof/>
          <w:sz w:val="22"/>
          <w:szCs w:val="22"/>
        </w:rPr>
        <w:t>8</w:t>
      </w:r>
      <w:r w:rsidRPr="00E2785E">
        <w:rPr>
          <w:rFonts w:eastAsia="Arial"/>
          <w:color w:val="000000"/>
          <w:sz w:val="22"/>
          <w:szCs w:val="22"/>
        </w:rPr>
        <w:fldChar w:fldCharType="end"/>
      </w:r>
      <w:r w:rsidRPr="006F5F00">
        <w:rPr>
          <w:rFonts w:eastAsia="Arial"/>
          <w:color w:val="000000"/>
          <w:sz w:val="22"/>
          <w:szCs w:val="22"/>
        </w:rPr>
        <w:t>), mainly due a decrease predicted in the MODEL in 2010–2011 also being predicted in the NSW OBSERVED dataset (</w:t>
      </w:r>
      <w:r w:rsidRPr="00E2785E">
        <w:rPr>
          <w:rFonts w:eastAsia="Arial"/>
          <w:color w:val="000000"/>
          <w:sz w:val="22"/>
          <w:szCs w:val="22"/>
        </w:rPr>
        <w:fldChar w:fldCharType="begin"/>
      </w:r>
      <w:r w:rsidRPr="006F5F00">
        <w:rPr>
          <w:rFonts w:eastAsia="Arial"/>
          <w:color w:val="000000"/>
          <w:sz w:val="22"/>
          <w:szCs w:val="22"/>
        </w:rPr>
        <w:instrText xml:space="preserve"> REF _Ref108004757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54</w:t>
      </w:r>
      <w:r w:rsidRPr="00E2785E">
        <w:rPr>
          <w:rFonts w:eastAsia="Arial"/>
          <w:color w:val="000000"/>
          <w:sz w:val="22"/>
          <w:szCs w:val="22"/>
        </w:rPr>
        <w:fldChar w:fldCharType="end"/>
      </w:r>
      <w:r w:rsidRPr="006F5F00">
        <w:rPr>
          <w:rFonts w:eastAsia="Arial"/>
          <w:color w:val="000000"/>
          <w:sz w:val="22"/>
          <w:szCs w:val="22"/>
        </w:rPr>
        <w:t>A). However, the high MAPE was likely due to the differences in the population size and growth rate between the MODEL and OBSERVED data across the other years of comparison.</w:t>
      </w:r>
    </w:p>
    <w:p w14:paraId="23C6AB42" w14:textId="0EB569F4" w:rsidR="00491210" w:rsidRPr="006F5F00" w:rsidRDefault="00EE200C">
      <w:pPr>
        <w:spacing w:before="240" w:after="240"/>
        <w:jc w:val="both"/>
        <w:rPr>
          <w:rFonts w:eastAsia="Arial"/>
          <w:color w:val="000000"/>
          <w:sz w:val="22"/>
          <w:szCs w:val="22"/>
        </w:rPr>
      </w:pPr>
      <w:r w:rsidRPr="006F5F00">
        <w:rPr>
          <w:rFonts w:eastAsia="Arial"/>
          <w:color w:val="000000"/>
          <w:sz w:val="22"/>
          <w:szCs w:val="22"/>
        </w:rPr>
        <w:t>The results for the Edward River showed a similar decline in 2010–2011 that was both predicted by the MODEL and seen in the NSW OBSERVED datasets (</w:t>
      </w:r>
      <w:r w:rsidRPr="00E2785E">
        <w:rPr>
          <w:rFonts w:eastAsia="Arial"/>
          <w:color w:val="000000"/>
          <w:sz w:val="22"/>
          <w:szCs w:val="22"/>
        </w:rPr>
        <w:fldChar w:fldCharType="begin"/>
      </w:r>
      <w:r w:rsidRPr="006F5F00">
        <w:rPr>
          <w:rFonts w:eastAsia="Arial"/>
          <w:color w:val="000000"/>
          <w:sz w:val="22"/>
          <w:szCs w:val="22"/>
        </w:rPr>
        <w:instrText xml:space="preserve"> REF _Ref108004757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54</w:t>
      </w:r>
      <w:r w:rsidRPr="00E2785E">
        <w:rPr>
          <w:rFonts w:eastAsia="Arial"/>
          <w:color w:val="000000"/>
          <w:sz w:val="22"/>
          <w:szCs w:val="22"/>
        </w:rPr>
        <w:fldChar w:fldCharType="end"/>
      </w:r>
      <w:r w:rsidRPr="006F5F00">
        <w:rPr>
          <w:rFonts w:eastAsia="Arial"/>
          <w:color w:val="000000"/>
          <w:sz w:val="22"/>
          <w:szCs w:val="22"/>
        </w:rPr>
        <w:t xml:space="preserve">C; </w:t>
      </w:r>
      <w:r w:rsidRPr="00E2785E">
        <w:rPr>
          <w:rFonts w:eastAsia="Arial"/>
          <w:color w:val="000000"/>
          <w:sz w:val="22"/>
          <w:szCs w:val="22"/>
        </w:rPr>
        <w:fldChar w:fldCharType="begin"/>
      </w:r>
      <w:r w:rsidRPr="006F5F00">
        <w:rPr>
          <w:rFonts w:eastAsia="Arial"/>
          <w:color w:val="000000"/>
          <w:sz w:val="22"/>
          <w:szCs w:val="22"/>
        </w:rPr>
        <w:instrText xml:space="preserve"> REF _Ref108004757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54</w:t>
      </w:r>
      <w:r w:rsidRPr="00E2785E">
        <w:rPr>
          <w:rFonts w:eastAsia="Arial"/>
          <w:color w:val="000000"/>
          <w:sz w:val="22"/>
          <w:szCs w:val="22"/>
        </w:rPr>
        <w:fldChar w:fldCharType="end"/>
      </w:r>
      <w:r w:rsidRPr="006F5F00">
        <w:rPr>
          <w:rFonts w:eastAsia="Arial"/>
          <w:color w:val="000000"/>
          <w:sz w:val="22"/>
          <w:szCs w:val="22"/>
        </w:rPr>
        <w:t>C). While both the MODEL and NSW data showed some evidence of a rebound in numbers shortly after 2010–2011, the patterns may diverge after 2016 (although the uncertainty is high).</w:t>
      </w:r>
    </w:p>
    <w:p w14:paraId="4B2351A5" w14:textId="7D43075D" w:rsidR="00491210" w:rsidRPr="006F5F00" w:rsidRDefault="00EE200C">
      <w:pPr>
        <w:pStyle w:val="Heading4"/>
      </w:pPr>
      <w:r w:rsidRPr="006F5F00">
        <w:t>Murray Cod</w:t>
      </w:r>
      <w:r w:rsidRPr="00F25D2F">
        <w:t>—</w:t>
      </w:r>
      <w:r w:rsidRPr="006F5F00">
        <w:t>comparing MODEL predictions and observed data in relation to flow conditions</w:t>
      </w:r>
    </w:p>
    <w:p w14:paraId="1E76F95F" w14:textId="1896B36E" w:rsidR="00491210" w:rsidRPr="006F5F00" w:rsidRDefault="00EE200C">
      <w:pPr>
        <w:spacing w:before="240" w:after="240"/>
        <w:jc w:val="both"/>
        <w:rPr>
          <w:rFonts w:eastAsia="Arial"/>
          <w:color w:val="000000"/>
          <w:sz w:val="22"/>
          <w:szCs w:val="22"/>
        </w:rPr>
      </w:pPr>
      <w:r w:rsidRPr="006F5F00">
        <w:rPr>
          <w:rFonts w:eastAsia="Arial"/>
          <w:color w:val="000000"/>
          <w:sz w:val="22"/>
          <w:szCs w:val="22"/>
        </w:rPr>
        <w:t>There was no correlation between the MODEL predictions and the OBSERVED data (Pearson’s and Spearman values between –0.1 and –0.2) (</w:t>
      </w:r>
      <w:r w:rsidRPr="00E2785E">
        <w:rPr>
          <w:rFonts w:eastAsia="Arial"/>
          <w:color w:val="000000"/>
          <w:sz w:val="22"/>
          <w:szCs w:val="22"/>
        </w:rPr>
        <w:fldChar w:fldCharType="begin"/>
      </w:r>
      <w:r w:rsidRPr="006F5F00">
        <w:rPr>
          <w:rFonts w:eastAsia="Arial"/>
          <w:color w:val="000000"/>
          <w:sz w:val="22"/>
          <w:szCs w:val="22"/>
        </w:rPr>
        <w:instrText xml:space="preserve"> REF _Ref108004868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56</w:t>
      </w:r>
      <w:r w:rsidRPr="00E2785E">
        <w:rPr>
          <w:rFonts w:eastAsia="Arial"/>
          <w:color w:val="000000"/>
          <w:sz w:val="22"/>
          <w:szCs w:val="22"/>
        </w:rPr>
        <w:fldChar w:fldCharType="end"/>
      </w:r>
      <w:r w:rsidRPr="006F5F00">
        <w:rPr>
          <w:rFonts w:eastAsia="Arial"/>
          <w:color w:val="000000"/>
          <w:sz w:val="22"/>
          <w:szCs w:val="22"/>
        </w:rPr>
        <w:t>). Unlike the findings for Golden Perch, the strength of these correlations was not increased when looking at this relationship only for observed flows between 10,000 and 20,000 ML day</w:t>
      </w:r>
      <w:r w:rsidRPr="00F25D2F">
        <w:rPr>
          <w:rFonts w:eastAsia="Arial"/>
          <w:color w:val="000000"/>
          <w:sz w:val="22"/>
          <w:szCs w:val="22"/>
          <w:vertAlign w:val="superscript"/>
        </w:rPr>
        <w:t>–1</w:t>
      </w:r>
      <w:r w:rsidRPr="006F5F00">
        <w:rPr>
          <w:rFonts w:eastAsia="Arial"/>
          <w:color w:val="000000"/>
          <w:sz w:val="22"/>
          <w:szCs w:val="22"/>
        </w:rPr>
        <w:t xml:space="preserve"> (Pearson and Spearman correlations still between –0.1 and –0.2). This suggests that the MODEL is less likely to capture differences in abundances under the RRCP scenarios for Murray Cod than for Golden Perch in this reach.</w:t>
      </w:r>
    </w:p>
    <w:p w14:paraId="188C85DB" w14:textId="77777777" w:rsidR="00491210" w:rsidRPr="006F5F00" w:rsidRDefault="00491210">
      <w:pPr>
        <w:spacing w:line="259" w:lineRule="auto"/>
        <w:jc w:val="both"/>
        <w:rPr>
          <w:rFonts w:eastAsia="Arial"/>
          <w:color w:val="000000"/>
          <w:szCs w:val="20"/>
        </w:rPr>
      </w:pPr>
    </w:p>
    <w:p w14:paraId="7021B2A9" w14:textId="2DA5A14C" w:rsidR="00491210" w:rsidRPr="006F5F00" w:rsidRDefault="003E1401">
      <w:pPr>
        <w:keepNext/>
        <w:keepLines/>
        <w:rPr>
          <w:rFonts w:eastAsia="Arial"/>
          <w:color w:val="000000"/>
          <w:szCs w:val="20"/>
        </w:rPr>
      </w:pPr>
      <w:r>
        <w:rPr>
          <w:noProof/>
          <w:lang w:eastAsia="en-AU"/>
        </w:rPr>
        <w:t xml:space="preserve"> </w:t>
      </w:r>
    </w:p>
    <w:p w14:paraId="58882D1C" w14:textId="05AB575B" w:rsidR="00491210" w:rsidRPr="00EA2CBF" w:rsidRDefault="00EE200C" w:rsidP="00F25D2F">
      <w:pPr>
        <w:pStyle w:val="Caption-Figure"/>
        <w:rPr>
          <w:rFonts w:eastAsia="Arial"/>
        </w:rPr>
      </w:pPr>
      <w:bookmarkStart w:id="201" w:name="_Ref108004707"/>
      <w:bookmarkStart w:id="202" w:name="_Toc116995022"/>
      <w:r w:rsidRPr="00EA2CBF">
        <w:rPr>
          <w:bCs w:val="0"/>
        </w:rPr>
        <w:t xml:space="preserve">Figure </w:t>
      </w:r>
      <w:r w:rsidRPr="00EA2CBF">
        <w:rPr>
          <w:b w:val="0"/>
        </w:rPr>
        <w:fldChar w:fldCharType="begin"/>
      </w:r>
      <w:r w:rsidRPr="00EA2CBF">
        <w:rPr>
          <w:bCs w:val="0"/>
        </w:rPr>
        <w:instrText xml:space="preserve"> SEQ Figure \* ARABIC </w:instrText>
      </w:r>
      <w:r w:rsidRPr="00EA2CBF">
        <w:rPr>
          <w:b w:val="0"/>
        </w:rPr>
        <w:fldChar w:fldCharType="separate"/>
      </w:r>
      <w:r w:rsidR="005B672A">
        <w:rPr>
          <w:bCs w:val="0"/>
          <w:noProof/>
        </w:rPr>
        <w:t>53</w:t>
      </w:r>
      <w:r w:rsidRPr="00EA2CBF">
        <w:rPr>
          <w:b w:val="0"/>
          <w:noProof/>
        </w:rPr>
        <w:fldChar w:fldCharType="end"/>
      </w:r>
      <w:bookmarkEnd w:id="201"/>
      <w:r w:rsidRPr="00EA2CBF">
        <w:rPr>
          <w:rFonts w:eastAsia="Arial"/>
          <w:bCs w:val="0"/>
          <w:i/>
          <w:iCs/>
        </w:rPr>
        <w:t>.</w:t>
      </w:r>
      <w:r w:rsidRPr="00EA2CBF">
        <w:rPr>
          <w:rFonts w:eastAsia="Arial"/>
          <w:bCs w:val="0"/>
        </w:rPr>
        <w:t xml:space="preserve"> Relationship between MODEL and ARI OBSERVED estimates for Murray Cod. See Figure 6 caption for details.</w:t>
      </w:r>
      <w:bookmarkEnd w:id="202"/>
    </w:p>
    <w:p w14:paraId="19451E26" w14:textId="47BAB848" w:rsidR="00491210" w:rsidRPr="006F5F00" w:rsidRDefault="003E1401">
      <w:pPr>
        <w:keepNext/>
        <w:keepLines/>
        <w:rPr>
          <w:rFonts w:eastAsia="Arial"/>
          <w:color w:val="000000"/>
          <w:szCs w:val="20"/>
        </w:rPr>
      </w:pPr>
      <w:r>
        <w:rPr>
          <w:noProof/>
          <w:lang w:eastAsia="en-AU"/>
        </w:rPr>
        <w:t xml:space="preserve"> </w:t>
      </w:r>
    </w:p>
    <w:p w14:paraId="71BC5FAA" w14:textId="6FBA98FB" w:rsidR="00491210" w:rsidRPr="006F5F00" w:rsidRDefault="00EE200C">
      <w:pPr>
        <w:pStyle w:val="Caption-Figure"/>
        <w:rPr>
          <w:rFonts w:eastAsia="Segoe UI"/>
        </w:rPr>
      </w:pPr>
      <w:bookmarkStart w:id="203" w:name="_Ref108004757"/>
      <w:bookmarkStart w:id="204" w:name="_Toc116995023"/>
      <w:r w:rsidRPr="006F5F00">
        <w:t xml:space="preserve">Figure </w:t>
      </w:r>
      <w:r w:rsidRPr="00E2785E">
        <w:fldChar w:fldCharType="begin"/>
      </w:r>
      <w:r w:rsidRPr="006F5F00">
        <w:instrText xml:space="preserve"> SEQ Figure \* ARABIC </w:instrText>
      </w:r>
      <w:r w:rsidRPr="00E2785E">
        <w:fldChar w:fldCharType="separate"/>
      </w:r>
      <w:r w:rsidR="005B672A">
        <w:rPr>
          <w:noProof/>
        </w:rPr>
        <w:t>54</w:t>
      </w:r>
      <w:r w:rsidRPr="00E2785E">
        <w:rPr>
          <w:noProof/>
        </w:rPr>
        <w:fldChar w:fldCharType="end"/>
      </w:r>
      <w:bookmarkEnd w:id="203"/>
      <w:r w:rsidRPr="006F5F00">
        <w:rPr>
          <w:rFonts w:eastAsia="Segoe UI"/>
        </w:rPr>
        <w:t>. Temporal patterns in NSW OBSERVED data and MODEL estimates for Murray Cod. Each line shows the scaled abundance estimates. The error bars and shaded regions are 95% CIs. The units in the top panels are ML day</w:t>
      </w:r>
      <w:r w:rsidRPr="00F25D2F">
        <w:rPr>
          <w:rFonts w:eastAsia="Segoe UI"/>
          <w:vertAlign w:val="superscript"/>
        </w:rPr>
        <w:t>–1</w:t>
      </w:r>
      <w:r w:rsidRPr="006F5F00">
        <w:rPr>
          <w:rFonts w:eastAsia="Segoe UI"/>
        </w:rPr>
        <w:t>.</w:t>
      </w:r>
      <w:bookmarkEnd w:id="204"/>
    </w:p>
    <w:p w14:paraId="7E7DC8E3" w14:textId="77777777" w:rsidR="00491210" w:rsidRPr="006F5F00" w:rsidRDefault="00491210">
      <w:pPr>
        <w:spacing w:line="259" w:lineRule="auto"/>
        <w:jc w:val="both"/>
        <w:rPr>
          <w:rFonts w:eastAsia="Arial"/>
          <w:color w:val="000000"/>
          <w:szCs w:val="20"/>
        </w:rPr>
      </w:pPr>
    </w:p>
    <w:p w14:paraId="6F27D5D1" w14:textId="663490EA" w:rsidR="00491210" w:rsidRPr="006F5F00" w:rsidRDefault="003E1401">
      <w:pPr>
        <w:keepNext/>
        <w:keepLines/>
        <w:rPr>
          <w:rFonts w:eastAsia="Arial"/>
          <w:color w:val="000000"/>
          <w:szCs w:val="20"/>
        </w:rPr>
      </w:pPr>
      <w:r>
        <w:rPr>
          <w:noProof/>
          <w:lang w:eastAsia="en-AU"/>
        </w:rPr>
        <w:t xml:space="preserve"> </w:t>
      </w:r>
    </w:p>
    <w:p w14:paraId="3AF25443" w14:textId="59966F39" w:rsidR="00491210" w:rsidRPr="006F5F00" w:rsidRDefault="00EE200C">
      <w:pPr>
        <w:pStyle w:val="Caption-Figure"/>
        <w:rPr>
          <w:rFonts w:eastAsia="Arial"/>
        </w:rPr>
      </w:pPr>
      <w:bookmarkStart w:id="205" w:name="_Ref108104271"/>
      <w:bookmarkStart w:id="206" w:name="_Toc116995024"/>
      <w:r w:rsidRPr="006F5F00">
        <w:t xml:space="preserve">Figure </w:t>
      </w:r>
      <w:r w:rsidRPr="00E2785E">
        <w:fldChar w:fldCharType="begin"/>
      </w:r>
      <w:r w:rsidRPr="006F5F00">
        <w:instrText xml:space="preserve"> SEQ Figure \* ARABIC </w:instrText>
      </w:r>
      <w:r w:rsidRPr="00E2785E">
        <w:fldChar w:fldCharType="separate"/>
      </w:r>
      <w:r w:rsidR="005B672A">
        <w:rPr>
          <w:noProof/>
        </w:rPr>
        <w:t>55</w:t>
      </w:r>
      <w:r w:rsidRPr="00E2785E">
        <w:rPr>
          <w:noProof/>
        </w:rPr>
        <w:fldChar w:fldCharType="end"/>
      </w:r>
      <w:bookmarkEnd w:id="205"/>
      <w:r w:rsidRPr="006F5F00">
        <w:rPr>
          <w:rFonts w:eastAsia="Arial"/>
          <w:i/>
          <w:iCs/>
          <w:sz w:val="22"/>
        </w:rPr>
        <w:t>.</w:t>
      </w:r>
      <w:r w:rsidRPr="006F5F00">
        <w:rPr>
          <w:rFonts w:eastAsia="Arial"/>
        </w:rPr>
        <w:t xml:space="preserve"> Murray Cod biplots showing the relationship between NSW OBSERVED data growth rates and predicted MODEL rates. Note that only growth rates with subsequent years of data are shown. See Figure 5 caption for details on each component.</w:t>
      </w:r>
      <w:bookmarkEnd w:id="206"/>
    </w:p>
    <w:p w14:paraId="3FAA26CA" w14:textId="1761D770" w:rsidR="00491210" w:rsidRPr="006F5F00" w:rsidRDefault="003E1401">
      <w:pPr>
        <w:keepNext/>
        <w:keepLines/>
        <w:rPr>
          <w:rFonts w:eastAsia="Arial"/>
          <w:color w:val="000000"/>
          <w:szCs w:val="20"/>
        </w:rPr>
      </w:pPr>
      <w:r>
        <w:rPr>
          <w:noProof/>
          <w:lang w:eastAsia="en-AU"/>
        </w:rPr>
        <w:t xml:space="preserve"> </w:t>
      </w:r>
    </w:p>
    <w:p w14:paraId="58A27F8C" w14:textId="5DCF165D" w:rsidR="00491210" w:rsidRPr="00EA2CBF" w:rsidRDefault="00EE200C" w:rsidP="00F25D2F">
      <w:pPr>
        <w:pStyle w:val="Caption-Figure"/>
        <w:rPr>
          <w:rFonts w:eastAsia="Arial"/>
        </w:rPr>
      </w:pPr>
      <w:bookmarkStart w:id="207" w:name="_Ref108004868"/>
      <w:bookmarkStart w:id="208" w:name="_Toc116995025"/>
      <w:r w:rsidRPr="00EA2CBF">
        <w:rPr>
          <w:bCs w:val="0"/>
        </w:rPr>
        <w:t xml:space="preserve">Figure </w:t>
      </w:r>
      <w:r w:rsidRPr="00EA2CBF">
        <w:rPr>
          <w:b w:val="0"/>
        </w:rPr>
        <w:fldChar w:fldCharType="begin"/>
      </w:r>
      <w:r w:rsidRPr="00EA2CBF">
        <w:rPr>
          <w:bCs w:val="0"/>
        </w:rPr>
        <w:instrText xml:space="preserve"> SEQ Figure \* ARABIC </w:instrText>
      </w:r>
      <w:r w:rsidRPr="00EA2CBF">
        <w:rPr>
          <w:b w:val="0"/>
        </w:rPr>
        <w:fldChar w:fldCharType="separate"/>
      </w:r>
      <w:r w:rsidR="005B672A">
        <w:rPr>
          <w:bCs w:val="0"/>
          <w:noProof/>
        </w:rPr>
        <w:t>56</w:t>
      </w:r>
      <w:r w:rsidRPr="00EA2CBF">
        <w:rPr>
          <w:b w:val="0"/>
          <w:noProof/>
        </w:rPr>
        <w:fldChar w:fldCharType="end"/>
      </w:r>
      <w:bookmarkEnd w:id="207"/>
      <w:r w:rsidRPr="00EA2CBF">
        <w:rPr>
          <w:rFonts w:eastAsia="Arial"/>
          <w:bCs w:val="0"/>
        </w:rPr>
        <w:t xml:space="preserve">. Murray Cod biplot of the relationship between scaled population size as predicted by the MODEL [Scaled </w:t>
      </w:r>
      <w:r w:rsidRPr="00D54D9E">
        <w:rPr>
          <w:rFonts w:eastAsia="Arial"/>
          <w:i/>
        </w:rPr>
        <w:t>N</w:t>
      </w:r>
      <w:r w:rsidRPr="00EA2CBF">
        <w:rPr>
          <w:rFonts w:eastAsia="Arial"/>
          <w:bCs w:val="0"/>
        </w:rPr>
        <w:t xml:space="preserve"> (MODEL)] and in independent datasets [Scaled </w:t>
      </w:r>
      <w:r w:rsidRPr="00D54D9E">
        <w:rPr>
          <w:rFonts w:eastAsia="Arial"/>
          <w:i/>
        </w:rPr>
        <w:t>N</w:t>
      </w:r>
      <w:r w:rsidRPr="00EA2CBF">
        <w:rPr>
          <w:rFonts w:eastAsia="Arial"/>
          <w:bCs w:val="0"/>
        </w:rPr>
        <w:t xml:space="preserve"> (OBSERVED)]. Colours and shapes indicate observed flow, based on the average daily discharge from August to November.</w:t>
      </w:r>
      <w:bookmarkEnd w:id="208"/>
    </w:p>
    <w:p w14:paraId="4CD90EC4" w14:textId="4D2C9C0C" w:rsidR="00491210" w:rsidRDefault="00EE200C">
      <w:pPr>
        <w:pStyle w:val="Caption-Table"/>
        <w:rPr>
          <w:rFonts w:eastAsia="Arial"/>
        </w:rPr>
      </w:pPr>
      <w:bookmarkStart w:id="209" w:name="_Ref107995085"/>
      <w:bookmarkStart w:id="210" w:name="_Toc116994968"/>
      <w:r w:rsidRPr="006F5F00">
        <w:lastRenderedPageBreak/>
        <w:t xml:space="preserve">Table </w:t>
      </w:r>
      <w:r w:rsidRPr="00E2785E">
        <w:fldChar w:fldCharType="begin"/>
      </w:r>
      <w:r w:rsidRPr="006F5F00">
        <w:instrText xml:space="preserve"> SEQ Table \* ARABIC </w:instrText>
      </w:r>
      <w:r w:rsidRPr="00E2785E">
        <w:fldChar w:fldCharType="separate"/>
      </w:r>
      <w:r w:rsidR="005B672A">
        <w:rPr>
          <w:noProof/>
        </w:rPr>
        <w:t>8</w:t>
      </w:r>
      <w:r w:rsidRPr="00E2785E">
        <w:rPr>
          <w:noProof/>
        </w:rPr>
        <w:fldChar w:fldCharType="end"/>
      </w:r>
      <w:bookmarkEnd w:id="209"/>
      <w:r w:rsidRPr="006F5F00">
        <w:t xml:space="preserve">. </w:t>
      </w:r>
      <w:r w:rsidRPr="006F5F00">
        <w:rPr>
          <w:rFonts w:eastAsia="Arial"/>
        </w:rPr>
        <w:t>Summary of assessment metri</w:t>
      </w:r>
      <w:r>
        <w:rPr>
          <w:rFonts w:eastAsia="Arial"/>
        </w:rPr>
        <w:t>cs</w:t>
      </w:r>
      <w:r w:rsidRPr="006F5F00">
        <w:rPr>
          <w:rFonts w:eastAsia="Arial"/>
        </w:rPr>
        <w:t xml:space="preserve"> for Murray Cod. Metri</w:t>
      </w:r>
      <w:r>
        <w:rPr>
          <w:rFonts w:eastAsia="Arial"/>
        </w:rPr>
        <w:t>cs</w:t>
      </w:r>
      <w:r w:rsidRPr="006F5F00">
        <w:rPr>
          <w:rFonts w:eastAsia="Arial"/>
        </w:rPr>
        <w:t xml:space="preserve"> shaded green indicate support for correlation between MODEL and specified OBSERVED data (as defined in </w:t>
      </w:r>
      <w:r w:rsidRPr="00E2785E">
        <w:rPr>
          <w:rFonts w:eastAsia="Arial"/>
          <w:color w:val="000000"/>
          <w:sz w:val="22"/>
        </w:rPr>
        <w:fldChar w:fldCharType="begin"/>
      </w:r>
      <w:r w:rsidRPr="006F5F00">
        <w:rPr>
          <w:rFonts w:eastAsia="Arial"/>
        </w:rPr>
        <w:instrText xml:space="preserve"> REF _Ref107932308 \h </w:instrText>
      </w:r>
      <w:r w:rsidRPr="006F5F00">
        <w:rPr>
          <w:rFonts w:eastAsia="Arial"/>
          <w:color w:val="000000"/>
          <w:sz w:val="22"/>
        </w:rPr>
        <w:instrText xml:space="preserve"> \* MERGEFORMAT </w:instrText>
      </w:r>
      <w:r w:rsidRPr="00E2785E">
        <w:rPr>
          <w:rFonts w:eastAsia="Arial"/>
          <w:color w:val="000000"/>
          <w:sz w:val="22"/>
        </w:rPr>
      </w:r>
      <w:r w:rsidRPr="00E2785E">
        <w:rPr>
          <w:rFonts w:eastAsia="Arial"/>
          <w:color w:val="000000"/>
          <w:sz w:val="22"/>
        </w:rPr>
        <w:fldChar w:fldCharType="separate"/>
      </w:r>
      <w:r w:rsidR="005B672A" w:rsidRPr="006F5F00">
        <w:t xml:space="preserve">Table </w:t>
      </w:r>
      <w:r w:rsidR="005B672A">
        <w:rPr>
          <w:noProof/>
        </w:rPr>
        <w:t>6</w:t>
      </w:r>
      <w:r w:rsidRPr="00E2785E">
        <w:rPr>
          <w:rFonts w:eastAsia="Arial"/>
          <w:color w:val="000000"/>
          <w:sz w:val="22"/>
        </w:rPr>
        <w:fldChar w:fldCharType="end"/>
      </w:r>
      <w:r w:rsidRPr="006F5F00">
        <w:rPr>
          <w:rFonts w:eastAsia="Arial"/>
        </w:rPr>
        <w:t xml:space="preserve">). Weak support is indicated by light green and strong support by the darker green. Each metric provides different insights (see </w:t>
      </w:r>
      <w:r w:rsidRPr="00E2785E">
        <w:rPr>
          <w:rFonts w:eastAsia="Arial"/>
          <w:color w:val="000000"/>
          <w:sz w:val="22"/>
        </w:rPr>
        <w:fldChar w:fldCharType="begin"/>
      </w:r>
      <w:r w:rsidRPr="006F5F00">
        <w:rPr>
          <w:rFonts w:eastAsia="Arial"/>
        </w:rPr>
        <w:instrText xml:space="preserve"> REF _Ref107932308 \h </w:instrText>
      </w:r>
      <w:r w:rsidRPr="006F5F00">
        <w:rPr>
          <w:rFonts w:eastAsia="Arial"/>
          <w:color w:val="000000"/>
          <w:sz w:val="22"/>
        </w:rPr>
        <w:instrText xml:space="preserve"> \* MERGEFORMAT </w:instrText>
      </w:r>
      <w:r w:rsidRPr="00E2785E">
        <w:rPr>
          <w:rFonts w:eastAsia="Arial"/>
          <w:color w:val="000000"/>
          <w:sz w:val="22"/>
        </w:rPr>
      </w:r>
      <w:r w:rsidRPr="00E2785E">
        <w:rPr>
          <w:rFonts w:eastAsia="Arial"/>
          <w:color w:val="000000"/>
          <w:sz w:val="22"/>
        </w:rPr>
        <w:fldChar w:fldCharType="separate"/>
      </w:r>
      <w:r w:rsidR="005B672A" w:rsidRPr="006F5F00">
        <w:t xml:space="preserve">Table </w:t>
      </w:r>
      <w:r w:rsidR="005B672A">
        <w:rPr>
          <w:noProof/>
        </w:rPr>
        <w:t>6</w:t>
      </w:r>
      <w:r w:rsidRPr="00E2785E">
        <w:rPr>
          <w:rFonts w:eastAsia="Arial"/>
          <w:color w:val="000000"/>
          <w:sz w:val="22"/>
        </w:rPr>
        <w:fldChar w:fldCharType="end"/>
      </w:r>
      <w:r w:rsidRPr="006F5F00">
        <w:rPr>
          <w:rFonts w:eastAsia="Arial"/>
        </w:rPr>
        <w:t xml:space="preserve"> for more details on each metric’s comparative attributes).</w:t>
      </w:r>
      <w:bookmarkEnd w:id="210"/>
    </w:p>
    <w:tbl>
      <w:tblPr>
        <w:tblW w:w="10269" w:type="dxa"/>
        <w:tblLayout w:type="fixed"/>
        <w:tblLook w:val="0420" w:firstRow="1" w:lastRow="0" w:firstColumn="0" w:lastColumn="0" w:noHBand="0" w:noVBand="1"/>
      </w:tblPr>
      <w:tblGrid>
        <w:gridCol w:w="1304"/>
        <w:gridCol w:w="1642"/>
        <w:gridCol w:w="918"/>
        <w:gridCol w:w="1127"/>
        <w:gridCol w:w="1287"/>
        <w:gridCol w:w="1757"/>
        <w:gridCol w:w="1037"/>
        <w:gridCol w:w="1197"/>
      </w:tblGrid>
      <w:tr w:rsidR="008B28D6" w:rsidRPr="008F67D1" w14:paraId="5681F574" w14:textId="77777777" w:rsidTr="0063533F">
        <w:tc>
          <w:tcPr>
            <w:tcW w:w="1304" w:type="dxa"/>
            <w:shd w:val="clear" w:color="auto" w:fill="00B2A9" w:themeFill="accent1"/>
          </w:tcPr>
          <w:p w14:paraId="66C203DA" w14:textId="34F116D5" w:rsidR="00491210" w:rsidRPr="003B59F3" w:rsidRDefault="00EE200C" w:rsidP="00697EE3">
            <w:pPr>
              <w:spacing w:before="100" w:after="100"/>
              <w:ind w:left="100" w:right="100"/>
              <w:rPr>
                <w:rFonts w:eastAsia="Arial"/>
                <w:b/>
                <w:sz w:val="18"/>
                <w:szCs w:val="18"/>
              </w:rPr>
            </w:pPr>
            <w:r w:rsidRPr="003B59F3">
              <w:rPr>
                <w:rFonts w:eastAsia="Arial"/>
                <w:b/>
                <w:color w:val="FFFFFF" w:themeColor="background1"/>
                <w:sz w:val="18"/>
                <w:szCs w:val="18"/>
              </w:rPr>
              <w:t>Parameter</w:t>
            </w:r>
          </w:p>
        </w:tc>
        <w:tc>
          <w:tcPr>
            <w:tcW w:w="1642" w:type="dxa"/>
            <w:vMerge w:val="restart"/>
            <w:shd w:val="clear" w:color="auto" w:fill="00B2A9" w:themeFill="accent1"/>
          </w:tcPr>
          <w:p w14:paraId="3C1AA09B" w14:textId="2005C219" w:rsidR="00491210" w:rsidRPr="003B59F3" w:rsidRDefault="00EE200C" w:rsidP="00F4046C">
            <w:pPr>
              <w:spacing w:before="100" w:after="100"/>
              <w:ind w:left="100" w:right="100"/>
              <w:jc w:val="center"/>
              <w:rPr>
                <w:rFonts w:eastAsia="Arial"/>
                <w:b/>
                <w:sz w:val="18"/>
                <w:szCs w:val="18"/>
              </w:rPr>
            </w:pPr>
            <w:r w:rsidRPr="003B59F3">
              <w:rPr>
                <w:rFonts w:eastAsia="Arial"/>
                <w:b/>
                <w:color w:val="FFFFFF" w:themeColor="background1"/>
                <w:sz w:val="18"/>
                <w:szCs w:val="18"/>
              </w:rPr>
              <w:t>Population ID</w:t>
            </w:r>
          </w:p>
        </w:tc>
        <w:tc>
          <w:tcPr>
            <w:tcW w:w="918" w:type="dxa"/>
            <w:shd w:val="clear" w:color="auto" w:fill="00B2A9" w:themeFill="accent1"/>
          </w:tcPr>
          <w:p w14:paraId="64902F0D" w14:textId="17F3EEF5" w:rsidR="00491210" w:rsidRPr="003B59F3" w:rsidRDefault="00EE200C" w:rsidP="00F4046C">
            <w:pPr>
              <w:spacing w:before="100" w:after="100"/>
              <w:ind w:left="100" w:right="100"/>
              <w:jc w:val="center"/>
              <w:rPr>
                <w:rFonts w:eastAsia="Arial"/>
                <w:b/>
                <w:sz w:val="18"/>
                <w:szCs w:val="18"/>
              </w:rPr>
            </w:pPr>
            <w:r w:rsidRPr="003B59F3">
              <w:rPr>
                <w:rFonts w:eastAsia="Arial"/>
                <w:b/>
                <w:color w:val="FFFFFF" w:themeColor="background1"/>
                <w:sz w:val="18"/>
                <w:szCs w:val="18"/>
              </w:rPr>
              <w:t>Study</w:t>
            </w:r>
          </w:p>
        </w:tc>
        <w:tc>
          <w:tcPr>
            <w:tcW w:w="2414" w:type="dxa"/>
            <w:gridSpan w:val="2"/>
            <w:tcBorders>
              <w:top w:val="single" w:sz="4" w:space="0" w:color="FFFFFF" w:themeColor="background1"/>
            </w:tcBorders>
            <w:shd w:val="clear" w:color="auto" w:fill="00B2A9" w:themeFill="accent1"/>
          </w:tcPr>
          <w:p w14:paraId="1D336C26" w14:textId="0422F77D" w:rsidR="00491210" w:rsidRPr="003B59F3" w:rsidRDefault="00EE200C" w:rsidP="00F4046C">
            <w:pPr>
              <w:spacing w:before="100" w:after="100"/>
              <w:ind w:left="100" w:right="100"/>
              <w:jc w:val="center"/>
              <w:rPr>
                <w:rFonts w:eastAsia="Arial"/>
                <w:b/>
                <w:color w:val="FFFFFF" w:themeColor="background1"/>
                <w:sz w:val="18"/>
                <w:szCs w:val="18"/>
              </w:rPr>
            </w:pPr>
            <w:r w:rsidRPr="003B59F3">
              <w:rPr>
                <w:rFonts w:eastAsia="Arial"/>
                <w:b/>
                <w:color w:val="FFFFFF" w:themeColor="background1"/>
                <w:sz w:val="18"/>
                <w:szCs w:val="18"/>
              </w:rPr>
              <w:t>Population size</w:t>
            </w:r>
          </w:p>
        </w:tc>
        <w:tc>
          <w:tcPr>
            <w:tcW w:w="3991" w:type="dxa"/>
            <w:gridSpan w:val="3"/>
            <w:tcBorders>
              <w:top w:val="single" w:sz="4" w:space="0" w:color="FFFFFF" w:themeColor="background1"/>
            </w:tcBorders>
            <w:shd w:val="clear" w:color="auto" w:fill="00B2A9" w:themeFill="accent1"/>
          </w:tcPr>
          <w:p w14:paraId="39D25E8C" w14:textId="4C7D18A7" w:rsidR="00491210" w:rsidRPr="003B59F3" w:rsidRDefault="00EE200C" w:rsidP="00F4046C">
            <w:pPr>
              <w:spacing w:before="100" w:after="100"/>
              <w:ind w:left="100" w:right="100"/>
              <w:jc w:val="center"/>
              <w:rPr>
                <w:rFonts w:eastAsia="Arial"/>
                <w:b/>
                <w:color w:val="FFFFFF" w:themeColor="background1"/>
                <w:sz w:val="18"/>
                <w:szCs w:val="18"/>
              </w:rPr>
            </w:pPr>
            <w:r w:rsidRPr="003B59F3">
              <w:rPr>
                <w:rFonts w:eastAsia="Arial"/>
                <w:b/>
                <w:color w:val="FFFFFF" w:themeColor="background1"/>
                <w:sz w:val="18"/>
                <w:szCs w:val="18"/>
              </w:rPr>
              <w:t>Growth rate</w:t>
            </w:r>
          </w:p>
        </w:tc>
      </w:tr>
      <w:tr w:rsidR="008B28D6" w:rsidRPr="008F67D1" w14:paraId="25BC5542" w14:textId="77777777" w:rsidTr="0063533F">
        <w:tc>
          <w:tcPr>
            <w:tcW w:w="1304" w:type="dxa"/>
            <w:shd w:val="clear" w:color="auto" w:fill="00B2A9" w:themeFill="accent1"/>
          </w:tcPr>
          <w:p w14:paraId="1F97F3B4" w14:textId="77777777" w:rsidR="00491210" w:rsidRPr="003B59F3" w:rsidRDefault="00491210" w:rsidP="00697EE3">
            <w:pPr>
              <w:spacing w:before="100" w:after="100"/>
              <w:ind w:left="100" w:right="100"/>
              <w:rPr>
                <w:rFonts w:eastAsia="Arial"/>
                <w:b/>
                <w:sz w:val="18"/>
                <w:szCs w:val="18"/>
              </w:rPr>
            </w:pPr>
          </w:p>
        </w:tc>
        <w:tc>
          <w:tcPr>
            <w:tcW w:w="1642" w:type="dxa"/>
            <w:vMerge/>
            <w:shd w:val="clear" w:color="auto" w:fill="00B2A9" w:themeFill="accent1"/>
          </w:tcPr>
          <w:p w14:paraId="236D0121" w14:textId="77777777" w:rsidR="00491210" w:rsidRPr="003B59F3" w:rsidRDefault="00491210" w:rsidP="007F5341">
            <w:pPr>
              <w:spacing w:before="100" w:after="100"/>
              <w:ind w:left="100" w:right="100"/>
              <w:jc w:val="center"/>
              <w:rPr>
                <w:rFonts w:eastAsia="Arial"/>
                <w:b/>
                <w:sz w:val="18"/>
                <w:szCs w:val="18"/>
              </w:rPr>
            </w:pPr>
          </w:p>
        </w:tc>
        <w:tc>
          <w:tcPr>
            <w:tcW w:w="918" w:type="dxa"/>
            <w:shd w:val="clear" w:color="auto" w:fill="00B2A9" w:themeFill="accent1"/>
          </w:tcPr>
          <w:p w14:paraId="27D1266E" w14:textId="77777777" w:rsidR="00491210" w:rsidRPr="003B59F3" w:rsidRDefault="00491210" w:rsidP="007F5341">
            <w:pPr>
              <w:spacing w:before="100" w:after="100"/>
              <w:ind w:left="100" w:right="100"/>
              <w:jc w:val="center"/>
              <w:rPr>
                <w:rFonts w:eastAsia="Arial"/>
                <w:b/>
                <w:sz w:val="18"/>
                <w:szCs w:val="18"/>
              </w:rPr>
            </w:pPr>
          </w:p>
        </w:tc>
        <w:tc>
          <w:tcPr>
            <w:tcW w:w="1127" w:type="dxa"/>
            <w:tcBorders>
              <w:top w:val="single" w:sz="4" w:space="0" w:color="FFFFFF" w:themeColor="background1"/>
            </w:tcBorders>
            <w:shd w:val="clear" w:color="auto" w:fill="00B2A9" w:themeFill="accent1"/>
          </w:tcPr>
          <w:p w14:paraId="1DBC22D4" w14:textId="77777777" w:rsidR="00491210" w:rsidRPr="003B59F3" w:rsidRDefault="00EE200C" w:rsidP="007F5341">
            <w:pPr>
              <w:spacing w:before="100" w:after="100"/>
              <w:ind w:left="100" w:right="100"/>
              <w:jc w:val="center"/>
              <w:rPr>
                <w:rFonts w:eastAsia="Arial"/>
                <w:b/>
                <w:color w:val="FFFFFF" w:themeColor="background1"/>
                <w:sz w:val="18"/>
                <w:szCs w:val="18"/>
              </w:rPr>
            </w:pPr>
            <w:r w:rsidRPr="003B59F3">
              <w:rPr>
                <w:rFonts w:eastAsia="Arial"/>
                <w:b/>
                <w:color w:val="FFFFFF" w:themeColor="background1"/>
                <w:sz w:val="18"/>
                <w:szCs w:val="18"/>
              </w:rPr>
              <w:t>Pearson</w:t>
            </w:r>
          </w:p>
        </w:tc>
        <w:tc>
          <w:tcPr>
            <w:tcW w:w="1287" w:type="dxa"/>
            <w:tcBorders>
              <w:top w:val="single" w:sz="4" w:space="0" w:color="FFFFFF" w:themeColor="background1"/>
            </w:tcBorders>
            <w:shd w:val="clear" w:color="auto" w:fill="00B2A9" w:themeFill="accent1"/>
          </w:tcPr>
          <w:p w14:paraId="5590E2D3" w14:textId="77777777" w:rsidR="00491210" w:rsidRPr="003B59F3" w:rsidRDefault="00EE200C" w:rsidP="007F5341">
            <w:pPr>
              <w:spacing w:before="100" w:after="100"/>
              <w:ind w:left="100" w:right="100"/>
              <w:jc w:val="center"/>
              <w:rPr>
                <w:rFonts w:eastAsia="Arial"/>
                <w:b/>
                <w:color w:val="FFFFFF" w:themeColor="background1"/>
                <w:sz w:val="18"/>
                <w:szCs w:val="18"/>
              </w:rPr>
            </w:pPr>
            <w:r w:rsidRPr="003B59F3">
              <w:rPr>
                <w:rFonts w:eastAsia="Arial"/>
                <w:b/>
                <w:color w:val="FFFFFF" w:themeColor="background1"/>
                <w:sz w:val="18"/>
                <w:szCs w:val="18"/>
              </w:rPr>
              <w:t>Spearman</w:t>
            </w:r>
          </w:p>
        </w:tc>
        <w:tc>
          <w:tcPr>
            <w:tcW w:w="1757" w:type="dxa"/>
            <w:tcBorders>
              <w:top w:val="single" w:sz="4" w:space="0" w:color="FFFFFF" w:themeColor="background1"/>
            </w:tcBorders>
            <w:shd w:val="clear" w:color="auto" w:fill="00B2A9" w:themeFill="accent1"/>
          </w:tcPr>
          <w:p w14:paraId="59E903F8" w14:textId="77777777" w:rsidR="00491210" w:rsidRPr="003B59F3" w:rsidRDefault="00EE200C" w:rsidP="007F5341">
            <w:pPr>
              <w:spacing w:before="100" w:after="100"/>
              <w:ind w:left="100" w:right="100"/>
              <w:jc w:val="center"/>
              <w:rPr>
                <w:rFonts w:eastAsia="Arial"/>
                <w:b/>
                <w:color w:val="FFFFFF" w:themeColor="background1"/>
                <w:sz w:val="18"/>
                <w:szCs w:val="18"/>
              </w:rPr>
            </w:pPr>
            <w:r w:rsidRPr="003B59F3">
              <w:rPr>
                <w:rFonts w:eastAsia="Arial"/>
                <w:b/>
                <w:color w:val="FFFFFF" w:themeColor="background1"/>
                <w:sz w:val="18"/>
                <w:szCs w:val="18"/>
              </w:rPr>
              <w:t>MAPE</w:t>
            </w:r>
          </w:p>
        </w:tc>
        <w:tc>
          <w:tcPr>
            <w:tcW w:w="1037" w:type="dxa"/>
            <w:tcBorders>
              <w:top w:val="single" w:sz="4" w:space="0" w:color="FFFFFF" w:themeColor="background1"/>
            </w:tcBorders>
            <w:shd w:val="clear" w:color="auto" w:fill="00B2A9" w:themeFill="accent1"/>
          </w:tcPr>
          <w:p w14:paraId="5B4A1443" w14:textId="77777777" w:rsidR="00491210" w:rsidRPr="003B59F3" w:rsidRDefault="00EE200C" w:rsidP="007F5341">
            <w:pPr>
              <w:spacing w:before="100" w:after="100"/>
              <w:ind w:left="100" w:right="100"/>
              <w:jc w:val="center"/>
              <w:rPr>
                <w:rFonts w:eastAsia="Arial"/>
                <w:b/>
                <w:color w:val="FFFFFF" w:themeColor="background1"/>
                <w:sz w:val="18"/>
                <w:szCs w:val="18"/>
              </w:rPr>
            </w:pPr>
            <w:r w:rsidRPr="003B59F3">
              <w:rPr>
                <w:rFonts w:eastAsia="Arial"/>
                <w:b/>
                <w:color w:val="FFFFFF" w:themeColor="background1"/>
                <w:sz w:val="18"/>
                <w:szCs w:val="18"/>
              </w:rPr>
              <w:t>Bias</w:t>
            </w:r>
          </w:p>
        </w:tc>
        <w:tc>
          <w:tcPr>
            <w:tcW w:w="1197" w:type="dxa"/>
            <w:tcBorders>
              <w:top w:val="single" w:sz="4" w:space="0" w:color="FFFFFF" w:themeColor="background1"/>
            </w:tcBorders>
            <w:shd w:val="clear" w:color="auto" w:fill="00B2A9" w:themeFill="accent1"/>
          </w:tcPr>
          <w:p w14:paraId="43F84002" w14:textId="77777777" w:rsidR="00491210" w:rsidRPr="003B59F3" w:rsidRDefault="00EE200C" w:rsidP="007F5341">
            <w:pPr>
              <w:spacing w:before="100" w:after="100"/>
              <w:ind w:left="100" w:right="100"/>
              <w:jc w:val="center"/>
              <w:rPr>
                <w:rFonts w:eastAsia="Arial"/>
                <w:b/>
                <w:color w:val="FFFFFF" w:themeColor="background1"/>
                <w:sz w:val="18"/>
                <w:szCs w:val="18"/>
              </w:rPr>
            </w:pPr>
            <w:r w:rsidRPr="003B59F3">
              <w:rPr>
                <w:rFonts w:eastAsia="Arial"/>
                <w:b/>
                <w:color w:val="FFFFFF" w:themeColor="background1"/>
                <w:sz w:val="18"/>
                <w:szCs w:val="18"/>
              </w:rPr>
              <w:t>Direction</w:t>
            </w:r>
          </w:p>
        </w:tc>
      </w:tr>
      <w:tr w:rsidR="008B28D6" w14:paraId="60A88642" w14:textId="77777777" w:rsidTr="0063533F">
        <w:tc>
          <w:tcPr>
            <w:tcW w:w="1304" w:type="dxa"/>
            <w:vMerge w:val="restart"/>
            <w:tcBorders>
              <w:bottom w:val="single" w:sz="6" w:space="0" w:color="00B2A9" w:themeColor="accent1"/>
            </w:tcBorders>
            <w:shd w:val="clear" w:color="auto" w:fill="FFFFFF" w:themeFill="background1"/>
          </w:tcPr>
          <w:p w14:paraId="451F9839" w14:textId="77777777" w:rsidR="00491210" w:rsidRPr="003B59F3" w:rsidRDefault="00EE200C" w:rsidP="00697EE3">
            <w:pPr>
              <w:spacing w:before="100" w:after="100"/>
              <w:ind w:left="100" w:right="100"/>
              <w:rPr>
                <w:rFonts w:eastAsia="Arial"/>
                <w:color w:val="000000"/>
                <w:sz w:val="18"/>
                <w:szCs w:val="18"/>
              </w:rPr>
            </w:pPr>
            <w:r w:rsidRPr="003B59F3">
              <w:rPr>
                <w:rFonts w:eastAsia="Arial"/>
                <w:color w:val="000000"/>
                <w:sz w:val="18"/>
                <w:szCs w:val="18"/>
              </w:rPr>
              <w:t>Population size</w:t>
            </w:r>
            <w:r w:rsidRPr="003B59F3">
              <w:rPr>
                <w:sz w:val="18"/>
                <w:szCs w:val="18"/>
              </w:rPr>
              <w:t xml:space="preserve"> </w:t>
            </w:r>
            <w:r w:rsidRPr="003B59F3">
              <w:rPr>
                <w:rFonts w:eastAsia="Arial"/>
                <w:color w:val="000000"/>
                <w:sz w:val="18"/>
                <w:szCs w:val="18"/>
              </w:rPr>
              <w:t>growth rate</w:t>
            </w:r>
          </w:p>
        </w:tc>
        <w:tc>
          <w:tcPr>
            <w:tcW w:w="1642" w:type="dxa"/>
            <w:tcBorders>
              <w:bottom w:val="single" w:sz="6" w:space="0" w:color="00B2A9" w:themeColor="accent1"/>
            </w:tcBorders>
            <w:shd w:val="clear" w:color="auto" w:fill="FFFFFF" w:themeFill="background1"/>
          </w:tcPr>
          <w:p w14:paraId="681F94FA" w14:textId="583F7186" w:rsidR="00491210" w:rsidRPr="003B59F3" w:rsidRDefault="00EE200C" w:rsidP="006A17E1">
            <w:pPr>
              <w:spacing w:before="100" w:after="100"/>
              <w:ind w:left="100" w:right="100"/>
              <w:rPr>
                <w:rFonts w:eastAsia="Arial"/>
                <w:color w:val="000000"/>
                <w:sz w:val="18"/>
                <w:szCs w:val="18"/>
              </w:rPr>
            </w:pPr>
            <w:r w:rsidRPr="003B59F3">
              <w:rPr>
                <w:rFonts w:eastAsia="Arial"/>
                <w:color w:val="000000"/>
                <w:sz w:val="18"/>
                <w:szCs w:val="18"/>
              </w:rPr>
              <w:t>Torrumbarry to Wentworth</w:t>
            </w:r>
          </w:p>
        </w:tc>
        <w:tc>
          <w:tcPr>
            <w:tcW w:w="918" w:type="dxa"/>
            <w:tcBorders>
              <w:bottom w:val="single" w:sz="6" w:space="0" w:color="00B2A9" w:themeColor="accent1"/>
            </w:tcBorders>
            <w:shd w:val="clear" w:color="auto" w:fill="FFFFFF" w:themeFill="background1"/>
          </w:tcPr>
          <w:p w14:paraId="1EA32598" w14:textId="77777777" w:rsidR="00491210" w:rsidRPr="003B59F3" w:rsidRDefault="00EE200C" w:rsidP="006A17E1">
            <w:pPr>
              <w:spacing w:before="100" w:after="100"/>
              <w:ind w:left="100" w:right="100"/>
              <w:rPr>
                <w:rFonts w:eastAsia="Arial"/>
                <w:color w:val="000000"/>
                <w:sz w:val="18"/>
                <w:szCs w:val="18"/>
              </w:rPr>
            </w:pPr>
            <w:r w:rsidRPr="003B59F3">
              <w:rPr>
                <w:rFonts w:eastAsia="Arial"/>
                <w:color w:val="000000"/>
                <w:sz w:val="18"/>
                <w:szCs w:val="18"/>
              </w:rPr>
              <w:t>NSW</w:t>
            </w:r>
          </w:p>
        </w:tc>
        <w:tc>
          <w:tcPr>
            <w:tcW w:w="1127" w:type="dxa"/>
            <w:tcBorders>
              <w:bottom w:val="single" w:sz="6" w:space="0" w:color="00B2A9" w:themeColor="accent1"/>
            </w:tcBorders>
            <w:shd w:val="clear" w:color="auto" w:fill="FFFFFF" w:themeFill="background1"/>
            <w:vAlign w:val="center"/>
          </w:tcPr>
          <w:p w14:paraId="73E60BD6" w14:textId="1BF881B2"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0.55</w:t>
            </w:r>
            <w:r w:rsidRPr="003B59F3">
              <w:rPr>
                <w:sz w:val="18"/>
                <w:szCs w:val="18"/>
              </w:rPr>
              <w:br/>
            </w:r>
            <w:r w:rsidRPr="003B59F3">
              <w:rPr>
                <w:rFonts w:eastAsia="Arial"/>
                <w:color w:val="000000"/>
                <w:sz w:val="18"/>
                <w:szCs w:val="18"/>
              </w:rPr>
              <w:t>(</w:t>
            </w:r>
            <w:r>
              <w:rPr>
                <w:rFonts w:eastAsia="Arial"/>
                <w:color w:val="000000"/>
                <w:sz w:val="18"/>
                <w:szCs w:val="18"/>
              </w:rPr>
              <w:t>-</w:t>
            </w:r>
            <w:r w:rsidRPr="003B59F3">
              <w:rPr>
                <w:rFonts w:eastAsia="Arial"/>
                <w:color w:val="000000"/>
                <w:sz w:val="18"/>
                <w:szCs w:val="18"/>
              </w:rPr>
              <w:t>0.15, 0.89)</w:t>
            </w:r>
          </w:p>
        </w:tc>
        <w:tc>
          <w:tcPr>
            <w:tcW w:w="1287" w:type="dxa"/>
            <w:tcBorders>
              <w:bottom w:val="single" w:sz="6" w:space="0" w:color="00B2A9" w:themeColor="accent1"/>
            </w:tcBorders>
            <w:shd w:val="clear" w:color="auto" w:fill="FFFFFF" w:themeFill="background1"/>
            <w:vAlign w:val="center"/>
          </w:tcPr>
          <w:p w14:paraId="5B6105DB" w14:textId="7FAF2094"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0.66</w:t>
            </w:r>
            <w:r w:rsidRPr="003B59F3">
              <w:rPr>
                <w:sz w:val="18"/>
                <w:szCs w:val="18"/>
              </w:rPr>
              <w:br/>
            </w:r>
            <w:r w:rsidRPr="003B59F3">
              <w:rPr>
                <w:rFonts w:eastAsia="Arial"/>
                <w:color w:val="000000"/>
                <w:sz w:val="18"/>
                <w:szCs w:val="18"/>
              </w:rPr>
              <w:t>(</w:t>
            </w:r>
            <w:r>
              <w:rPr>
                <w:rFonts w:eastAsia="Arial"/>
                <w:color w:val="000000"/>
                <w:sz w:val="18"/>
                <w:szCs w:val="18"/>
              </w:rPr>
              <w:t>-</w:t>
            </w:r>
            <w:r w:rsidRPr="003B59F3">
              <w:rPr>
                <w:rFonts w:eastAsia="Arial"/>
                <w:color w:val="000000"/>
                <w:sz w:val="18"/>
                <w:szCs w:val="18"/>
              </w:rPr>
              <w:t>0.09, 0.94)</w:t>
            </w:r>
          </w:p>
        </w:tc>
        <w:tc>
          <w:tcPr>
            <w:tcW w:w="1757" w:type="dxa"/>
            <w:tcBorders>
              <w:bottom w:val="single" w:sz="6" w:space="0" w:color="00B2A9" w:themeColor="accent1"/>
            </w:tcBorders>
            <w:shd w:val="clear" w:color="auto" w:fill="FFFFFF" w:themeFill="background1"/>
            <w:vAlign w:val="center"/>
          </w:tcPr>
          <w:p w14:paraId="5C692CEF" w14:textId="18E9B87D"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598%</w:t>
            </w:r>
            <w:r w:rsidRPr="003B59F3">
              <w:rPr>
                <w:sz w:val="18"/>
                <w:szCs w:val="18"/>
              </w:rPr>
              <w:br/>
            </w:r>
            <w:r w:rsidRPr="003B59F3">
              <w:rPr>
                <w:rFonts w:eastAsia="Arial"/>
                <w:color w:val="000000"/>
                <w:sz w:val="18"/>
                <w:szCs w:val="18"/>
              </w:rPr>
              <w:t>(160%, 4555%)</w:t>
            </w:r>
          </w:p>
        </w:tc>
        <w:tc>
          <w:tcPr>
            <w:tcW w:w="1037" w:type="dxa"/>
            <w:tcBorders>
              <w:bottom w:val="single" w:sz="6" w:space="0" w:color="00B2A9" w:themeColor="accent1"/>
            </w:tcBorders>
            <w:shd w:val="clear" w:color="auto" w:fill="EAF1A9" w:themeFill="text2" w:themeFillTint="66"/>
            <w:vAlign w:val="center"/>
          </w:tcPr>
          <w:p w14:paraId="49EDAC35" w14:textId="1B5A0E53"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144%</w:t>
            </w:r>
            <w:r w:rsidRPr="003B59F3">
              <w:rPr>
                <w:sz w:val="18"/>
                <w:szCs w:val="18"/>
              </w:rPr>
              <w:br/>
            </w:r>
            <w:r w:rsidRPr="003B59F3">
              <w:rPr>
                <w:rFonts w:eastAsia="Arial"/>
                <w:color w:val="000000"/>
                <w:sz w:val="18"/>
                <w:szCs w:val="18"/>
              </w:rPr>
              <w:t>(</w:t>
            </w:r>
            <w:r>
              <w:rPr>
                <w:rFonts w:eastAsia="Arial"/>
                <w:color w:val="000000"/>
                <w:sz w:val="18"/>
                <w:szCs w:val="18"/>
              </w:rPr>
              <w:t>-</w:t>
            </w:r>
            <w:r w:rsidRPr="003B59F3">
              <w:rPr>
                <w:rFonts w:eastAsia="Arial"/>
                <w:color w:val="000000"/>
                <w:sz w:val="18"/>
                <w:szCs w:val="18"/>
              </w:rPr>
              <w:t>4%, 1363%)</w:t>
            </w:r>
          </w:p>
        </w:tc>
        <w:tc>
          <w:tcPr>
            <w:tcW w:w="1197" w:type="dxa"/>
            <w:tcBorders>
              <w:bottom w:val="single" w:sz="6" w:space="0" w:color="00B2A9" w:themeColor="accent1"/>
            </w:tcBorders>
            <w:shd w:val="clear" w:color="auto" w:fill="FFFFFF" w:themeFill="background1"/>
            <w:vAlign w:val="center"/>
          </w:tcPr>
          <w:p w14:paraId="3DF44FDC" w14:textId="01830E0A"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50%</w:t>
            </w:r>
            <w:r w:rsidRPr="003B59F3">
              <w:rPr>
                <w:sz w:val="18"/>
                <w:szCs w:val="18"/>
              </w:rPr>
              <w:br/>
            </w:r>
            <w:r w:rsidRPr="003B59F3">
              <w:rPr>
                <w:rFonts w:eastAsia="Arial"/>
                <w:color w:val="000000"/>
                <w:sz w:val="18"/>
                <w:szCs w:val="18"/>
              </w:rPr>
              <w:t>(25%, 100%)</w:t>
            </w:r>
          </w:p>
        </w:tc>
      </w:tr>
      <w:tr w:rsidR="008B28D6" w14:paraId="4315E889" w14:textId="77777777" w:rsidTr="0063533F">
        <w:tc>
          <w:tcPr>
            <w:tcW w:w="1304" w:type="dxa"/>
            <w:vMerge/>
            <w:vAlign w:val="center"/>
          </w:tcPr>
          <w:p w14:paraId="2BEBDC6A" w14:textId="77777777" w:rsidR="00491210" w:rsidRPr="003B59F3" w:rsidRDefault="00491210" w:rsidP="00697EE3">
            <w:pPr>
              <w:rPr>
                <w:sz w:val="18"/>
                <w:szCs w:val="18"/>
              </w:rPr>
            </w:pPr>
          </w:p>
        </w:tc>
        <w:tc>
          <w:tcPr>
            <w:tcW w:w="1642" w:type="dxa"/>
            <w:vMerge w:val="restart"/>
            <w:tcBorders>
              <w:top w:val="single" w:sz="6" w:space="0" w:color="00B2A9" w:themeColor="accent1"/>
              <w:bottom w:val="single" w:sz="6" w:space="0" w:color="00B2A9" w:themeColor="accent1"/>
            </w:tcBorders>
            <w:shd w:val="clear" w:color="auto" w:fill="FFFFFF" w:themeFill="background1"/>
          </w:tcPr>
          <w:p w14:paraId="1273905F" w14:textId="77777777" w:rsidR="00491210" w:rsidRPr="003B59F3" w:rsidRDefault="00EE200C" w:rsidP="006A17E1">
            <w:pPr>
              <w:spacing w:before="100" w:after="100"/>
              <w:ind w:left="100" w:right="100"/>
              <w:rPr>
                <w:rFonts w:eastAsia="Arial"/>
                <w:color w:val="000000"/>
                <w:sz w:val="18"/>
                <w:szCs w:val="18"/>
              </w:rPr>
            </w:pPr>
            <w:r w:rsidRPr="003B59F3">
              <w:rPr>
                <w:rFonts w:eastAsia="Arial"/>
                <w:color w:val="000000"/>
                <w:sz w:val="18"/>
                <w:szCs w:val="18"/>
              </w:rPr>
              <w:t>Yarrawonga to Torrumbarry</w:t>
            </w:r>
          </w:p>
        </w:tc>
        <w:tc>
          <w:tcPr>
            <w:tcW w:w="918" w:type="dxa"/>
            <w:tcBorders>
              <w:top w:val="single" w:sz="6" w:space="0" w:color="00B2A9" w:themeColor="accent1"/>
              <w:bottom w:val="single" w:sz="6" w:space="0" w:color="00B2A9" w:themeColor="accent1"/>
            </w:tcBorders>
            <w:shd w:val="clear" w:color="auto" w:fill="FFFFFF" w:themeFill="background1"/>
          </w:tcPr>
          <w:p w14:paraId="76765963" w14:textId="77777777" w:rsidR="00491210" w:rsidRPr="003B59F3" w:rsidRDefault="00EE200C" w:rsidP="006A17E1">
            <w:pPr>
              <w:spacing w:before="100" w:after="100"/>
              <w:ind w:left="100" w:right="100"/>
              <w:rPr>
                <w:rFonts w:eastAsia="Arial"/>
                <w:color w:val="000000"/>
                <w:sz w:val="18"/>
                <w:szCs w:val="18"/>
              </w:rPr>
            </w:pPr>
            <w:r w:rsidRPr="003B59F3">
              <w:rPr>
                <w:rFonts w:eastAsia="Arial"/>
                <w:color w:val="000000"/>
                <w:sz w:val="18"/>
                <w:szCs w:val="18"/>
              </w:rPr>
              <w:t>ARI</w:t>
            </w:r>
          </w:p>
        </w:tc>
        <w:tc>
          <w:tcPr>
            <w:tcW w:w="1127" w:type="dxa"/>
            <w:tcBorders>
              <w:top w:val="single" w:sz="6" w:space="0" w:color="00B2A9" w:themeColor="accent1"/>
              <w:bottom w:val="single" w:sz="6" w:space="0" w:color="00B2A9" w:themeColor="accent1"/>
            </w:tcBorders>
            <w:shd w:val="clear" w:color="auto" w:fill="FFFFFF" w:themeFill="background1"/>
            <w:vAlign w:val="center"/>
          </w:tcPr>
          <w:p w14:paraId="355012BE" w14:textId="684716C4" w:rsidR="00491210" w:rsidRPr="003B59F3" w:rsidRDefault="00EE200C" w:rsidP="006A17E1">
            <w:pPr>
              <w:spacing w:before="100" w:after="100"/>
              <w:ind w:left="100" w:right="100"/>
              <w:jc w:val="center"/>
              <w:rPr>
                <w:rFonts w:eastAsia="Arial"/>
                <w:color w:val="000000"/>
                <w:sz w:val="18"/>
                <w:szCs w:val="18"/>
              </w:rPr>
            </w:pPr>
            <w:r>
              <w:rPr>
                <w:rFonts w:eastAsia="Arial"/>
                <w:color w:val="000000"/>
                <w:sz w:val="18"/>
                <w:szCs w:val="18"/>
              </w:rPr>
              <w:t>-</w:t>
            </w:r>
            <w:r w:rsidRPr="003B59F3">
              <w:rPr>
                <w:rFonts w:eastAsia="Arial"/>
                <w:color w:val="000000"/>
                <w:sz w:val="18"/>
                <w:szCs w:val="18"/>
              </w:rPr>
              <w:t>0.04</w:t>
            </w:r>
            <w:r w:rsidRPr="003B59F3">
              <w:rPr>
                <w:sz w:val="18"/>
                <w:szCs w:val="18"/>
              </w:rPr>
              <w:br/>
            </w:r>
            <w:r w:rsidRPr="003B59F3">
              <w:rPr>
                <w:rFonts w:eastAsia="Arial"/>
                <w:color w:val="000000"/>
                <w:sz w:val="18"/>
                <w:szCs w:val="18"/>
              </w:rPr>
              <w:t>(</w:t>
            </w:r>
            <w:r>
              <w:rPr>
                <w:rFonts w:eastAsia="Arial"/>
                <w:color w:val="000000"/>
                <w:sz w:val="18"/>
                <w:szCs w:val="18"/>
              </w:rPr>
              <w:t>-</w:t>
            </w:r>
            <w:r w:rsidRPr="003B59F3">
              <w:rPr>
                <w:rFonts w:eastAsia="Arial"/>
                <w:color w:val="000000"/>
                <w:sz w:val="18"/>
                <w:szCs w:val="18"/>
              </w:rPr>
              <w:t>0.60, 0.48)</w:t>
            </w:r>
          </w:p>
        </w:tc>
        <w:tc>
          <w:tcPr>
            <w:tcW w:w="1287" w:type="dxa"/>
            <w:tcBorders>
              <w:top w:val="single" w:sz="6" w:space="0" w:color="00B2A9" w:themeColor="accent1"/>
              <w:bottom w:val="single" w:sz="6" w:space="0" w:color="00B2A9" w:themeColor="accent1"/>
            </w:tcBorders>
            <w:shd w:val="clear" w:color="auto" w:fill="FFFFFF" w:themeFill="background1"/>
            <w:vAlign w:val="center"/>
          </w:tcPr>
          <w:p w14:paraId="5BEBCC87" w14:textId="38065B89" w:rsidR="00491210" w:rsidRPr="003B59F3" w:rsidRDefault="00EE200C" w:rsidP="006A17E1">
            <w:pPr>
              <w:spacing w:before="100" w:after="100"/>
              <w:ind w:left="100" w:right="100"/>
              <w:jc w:val="center"/>
              <w:rPr>
                <w:rFonts w:eastAsia="Arial"/>
                <w:color w:val="000000"/>
                <w:sz w:val="18"/>
                <w:szCs w:val="18"/>
              </w:rPr>
            </w:pPr>
            <w:r>
              <w:rPr>
                <w:rFonts w:eastAsia="Arial"/>
                <w:color w:val="000000"/>
                <w:sz w:val="18"/>
                <w:szCs w:val="18"/>
              </w:rPr>
              <w:t>-</w:t>
            </w:r>
            <w:r w:rsidRPr="003B59F3">
              <w:rPr>
                <w:rFonts w:eastAsia="Arial"/>
                <w:color w:val="000000"/>
                <w:sz w:val="18"/>
                <w:szCs w:val="18"/>
              </w:rPr>
              <w:t>0.04</w:t>
            </w:r>
            <w:r w:rsidRPr="003B59F3">
              <w:rPr>
                <w:sz w:val="18"/>
                <w:szCs w:val="18"/>
              </w:rPr>
              <w:br/>
            </w:r>
            <w:r w:rsidRPr="003B59F3">
              <w:rPr>
                <w:rFonts w:eastAsia="Arial"/>
                <w:color w:val="000000"/>
                <w:sz w:val="18"/>
                <w:szCs w:val="18"/>
              </w:rPr>
              <w:t>(</w:t>
            </w:r>
            <w:r>
              <w:rPr>
                <w:rFonts w:eastAsia="Arial"/>
                <w:color w:val="000000"/>
                <w:sz w:val="18"/>
                <w:szCs w:val="18"/>
              </w:rPr>
              <w:t>-</w:t>
            </w:r>
            <w:r w:rsidRPr="003B59F3">
              <w:rPr>
                <w:rFonts w:eastAsia="Arial"/>
                <w:color w:val="000000"/>
                <w:sz w:val="18"/>
                <w:szCs w:val="18"/>
              </w:rPr>
              <w:t>0.59, 0.52)</w:t>
            </w:r>
          </w:p>
        </w:tc>
        <w:tc>
          <w:tcPr>
            <w:tcW w:w="1757" w:type="dxa"/>
            <w:tcBorders>
              <w:top w:val="single" w:sz="6" w:space="0" w:color="00B2A9" w:themeColor="accent1"/>
              <w:bottom w:val="single" w:sz="6" w:space="0" w:color="00B2A9" w:themeColor="accent1"/>
            </w:tcBorders>
            <w:shd w:val="clear" w:color="auto" w:fill="FFFFFF" w:themeFill="background1"/>
            <w:vAlign w:val="center"/>
          </w:tcPr>
          <w:p w14:paraId="5600F33A" w14:textId="5D4529D5"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37%</w:t>
            </w:r>
            <w:r w:rsidRPr="003B59F3">
              <w:rPr>
                <w:sz w:val="18"/>
                <w:szCs w:val="18"/>
              </w:rPr>
              <w:br/>
            </w:r>
            <w:r w:rsidRPr="003B59F3">
              <w:rPr>
                <w:rFonts w:eastAsia="Arial"/>
                <w:color w:val="000000"/>
                <w:sz w:val="18"/>
                <w:szCs w:val="18"/>
              </w:rPr>
              <w:t>(25%, 52%)</w:t>
            </w:r>
          </w:p>
        </w:tc>
        <w:tc>
          <w:tcPr>
            <w:tcW w:w="1037" w:type="dxa"/>
            <w:tcBorders>
              <w:top w:val="single" w:sz="6" w:space="0" w:color="00B2A9" w:themeColor="accent1"/>
              <w:bottom w:val="single" w:sz="6" w:space="0" w:color="00B2A9" w:themeColor="accent1"/>
            </w:tcBorders>
            <w:shd w:val="clear" w:color="auto" w:fill="EAF1A9" w:themeFill="text2" w:themeFillTint="66"/>
            <w:vAlign w:val="center"/>
          </w:tcPr>
          <w:p w14:paraId="7D7FE7B6" w14:textId="7C7DF1DC"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6%</w:t>
            </w:r>
            <w:r w:rsidRPr="003B59F3">
              <w:rPr>
                <w:sz w:val="18"/>
                <w:szCs w:val="18"/>
              </w:rPr>
              <w:br/>
            </w:r>
            <w:r w:rsidRPr="003B59F3">
              <w:rPr>
                <w:rFonts w:eastAsia="Arial"/>
                <w:color w:val="000000"/>
                <w:sz w:val="18"/>
                <w:szCs w:val="18"/>
              </w:rPr>
              <w:t>(</w:t>
            </w:r>
            <w:r>
              <w:rPr>
                <w:rFonts w:eastAsia="Arial"/>
                <w:color w:val="000000"/>
                <w:sz w:val="18"/>
                <w:szCs w:val="18"/>
              </w:rPr>
              <w:t>-</w:t>
            </w:r>
            <w:r w:rsidRPr="003B59F3">
              <w:rPr>
                <w:rFonts w:eastAsia="Arial"/>
                <w:color w:val="000000"/>
                <w:sz w:val="18"/>
                <w:szCs w:val="18"/>
              </w:rPr>
              <w:t>7%, 19%)</w:t>
            </w:r>
          </w:p>
        </w:tc>
        <w:tc>
          <w:tcPr>
            <w:tcW w:w="1197" w:type="dxa"/>
            <w:tcBorders>
              <w:top w:val="single" w:sz="6" w:space="0" w:color="00B2A9" w:themeColor="accent1"/>
              <w:bottom w:val="single" w:sz="6" w:space="0" w:color="00B2A9" w:themeColor="accent1"/>
            </w:tcBorders>
            <w:shd w:val="clear" w:color="auto" w:fill="FFFFFF" w:themeFill="background1"/>
            <w:vAlign w:val="center"/>
          </w:tcPr>
          <w:p w14:paraId="2EE93152" w14:textId="10D7E1A8"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44%</w:t>
            </w:r>
            <w:r w:rsidRPr="003B59F3">
              <w:rPr>
                <w:sz w:val="18"/>
                <w:szCs w:val="18"/>
              </w:rPr>
              <w:br/>
            </w:r>
            <w:r w:rsidRPr="003B59F3">
              <w:rPr>
                <w:rFonts w:eastAsia="Arial"/>
                <w:color w:val="000000"/>
                <w:sz w:val="18"/>
                <w:szCs w:val="18"/>
              </w:rPr>
              <w:t>(22%, 67%)</w:t>
            </w:r>
          </w:p>
        </w:tc>
      </w:tr>
      <w:tr w:rsidR="008B28D6" w14:paraId="128CFD4E" w14:textId="77777777" w:rsidTr="0063533F">
        <w:tc>
          <w:tcPr>
            <w:tcW w:w="1304" w:type="dxa"/>
            <w:vMerge/>
            <w:vAlign w:val="center"/>
          </w:tcPr>
          <w:p w14:paraId="3A86B021" w14:textId="77777777" w:rsidR="00491210" w:rsidRPr="003B59F3" w:rsidRDefault="00491210" w:rsidP="00697EE3">
            <w:pPr>
              <w:rPr>
                <w:sz w:val="18"/>
                <w:szCs w:val="18"/>
              </w:rPr>
            </w:pPr>
          </w:p>
        </w:tc>
        <w:tc>
          <w:tcPr>
            <w:tcW w:w="1642" w:type="dxa"/>
            <w:vMerge/>
            <w:tcBorders>
              <w:bottom w:val="single" w:sz="0" w:space="0" w:color="00B2A9" w:themeColor="accent1"/>
            </w:tcBorders>
            <w:vAlign w:val="center"/>
          </w:tcPr>
          <w:p w14:paraId="5C1FAC17" w14:textId="77777777" w:rsidR="00491210" w:rsidRPr="003B59F3" w:rsidRDefault="00491210" w:rsidP="006A17E1">
            <w:pPr>
              <w:rPr>
                <w:sz w:val="18"/>
                <w:szCs w:val="18"/>
              </w:rPr>
            </w:pPr>
          </w:p>
        </w:tc>
        <w:tc>
          <w:tcPr>
            <w:tcW w:w="918" w:type="dxa"/>
            <w:tcBorders>
              <w:top w:val="single" w:sz="6" w:space="0" w:color="00B2A9" w:themeColor="accent1"/>
              <w:bottom w:val="single" w:sz="6" w:space="0" w:color="00B2A9" w:themeColor="accent1"/>
            </w:tcBorders>
            <w:shd w:val="clear" w:color="auto" w:fill="FFFFFF" w:themeFill="background1"/>
          </w:tcPr>
          <w:p w14:paraId="4619E0D9" w14:textId="77777777" w:rsidR="00491210" w:rsidRPr="003B59F3" w:rsidRDefault="00EE200C" w:rsidP="006A17E1">
            <w:pPr>
              <w:spacing w:before="100" w:after="100"/>
              <w:ind w:left="100" w:right="100"/>
              <w:rPr>
                <w:rFonts w:eastAsia="Arial"/>
                <w:color w:val="000000"/>
                <w:sz w:val="18"/>
                <w:szCs w:val="18"/>
              </w:rPr>
            </w:pPr>
            <w:r w:rsidRPr="003B59F3">
              <w:rPr>
                <w:rFonts w:eastAsia="Arial"/>
                <w:color w:val="000000"/>
                <w:sz w:val="18"/>
                <w:szCs w:val="18"/>
              </w:rPr>
              <w:t>NSW</w:t>
            </w:r>
          </w:p>
        </w:tc>
        <w:tc>
          <w:tcPr>
            <w:tcW w:w="1127" w:type="dxa"/>
            <w:tcBorders>
              <w:top w:val="single" w:sz="6" w:space="0" w:color="00B2A9" w:themeColor="accent1"/>
              <w:bottom w:val="single" w:sz="6" w:space="0" w:color="00B2A9" w:themeColor="accent1"/>
            </w:tcBorders>
            <w:shd w:val="clear" w:color="auto" w:fill="B4C62B" w:themeFill="background2" w:themeFillShade="80"/>
            <w:vAlign w:val="center"/>
          </w:tcPr>
          <w:p w14:paraId="69D3AD49" w14:textId="191CD7F5"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0.35</w:t>
            </w:r>
            <w:r w:rsidRPr="003B59F3">
              <w:rPr>
                <w:sz w:val="18"/>
                <w:szCs w:val="18"/>
              </w:rPr>
              <w:br/>
            </w:r>
            <w:r w:rsidRPr="003B59F3">
              <w:rPr>
                <w:rFonts w:eastAsia="Arial"/>
                <w:color w:val="000000"/>
                <w:sz w:val="18"/>
                <w:szCs w:val="18"/>
              </w:rPr>
              <w:t>(</w:t>
            </w:r>
            <w:r>
              <w:rPr>
                <w:rFonts w:eastAsia="Arial"/>
                <w:color w:val="000000"/>
                <w:sz w:val="18"/>
                <w:szCs w:val="18"/>
              </w:rPr>
              <w:t>-</w:t>
            </w:r>
            <w:r w:rsidRPr="003B59F3">
              <w:rPr>
                <w:rFonts w:eastAsia="Arial"/>
                <w:color w:val="000000"/>
                <w:sz w:val="18"/>
                <w:szCs w:val="18"/>
              </w:rPr>
              <w:t>0.77, 0.93)</w:t>
            </w:r>
          </w:p>
        </w:tc>
        <w:tc>
          <w:tcPr>
            <w:tcW w:w="1287" w:type="dxa"/>
            <w:tcBorders>
              <w:top w:val="single" w:sz="6" w:space="0" w:color="00B2A9" w:themeColor="accent1"/>
              <w:bottom w:val="single" w:sz="6" w:space="0" w:color="00B2A9" w:themeColor="accent1"/>
            </w:tcBorders>
            <w:shd w:val="clear" w:color="auto" w:fill="B4C62B" w:themeFill="background2" w:themeFillShade="80"/>
            <w:vAlign w:val="center"/>
          </w:tcPr>
          <w:p w14:paraId="78ABBC28" w14:textId="3DDB56CD"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0.31</w:t>
            </w:r>
            <w:r w:rsidRPr="003B59F3">
              <w:rPr>
                <w:sz w:val="18"/>
                <w:szCs w:val="18"/>
              </w:rPr>
              <w:br/>
            </w:r>
            <w:r w:rsidRPr="003B59F3">
              <w:rPr>
                <w:rFonts w:eastAsia="Arial"/>
                <w:color w:val="000000"/>
                <w:sz w:val="18"/>
                <w:szCs w:val="18"/>
              </w:rPr>
              <w:t>(</w:t>
            </w:r>
            <w:r>
              <w:rPr>
                <w:rFonts w:eastAsia="Arial"/>
                <w:color w:val="000000"/>
                <w:sz w:val="18"/>
                <w:szCs w:val="18"/>
              </w:rPr>
              <w:t>-</w:t>
            </w:r>
            <w:r w:rsidRPr="003B59F3">
              <w:rPr>
                <w:rFonts w:eastAsia="Arial"/>
                <w:color w:val="000000"/>
                <w:sz w:val="18"/>
                <w:szCs w:val="18"/>
              </w:rPr>
              <w:t>0.83, 0.94)</w:t>
            </w:r>
          </w:p>
        </w:tc>
        <w:tc>
          <w:tcPr>
            <w:tcW w:w="1757" w:type="dxa"/>
            <w:tcBorders>
              <w:top w:val="single" w:sz="6" w:space="0" w:color="00B2A9" w:themeColor="accent1"/>
              <w:bottom w:val="single" w:sz="6" w:space="0" w:color="00B2A9" w:themeColor="accent1"/>
            </w:tcBorders>
            <w:shd w:val="clear" w:color="auto" w:fill="B4C62B" w:themeFill="background2" w:themeFillShade="80"/>
            <w:vAlign w:val="center"/>
          </w:tcPr>
          <w:p w14:paraId="0EE1A5FF" w14:textId="5BE9B6B2"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38%</w:t>
            </w:r>
            <w:r w:rsidRPr="003B59F3">
              <w:rPr>
                <w:sz w:val="18"/>
                <w:szCs w:val="18"/>
              </w:rPr>
              <w:br/>
            </w:r>
            <w:r w:rsidRPr="003B59F3">
              <w:rPr>
                <w:rFonts w:eastAsia="Arial"/>
                <w:color w:val="000000"/>
                <w:sz w:val="18"/>
                <w:szCs w:val="18"/>
              </w:rPr>
              <w:t>(10%, 151%)</w:t>
            </w:r>
          </w:p>
        </w:tc>
        <w:tc>
          <w:tcPr>
            <w:tcW w:w="1037" w:type="dxa"/>
            <w:tcBorders>
              <w:top w:val="single" w:sz="6" w:space="0" w:color="00B2A9" w:themeColor="accent1"/>
              <w:bottom w:val="single" w:sz="6" w:space="0" w:color="00B2A9" w:themeColor="accent1"/>
            </w:tcBorders>
            <w:shd w:val="clear" w:color="auto" w:fill="EAF1A9" w:themeFill="text2" w:themeFillTint="66"/>
            <w:vAlign w:val="center"/>
          </w:tcPr>
          <w:p w14:paraId="01A9DF76" w14:textId="5ADFD28B" w:rsidR="00491210" w:rsidRPr="003B59F3" w:rsidRDefault="00EE200C" w:rsidP="006A17E1">
            <w:pPr>
              <w:spacing w:before="100" w:after="100"/>
              <w:ind w:left="100" w:right="100"/>
              <w:jc w:val="center"/>
              <w:rPr>
                <w:rFonts w:eastAsia="Arial"/>
                <w:color w:val="000000"/>
                <w:sz w:val="18"/>
                <w:szCs w:val="18"/>
              </w:rPr>
            </w:pPr>
            <w:r>
              <w:rPr>
                <w:rFonts w:eastAsia="Arial"/>
                <w:color w:val="000000"/>
                <w:sz w:val="18"/>
                <w:szCs w:val="18"/>
              </w:rPr>
              <w:t>-</w:t>
            </w:r>
            <w:r w:rsidRPr="003B59F3">
              <w:rPr>
                <w:rFonts w:eastAsia="Arial"/>
                <w:color w:val="000000"/>
                <w:sz w:val="18"/>
                <w:szCs w:val="18"/>
              </w:rPr>
              <w:t>17%</w:t>
            </w:r>
            <w:r w:rsidRPr="003B59F3">
              <w:rPr>
                <w:sz w:val="18"/>
                <w:szCs w:val="18"/>
              </w:rPr>
              <w:br/>
            </w:r>
            <w:r w:rsidRPr="003B59F3">
              <w:rPr>
                <w:rFonts w:eastAsia="Arial"/>
                <w:color w:val="000000"/>
                <w:sz w:val="18"/>
                <w:szCs w:val="18"/>
              </w:rPr>
              <w:t>(</w:t>
            </w:r>
            <w:r>
              <w:rPr>
                <w:rFonts w:eastAsia="Arial"/>
                <w:color w:val="000000"/>
                <w:sz w:val="18"/>
                <w:szCs w:val="18"/>
              </w:rPr>
              <w:t>-</w:t>
            </w:r>
            <w:r w:rsidRPr="003B59F3">
              <w:rPr>
                <w:rFonts w:eastAsia="Arial"/>
                <w:color w:val="000000"/>
                <w:sz w:val="18"/>
                <w:szCs w:val="18"/>
              </w:rPr>
              <w:t>47%, 23%)</w:t>
            </w:r>
          </w:p>
        </w:tc>
        <w:tc>
          <w:tcPr>
            <w:tcW w:w="1197" w:type="dxa"/>
            <w:tcBorders>
              <w:top w:val="single" w:sz="6" w:space="0" w:color="00B2A9" w:themeColor="accent1"/>
              <w:bottom w:val="single" w:sz="6" w:space="0" w:color="00B2A9" w:themeColor="accent1"/>
            </w:tcBorders>
            <w:shd w:val="clear" w:color="auto" w:fill="FFFFFF" w:themeFill="background1"/>
            <w:vAlign w:val="center"/>
          </w:tcPr>
          <w:p w14:paraId="6CEE71B4" w14:textId="5966BC9D"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67%</w:t>
            </w:r>
            <w:r w:rsidRPr="003B59F3">
              <w:rPr>
                <w:sz w:val="18"/>
                <w:szCs w:val="18"/>
              </w:rPr>
              <w:br/>
            </w:r>
            <w:r w:rsidRPr="003B59F3">
              <w:rPr>
                <w:rFonts w:eastAsia="Arial"/>
                <w:color w:val="000000"/>
                <w:sz w:val="18"/>
                <w:szCs w:val="18"/>
              </w:rPr>
              <w:t>(0%, 100%)</w:t>
            </w:r>
          </w:p>
        </w:tc>
      </w:tr>
      <w:tr w:rsidR="008B28D6" w14:paraId="2C77494D" w14:textId="77777777" w:rsidTr="0063533F">
        <w:tc>
          <w:tcPr>
            <w:tcW w:w="1304" w:type="dxa"/>
            <w:vMerge/>
            <w:vAlign w:val="center"/>
          </w:tcPr>
          <w:p w14:paraId="067A7C99" w14:textId="77777777" w:rsidR="00491210" w:rsidRPr="003B59F3" w:rsidRDefault="00491210" w:rsidP="00697EE3">
            <w:pPr>
              <w:rPr>
                <w:sz w:val="18"/>
                <w:szCs w:val="18"/>
              </w:rPr>
            </w:pPr>
          </w:p>
        </w:tc>
        <w:tc>
          <w:tcPr>
            <w:tcW w:w="1642" w:type="dxa"/>
            <w:tcBorders>
              <w:top w:val="single" w:sz="6" w:space="0" w:color="00B2A9" w:themeColor="accent1"/>
              <w:bottom w:val="single" w:sz="6" w:space="0" w:color="00B2A9" w:themeColor="accent1"/>
            </w:tcBorders>
            <w:shd w:val="clear" w:color="auto" w:fill="FFFFFF" w:themeFill="background1"/>
          </w:tcPr>
          <w:p w14:paraId="240AB501" w14:textId="77777777" w:rsidR="00491210" w:rsidRPr="003B59F3" w:rsidRDefault="00EE200C" w:rsidP="006A17E1">
            <w:pPr>
              <w:spacing w:before="100" w:after="100"/>
              <w:ind w:left="100" w:right="100"/>
              <w:rPr>
                <w:rFonts w:eastAsia="Arial"/>
                <w:color w:val="000000"/>
                <w:sz w:val="18"/>
                <w:szCs w:val="18"/>
              </w:rPr>
            </w:pPr>
            <w:r w:rsidRPr="003B59F3">
              <w:rPr>
                <w:rFonts w:eastAsia="Arial"/>
                <w:color w:val="000000"/>
                <w:sz w:val="18"/>
                <w:szCs w:val="18"/>
              </w:rPr>
              <w:t>Edward</w:t>
            </w:r>
          </w:p>
        </w:tc>
        <w:tc>
          <w:tcPr>
            <w:tcW w:w="918" w:type="dxa"/>
            <w:tcBorders>
              <w:top w:val="single" w:sz="6" w:space="0" w:color="00B2A9" w:themeColor="accent1"/>
              <w:bottom w:val="single" w:sz="6" w:space="0" w:color="00B2A9" w:themeColor="accent1"/>
            </w:tcBorders>
            <w:shd w:val="clear" w:color="auto" w:fill="FFFFFF" w:themeFill="background1"/>
          </w:tcPr>
          <w:p w14:paraId="49CE9C6A" w14:textId="77777777" w:rsidR="00491210" w:rsidRPr="003B59F3" w:rsidRDefault="00EE200C" w:rsidP="006A17E1">
            <w:pPr>
              <w:spacing w:before="100" w:after="100"/>
              <w:ind w:left="100" w:right="100"/>
              <w:rPr>
                <w:rFonts w:eastAsia="Arial"/>
                <w:color w:val="000000"/>
                <w:sz w:val="18"/>
                <w:szCs w:val="18"/>
              </w:rPr>
            </w:pPr>
            <w:r w:rsidRPr="003B59F3">
              <w:rPr>
                <w:rFonts w:eastAsia="Arial"/>
                <w:color w:val="000000"/>
                <w:sz w:val="18"/>
                <w:szCs w:val="18"/>
              </w:rPr>
              <w:t>NSW</w:t>
            </w:r>
          </w:p>
        </w:tc>
        <w:tc>
          <w:tcPr>
            <w:tcW w:w="1127" w:type="dxa"/>
            <w:tcBorders>
              <w:top w:val="single" w:sz="6" w:space="0" w:color="00B2A9" w:themeColor="accent1"/>
              <w:bottom w:val="single" w:sz="6" w:space="0" w:color="00B2A9" w:themeColor="accent1"/>
            </w:tcBorders>
            <w:shd w:val="clear" w:color="auto" w:fill="FFFFFF" w:themeFill="background1"/>
            <w:vAlign w:val="center"/>
          </w:tcPr>
          <w:p w14:paraId="16535910" w14:textId="3CCFB5A0"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0.40</w:t>
            </w:r>
            <w:r w:rsidRPr="003B59F3">
              <w:rPr>
                <w:sz w:val="18"/>
                <w:szCs w:val="18"/>
              </w:rPr>
              <w:br/>
            </w:r>
            <w:r w:rsidRPr="003B59F3">
              <w:rPr>
                <w:rFonts w:eastAsia="Arial"/>
                <w:color w:val="000000"/>
                <w:sz w:val="18"/>
                <w:szCs w:val="18"/>
              </w:rPr>
              <w:t>(</w:t>
            </w:r>
            <w:r>
              <w:rPr>
                <w:rFonts w:eastAsia="Arial"/>
                <w:color w:val="000000"/>
                <w:sz w:val="18"/>
                <w:szCs w:val="18"/>
              </w:rPr>
              <w:t>-</w:t>
            </w:r>
            <w:r w:rsidRPr="003B59F3">
              <w:rPr>
                <w:rFonts w:eastAsia="Arial"/>
                <w:color w:val="000000"/>
                <w:sz w:val="18"/>
                <w:szCs w:val="18"/>
              </w:rPr>
              <w:t>0.22, 0.80)</w:t>
            </w:r>
          </w:p>
        </w:tc>
        <w:tc>
          <w:tcPr>
            <w:tcW w:w="1287" w:type="dxa"/>
            <w:tcBorders>
              <w:top w:val="single" w:sz="6" w:space="0" w:color="00B2A9" w:themeColor="accent1"/>
              <w:bottom w:val="single" w:sz="6" w:space="0" w:color="00B2A9" w:themeColor="accent1"/>
            </w:tcBorders>
            <w:shd w:val="clear" w:color="auto" w:fill="FFFFFF" w:themeFill="background1"/>
            <w:vAlign w:val="center"/>
          </w:tcPr>
          <w:p w14:paraId="168C8A64" w14:textId="0EEBAF51"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0.32</w:t>
            </w:r>
            <w:r w:rsidRPr="003B59F3">
              <w:rPr>
                <w:sz w:val="18"/>
                <w:szCs w:val="18"/>
              </w:rPr>
              <w:br/>
            </w:r>
            <w:r w:rsidRPr="003B59F3">
              <w:rPr>
                <w:rFonts w:eastAsia="Arial"/>
                <w:color w:val="000000"/>
                <w:sz w:val="18"/>
                <w:szCs w:val="18"/>
              </w:rPr>
              <w:t>(</w:t>
            </w:r>
            <w:r>
              <w:rPr>
                <w:rFonts w:eastAsia="Arial"/>
                <w:color w:val="000000"/>
                <w:sz w:val="18"/>
                <w:szCs w:val="18"/>
              </w:rPr>
              <w:t>-</w:t>
            </w:r>
            <w:r w:rsidRPr="003B59F3">
              <w:rPr>
                <w:rFonts w:eastAsia="Arial"/>
                <w:color w:val="000000"/>
                <w:sz w:val="18"/>
                <w:szCs w:val="18"/>
              </w:rPr>
              <w:t>0.31, 0.81)</w:t>
            </w:r>
          </w:p>
        </w:tc>
        <w:tc>
          <w:tcPr>
            <w:tcW w:w="1757" w:type="dxa"/>
            <w:tcBorders>
              <w:top w:val="single" w:sz="6" w:space="0" w:color="00B2A9" w:themeColor="accent1"/>
              <w:bottom w:val="single" w:sz="6" w:space="0" w:color="00B2A9" w:themeColor="accent1"/>
            </w:tcBorders>
            <w:shd w:val="clear" w:color="auto" w:fill="FFFFFF" w:themeFill="background1"/>
            <w:vAlign w:val="center"/>
          </w:tcPr>
          <w:p w14:paraId="7BDEE3F9" w14:textId="71DE4B04"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56%</w:t>
            </w:r>
            <w:r w:rsidRPr="003B59F3">
              <w:rPr>
                <w:sz w:val="18"/>
                <w:szCs w:val="18"/>
              </w:rPr>
              <w:br/>
            </w:r>
            <w:r w:rsidRPr="003B59F3">
              <w:rPr>
                <w:rFonts w:eastAsia="Arial"/>
                <w:color w:val="000000"/>
                <w:sz w:val="18"/>
                <w:szCs w:val="18"/>
              </w:rPr>
              <w:t>(25%, 115%)</w:t>
            </w:r>
          </w:p>
        </w:tc>
        <w:tc>
          <w:tcPr>
            <w:tcW w:w="1037" w:type="dxa"/>
            <w:tcBorders>
              <w:top w:val="single" w:sz="6" w:space="0" w:color="00B2A9" w:themeColor="accent1"/>
              <w:bottom w:val="single" w:sz="6" w:space="0" w:color="00B2A9" w:themeColor="accent1"/>
            </w:tcBorders>
            <w:shd w:val="clear" w:color="auto" w:fill="EAF1A9" w:themeFill="text2" w:themeFillTint="66"/>
            <w:vAlign w:val="center"/>
          </w:tcPr>
          <w:p w14:paraId="30DCAF16" w14:textId="6DAB3865"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10%</w:t>
            </w:r>
            <w:r w:rsidRPr="003B59F3">
              <w:rPr>
                <w:sz w:val="18"/>
                <w:szCs w:val="18"/>
              </w:rPr>
              <w:br/>
            </w:r>
            <w:r w:rsidRPr="003B59F3">
              <w:rPr>
                <w:rFonts w:eastAsia="Arial"/>
                <w:color w:val="000000"/>
                <w:sz w:val="18"/>
                <w:szCs w:val="18"/>
              </w:rPr>
              <w:t>(</w:t>
            </w:r>
            <w:r>
              <w:rPr>
                <w:rFonts w:eastAsia="Arial"/>
                <w:color w:val="000000"/>
                <w:sz w:val="18"/>
                <w:szCs w:val="18"/>
              </w:rPr>
              <w:t>-</w:t>
            </w:r>
            <w:r w:rsidRPr="003B59F3">
              <w:rPr>
                <w:rFonts w:eastAsia="Arial"/>
                <w:color w:val="000000"/>
                <w:sz w:val="18"/>
                <w:szCs w:val="18"/>
              </w:rPr>
              <w:t>1%, 22%)</w:t>
            </w:r>
          </w:p>
        </w:tc>
        <w:tc>
          <w:tcPr>
            <w:tcW w:w="1197" w:type="dxa"/>
            <w:tcBorders>
              <w:top w:val="single" w:sz="6" w:space="0" w:color="00B2A9" w:themeColor="accent1"/>
              <w:bottom w:val="single" w:sz="6" w:space="0" w:color="00B2A9" w:themeColor="accent1"/>
            </w:tcBorders>
            <w:shd w:val="clear" w:color="auto" w:fill="FFFFFF" w:themeFill="background1"/>
            <w:vAlign w:val="center"/>
          </w:tcPr>
          <w:p w14:paraId="1D359A90" w14:textId="52372464" w:rsidR="00491210" w:rsidRPr="003B59F3" w:rsidRDefault="00EE200C" w:rsidP="006A17E1">
            <w:pPr>
              <w:spacing w:before="100" w:after="100"/>
              <w:ind w:left="100" w:right="100"/>
              <w:jc w:val="center"/>
              <w:rPr>
                <w:rFonts w:eastAsia="Arial"/>
                <w:color w:val="000000"/>
                <w:sz w:val="18"/>
                <w:szCs w:val="18"/>
              </w:rPr>
            </w:pPr>
            <w:r w:rsidRPr="003B59F3">
              <w:rPr>
                <w:rFonts w:eastAsia="Arial"/>
                <w:color w:val="000000"/>
                <w:sz w:val="18"/>
                <w:szCs w:val="18"/>
              </w:rPr>
              <w:t>56%</w:t>
            </w:r>
            <w:r w:rsidRPr="003B59F3">
              <w:rPr>
                <w:sz w:val="18"/>
                <w:szCs w:val="18"/>
              </w:rPr>
              <w:br/>
            </w:r>
            <w:r w:rsidRPr="003B59F3">
              <w:rPr>
                <w:rFonts w:eastAsia="Arial"/>
                <w:color w:val="000000"/>
                <w:sz w:val="18"/>
                <w:szCs w:val="18"/>
              </w:rPr>
              <w:t>(33%, 89%)</w:t>
            </w:r>
          </w:p>
        </w:tc>
      </w:tr>
    </w:tbl>
    <w:p w14:paraId="7F936671" w14:textId="3D810C9C" w:rsidR="00491210" w:rsidRDefault="00EE200C">
      <w:pPr>
        <w:spacing w:after="0"/>
        <w:rPr>
          <w:rFonts w:eastAsia="Calibri"/>
          <w:color w:val="000000"/>
          <w:sz w:val="22"/>
          <w:szCs w:val="22"/>
        </w:rPr>
      </w:pPr>
      <w:r>
        <w:rPr>
          <w:rFonts w:eastAsia="Calibri"/>
          <w:color w:val="000000"/>
          <w:sz w:val="22"/>
          <w:szCs w:val="22"/>
        </w:rPr>
        <w:br w:type="page"/>
      </w:r>
    </w:p>
    <w:p w14:paraId="1854B4EB" w14:textId="13EDF6D6" w:rsidR="00491210" w:rsidRPr="007C54A1" w:rsidRDefault="00EE200C" w:rsidP="00D54D9E">
      <w:pPr>
        <w:pStyle w:val="Heading1-Numbered"/>
      </w:pPr>
      <w:bookmarkStart w:id="211" w:name="_Toc90388572"/>
      <w:bookmarkStart w:id="212" w:name="_Toc116994905"/>
      <w:r>
        <w:lastRenderedPageBreak/>
        <w:t>Discussion</w:t>
      </w:r>
      <w:bookmarkEnd w:id="211"/>
      <w:bookmarkEnd w:id="212"/>
    </w:p>
    <w:p w14:paraId="76586400" w14:textId="193B0E6E" w:rsidR="00491210" w:rsidRDefault="00EE200C" w:rsidP="4F8AEDB5">
      <w:pPr>
        <w:spacing w:before="240" w:after="240"/>
        <w:jc w:val="both"/>
        <w:rPr>
          <w:rFonts w:eastAsia="Arial"/>
          <w:color w:val="000000"/>
          <w:sz w:val="22"/>
          <w:szCs w:val="22"/>
        </w:rPr>
      </w:pPr>
      <w:r w:rsidRPr="3FC79A6E">
        <w:rPr>
          <w:rFonts w:eastAsia="Arial"/>
          <w:color w:val="000000"/>
          <w:sz w:val="22"/>
          <w:szCs w:val="22"/>
        </w:rPr>
        <w:t xml:space="preserve">The RRCP program </w:t>
      </w:r>
      <w:r>
        <w:rPr>
          <w:rFonts w:eastAsia="Arial"/>
          <w:color w:val="000000"/>
          <w:sz w:val="22"/>
          <w:szCs w:val="22"/>
        </w:rPr>
        <w:t>aims</w:t>
      </w:r>
      <w:r w:rsidRPr="3FC79A6E">
        <w:rPr>
          <w:rFonts w:eastAsia="Arial"/>
          <w:color w:val="000000"/>
          <w:sz w:val="22"/>
          <w:szCs w:val="22"/>
        </w:rPr>
        <w:t xml:space="preserve"> to balance economic, social, cultural and environmental outcomes to determine how best </w:t>
      </w:r>
      <w:r>
        <w:rPr>
          <w:rFonts w:eastAsia="Arial"/>
          <w:color w:val="000000"/>
          <w:sz w:val="22"/>
          <w:szCs w:val="22"/>
        </w:rPr>
        <w:t xml:space="preserve">to </w:t>
      </w:r>
      <w:r w:rsidRPr="3FC79A6E">
        <w:rPr>
          <w:rFonts w:eastAsia="Arial"/>
          <w:color w:val="000000"/>
          <w:sz w:val="22"/>
          <w:szCs w:val="22"/>
        </w:rPr>
        <w:t>mitigate the effects of current constraints on the flow</w:t>
      </w:r>
      <w:r>
        <w:rPr>
          <w:rFonts w:eastAsia="Arial"/>
          <w:color w:val="000000"/>
          <w:sz w:val="22"/>
          <w:szCs w:val="22"/>
        </w:rPr>
        <w:t>s</w:t>
      </w:r>
      <w:r w:rsidRPr="3FC79A6E">
        <w:rPr>
          <w:rFonts w:eastAsia="Arial"/>
          <w:color w:val="000000"/>
          <w:sz w:val="22"/>
          <w:szCs w:val="22"/>
        </w:rPr>
        <w:t xml:space="preserve"> of river systems to manage and support healthy, productive waterways. One of the key inputs to help inform this decision-making process is knowledge obtained from comprehensive monitoring and research programs. In this project, stochastic population models were used to predict native fish population responses to a suite of potential future hydrological scenarios under the RRCP program. These models have drawn on &gt;120</w:t>
      </w:r>
      <w:r>
        <w:rPr>
          <w:rFonts w:eastAsia="Arial"/>
          <w:color w:val="000000"/>
          <w:sz w:val="22"/>
          <w:szCs w:val="22"/>
        </w:rPr>
        <w:t> </w:t>
      </w:r>
      <w:r w:rsidRPr="3FC79A6E">
        <w:rPr>
          <w:rFonts w:eastAsia="Arial"/>
          <w:color w:val="000000"/>
          <w:sz w:val="22"/>
          <w:szCs w:val="22"/>
        </w:rPr>
        <w:t xml:space="preserve">years of modelled hydrological data </w:t>
      </w:r>
      <w:r>
        <w:rPr>
          <w:rFonts w:eastAsia="Arial"/>
          <w:color w:val="000000"/>
          <w:sz w:val="22"/>
          <w:szCs w:val="22"/>
        </w:rPr>
        <w:t>for</w:t>
      </w:r>
      <w:r w:rsidRPr="3FC79A6E">
        <w:rPr>
          <w:rFonts w:eastAsia="Arial"/>
          <w:color w:val="000000"/>
          <w:sz w:val="22"/>
          <w:szCs w:val="22"/>
        </w:rPr>
        <w:t xml:space="preserve"> the </w:t>
      </w:r>
      <w:r>
        <w:rPr>
          <w:rFonts w:eastAsia="Arial"/>
          <w:color w:val="000000"/>
          <w:sz w:val="22"/>
          <w:szCs w:val="22"/>
        </w:rPr>
        <w:t>S</w:t>
      </w:r>
      <w:r w:rsidRPr="3FC79A6E">
        <w:rPr>
          <w:rFonts w:eastAsia="Arial"/>
          <w:color w:val="000000"/>
          <w:sz w:val="22"/>
          <w:szCs w:val="22"/>
        </w:rPr>
        <w:t xml:space="preserve">outhern </w:t>
      </w:r>
      <w:r>
        <w:rPr>
          <w:rFonts w:eastAsia="Arial"/>
          <w:color w:val="000000"/>
          <w:sz w:val="22"/>
          <w:szCs w:val="22"/>
        </w:rPr>
        <w:t>MDB</w:t>
      </w:r>
      <w:r w:rsidRPr="3FC79A6E">
        <w:rPr>
          <w:rFonts w:eastAsia="Arial"/>
          <w:color w:val="000000"/>
          <w:sz w:val="22"/>
          <w:szCs w:val="22"/>
        </w:rPr>
        <w:t xml:space="preserve"> and are based on the latest scientific knowledge </w:t>
      </w:r>
      <w:r>
        <w:rPr>
          <w:rFonts w:eastAsia="Arial"/>
          <w:color w:val="000000"/>
          <w:sz w:val="22"/>
          <w:szCs w:val="22"/>
        </w:rPr>
        <w:t>about</w:t>
      </w:r>
      <w:r w:rsidRPr="3FC79A6E">
        <w:rPr>
          <w:rFonts w:eastAsia="Arial"/>
          <w:color w:val="000000"/>
          <w:sz w:val="22"/>
          <w:szCs w:val="22"/>
        </w:rPr>
        <w:t xml:space="preserve"> the focal species and their likely population responses to changes in hydrology. The models have proven to be an important tool to assist managers in decision</w:t>
      </w:r>
      <w:r>
        <w:rPr>
          <w:rFonts w:eastAsia="Arial"/>
          <w:color w:val="000000"/>
          <w:sz w:val="22"/>
          <w:szCs w:val="22"/>
        </w:rPr>
        <w:t>-</w:t>
      </w:r>
      <w:r w:rsidRPr="3FC79A6E">
        <w:rPr>
          <w:rFonts w:eastAsia="Arial"/>
          <w:color w:val="000000"/>
          <w:sz w:val="22"/>
          <w:szCs w:val="22"/>
        </w:rPr>
        <w:t xml:space="preserve">making </w:t>
      </w:r>
      <w:r>
        <w:rPr>
          <w:rFonts w:eastAsia="Arial"/>
          <w:color w:val="000000"/>
          <w:sz w:val="22"/>
          <w:szCs w:val="22"/>
        </w:rPr>
        <w:t>with respect to</w:t>
      </w:r>
      <w:r w:rsidRPr="3FC79A6E">
        <w:rPr>
          <w:rFonts w:eastAsia="Arial"/>
          <w:color w:val="000000"/>
          <w:sz w:val="22"/>
          <w:szCs w:val="22"/>
        </w:rPr>
        <w:t xml:space="preserve"> environmental water management.</w:t>
      </w:r>
    </w:p>
    <w:p w14:paraId="4E6CF2D2" w14:textId="77777777" w:rsidR="00491210" w:rsidRPr="00234FAB" w:rsidRDefault="00EE200C" w:rsidP="005F1F7F">
      <w:pPr>
        <w:pStyle w:val="Heading3"/>
      </w:pPr>
      <w:bookmarkStart w:id="213" w:name="_Toc116994906"/>
      <w:r w:rsidRPr="4D1BBAA5">
        <w:t>Key findings</w:t>
      </w:r>
      <w:bookmarkEnd w:id="213"/>
    </w:p>
    <w:p w14:paraId="540E8851" w14:textId="18C2889B" w:rsidR="00491210" w:rsidRPr="00292F68" w:rsidRDefault="00EE200C" w:rsidP="00292F68">
      <w:pPr>
        <w:spacing w:before="240" w:after="240"/>
        <w:jc w:val="both"/>
        <w:rPr>
          <w:rFonts w:eastAsia="Arial"/>
          <w:color w:val="000000"/>
          <w:sz w:val="22"/>
          <w:szCs w:val="22"/>
        </w:rPr>
      </w:pPr>
      <w:r w:rsidRPr="00292F68">
        <w:rPr>
          <w:rFonts w:eastAsia="Arial"/>
          <w:color w:val="000000"/>
          <w:sz w:val="22"/>
          <w:szCs w:val="22"/>
        </w:rPr>
        <w:t xml:space="preserve">Overall, the model outputs predict Golden </w:t>
      </w:r>
      <w:r>
        <w:rPr>
          <w:rFonts w:eastAsia="Arial"/>
          <w:color w:val="000000"/>
          <w:sz w:val="22"/>
          <w:szCs w:val="22"/>
        </w:rPr>
        <w:t>P</w:t>
      </w:r>
      <w:r w:rsidRPr="00292F68">
        <w:rPr>
          <w:rFonts w:eastAsia="Arial"/>
          <w:color w:val="000000"/>
          <w:sz w:val="22"/>
          <w:szCs w:val="22"/>
        </w:rPr>
        <w:t>erch populations to exhibit improvements under several RRCP hydrological scenarios. The best outcomes for native fish from the scenarios tested w</w:t>
      </w:r>
      <w:r>
        <w:rPr>
          <w:rFonts w:eastAsia="Arial"/>
          <w:color w:val="000000"/>
          <w:sz w:val="22"/>
          <w:szCs w:val="22"/>
        </w:rPr>
        <w:t>ere found</w:t>
      </w:r>
      <w:r w:rsidRPr="00292F68">
        <w:rPr>
          <w:rFonts w:eastAsia="Arial"/>
          <w:color w:val="000000"/>
          <w:sz w:val="22"/>
          <w:szCs w:val="22"/>
        </w:rPr>
        <w:t xml:space="preserve"> to occur under the highest discharge option (</w:t>
      </w:r>
      <w:r>
        <w:rPr>
          <w:rFonts w:eastAsia="Arial"/>
          <w:color w:val="000000"/>
          <w:sz w:val="22"/>
          <w:szCs w:val="22"/>
        </w:rPr>
        <w:t>i.e.</w:t>
      </w:r>
      <w:r w:rsidRPr="00292F68">
        <w:rPr>
          <w:rFonts w:eastAsia="Arial"/>
          <w:color w:val="000000"/>
          <w:sz w:val="22"/>
          <w:szCs w:val="22"/>
        </w:rPr>
        <w:t xml:space="preserve"> Option 4; 45,000</w:t>
      </w:r>
      <w:r>
        <w:rPr>
          <w:rFonts w:eastAsia="Arial"/>
          <w:color w:val="000000"/>
          <w:sz w:val="22"/>
          <w:szCs w:val="22"/>
        </w:rPr>
        <w:t> </w:t>
      </w:r>
      <w:r w:rsidRPr="00292F68">
        <w:rPr>
          <w:rFonts w:eastAsia="Arial"/>
          <w:color w:val="000000"/>
          <w:sz w:val="22"/>
          <w:szCs w:val="22"/>
        </w:rPr>
        <w:t>ML</w:t>
      </w:r>
      <w:r>
        <w:rPr>
          <w:rFonts w:eastAsia="Arial"/>
          <w:color w:val="000000"/>
          <w:sz w:val="22"/>
          <w:szCs w:val="22"/>
        </w:rPr>
        <w:t> </w:t>
      </w:r>
      <w:r w:rsidRPr="00292F68">
        <w:rPr>
          <w:rFonts w:eastAsia="Arial"/>
          <w:color w:val="000000"/>
          <w:sz w:val="22"/>
          <w:szCs w:val="22"/>
        </w:rPr>
        <w:t>day</w:t>
      </w:r>
      <w:r>
        <w:rPr>
          <w:rFonts w:eastAsia="Arial"/>
          <w:color w:val="000000"/>
          <w:sz w:val="22"/>
          <w:szCs w:val="22"/>
          <w:vertAlign w:val="superscript"/>
        </w:rPr>
        <w:t>–1</w:t>
      </w:r>
      <w:r w:rsidRPr="00292F68">
        <w:rPr>
          <w:rFonts w:eastAsia="Arial"/>
          <w:color w:val="000000"/>
          <w:sz w:val="22"/>
          <w:szCs w:val="22"/>
        </w:rPr>
        <w:t xml:space="preserve"> flow limit at </w:t>
      </w:r>
      <w:r>
        <w:rPr>
          <w:rFonts w:eastAsia="Arial"/>
          <w:color w:val="000000"/>
          <w:sz w:val="22"/>
          <w:szCs w:val="22"/>
        </w:rPr>
        <w:t xml:space="preserve">the </w:t>
      </w:r>
      <w:r w:rsidRPr="00292F68">
        <w:rPr>
          <w:rFonts w:eastAsia="Arial"/>
          <w:color w:val="000000"/>
          <w:sz w:val="22"/>
          <w:szCs w:val="22"/>
        </w:rPr>
        <w:t>Yarrawonga weir). Under th</w:t>
      </w:r>
      <w:r>
        <w:rPr>
          <w:rFonts w:eastAsia="Arial"/>
          <w:color w:val="000000"/>
          <w:sz w:val="22"/>
          <w:szCs w:val="22"/>
        </w:rPr>
        <w:t>at</w:t>
      </w:r>
      <w:r w:rsidRPr="00292F68">
        <w:rPr>
          <w:rFonts w:eastAsia="Arial"/>
          <w:color w:val="000000"/>
          <w:sz w:val="22"/>
          <w:szCs w:val="22"/>
        </w:rPr>
        <w:t xml:space="preserve"> flow scenario, the model predicted an average increase of 30% </w:t>
      </w:r>
      <w:r>
        <w:rPr>
          <w:rFonts w:eastAsia="Arial"/>
          <w:color w:val="000000"/>
          <w:sz w:val="22"/>
          <w:szCs w:val="22"/>
        </w:rPr>
        <w:t>in</w:t>
      </w:r>
      <w:r w:rsidRPr="00292F68">
        <w:rPr>
          <w:rFonts w:eastAsia="Arial"/>
          <w:color w:val="000000"/>
          <w:sz w:val="22"/>
          <w:szCs w:val="22"/>
        </w:rPr>
        <w:t xml:space="preserve"> the mean Golden Perch population size totalled across all RRCP sites. There were even greater </w:t>
      </w:r>
      <w:r>
        <w:rPr>
          <w:rFonts w:eastAsia="Arial"/>
          <w:color w:val="000000"/>
          <w:sz w:val="22"/>
          <w:szCs w:val="22"/>
        </w:rPr>
        <w:t xml:space="preserve">predicted </w:t>
      </w:r>
      <w:r w:rsidRPr="00292F68">
        <w:rPr>
          <w:rFonts w:eastAsia="Arial"/>
          <w:color w:val="000000"/>
          <w:sz w:val="22"/>
          <w:szCs w:val="22"/>
        </w:rPr>
        <w:t>benefits at regional scales (</w:t>
      </w:r>
      <w:r>
        <w:rPr>
          <w:rFonts w:eastAsia="Arial"/>
          <w:color w:val="000000"/>
          <w:sz w:val="22"/>
          <w:szCs w:val="22"/>
        </w:rPr>
        <w:t>e.g.</w:t>
      </w:r>
      <w:r w:rsidRPr="00292F68">
        <w:rPr>
          <w:rFonts w:eastAsia="Arial"/>
          <w:color w:val="000000"/>
          <w:sz w:val="22"/>
          <w:szCs w:val="22"/>
        </w:rPr>
        <w:t xml:space="preserve"> 39% increase in the expected mean population size for the river reaches Yarrawonga to Torrumbarry and Hume to Yarrawonga</w:t>
      </w:r>
      <w:r>
        <w:rPr>
          <w:rFonts w:eastAsia="Arial"/>
          <w:color w:val="000000"/>
          <w:sz w:val="22"/>
          <w:szCs w:val="22"/>
        </w:rPr>
        <w:t>,</w:t>
      </w:r>
      <w:r w:rsidRPr="00292F68">
        <w:rPr>
          <w:rFonts w:eastAsia="Arial"/>
          <w:color w:val="000000"/>
          <w:sz w:val="22"/>
          <w:szCs w:val="22"/>
        </w:rPr>
        <w:t xml:space="preserve"> and 49% increase </w:t>
      </w:r>
      <w:r>
        <w:rPr>
          <w:rFonts w:eastAsia="Arial"/>
          <w:color w:val="000000"/>
          <w:sz w:val="22"/>
          <w:szCs w:val="22"/>
        </w:rPr>
        <w:t>for</w:t>
      </w:r>
      <w:r w:rsidRPr="00292F68">
        <w:rPr>
          <w:rFonts w:eastAsia="Arial"/>
          <w:color w:val="000000"/>
          <w:sz w:val="22"/>
          <w:szCs w:val="22"/>
        </w:rPr>
        <w:t xml:space="preserve"> the Lower Murray</w:t>
      </w:r>
      <w:r>
        <w:rPr>
          <w:rFonts w:eastAsia="Arial"/>
          <w:color w:val="000000"/>
          <w:sz w:val="22"/>
          <w:szCs w:val="22"/>
        </w:rPr>
        <w:t xml:space="preserve"> (</w:t>
      </w:r>
      <w:r w:rsidRPr="00292F68">
        <w:rPr>
          <w:rFonts w:eastAsia="Arial"/>
          <w:color w:val="000000"/>
          <w:sz w:val="22"/>
          <w:szCs w:val="22"/>
        </w:rPr>
        <w:t>below</w:t>
      </w:r>
      <w:r>
        <w:rPr>
          <w:rFonts w:eastAsia="Arial"/>
          <w:color w:val="000000"/>
          <w:sz w:val="22"/>
          <w:szCs w:val="22"/>
        </w:rPr>
        <w:t xml:space="preserve"> </w:t>
      </w:r>
      <w:r w:rsidRPr="00292F68">
        <w:rPr>
          <w:rFonts w:eastAsia="Arial"/>
          <w:color w:val="000000"/>
          <w:sz w:val="22"/>
          <w:szCs w:val="22"/>
        </w:rPr>
        <w:t>Wentworth)</w:t>
      </w:r>
      <w:r>
        <w:rPr>
          <w:rFonts w:eastAsia="Arial"/>
          <w:color w:val="000000"/>
          <w:sz w:val="22"/>
          <w:szCs w:val="22"/>
        </w:rPr>
        <w:t xml:space="preserve"> reach</w:t>
      </w:r>
      <w:r w:rsidRPr="00292F68">
        <w:rPr>
          <w:rFonts w:eastAsia="Arial"/>
          <w:color w:val="000000"/>
          <w:sz w:val="22"/>
          <w:szCs w:val="22"/>
        </w:rPr>
        <w:t xml:space="preserve">. These results appear </w:t>
      </w:r>
      <w:r>
        <w:rPr>
          <w:rFonts w:eastAsia="Arial"/>
          <w:color w:val="000000"/>
          <w:sz w:val="22"/>
          <w:szCs w:val="22"/>
        </w:rPr>
        <w:t xml:space="preserve">to be </w:t>
      </w:r>
      <w:r w:rsidRPr="00292F68">
        <w:rPr>
          <w:rFonts w:eastAsia="Arial"/>
          <w:color w:val="000000"/>
          <w:sz w:val="22"/>
          <w:szCs w:val="22"/>
        </w:rPr>
        <w:t>robust</w:t>
      </w:r>
      <w:r>
        <w:rPr>
          <w:rFonts w:eastAsia="Arial"/>
          <w:color w:val="000000"/>
          <w:sz w:val="22"/>
          <w:szCs w:val="22"/>
        </w:rPr>
        <w:t>,</w:t>
      </w:r>
      <w:r w:rsidRPr="00292F68">
        <w:rPr>
          <w:rFonts w:eastAsia="Arial"/>
          <w:color w:val="000000"/>
          <w:sz w:val="22"/>
          <w:szCs w:val="22"/>
        </w:rPr>
        <w:t xml:space="preserve"> as similar results were demonstrated through</w:t>
      </w:r>
      <w:r>
        <w:rPr>
          <w:rFonts w:eastAsia="Arial"/>
          <w:color w:val="000000"/>
          <w:sz w:val="22"/>
          <w:szCs w:val="22"/>
        </w:rPr>
        <w:t>out</w:t>
      </w:r>
      <w:r w:rsidRPr="00292F68">
        <w:rPr>
          <w:rFonts w:eastAsia="Arial"/>
          <w:color w:val="000000"/>
          <w:sz w:val="22"/>
          <w:szCs w:val="22"/>
        </w:rPr>
        <w:t xml:space="preserve"> the numerous sensitivity analyses performed </w:t>
      </w:r>
      <w:r>
        <w:rPr>
          <w:rFonts w:eastAsia="Arial"/>
          <w:color w:val="000000"/>
          <w:sz w:val="22"/>
          <w:szCs w:val="22"/>
        </w:rPr>
        <w:t>under</w:t>
      </w:r>
      <w:r w:rsidRPr="00292F68">
        <w:rPr>
          <w:rFonts w:eastAsia="Arial"/>
          <w:color w:val="000000"/>
          <w:sz w:val="22"/>
          <w:szCs w:val="22"/>
        </w:rPr>
        <w:t xml:space="preserve"> a range of alternative model settings. </w:t>
      </w:r>
      <w:r>
        <w:rPr>
          <w:rFonts w:eastAsia="Arial"/>
          <w:color w:val="000000"/>
          <w:sz w:val="22"/>
          <w:szCs w:val="22"/>
        </w:rPr>
        <w:t>Managed f</w:t>
      </w:r>
      <w:r w:rsidRPr="00292F68">
        <w:rPr>
          <w:rFonts w:eastAsia="Arial"/>
          <w:color w:val="000000"/>
          <w:sz w:val="22"/>
          <w:szCs w:val="22"/>
        </w:rPr>
        <w:t xml:space="preserve">lows </w:t>
      </w:r>
      <w:r>
        <w:rPr>
          <w:rFonts w:eastAsia="Arial"/>
          <w:color w:val="000000"/>
          <w:sz w:val="22"/>
          <w:szCs w:val="22"/>
        </w:rPr>
        <w:t>great</w:t>
      </w:r>
      <w:r w:rsidRPr="00292F68">
        <w:rPr>
          <w:rFonts w:eastAsia="Arial"/>
          <w:color w:val="000000"/>
          <w:sz w:val="22"/>
          <w:szCs w:val="22"/>
        </w:rPr>
        <w:t>er than 45,000</w:t>
      </w:r>
      <w:r>
        <w:rPr>
          <w:rFonts w:eastAsia="Arial"/>
          <w:color w:val="000000"/>
          <w:sz w:val="22"/>
          <w:szCs w:val="22"/>
        </w:rPr>
        <w:t> </w:t>
      </w:r>
      <w:r w:rsidRPr="00292F68">
        <w:rPr>
          <w:rFonts w:eastAsia="Arial"/>
          <w:color w:val="000000"/>
          <w:sz w:val="22"/>
          <w:szCs w:val="22"/>
        </w:rPr>
        <w:t>ML</w:t>
      </w:r>
      <w:r>
        <w:rPr>
          <w:rFonts w:eastAsia="Arial"/>
          <w:color w:val="000000"/>
          <w:sz w:val="22"/>
          <w:szCs w:val="22"/>
        </w:rPr>
        <w:t> </w:t>
      </w:r>
      <w:r w:rsidRPr="00292F68">
        <w:rPr>
          <w:rFonts w:eastAsia="Arial"/>
          <w:color w:val="000000"/>
          <w:sz w:val="22"/>
          <w:szCs w:val="22"/>
        </w:rPr>
        <w:t>day</w:t>
      </w:r>
      <w:r>
        <w:rPr>
          <w:rFonts w:eastAsia="Arial"/>
          <w:color w:val="000000"/>
          <w:sz w:val="22"/>
          <w:szCs w:val="22"/>
          <w:vertAlign w:val="superscript"/>
        </w:rPr>
        <w:t>–1</w:t>
      </w:r>
      <w:r w:rsidRPr="00292F68">
        <w:rPr>
          <w:rFonts w:eastAsia="Arial"/>
          <w:color w:val="000000"/>
          <w:sz w:val="22"/>
          <w:szCs w:val="22"/>
        </w:rPr>
        <w:t xml:space="preserve"> </w:t>
      </w:r>
      <w:r w:rsidRPr="00FE31F3">
        <w:rPr>
          <w:rFonts w:eastAsia="Arial"/>
          <w:color w:val="000000"/>
          <w:sz w:val="22"/>
          <w:szCs w:val="22"/>
        </w:rPr>
        <w:t>(the highest proposed flow limit at Yarrawonga)</w:t>
      </w:r>
      <w:r w:rsidRPr="00292F68">
        <w:rPr>
          <w:rFonts w:eastAsia="Arial"/>
          <w:color w:val="000000"/>
          <w:sz w:val="22"/>
          <w:szCs w:val="22"/>
        </w:rPr>
        <w:t xml:space="preserve"> were not examined under the present program</w:t>
      </w:r>
      <w:r w:rsidRPr="001E2B32">
        <w:rPr>
          <w:rFonts w:eastAsia="Arial"/>
          <w:color w:val="000000"/>
          <w:sz w:val="22"/>
          <w:szCs w:val="22"/>
        </w:rPr>
        <w:t xml:space="preserve"> </w:t>
      </w:r>
      <w:r>
        <w:rPr>
          <w:rFonts w:eastAsia="Arial"/>
          <w:color w:val="000000"/>
          <w:sz w:val="22"/>
          <w:szCs w:val="22"/>
        </w:rPr>
        <w:t>and such flows</w:t>
      </w:r>
      <w:r w:rsidRPr="00292F68">
        <w:rPr>
          <w:rFonts w:eastAsia="Arial"/>
          <w:color w:val="000000"/>
          <w:sz w:val="22"/>
          <w:szCs w:val="22"/>
        </w:rPr>
        <w:t xml:space="preserve"> may have </w:t>
      </w:r>
      <w:r>
        <w:rPr>
          <w:rFonts w:eastAsia="Arial"/>
          <w:color w:val="000000"/>
          <w:sz w:val="22"/>
          <w:szCs w:val="22"/>
        </w:rPr>
        <w:t xml:space="preserve">even </w:t>
      </w:r>
      <w:r w:rsidRPr="00292F68">
        <w:rPr>
          <w:rFonts w:eastAsia="Arial"/>
          <w:color w:val="000000"/>
          <w:sz w:val="22"/>
          <w:szCs w:val="22"/>
        </w:rPr>
        <w:t>greater benefits for native fishes</w:t>
      </w:r>
      <w:r>
        <w:rPr>
          <w:rFonts w:eastAsia="Arial"/>
          <w:color w:val="000000"/>
          <w:sz w:val="22"/>
          <w:szCs w:val="22"/>
        </w:rPr>
        <w:t>. It is also worth noting that w</w:t>
      </w:r>
      <w:r w:rsidRPr="001E2B32">
        <w:rPr>
          <w:rFonts w:eastAsia="Arial"/>
          <w:color w:val="000000"/>
          <w:sz w:val="22"/>
          <w:szCs w:val="22"/>
        </w:rPr>
        <w:t>ithout-development flow scenarios that represent river flows in the absence of dams, weirs and extraction for consumptive use</w:t>
      </w:r>
      <w:r>
        <w:rPr>
          <w:rFonts w:eastAsia="Arial"/>
          <w:color w:val="000000"/>
          <w:sz w:val="22"/>
          <w:szCs w:val="22"/>
        </w:rPr>
        <w:t>, were also not examined under the present program</w:t>
      </w:r>
      <w:r w:rsidRPr="00292F68">
        <w:rPr>
          <w:rFonts w:eastAsia="Arial"/>
          <w:color w:val="000000"/>
          <w:sz w:val="22"/>
          <w:szCs w:val="22"/>
        </w:rPr>
        <w:t>.</w:t>
      </w:r>
    </w:p>
    <w:p w14:paraId="5D553575" w14:textId="4065919B" w:rsidR="00491210" w:rsidRPr="009307AA" w:rsidRDefault="00EE200C" w:rsidP="05D19AF3">
      <w:pPr>
        <w:spacing w:before="240" w:after="240"/>
        <w:jc w:val="both"/>
        <w:rPr>
          <w:rFonts w:eastAsia="Arial"/>
          <w:color w:val="000000"/>
          <w:sz w:val="22"/>
          <w:szCs w:val="22"/>
        </w:rPr>
      </w:pPr>
      <w:r w:rsidRPr="00292F68">
        <w:rPr>
          <w:rFonts w:eastAsia="Arial"/>
          <w:color w:val="000000"/>
          <w:sz w:val="22"/>
          <w:szCs w:val="22"/>
        </w:rPr>
        <w:t xml:space="preserve">The likely benefits of RRCP flow scenarios </w:t>
      </w:r>
      <w:r>
        <w:rPr>
          <w:rFonts w:eastAsia="Arial"/>
          <w:color w:val="000000"/>
          <w:sz w:val="22"/>
          <w:szCs w:val="22"/>
        </w:rPr>
        <w:t>for</w:t>
      </w:r>
      <w:r w:rsidRPr="00292F68">
        <w:rPr>
          <w:rFonts w:eastAsia="Arial"/>
          <w:color w:val="000000"/>
          <w:sz w:val="22"/>
          <w:szCs w:val="22"/>
        </w:rPr>
        <w:t xml:space="preserve"> Golden Perch populations were evident for </w:t>
      </w:r>
      <w:r>
        <w:rPr>
          <w:rFonts w:eastAsia="Arial"/>
          <w:color w:val="000000"/>
          <w:sz w:val="22"/>
          <w:szCs w:val="22"/>
        </w:rPr>
        <w:t xml:space="preserve">both </w:t>
      </w:r>
      <w:r w:rsidRPr="00292F68">
        <w:rPr>
          <w:rFonts w:eastAsia="Arial"/>
          <w:color w:val="000000"/>
          <w:sz w:val="22"/>
          <w:szCs w:val="22"/>
        </w:rPr>
        <w:t>juveniles and adults</w:t>
      </w:r>
      <w:r>
        <w:rPr>
          <w:rFonts w:eastAsia="Arial"/>
          <w:color w:val="000000"/>
          <w:sz w:val="22"/>
          <w:szCs w:val="22"/>
        </w:rPr>
        <w:t>,</w:t>
      </w:r>
      <w:r w:rsidRPr="00292F68">
        <w:rPr>
          <w:rFonts w:eastAsia="Arial"/>
          <w:color w:val="000000"/>
          <w:sz w:val="22"/>
          <w:szCs w:val="22"/>
        </w:rPr>
        <w:t xml:space="preserve"> with the model capturing a strong source</w:t>
      </w:r>
      <w:r>
        <w:rPr>
          <w:rFonts w:eastAsia="Arial"/>
          <w:color w:val="000000"/>
          <w:sz w:val="22"/>
          <w:szCs w:val="22"/>
        </w:rPr>
        <w:t>–</w:t>
      </w:r>
      <w:r w:rsidRPr="00292F68">
        <w:rPr>
          <w:rFonts w:eastAsia="Arial"/>
          <w:color w:val="000000"/>
          <w:sz w:val="22"/>
          <w:szCs w:val="22"/>
        </w:rPr>
        <w:t xml:space="preserve">sink process occurring </w:t>
      </w:r>
      <w:r w:rsidRPr="009307AA">
        <w:rPr>
          <w:rFonts w:eastAsia="Arial"/>
          <w:color w:val="000000"/>
          <w:sz w:val="22"/>
          <w:szCs w:val="22"/>
        </w:rPr>
        <w:t xml:space="preserve">between reaches. The </w:t>
      </w:r>
      <w:r w:rsidRPr="00DC1AB1">
        <w:rPr>
          <w:rFonts w:eastAsia="Arial"/>
          <w:color w:val="000000"/>
          <w:sz w:val="22"/>
          <w:szCs w:val="22"/>
        </w:rPr>
        <w:t xml:space="preserve">Mid </w:t>
      </w:r>
      <w:r w:rsidRPr="009307AA">
        <w:rPr>
          <w:rFonts w:eastAsia="Arial"/>
          <w:color w:val="000000"/>
          <w:sz w:val="22"/>
          <w:szCs w:val="22"/>
        </w:rPr>
        <w:t xml:space="preserve">Murray (Yarrawonga to Torrumbarry), </w:t>
      </w:r>
      <w:r w:rsidRPr="00DC1AB1">
        <w:rPr>
          <w:rFonts w:eastAsia="Arial"/>
          <w:color w:val="000000"/>
          <w:sz w:val="22"/>
          <w:szCs w:val="22"/>
        </w:rPr>
        <w:t>the L</w:t>
      </w:r>
      <w:r w:rsidRPr="009307AA">
        <w:rPr>
          <w:rFonts w:eastAsia="Arial"/>
          <w:color w:val="000000"/>
          <w:sz w:val="22"/>
          <w:szCs w:val="22"/>
        </w:rPr>
        <w:t>ower Murray below Wentworth and the Lower Darling rivers were all sources, whereas the Murray River upstream of Torrumbarry Weir and the Edward River were sinks (Thiem et al. 2019). The sink areas relied on emigration of fish from downstream reaches to maintain Golden Perch populations, and the higher flow limit options appeared to provide enhanced movement cues for Golden Perch to undertake these upstream migrations. For example, a 40,000 ML day</w:t>
      </w:r>
      <w:r w:rsidRPr="00DC1AB1">
        <w:rPr>
          <w:rFonts w:eastAsia="Arial"/>
          <w:color w:val="000000"/>
          <w:sz w:val="22"/>
          <w:szCs w:val="22"/>
          <w:vertAlign w:val="superscript"/>
        </w:rPr>
        <w:t>–1</w:t>
      </w:r>
      <w:r w:rsidRPr="009307AA">
        <w:rPr>
          <w:rFonts w:eastAsia="Arial"/>
          <w:color w:val="000000"/>
          <w:sz w:val="22"/>
          <w:szCs w:val="22"/>
        </w:rPr>
        <w:t xml:space="preserve"> flow limit (at Doctors Point) was required to maintain Golden Perch movement into the Hume</w:t>
      </w:r>
      <w:r>
        <w:rPr>
          <w:rFonts w:eastAsia="Arial"/>
          <w:color w:val="000000"/>
          <w:sz w:val="22"/>
          <w:szCs w:val="22"/>
        </w:rPr>
        <w:t xml:space="preserve"> </w:t>
      </w:r>
      <w:r w:rsidRPr="009307AA">
        <w:rPr>
          <w:rFonts w:eastAsia="Arial"/>
          <w:color w:val="000000"/>
          <w:sz w:val="22"/>
          <w:szCs w:val="22"/>
        </w:rPr>
        <w:t>to</w:t>
      </w:r>
      <w:r>
        <w:rPr>
          <w:rFonts w:eastAsia="Arial"/>
          <w:color w:val="000000"/>
          <w:sz w:val="22"/>
          <w:szCs w:val="22"/>
        </w:rPr>
        <w:t xml:space="preserve"> </w:t>
      </w:r>
      <w:r w:rsidRPr="009307AA">
        <w:rPr>
          <w:rFonts w:eastAsia="Arial"/>
          <w:color w:val="000000"/>
          <w:sz w:val="22"/>
          <w:szCs w:val="22"/>
        </w:rPr>
        <w:t>Yarrawonga reach, though this was slightly less evident in the Edward River, where a 25,000–30,000 ML day</w:t>
      </w:r>
      <w:r w:rsidRPr="009307AA">
        <w:rPr>
          <w:rFonts w:eastAsia="Arial"/>
          <w:color w:val="000000"/>
          <w:sz w:val="22"/>
          <w:szCs w:val="22"/>
          <w:vertAlign w:val="superscript"/>
        </w:rPr>
        <w:t>–1</w:t>
      </w:r>
      <w:r w:rsidRPr="009307AA">
        <w:rPr>
          <w:rFonts w:eastAsia="Arial"/>
          <w:color w:val="000000"/>
          <w:sz w:val="22"/>
          <w:szCs w:val="22"/>
        </w:rPr>
        <w:t xml:space="preserve"> flow limit at Yarrawonga was sufficient to maintain immigration to the reach. For the Murrumbidgee River, the 40,000 ML day</w:t>
      </w:r>
      <w:r w:rsidRPr="00DC1AB1">
        <w:rPr>
          <w:rFonts w:eastAsia="Arial"/>
          <w:color w:val="000000"/>
          <w:sz w:val="22"/>
          <w:szCs w:val="22"/>
          <w:vertAlign w:val="superscript"/>
        </w:rPr>
        <w:t>–1</w:t>
      </w:r>
      <w:r w:rsidRPr="009307AA">
        <w:rPr>
          <w:rFonts w:eastAsia="Arial"/>
          <w:color w:val="000000"/>
          <w:sz w:val="22"/>
          <w:szCs w:val="22"/>
        </w:rPr>
        <w:t xml:space="preserve"> flow limit scenario provided slightly greater modelled emigration benefits than a 3</w:t>
      </w:r>
      <w:r>
        <w:rPr>
          <w:rFonts w:eastAsia="Arial"/>
          <w:color w:val="000000"/>
          <w:sz w:val="22"/>
          <w:szCs w:val="22"/>
        </w:rPr>
        <w:t>6</w:t>
      </w:r>
      <w:r w:rsidRPr="009307AA">
        <w:rPr>
          <w:rFonts w:eastAsia="Arial"/>
          <w:color w:val="000000"/>
          <w:sz w:val="22"/>
          <w:szCs w:val="22"/>
        </w:rPr>
        <w:t>,000 ML day</w:t>
      </w:r>
      <w:r w:rsidRPr="00DC1AB1">
        <w:rPr>
          <w:rFonts w:eastAsia="Arial"/>
          <w:color w:val="000000"/>
          <w:sz w:val="22"/>
          <w:szCs w:val="22"/>
          <w:vertAlign w:val="superscript"/>
        </w:rPr>
        <w:t>–1</w:t>
      </w:r>
      <w:r w:rsidRPr="009307AA">
        <w:rPr>
          <w:rFonts w:eastAsia="Arial"/>
          <w:color w:val="000000"/>
          <w:sz w:val="22"/>
          <w:szCs w:val="22"/>
        </w:rPr>
        <w:t xml:space="preserve"> limit. Hence, under the RRCP flow options, there were predicted improvements in both recruitment and fish movement that have historically been strongly degraded by river regulation.</w:t>
      </w:r>
      <w:r>
        <w:rPr>
          <w:rFonts w:eastAsia="Arial"/>
          <w:color w:val="000000"/>
          <w:sz w:val="22"/>
          <w:szCs w:val="22"/>
        </w:rPr>
        <w:t xml:space="preserve"> It should be noted that in the reach Gundagai to Hay </w:t>
      </w:r>
      <w:r w:rsidRPr="009307AA">
        <w:rPr>
          <w:rFonts w:eastAsia="Arial"/>
          <w:color w:val="000000"/>
          <w:sz w:val="22"/>
          <w:szCs w:val="22"/>
        </w:rPr>
        <w:t xml:space="preserve">greater modelled emigration benefits </w:t>
      </w:r>
      <w:r>
        <w:rPr>
          <w:rFonts w:eastAsia="Arial"/>
          <w:color w:val="000000"/>
          <w:sz w:val="22"/>
          <w:szCs w:val="22"/>
        </w:rPr>
        <w:t>came with</w:t>
      </w:r>
      <w:r w:rsidRPr="009307AA">
        <w:rPr>
          <w:rFonts w:eastAsia="Arial"/>
          <w:color w:val="000000"/>
          <w:sz w:val="22"/>
          <w:szCs w:val="22"/>
        </w:rPr>
        <w:t xml:space="preserve"> a 3</w:t>
      </w:r>
      <w:r>
        <w:rPr>
          <w:rFonts w:eastAsia="Arial"/>
          <w:color w:val="000000"/>
          <w:sz w:val="22"/>
          <w:szCs w:val="22"/>
        </w:rPr>
        <w:t>6</w:t>
      </w:r>
      <w:r w:rsidRPr="009307AA">
        <w:rPr>
          <w:rFonts w:eastAsia="Arial"/>
          <w:color w:val="000000"/>
          <w:sz w:val="22"/>
          <w:szCs w:val="22"/>
        </w:rPr>
        <w:t>,000 ML day</w:t>
      </w:r>
      <w:r w:rsidRPr="00DC1AB1">
        <w:rPr>
          <w:rFonts w:eastAsia="Arial"/>
          <w:color w:val="000000"/>
          <w:sz w:val="22"/>
          <w:szCs w:val="22"/>
          <w:vertAlign w:val="superscript"/>
        </w:rPr>
        <w:t>–1</w:t>
      </w:r>
      <w:r w:rsidRPr="009307AA">
        <w:rPr>
          <w:rFonts w:eastAsia="Arial"/>
          <w:color w:val="000000"/>
          <w:sz w:val="22"/>
          <w:szCs w:val="22"/>
        </w:rPr>
        <w:t xml:space="preserve"> limit</w:t>
      </w:r>
      <w:r>
        <w:rPr>
          <w:rFonts w:eastAsia="Arial"/>
          <w:color w:val="000000"/>
          <w:sz w:val="22"/>
          <w:szCs w:val="22"/>
        </w:rPr>
        <w:t>.</w:t>
      </w:r>
    </w:p>
    <w:p w14:paraId="68E7B08F" w14:textId="6FC613F9" w:rsidR="00491210" w:rsidRPr="009307AA" w:rsidRDefault="00EE200C" w:rsidP="4F8AEDB5">
      <w:pPr>
        <w:spacing w:before="240" w:after="240"/>
        <w:jc w:val="both"/>
        <w:rPr>
          <w:rFonts w:eastAsia="Arial"/>
          <w:color w:val="000000"/>
          <w:sz w:val="22"/>
          <w:szCs w:val="22"/>
        </w:rPr>
      </w:pPr>
      <w:r w:rsidRPr="009307AA">
        <w:rPr>
          <w:rFonts w:eastAsia="Arial"/>
          <w:color w:val="000000"/>
          <w:sz w:val="22"/>
          <w:szCs w:val="22"/>
        </w:rPr>
        <w:t xml:space="preserve">The models suggest that some spatial areas are highly influential in terms of the broader population dynamics of Golden Perch. The Lower Murray is clearly important, as is the </w:t>
      </w:r>
      <w:r>
        <w:rPr>
          <w:rFonts w:eastAsia="Arial"/>
          <w:color w:val="000000"/>
          <w:sz w:val="22"/>
          <w:szCs w:val="22"/>
        </w:rPr>
        <w:t xml:space="preserve">Lower </w:t>
      </w:r>
      <w:r w:rsidRPr="009307AA">
        <w:rPr>
          <w:rFonts w:eastAsia="Arial"/>
          <w:color w:val="000000"/>
          <w:sz w:val="22"/>
          <w:szCs w:val="22"/>
        </w:rPr>
        <w:t xml:space="preserve">Darling River and the </w:t>
      </w:r>
      <w:r>
        <w:rPr>
          <w:rFonts w:eastAsia="Arial"/>
          <w:color w:val="000000"/>
          <w:sz w:val="22"/>
          <w:szCs w:val="22"/>
        </w:rPr>
        <w:t xml:space="preserve">northern MDB </w:t>
      </w:r>
      <w:r w:rsidRPr="009307AA">
        <w:rPr>
          <w:rFonts w:eastAsia="Arial"/>
          <w:color w:val="000000"/>
          <w:sz w:val="22"/>
          <w:szCs w:val="22"/>
        </w:rPr>
        <w:t xml:space="preserve">Darling River (including Menindee Lakes), </w:t>
      </w:r>
      <w:r>
        <w:rPr>
          <w:rFonts w:eastAsia="Arial"/>
          <w:color w:val="000000"/>
          <w:sz w:val="22"/>
          <w:szCs w:val="22"/>
        </w:rPr>
        <w:t xml:space="preserve">modelled indirectly through the contribution of </w:t>
      </w:r>
      <w:r w:rsidRPr="009307AA">
        <w:rPr>
          <w:rFonts w:eastAsia="Arial"/>
          <w:color w:val="000000"/>
          <w:sz w:val="22"/>
          <w:szCs w:val="22"/>
        </w:rPr>
        <w:t>upwards of 1,000,000 juvenile fish during higher</w:t>
      </w:r>
      <w:r>
        <w:rPr>
          <w:rFonts w:eastAsia="Arial"/>
          <w:color w:val="000000"/>
          <w:sz w:val="22"/>
          <w:szCs w:val="22"/>
        </w:rPr>
        <w:t xml:space="preserve"> </w:t>
      </w:r>
      <w:r w:rsidRPr="009307AA">
        <w:rPr>
          <w:rFonts w:eastAsia="Arial"/>
          <w:color w:val="000000"/>
          <w:sz w:val="22"/>
          <w:szCs w:val="22"/>
        </w:rPr>
        <w:t>flow events. Another example of an influential spatial area is the Torrumbarry</w:t>
      </w:r>
      <w:r>
        <w:rPr>
          <w:rFonts w:eastAsia="Arial"/>
          <w:color w:val="000000"/>
          <w:sz w:val="22"/>
          <w:szCs w:val="22"/>
        </w:rPr>
        <w:t xml:space="preserve"> </w:t>
      </w:r>
      <w:r w:rsidRPr="009307AA">
        <w:rPr>
          <w:rFonts w:eastAsia="Arial"/>
          <w:color w:val="000000"/>
          <w:sz w:val="22"/>
          <w:szCs w:val="22"/>
        </w:rPr>
        <w:t>t</w:t>
      </w:r>
      <w:r>
        <w:rPr>
          <w:rFonts w:eastAsia="Arial"/>
          <w:color w:val="000000"/>
          <w:sz w:val="22"/>
          <w:szCs w:val="22"/>
        </w:rPr>
        <w:t xml:space="preserve">o </w:t>
      </w:r>
      <w:r w:rsidRPr="009307AA">
        <w:rPr>
          <w:rFonts w:eastAsia="Arial"/>
          <w:color w:val="000000"/>
          <w:sz w:val="22"/>
          <w:szCs w:val="22"/>
        </w:rPr>
        <w:t>Wentworth reach, which is a critical connection allowing Golden Perch to move freely</w:t>
      </w:r>
      <w:r>
        <w:rPr>
          <w:rFonts w:eastAsia="Arial"/>
          <w:color w:val="000000"/>
          <w:sz w:val="22"/>
          <w:szCs w:val="22"/>
        </w:rPr>
        <w:t xml:space="preserve"> </w:t>
      </w:r>
      <w:r w:rsidRPr="009307AA">
        <w:rPr>
          <w:rFonts w:eastAsia="Arial"/>
          <w:color w:val="000000"/>
          <w:sz w:val="22"/>
          <w:szCs w:val="22"/>
        </w:rPr>
        <w:t xml:space="preserve">throughout their range. This finding is supported by the empirical literature, which also suggests that certain areas of the MDB are particularly important as Golden Perch sources in some years (Sharpe 2011; Zampatti et al. 2018; 2021; Thiem et al. 2021). The </w:t>
      </w:r>
      <w:r w:rsidRPr="009307AA">
        <w:rPr>
          <w:rFonts w:eastAsia="Arial"/>
          <w:color w:val="000000"/>
          <w:sz w:val="22"/>
          <w:szCs w:val="22"/>
        </w:rPr>
        <w:lastRenderedPageBreak/>
        <w:t xml:space="preserve">known ecological responses to flows by Golden Perch (spawning, recruitment and movement; see Koehn et al. 2020) are consistent with these observations. For future management, model testing for a broader range of flow scenarios (including </w:t>
      </w:r>
      <w:r w:rsidRPr="003243CE">
        <w:rPr>
          <w:rFonts w:eastAsia="Arial"/>
          <w:color w:val="000000"/>
          <w:sz w:val="22"/>
          <w:szCs w:val="22"/>
        </w:rPr>
        <w:t>coordinated environmental flow releases from the Murray, Goulburn, Murrumbidgee and Lower Darling Rivers</w:t>
      </w:r>
      <w:r>
        <w:rPr>
          <w:rFonts w:eastAsia="Arial"/>
          <w:color w:val="000000"/>
          <w:sz w:val="22"/>
          <w:szCs w:val="22"/>
        </w:rPr>
        <w:t xml:space="preserve"> and </w:t>
      </w:r>
      <w:r w:rsidRPr="003243CE">
        <w:rPr>
          <w:rFonts w:eastAsia="Arial"/>
          <w:color w:val="000000"/>
          <w:sz w:val="22"/>
          <w:szCs w:val="22"/>
        </w:rPr>
        <w:t>testing removing/addressing barriers to fish movement</w:t>
      </w:r>
      <w:r w:rsidRPr="009307AA">
        <w:rPr>
          <w:rFonts w:eastAsia="Arial"/>
          <w:color w:val="000000"/>
          <w:sz w:val="22"/>
          <w:szCs w:val="22"/>
        </w:rPr>
        <w:t>) will likely reveal additional options for enhancing fish populations.</w:t>
      </w:r>
    </w:p>
    <w:p w14:paraId="1C45C1FA" w14:textId="7D0BB141" w:rsidR="00491210" w:rsidRPr="009307AA" w:rsidRDefault="00EE200C" w:rsidP="3FC79A6E">
      <w:pPr>
        <w:spacing w:before="240" w:after="240"/>
        <w:jc w:val="both"/>
        <w:rPr>
          <w:rFonts w:eastAsia="Arial"/>
          <w:color w:val="000000"/>
          <w:sz w:val="22"/>
          <w:szCs w:val="22"/>
        </w:rPr>
      </w:pPr>
      <w:r w:rsidRPr="009307AA">
        <w:rPr>
          <w:rFonts w:eastAsia="Arial"/>
          <w:color w:val="000000"/>
          <w:sz w:val="22"/>
          <w:szCs w:val="22"/>
        </w:rPr>
        <w:t>The model results show that the benefit of relaxing the flow constraints is predicted to be smaller for Murray Cod than for Golden Perch. This is likely because Murray Cod spawn and recruit in response to rising seasonal temperatures and flowing water hydraulic conditions, and there appears to be less reliance on major increases in river discharge (i.e. flooding) to cue these processes (Koehn and Harrington 2006; Stuart and Sharpe 2021): for example, Tonkin et al. (2021) found successful recruitment over a 20-year period in the Murray River, with only minor variation in recruitment between extreme flow conditions. The exception to this was in the Murrumbidgee River, where the models predicted increased survival of early life stages being associated with higher flow delivery. This aspect of the modelling likely requires refinement, as the early-life-stage survival rules were first developed for the Murray River and may be overestimated for the Murrumbidgee River. It is worth noting that the Edward-Wakool system of rivers and creeks was not modelled comprehensively—only the Edward River mainstem. There may be benefits from re</w:t>
      </w:r>
      <w:r>
        <w:rPr>
          <w:rFonts w:eastAsia="Arial"/>
          <w:color w:val="000000"/>
          <w:sz w:val="22"/>
          <w:szCs w:val="22"/>
        </w:rPr>
        <w:t>laxed</w:t>
      </w:r>
      <w:r w:rsidRPr="009307AA">
        <w:rPr>
          <w:rFonts w:eastAsia="Arial"/>
          <w:color w:val="000000"/>
          <w:sz w:val="22"/>
          <w:szCs w:val="22"/>
        </w:rPr>
        <w:t xml:space="preserve"> flow constraints for </w:t>
      </w:r>
      <w:r>
        <w:rPr>
          <w:rFonts w:eastAsia="Arial"/>
          <w:color w:val="000000"/>
          <w:sz w:val="22"/>
          <w:szCs w:val="22"/>
        </w:rPr>
        <w:t>Murray Cod</w:t>
      </w:r>
      <w:r w:rsidRPr="009307AA">
        <w:rPr>
          <w:rFonts w:eastAsia="Arial"/>
          <w:color w:val="000000"/>
          <w:sz w:val="22"/>
          <w:szCs w:val="22"/>
        </w:rPr>
        <w:t xml:space="preserve"> in smaller creeks and anabranches, where RRCP flow scenarios might provide more reliable winter–spring flows (currently, </w:t>
      </w:r>
      <w:r>
        <w:rPr>
          <w:rFonts w:eastAsia="Arial"/>
          <w:color w:val="000000"/>
          <w:sz w:val="22"/>
          <w:szCs w:val="22"/>
        </w:rPr>
        <w:t>Murray Cod</w:t>
      </w:r>
      <w:r w:rsidRPr="009307AA">
        <w:rPr>
          <w:rFonts w:eastAsia="Arial"/>
          <w:color w:val="000000"/>
          <w:sz w:val="22"/>
          <w:szCs w:val="22"/>
        </w:rPr>
        <w:t xml:space="preserve"> in creeks and anabranches may be affected by winter shut-downs in operational flows). Testing this hypothesis would require further modelling.</w:t>
      </w:r>
    </w:p>
    <w:p w14:paraId="38015B2C" w14:textId="56C6C8A5" w:rsidR="00491210" w:rsidRPr="009307AA" w:rsidRDefault="00EE200C" w:rsidP="00292F68">
      <w:pPr>
        <w:spacing w:before="240" w:after="240"/>
        <w:jc w:val="both"/>
        <w:rPr>
          <w:rFonts w:eastAsia="Arial"/>
          <w:color w:val="000000"/>
          <w:sz w:val="22"/>
          <w:szCs w:val="22"/>
        </w:rPr>
      </w:pPr>
      <w:r w:rsidRPr="009307AA">
        <w:rPr>
          <w:rFonts w:eastAsia="Arial"/>
          <w:color w:val="000000"/>
          <w:sz w:val="22"/>
          <w:szCs w:val="22"/>
        </w:rPr>
        <w:t>While the primary focus of this project was exploring the predicted responses to hydrological scenarios under the RRCP, the models also provide important insights into the long-term population trends for the two focal species. For Golden Perch, the outputs suggest there has been a decline in the size of populations over the past ~30 years, which is likely related to the rarity of high-flow events across the MDB since the late 1990s. The models provide an opportunity to test future hydrological scenarios and complementary measures (e.g. fishways) to identify the best combination of interventions for long-term fish population trajectories.</w:t>
      </w:r>
    </w:p>
    <w:p w14:paraId="36380661" w14:textId="62262CBD" w:rsidR="00491210" w:rsidRPr="009307AA" w:rsidRDefault="00EE200C" w:rsidP="005F1F7F">
      <w:pPr>
        <w:pStyle w:val="Heading3"/>
      </w:pPr>
      <w:bookmarkStart w:id="214" w:name="_Toc116994907"/>
      <w:r w:rsidRPr="009307AA">
        <w:t>Model validation</w:t>
      </w:r>
      <w:bookmarkEnd w:id="214"/>
    </w:p>
    <w:p w14:paraId="13B3EBCC" w14:textId="082643BB" w:rsidR="00491210" w:rsidRPr="009307AA" w:rsidRDefault="00EE200C" w:rsidP="0015103C">
      <w:pPr>
        <w:pStyle w:val="Heading4"/>
      </w:pPr>
      <w:r w:rsidRPr="009307AA">
        <w:t>Summary</w:t>
      </w:r>
    </w:p>
    <w:p w14:paraId="74ECD5D3" w14:textId="20635B43" w:rsidR="00491210" w:rsidRPr="009307AA" w:rsidRDefault="00EE200C" w:rsidP="00292F68">
      <w:pPr>
        <w:spacing w:before="240" w:after="240"/>
        <w:jc w:val="both"/>
        <w:rPr>
          <w:rFonts w:eastAsia="Arial"/>
          <w:color w:val="000000"/>
          <w:sz w:val="22"/>
          <w:szCs w:val="22"/>
        </w:rPr>
      </w:pPr>
      <w:r w:rsidRPr="009307AA">
        <w:rPr>
          <w:rFonts w:eastAsia="Arial"/>
          <w:color w:val="000000"/>
          <w:sz w:val="22"/>
          <w:szCs w:val="22"/>
        </w:rPr>
        <w:t xml:space="preserve">Current knowledge and theory are embedded in the population models, but no model will perfectly represent reality (McCarthy et al. 2001; Deitze et al. 2018). Therefore, it is important to validate models to determine their limits of accuracy, and to understand their ability to capture functional relationships and emergent phenomena (McCarthy et al. 2001). We utilised empirical datasets for several of the RRCP focal zones to compare </w:t>
      </w:r>
      <w:r w:rsidRPr="00081418">
        <w:rPr>
          <w:rFonts w:eastAsia="Arial"/>
          <w:color w:val="000000"/>
          <w:sz w:val="22"/>
          <w:szCs w:val="22"/>
        </w:rPr>
        <w:t xml:space="preserve">the model </w:t>
      </w:r>
      <w:r w:rsidRPr="009307AA">
        <w:rPr>
          <w:rFonts w:eastAsia="Arial"/>
          <w:color w:val="000000"/>
          <w:sz w:val="22"/>
          <w:szCs w:val="22"/>
        </w:rPr>
        <w:t>predictions of population size and growth rate, with the observed values. We also compared predicted and observed rates of movement into the Yarrawonga</w:t>
      </w:r>
      <w:r>
        <w:rPr>
          <w:rFonts w:eastAsia="Arial"/>
          <w:color w:val="000000"/>
          <w:sz w:val="22"/>
          <w:szCs w:val="22"/>
        </w:rPr>
        <w:t xml:space="preserve"> </w:t>
      </w:r>
      <w:r w:rsidRPr="009307AA">
        <w:rPr>
          <w:rFonts w:eastAsia="Arial"/>
          <w:color w:val="000000"/>
          <w:sz w:val="22"/>
          <w:szCs w:val="22"/>
        </w:rPr>
        <w:t>to</w:t>
      </w:r>
      <w:r>
        <w:rPr>
          <w:rFonts w:eastAsia="Arial"/>
          <w:color w:val="000000"/>
          <w:sz w:val="22"/>
          <w:szCs w:val="22"/>
        </w:rPr>
        <w:t xml:space="preserve"> </w:t>
      </w:r>
      <w:r w:rsidRPr="009307AA">
        <w:rPr>
          <w:rFonts w:eastAsia="Arial"/>
          <w:color w:val="000000"/>
          <w:sz w:val="22"/>
          <w:szCs w:val="22"/>
        </w:rPr>
        <w:t>Torrumbarry reach. The empirical dataset provides a unique opportunity to compare the predicted and observed values across the various RRCP focal zones, and to highlight priority areas where further development and refinement of the population models would be useful (</w:t>
      </w:r>
      <w:r w:rsidRPr="00E2785E">
        <w:rPr>
          <w:rFonts w:eastAsia="Arial"/>
          <w:color w:val="000000"/>
          <w:sz w:val="22"/>
          <w:szCs w:val="22"/>
        </w:rPr>
        <w:fldChar w:fldCharType="begin"/>
      </w:r>
      <w:r w:rsidRPr="009307AA">
        <w:rPr>
          <w:rFonts w:eastAsia="Arial"/>
          <w:color w:val="000000"/>
          <w:sz w:val="22"/>
          <w:szCs w:val="22"/>
        </w:rPr>
        <w:instrText xml:space="preserve"> REF _Ref107996988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rFonts w:eastAsia="Arial"/>
          <w:color w:val="000000"/>
          <w:sz w:val="22"/>
          <w:szCs w:val="22"/>
        </w:rPr>
        <w:t>Table A6.2</w:t>
      </w:r>
      <w:r w:rsidRPr="00E2785E">
        <w:rPr>
          <w:rFonts w:eastAsia="Arial"/>
          <w:color w:val="000000"/>
          <w:sz w:val="22"/>
          <w:szCs w:val="22"/>
        </w:rPr>
        <w:fldChar w:fldCharType="end"/>
      </w:r>
      <w:r w:rsidRPr="009307AA">
        <w:rPr>
          <w:rFonts w:eastAsia="Arial"/>
          <w:color w:val="000000"/>
          <w:sz w:val="22"/>
          <w:szCs w:val="22"/>
        </w:rPr>
        <w:t>).</w:t>
      </w:r>
    </w:p>
    <w:p w14:paraId="27137489" w14:textId="61D4B3DC" w:rsidR="00491210" w:rsidRDefault="00EE200C" w:rsidP="00292F68">
      <w:pPr>
        <w:spacing w:before="240" w:after="240"/>
        <w:jc w:val="both"/>
        <w:rPr>
          <w:rFonts w:eastAsia="Arial"/>
          <w:color w:val="000000"/>
          <w:sz w:val="22"/>
          <w:szCs w:val="22"/>
        </w:rPr>
      </w:pPr>
      <w:r w:rsidRPr="009307AA">
        <w:rPr>
          <w:rFonts w:eastAsia="Arial"/>
          <w:color w:val="000000"/>
          <w:sz w:val="22"/>
          <w:szCs w:val="22"/>
        </w:rPr>
        <w:t xml:space="preserve">For Golden Perch, there was </w:t>
      </w:r>
      <w:r>
        <w:rPr>
          <w:rFonts w:eastAsia="Arial"/>
          <w:color w:val="000000"/>
          <w:sz w:val="22"/>
          <w:szCs w:val="22"/>
        </w:rPr>
        <w:t>good</w:t>
      </w:r>
      <w:r w:rsidRPr="009307AA">
        <w:rPr>
          <w:rFonts w:eastAsia="Arial"/>
          <w:color w:val="000000"/>
          <w:sz w:val="22"/>
          <w:szCs w:val="22"/>
        </w:rPr>
        <w:t xml:space="preserve"> alignment between population size and growth rate for most of the six focal reaches with sufficient data to support these comparisons. The ARI Yarrawonga dataset is the longest independent dataset and is sufficiently detailed to support mark–recapture estimates of population abundance that account for variability in detection (Lyon et al. 2021).</w:t>
      </w:r>
      <w:r w:rsidRPr="00292F68">
        <w:rPr>
          <w:rFonts w:eastAsia="Arial"/>
          <w:color w:val="000000"/>
          <w:sz w:val="22"/>
          <w:szCs w:val="22"/>
        </w:rPr>
        <w:t xml:space="preserve"> </w:t>
      </w:r>
      <w:r w:rsidRPr="00DF72D7">
        <w:rPr>
          <w:rFonts w:eastAsia="Arial"/>
          <w:color w:val="000000"/>
          <w:sz w:val="22"/>
          <w:szCs w:val="22"/>
        </w:rPr>
        <w:t>Temporal trends for the Yarrawonga to Torrumbarry reach population were very similar between the</w:t>
      </w:r>
      <w:r w:rsidRPr="00292F68">
        <w:rPr>
          <w:rFonts w:eastAsia="Arial"/>
          <w:color w:val="000000"/>
          <w:sz w:val="22"/>
          <w:szCs w:val="22"/>
        </w:rPr>
        <w:t xml:space="preserve"> MODEL and OBSERVED data, with some evidence of the MODEL lagg</w:t>
      </w:r>
      <w:r>
        <w:rPr>
          <w:rFonts w:eastAsia="Arial"/>
          <w:color w:val="000000"/>
          <w:sz w:val="22"/>
          <w:szCs w:val="22"/>
        </w:rPr>
        <w:t>ing</w:t>
      </w:r>
      <w:r w:rsidRPr="00292F68">
        <w:rPr>
          <w:rFonts w:eastAsia="Arial"/>
          <w:color w:val="000000"/>
          <w:sz w:val="22"/>
          <w:szCs w:val="22"/>
        </w:rPr>
        <w:t xml:space="preserve"> the observed data by 1</w:t>
      </w:r>
      <w:r>
        <w:rPr>
          <w:rFonts w:eastAsia="Arial"/>
          <w:color w:val="000000"/>
          <w:sz w:val="22"/>
          <w:szCs w:val="22"/>
        </w:rPr>
        <w:t>–</w:t>
      </w:r>
      <w:r w:rsidRPr="00292F68">
        <w:rPr>
          <w:rFonts w:eastAsia="Arial"/>
          <w:color w:val="000000"/>
          <w:sz w:val="22"/>
          <w:szCs w:val="22"/>
        </w:rPr>
        <w:t>2</w:t>
      </w:r>
      <w:r>
        <w:rPr>
          <w:rFonts w:eastAsia="Arial"/>
          <w:color w:val="000000"/>
          <w:sz w:val="22"/>
          <w:szCs w:val="22"/>
        </w:rPr>
        <w:t> </w:t>
      </w:r>
      <w:r w:rsidRPr="00292F68">
        <w:rPr>
          <w:rFonts w:eastAsia="Arial"/>
          <w:color w:val="000000"/>
          <w:sz w:val="22"/>
          <w:szCs w:val="22"/>
        </w:rPr>
        <w:t>years. There are four possible explanations for the lag: (1) the 2010</w:t>
      </w:r>
      <w:r>
        <w:rPr>
          <w:rFonts w:eastAsia="Arial"/>
          <w:color w:val="000000"/>
          <w:sz w:val="22"/>
          <w:szCs w:val="22"/>
        </w:rPr>
        <w:t>–</w:t>
      </w:r>
      <w:r w:rsidRPr="00292F68">
        <w:rPr>
          <w:rFonts w:eastAsia="Arial"/>
          <w:color w:val="000000"/>
          <w:sz w:val="22"/>
          <w:szCs w:val="22"/>
        </w:rPr>
        <w:t xml:space="preserve">2011 floods may have led to a redistribution of fish, which may not </w:t>
      </w:r>
      <w:r>
        <w:rPr>
          <w:rFonts w:eastAsia="Arial"/>
          <w:color w:val="000000"/>
          <w:sz w:val="22"/>
          <w:szCs w:val="22"/>
        </w:rPr>
        <w:t xml:space="preserve">have </w:t>
      </w:r>
      <w:r w:rsidRPr="00292F68">
        <w:rPr>
          <w:rFonts w:eastAsia="Arial"/>
          <w:color w:val="000000"/>
          <w:sz w:val="22"/>
          <w:szCs w:val="22"/>
        </w:rPr>
        <w:t>be</w:t>
      </w:r>
      <w:r>
        <w:rPr>
          <w:rFonts w:eastAsia="Arial"/>
          <w:color w:val="000000"/>
          <w:sz w:val="22"/>
          <w:szCs w:val="22"/>
        </w:rPr>
        <w:t>en</w:t>
      </w:r>
      <w:r w:rsidRPr="00292F68">
        <w:rPr>
          <w:rFonts w:eastAsia="Arial"/>
          <w:color w:val="000000"/>
          <w:sz w:val="22"/>
          <w:szCs w:val="22"/>
        </w:rPr>
        <w:t xml:space="preserve"> captured correctly in the movement </w:t>
      </w:r>
      <w:r>
        <w:rPr>
          <w:rFonts w:eastAsia="Arial"/>
          <w:color w:val="000000"/>
          <w:sz w:val="22"/>
          <w:szCs w:val="22"/>
        </w:rPr>
        <w:t>‘</w:t>
      </w:r>
      <w:r w:rsidRPr="00292F68">
        <w:rPr>
          <w:rFonts w:eastAsia="Arial"/>
          <w:color w:val="000000"/>
          <w:sz w:val="22"/>
          <w:szCs w:val="22"/>
        </w:rPr>
        <w:t>reset</w:t>
      </w:r>
      <w:r>
        <w:rPr>
          <w:rFonts w:eastAsia="Arial"/>
          <w:color w:val="000000"/>
          <w:sz w:val="22"/>
          <w:szCs w:val="22"/>
        </w:rPr>
        <w:t>’</w:t>
      </w:r>
      <w:r w:rsidRPr="00292F68">
        <w:rPr>
          <w:rFonts w:eastAsia="Arial"/>
          <w:color w:val="000000"/>
          <w:sz w:val="22"/>
          <w:szCs w:val="22"/>
        </w:rPr>
        <w:t xml:space="preserve"> rule in the MODEL</w:t>
      </w:r>
      <w:r>
        <w:rPr>
          <w:rFonts w:eastAsia="Arial"/>
          <w:color w:val="000000"/>
          <w:sz w:val="22"/>
          <w:szCs w:val="22"/>
        </w:rPr>
        <w:t>;</w:t>
      </w:r>
      <w:r w:rsidRPr="00292F68">
        <w:rPr>
          <w:rFonts w:eastAsia="Arial"/>
          <w:color w:val="000000"/>
          <w:sz w:val="22"/>
          <w:szCs w:val="22"/>
        </w:rPr>
        <w:t xml:space="preserve"> (2) the MODEL rules allow for movement between adjoining populations</w:t>
      </w:r>
      <w:r>
        <w:rPr>
          <w:rFonts w:eastAsia="Arial"/>
          <w:color w:val="000000"/>
          <w:sz w:val="22"/>
          <w:szCs w:val="22"/>
        </w:rPr>
        <w:t>,</w:t>
      </w:r>
      <w:r w:rsidRPr="00292F68">
        <w:rPr>
          <w:rFonts w:eastAsia="Arial"/>
          <w:color w:val="000000"/>
          <w:sz w:val="22"/>
          <w:szCs w:val="22"/>
        </w:rPr>
        <w:t xml:space="preserve"> but more extensive movement (i.e. across multiple populations within a year) may have occurred</w:t>
      </w:r>
      <w:r>
        <w:rPr>
          <w:rFonts w:eastAsia="Arial"/>
          <w:color w:val="000000"/>
          <w:sz w:val="22"/>
          <w:szCs w:val="22"/>
        </w:rPr>
        <w:t>;</w:t>
      </w:r>
      <w:r w:rsidRPr="00292F68">
        <w:rPr>
          <w:rFonts w:eastAsia="Arial"/>
          <w:color w:val="000000"/>
          <w:sz w:val="22"/>
          <w:szCs w:val="22"/>
        </w:rPr>
        <w:t xml:space="preserve"> (3) the MODEL rules may be overestimating the movement of fish into this reach from upstream (Hume to Yarrawonga)</w:t>
      </w:r>
      <w:r>
        <w:rPr>
          <w:rFonts w:eastAsia="Arial"/>
          <w:color w:val="000000"/>
          <w:sz w:val="22"/>
          <w:szCs w:val="22"/>
        </w:rPr>
        <w:t>;</w:t>
      </w:r>
      <w:r w:rsidRPr="00292F68">
        <w:rPr>
          <w:rFonts w:eastAsia="Arial"/>
          <w:color w:val="000000"/>
          <w:sz w:val="22"/>
          <w:szCs w:val="22"/>
        </w:rPr>
        <w:t xml:space="preserve"> and (4) </w:t>
      </w:r>
      <w:r w:rsidRPr="00292F68">
        <w:rPr>
          <w:rFonts w:eastAsia="Arial"/>
          <w:color w:val="000000"/>
          <w:sz w:val="22"/>
          <w:szCs w:val="22"/>
        </w:rPr>
        <w:lastRenderedPageBreak/>
        <w:t>the Jolly</w:t>
      </w:r>
      <w:r>
        <w:rPr>
          <w:rFonts w:eastAsia="Arial"/>
          <w:color w:val="000000"/>
          <w:sz w:val="22"/>
          <w:szCs w:val="22"/>
        </w:rPr>
        <w:t>–</w:t>
      </w:r>
      <w:r w:rsidRPr="00292F68">
        <w:rPr>
          <w:rFonts w:eastAsia="Arial"/>
          <w:color w:val="000000"/>
          <w:sz w:val="22"/>
          <w:szCs w:val="22"/>
        </w:rPr>
        <w:t>Seber modelling used for the ARI dataset (Lyon et al. 2021) may be overcompensating for changes in detection during the flood.</w:t>
      </w:r>
    </w:p>
    <w:p w14:paraId="60D30D60" w14:textId="7ACE5471" w:rsidR="00491210" w:rsidRPr="00292F68" w:rsidRDefault="00EE200C" w:rsidP="00292F68">
      <w:pPr>
        <w:spacing w:before="240" w:after="240"/>
        <w:jc w:val="both"/>
        <w:rPr>
          <w:rFonts w:eastAsia="Arial"/>
          <w:color w:val="000000"/>
          <w:sz w:val="22"/>
          <w:szCs w:val="22"/>
        </w:rPr>
      </w:pPr>
      <w:r w:rsidRPr="00292F68">
        <w:rPr>
          <w:rFonts w:eastAsia="Arial"/>
          <w:color w:val="000000"/>
          <w:sz w:val="22"/>
          <w:szCs w:val="22"/>
        </w:rPr>
        <w:t xml:space="preserve">We found a very strong correlation </w:t>
      </w:r>
      <w:r>
        <w:rPr>
          <w:rFonts w:eastAsia="Arial"/>
          <w:color w:val="000000"/>
          <w:sz w:val="22"/>
          <w:szCs w:val="22"/>
        </w:rPr>
        <w:t>between the MODEL prediction and the OBSERVED data for</w:t>
      </w:r>
      <w:r w:rsidRPr="00292F68">
        <w:rPr>
          <w:rFonts w:eastAsia="Arial"/>
          <w:color w:val="000000"/>
          <w:sz w:val="22"/>
          <w:szCs w:val="22"/>
        </w:rPr>
        <w:t xml:space="preserve"> movement into the Yarrawonga</w:t>
      </w:r>
      <w:r>
        <w:rPr>
          <w:rFonts w:eastAsia="Arial"/>
          <w:color w:val="000000"/>
          <w:sz w:val="22"/>
          <w:szCs w:val="22"/>
        </w:rPr>
        <w:t xml:space="preserve"> </w:t>
      </w:r>
      <w:r w:rsidRPr="00292F68">
        <w:rPr>
          <w:rFonts w:eastAsia="Arial"/>
          <w:color w:val="000000"/>
          <w:sz w:val="22"/>
          <w:szCs w:val="22"/>
        </w:rPr>
        <w:t>to Torrumbarry reach. This correlation is not surprising, given that Golden Perch are a species known to move in relation to increased discharge (Koster et al. 2016). However, it is still an important confirmation that this process is being adequately captured in the MODEL rules.</w:t>
      </w:r>
    </w:p>
    <w:p w14:paraId="306A8589" w14:textId="3F0D75A1" w:rsidR="00491210" w:rsidRDefault="00EE200C" w:rsidP="00292F68">
      <w:pPr>
        <w:spacing w:before="240" w:after="240"/>
        <w:jc w:val="both"/>
        <w:rPr>
          <w:rFonts w:eastAsia="Arial"/>
          <w:color w:val="000000"/>
          <w:sz w:val="22"/>
          <w:szCs w:val="22"/>
        </w:rPr>
      </w:pPr>
      <w:r w:rsidRPr="005F7313">
        <w:rPr>
          <w:rFonts w:eastAsia="Arial"/>
          <w:color w:val="000000"/>
          <w:sz w:val="22"/>
          <w:szCs w:val="22"/>
        </w:rPr>
        <w:t xml:space="preserve">We also found that the correlation between </w:t>
      </w:r>
      <w:r w:rsidRPr="00081418">
        <w:rPr>
          <w:rFonts w:eastAsia="Arial"/>
          <w:color w:val="000000"/>
          <w:sz w:val="22"/>
          <w:szCs w:val="22"/>
        </w:rPr>
        <w:t>the MODEL-</w:t>
      </w:r>
      <w:r w:rsidRPr="005F7313">
        <w:rPr>
          <w:rFonts w:eastAsia="Arial"/>
          <w:color w:val="000000"/>
          <w:sz w:val="22"/>
          <w:szCs w:val="22"/>
        </w:rPr>
        <w:t xml:space="preserve">predicted and </w:t>
      </w:r>
      <w:r w:rsidRPr="00684336">
        <w:rPr>
          <w:rFonts w:eastAsia="Arial"/>
          <w:color w:val="000000"/>
          <w:sz w:val="22"/>
          <w:szCs w:val="22"/>
        </w:rPr>
        <w:t>the OBSERVED</w:t>
      </w:r>
      <w:r w:rsidRPr="005F7313">
        <w:rPr>
          <w:rFonts w:eastAsia="Arial"/>
          <w:color w:val="000000"/>
          <w:sz w:val="22"/>
          <w:szCs w:val="22"/>
        </w:rPr>
        <w:t xml:space="preserve"> population sizes in the</w:t>
      </w:r>
      <w:r w:rsidRPr="00292F68">
        <w:rPr>
          <w:rFonts w:eastAsia="Arial"/>
          <w:color w:val="000000"/>
          <w:sz w:val="22"/>
          <w:szCs w:val="22"/>
        </w:rPr>
        <w:t xml:space="preserve"> Yarrawonga</w:t>
      </w:r>
      <w:r>
        <w:rPr>
          <w:rFonts w:eastAsia="Arial"/>
          <w:color w:val="000000"/>
          <w:sz w:val="22"/>
          <w:szCs w:val="22"/>
        </w:rPr>
        <w:t xml:space="preserve"> </w:t>
      </w:r>
      <w:r w:rsidRPr="00292F68">
        <w:rPr>
          <w:rFonts w:eastAsia="Arial"/>
          <w:color w:val="000000"/>
          <w:sz w:val="22"/>
          <w:szCs w:val="22"/>
        </w:rPr>
        <w:t>to</w:t>
      </w:r>
      <w:r>
        <w:rPr>
          <w:rFonts w:eastAsia="Arial"/>
          <w:color w:val="000000"/>
          <w:sz w:val="22"/>
          <w:szCs w:val="22"/>
        </w:rPr>
        <w:t xml:space="preserve"> </w:t>
      </w:r>
      <w:r w:rsidRPr="00292F68">
        <w:rPr>
          <w:rFonts w:eastAsia="Arial"/>
          <w:color w:val="000000"/>
          <w:sz w:val="22"/>
          <w:szCs w:val="22"/>
        </w:rPr>
        <w:t xml:space="preserve">Torrumbarry reach were weaker at the two extremes of </w:t>
      </w:r>
      <w:r>
        <w:rPr>
          <w:rFonts w:eastAsia="Arial"/>
          <w:color w:val="000000"/>
          <w:sz w:val="22"/>
          <w:szCs w:val="22"/>
        </w:rPr>
        <w:t xml:space="preserve">the </w:t>
      </w:r>
      <w:r w:rsidRPr="00292F68">
        <w:rPr>
          <w:rFonts w:eastAsia="Arial"/>
          <w:color w:val="000000"/>
          <w:sz w:val="22"/>
          <w:szCs w:val="22"/>
        </w:rPr>
        <w:t xml:space="preserve">observed flows (mainly at the lower end) for Golden Perch. This is an important observation, as it provides evidence that the MODEL is likely producing realistic predictions for Golden </w:t>
      </w:r>
      <w:r>
        <w:rPr>
          <w:rFonts w:eastAsia="Arial"/>
          <w:color w:val="000000"/>
          <w:sz w:val="22"/>
          <w:szCs w:val="22"/>
        </w:rPr>
        <w:t>P</w:t>
      </w:r>
      <w:r w:rsidRPr="00292F68">
        <w:rPr>
          <w:rFonts w:eastAsia="Arial"/>
          <w:color w:val="000000"/>
          <w:sz w:val="22"/>
          <w:szCs w:val="22"/>
        </w:rPr>
        <w:t xml:space="preserve">erch across the range of flows likely under the </w:t>
      </w:r>
      <w:r>
        <w:rPr>
          <w:rFonts w:eastAsia="Arial"/>
          <w:color w:val="000000"/>
          <w:sz w:val="22"/>
          <w:szCs w:val="22"/>
        </w:rPr>
        <w:t>various</w:t>
      </w:r>
      <w:r w:rsidRPr="00292F68">
        <w:rPr>
          <w:rFonts w:eastAsia="Arial"/>
          <w:color w:val="000000"/>
          <w:sz w:val="22"/>
          <w:szCs w:val="22"/>
        </w:rPr>
        <w:t xml:space="preserve"> RRCP scenarios. In comparison, the lack of correlation for Murray </w:t>
      </w:r>
      <w:r>
        <w:rPr>
          <w:rFonts w:eastAsia="Arial"/>
          <w:color w:val="000000"/>
          <w:sz w:val="22"/>
          <w:szCs w:val="22"/>
        </w:rPr>
        <w:t>C</w:t>
      </w:r>
      <w:r w:rsidRPr="00292F68">
        <w:rPr>
          <w:rFonts w:eastAsia="Arial"/>
          <w:color w:val="000000"/>
          <w:sz w:val="22"/>
          <w:szCs w:val="22"/>
        </w:rPr>
        <w:t>od suggests the MODEL results need to be interpreted with more caution</w:t>
      </w:r>
      <w:r>
        <w:rPr>
          <w:rFonts w:eastAsia="Arial"/>
          <w:color w:val="000000"/>
          <w:sz w:val="22"/>
          <w:szCs w:val="22"/>
        </w:rPr>
        <w:t xml:space="preserve"> for Murray Cod</w:t>
      </w:r>
      <w:r w:rsidRPr="00292F68">
        <w:rPr>
          <w:rFonts w:eastAsia="Arial"/>
          <w:color w:val="000000"/>
          <w:sz w:val="22"/>
          <w:szCs w:val="22"/>
        </w:rPr>
        <w:t>.</w:t>
      </w:r>
    </w:p>
    <w:p w14:paraId="6745933C" w14:textId="1D00E040" w:rsidR="00491210" w:rsidRPr="00292F68" w:rsidRDefault="00EE200C" w:rsidP="00292F68">
      <w:pPr>
        <w:spacing w:before="240" w:after="240"/>
        <w:jc w:val="both"/>
        <w:rPr>
          <w:rFonts w:eastAsia="Arial"/>
          <w:color w:val="000000"/>
          <w:sz w:val="22"/>
          <w:szCs w:val="22"/>
        </w:rPr>
      </w:pPr>
      <w:r w:rsidRPr="00D026AC">
        <w:rPr>
          <w:rFonts w:eastAsia="Arial"/>
          <w:color w:val="000000"/>
          <w:sz w:val="22"/>
          <w:szCs w:val="22"/>
        </w:rPr>
        <w:t xml:space="preserve">There were only weak correlations between </w:t>
      </w:r>
      <w:r w:rsidRPr="00F434D7">
        <w:rPr>
          <w:rFonts w:eastAsia="Arial"/>
          <w:color w:val="000000"/>
          <w:sz w:val="22"/>
          <w:szCs w:val="22"/>
        </w:rPr>
        <w:t>the MODEL-</w:t>
      </w:r>
      <w:r w:rsidRPr="00D026AC">
        <w:rPr>
          <w:rFonts w:eastAsia="Arial"/>
          <w:color w:val="000000"/>
          <w:sz w:val="22"/>
          <w:szCs w:val="22"/>
        </w:rPr>
        <w:t xml:space="preserve">predicted and </w:t>
      </w:r>
      <w:r w:rsidRPr="00684336">
        <w:rPr>
          <w:rFonts w:eastAsia="Arial"/>
          <w:color w:val="000000"/>
          <w:sz w:val="22"/>
          <w:szCs w:val="22"/>
        </w:rPr>
        <w:t>OBSERVED</w:t>
      </w:r>
      <w:r w:rsidRPr="00D026AC">
        <w:rPr>
          <w:rFonts w:eastAsia="Arial"/>
          <w:color w:val="000000"/>
          <w:sz w:val="22"/>
          <w:szCs w:val="22"/>
        </w:rPr>
        <w:t xml:space="preserve"> </w:t>
      </w:r>
      <w:r w:rsidRPr="00F434D7">
        <w:rPr>
          <w:rFonts w:eastAsia="Arial"/>
          <w:color w:val="000000"/>
          <w:sz w:val="22"/>
          <w:szCs w:val="22"/>
        </w:rPr>
        <w:t xml:space="preserve">Golden Perch </w:t>
      </w:r>
      <w:r w:rsidRPr="00D026AC">
        <w:rPr>
          <w:rFonts w:eastAsia="Arial"/>
          <w:color w:val="000000"/>
          <w:sz w:val="22"/>
          <w:szCs w:val="22"/>
        </w:rPr>
        <w:t>population sizes for some reaches, especially the Edward River and Gundagai to Hay (Murrumbidgee River) reach populations (</w:t>
      </w:r>
      <w:r w:rsidRPr="00E2785E">
        <w:rPr>
          <w:rFonts w:eastAsia="Arial"/>
          <w:color w:val="000000"/>
          <w:sz w:val="22"/>
          <w:szCs w:val="22"/>
        </w:rPr>
        <w:fldChar w:fldCharType="begin"/>
      </w:r>
      <w:r w:rsidRPr="00D026AC">
        <w:rPr>
          <w:rFonts w:eastAsia="Arial"/>
          <w:color w:val="000000"/>
          <w:sz w:val="22"/>
          <w:szCs w:val="22"/>
        </w:rPr>
        <w:instrText xml:space="preserve"> REF _Ref107932308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rFonts w:eastAsia="Arial"/>
          <w:color w:val="000000"/>
          <w:sz w:val="22"/>
          <w:szCs w:val="22"/>
        </w:rPr>
        <w:t>Table 6</w:t>
      </w:r>
      <w:r w:rsidRPr="00E2785E">
        <w:rPr>
          <w:rFonts w:eastAsia="Arial"/>
          <w:color w:val="000000"/>
          <w:sz w:val="22"/>
          <w:szCs w:val="22"/>
        </w:rPr>
        <w:fldChar w:fldCharType="end"/>
      </w:r>
      <w:r w:rsidRPr="00D026AC">
        <w:rPr>
          <w:rFonts w:eastAsia="Arial"/>
          <w:color w:val="000000"/>
          <w:sz w:val="22"/>
          <w:szCs w:val="22"/>
        </w:rPr>
        <w:t xml:space="preserve">). These misalignments are likely due to the influence of factors on Golden Perch populations not currently being considered within the models. More specifically, the population size decrease observed in the Edward River in 2015–2016 was likely due to blackwater events that occurred in this system and elsewhere in the Southern </w:t>
      </w:r>
      <w:r>
        <w:rPr>
          <w:rFonts w:eastAsia="Arial"/>
          <w:color w:val="000000"/>
          <w:sz w:val="22"/>
          <w:szCs w:val="22"/>
        </w:rPr>
        <w:t>MDB</w:t>
      </w:r>
      <w:r w:rsidRPr="00D026AC">
        <w:rPr>
          <w:rFonts w:eastAsia="Arial"/>
          <w:color w:val="000000"/>
          <w:sz w:val="22"/>
          <w:szCs w:val="22"/>
        </w:rPr>
        <w:t xml:space="preserve"> (Rees 2017). </w:t>
      </w:r>
      <w:bookmarkStart w:id="215" w:name="_Hlk108103966"/>
      <w:r w:rsidRPr="00D026AC">
        <w:rPr>
          <w:rFonts w:eastAsia="Arial"/>
          <w:color w:val="000000"/>
          <w:sz w:val="22"/>
          <w:szCs w:val="22"/>
        </w:rPr>
        <w:t xml:space="preserve">The influence of blackwater is not specifically included in the Golden Perch model; hence, the model does not predict the observed decrease. The mismatch could also be due to other factors, such as </w:t>
      </w:r>
      <w:r>
        <w:rPr>
          <w:rFonts w:eastAsia="Arial"/>
          <w:color w:val="000000"/>
          <w:sz w:val="22"/>
          <w:szCs w:val="22"/>
        </w:rPr>
        <w:t>ov</w:t>
      </w:r>
      <w:r w:rsidRPr="00D026AC">
        <w:rPr>
          <w:rFonts w:eastAsia="Arial"/>
          <w:color w:val="000000"/>
          <w:sz w:val="22"/>
          <w:szCs w:val="22"/>
        </w:rPr>
        <w:t xml:space="preserve">erestimated larval drift or </w:t>
      </w:r>
      <w:r>
        <w:rPr>
          <w:rFonts w:eastAsia="Arial"/>
          <w:color w:val="000000"/>
          <w:sz w:val="22"/>
          <w:szCs w:val="22"/>
        </w:rPr>
        <w:t>im</w:t>
      </w:r>
      <w:r w:rsidRPr="00D026AC">
        <w:rPr>
          <w:rFonts w:eastAsia="Arial"/>
          <w:color w:val="000000"/>
          <w:sz w:val="22"/>
          <w:szCs w:val="22"/>
        </w:rPr>
        <w:t xml:space="preserve">migration into this population. Similarly, the mismatch in the Gundagai to Hay reach is potentially because the MODEL does not include stocking, which is likely to be (at least partially) maintaining this population. </w:t>
      </w:r>
      <w:bookmarkEnd w:id="215"/>
      <w:r w:rsidRPr="00D026AC">
        <w:rPr>
          <w:rFonts w:eastAsia="Arial"/>
          <w:color w:val="000000"/>
          <w:sz w:val="22"/>
          <w:szCs w:val="22"/>
        </w:rPr>
        <w:t>The decline up to 2010 predicted by the model, therefore, may not reflect the actual population. The sharp response predicted by the MODEL thereafter, likely due to increase in upstream movement driven by flow, is also likely unrealistic, given the presence of many fish barriers, some largely impermeable, throughout the system.</w:t>
      </w:r>
    </w:p>
    <w:p w14:paraId="1D79BBD5" w14:textId="785D17A9" w:rsidR="00491210" w:rsidRPr="0008669A" w:rsidRDefault="00EE200C" w:rsidP="00292F68">
      <w:pPr>
        <w:spacing w:before="240" w:after="240"/>
        <w:jc w:val="both"/>
        <w:rPr>
          <w:rFonts w:eastAsia="Arial"/>
          <w:color w:val="000000"/>
          <w:sz w:val="22"/>
          <w:szCs w:val="22"/>
        </w:rPr>
      </w:pPr>
      <w:r w:rsidRPr="0008669A">
        <w:rPr>
          <w:rFonts w:eastAsia="Arial"/>
          <w:color w:val="000000"/>
          <w:sz w:val="22"/>
          <w:szCs w:val="22"/>
        </w:rPr>
        <w:t>The dataset for the Lower Murray was quite limited, and also only collected from the NSW section of this focal reach. Therefore, these results must be interpreted with some caution. A future expansion of the validation approach that considers datasets that might be available from the South Australian section of this reach would provide a more comprehensive assessment.</w:t>
      </w:r>
    </w:p>
    <w:p w14:paraId="0191A37A" w14:textId="48885069" w:rsidR="00491210" w:rsidRDefault="00EE200C" w:rsidP="00292F68">
      <w:pPr>
        <w:spacing w:before="240" w:after="240"/>
        <w:jc w:val="both"/>
        <w:rPr>
          <w:rFonts w:eastAsia="Arial"/>
          <w:color w:val="000000"/>
          <w:sz w:val="22"/>
          <w:szCs w:val="22"/>
        </w:rPr>
      </w:pPr>
      <w:r w:rsidRPr="0008669A">
        <w:rPr>
          <w:rFonts w:eastAsia="Arial"/>
          <w:color w:val="000000"/>
          <w:sz w:val="22"/>
          <w:szCs w:val="22"/>
        </w:rPr>
        <w:t xml:space="preserve">The MODEL generally predicted more stable Murray Cod populations than indicated by the OBSERVED data. For the Yarrawonga to Torrumbarry reach, a decrease during 2000–2010 was observed in the OBSERVED dataset, before an increase in 2014–2015 and a decrease post-2015. None of these changes were predicted by the MODEL. This could be related to the MODEL predictions representing average responses across whole reaches, including in this instance the section from Barmah downstream, where there were blackwater impacts, whereas the ARI observed dataset is from an area with no blackwater impacts. In the Torrumbarry to Wentworth reach, declines in Murray Cod population size occurred in 2010–2011, which is likely a response to blackwater impacts in this reach. However, the magnitude of the change was significantly less in the MODEL than in the OBSERVED dataset. Similar declines in both the MODEL and OBSERVED data occurred in the Edward River in 2010–2011, which is also likely to be a blackwater response. Blackwater events occurred throughout locations in the Southern </w:t>
      </w:r>
      <w:r>
        <w:rPr>
          <w:rFonts w:eastAsia="Arial"/>
          <w:color w:val="000000"/>
          <w:sz w:val="22"/>
          <w:szCs w:val="22"/>
        </w:rPr>
        <w:t>MDB</w:t>
      </w:r>
      <w:r w:rsidRPr="0008669A">
        <w:rPr>
          <w:rFonts w:eastAsia="Arial"/>
          <w:color w:val="000000"/>
          <w:sz w:val="22"/>
          <w:szCs w:val="22"/>
        </w:rPr>
        <w:t>, both in 2010–2011 and in 2015–2016 (Whitworth et al. 2012; Rees 2017). However, blackwater events in the Edward</w:t>
      </w:r>
      <w:r>
        <w:rPr>
          <w:rFonts w:eastAsia="Arial"/>
          <w:color w:val="000000"/>
          <w:sz w:val="22"/>
          <w:szCs w:val="22"/>
        </w:rPr>
        <w:t xml:space="preserve"> River</w:t>
      </w:r>
      <w:r w:rsidRPr="0008669A">
        <w:rPr>
          <w:rFonts w:eastAsia="Arial"/>
          <w:color w:val="000000"/>
          <w:sz w:val="22"/>
          <w:szCs w:val="22"/>
        </w:rPr>
        <w:t xml:space="preserve"> in 2015–2016 corresponded with declines in the OBSERVED data that were not predicted by the MODEL. These results indicate that further refinement of the inputs to characterise the effects of blackwater on Murray Cod are likely to lead to greater alignment between the MODEL and</w:t>
      </w:r>
      <w:r w:rsidRPr="00081418">
        <w:rPr>
          <w:rFonts w:eastAsia="Arial"/>
          <w:color w:val="000000"/>
          <w:sz w:val="22"/>
          <w:szCs w:val="22"/>
        </w:rPr>
        <w:t xml:space="preserve"> the</w:t>
      </w:r>
      <w:r w:rsidRPr="0008669A">
        <w:rPr>
          <w:rFonts w:eastAsia="Arial"/>
          <w:color w:val="000000"/>
          <w:sz w:val="22"/>
          <w:szCs w:val="22"/>
        </w:rPr>
        <w:t xml:space="preserve"> OBSERVED data.</w:t>
      </w:r>
    </w:p>
    <w:p w14:paraId="0852CFFC" w14:textId="55A738DA" w:rsidR="00491210" w:rsidRPr="00EF23AB" w:rsidRDefault="00EE200C" w:rsidP="0015103C">
      <w:pPr>
        <w:pStyle w:val="Heading4"/>
      </w:pPr>
      <w:r w:rsidRPr="3FC79A6E">
        <w:t>Potential biases in observed data</w:t>
      </w:r>
    </w:p>
    <w:p w14:paraId="03D1D892" w14:textId="48351E55" w:rsidR="00491210" w:rsidRPr="00292F68" w:rsidRDefault="00EE200C" w:rsidP="00292F68">
      <w:pPr>
        <w:spacing w:before="240" w:after="240"/>
        <w:jc w:val="both"/>
        <w:rPr>
          <w:rFonts w:eastAsia="Arial"/>
          <w:color w:val="000000"/>
          <w:sz w:val="22"/>
          <w:szCs w:val="22"/>
        </w:rPr>
      </w:pPr>
      <w:r w:rsidRPr="00292F68">
        <w:rPr>
          <w:rFonts w:eastAsia="Arial"/>
          <w:color w:val="000000"/>
          <w:sz w:val="22"/>
          <w:szCs w:val="22"/>
        </w:rPr>
        <w:t xml:space="preserve">One major assumption in the validation exercise is that the OBSERVED data is a better representation of reality than the MODEL. As it was not possible to get exact population estimates, </w:t>
      </w:r>
      <w:r w:rsidRPr="00292F68">
        <w:rPr>
          <w:rFonts w:eastAsia="Arial"/>
          <w:color w:val="000000"/>
          <w:sz w:val="22"/>
          <w:szCs w:val="22"/>
        </w:rPr>
        <w:lastRenderedPageBreak/>
        <w:t xml:space="preserve">we had to use data </w:t>
      </w:r>
      <w:r>
        <w:rPr>
          <w:rFonts w:eastAsia="Arial"/>
          <w:color w:val="000000"/>
          <w:sz w:val="22"/>
          <w:szCs w:val="22"/>
        </w:rPr>
        <w:t xml:space="preserve">from samples </w:t>
      </w:r>
      <w:r w:rsidRPr="00292F68">
        <w:rPr>
          <w:rFonts w:eastAsia="Arial"/>
          <w:color w:val="000000"/>
          <w:sz w:val="22"/>
          <w:szCs w:val="22"/>
        </w:rPr>
        <w:t>(</w:t>
      </w:r>
      <w:r>
        <w:rPr>
          <w:rFonts w:eastAsia="Arial"/>
          <w:color w:val="000000"/>
          <w:sz w:val="22"/>
          <w:szCs w:val="22"/>
        </w:rPr>
        <w:t xml:space="preserve">extrapolated using </w:t>
      </w:r>
      <w:r w:rsidRPr="00292F68">
        <w:rPr>
          <w:rFonts w:eastAsia="Arial"/>
          <w:color w:val="000000"/>
          <w:sz w:val="22"/>
          <w:szCs w:val="22"/>
        </w:rPr>
        <w:t>catch-per-unit-effort</w:t>
      </w:r>
      <w:r>
        <w:rPr>
          <w:rFonts w:eastAsia="Arial"/>
          <w:color w:val="000000"/>
          <w:sz w:val="22"/>
          <w:szCs w:val="22"/>
        </w:rPr>
        <w:t xml:space="preserve"> data, etc.</w:t>
      </w:r>
      <w:r w:rsidRPr="00292F68">
        <w:rPr>
          <w:rFonts w:eastAsia="Arial"/>
          <w:color w:val="000000"/>
          <w:sz w:val="22"/>
          <w:szCs w:val="22"/>
        </w:rPr>
        <w:t>) and statistical models to pro</w:t>
      </w:r>
      <w:r>
        <w:rPr>
          <w:rFonts w:eastAsia="Arial"/>
          <w:color w:val="000000"/>
          <w:sz w:val="22"/>
          <w:szCs w:val="22"/>
        </w:rPr>
        <w:t>duce</w:t>
      </w:r>
      <w:r w:rsidRPr="00292F68">
        <w:rPr>
          <w:rFonts w:eastAsia="Arial"/>
          <w:color w:val="000000"/>
          <w:sz w:val="22"/>
          <w:szCs w:val="22"/>
        </w:rPr>
        <w:t xml:space="preserve"> estimates </w:t>
      </w:r>
      <w:r>
        <w:rPr>
          <w:rFonts w:eastAsia="Arial"/>
          <w:color w:val="000000"/>
          <w:sz w:val="22"/>
          <w:szCs w:val="22"/>
        </w:rPr>
        <w:t>of</w:t>
      </w:r>
      <w:r w:rsidRPr="00292F68">
        <w:rPr>
          <w:rFonts w:eastAsia="Arial"/>
          <w:color w:val="000000"/>
          <w:sz w:val="22"/>
          <w:szCs w:val="22"/>
        </w:rPr>
        <w:t xml:space="preserve"> population size and growth rates. The ARI Yarrawonga dataset followed standardised sampling </w:t>
      </w:r>
      <w:r>
        <w:rPr>
          <w:rFonts w:eastAsia="Arial"/>
          <w:color w:val="000000"/>
          <w:sz w:val="22"/>
          <w:szCs w:val="22"/>
        </w:rPr>
        <w:t xml:space="preserve">protocols </w:t>
      </w:r>
      <w:r w:rsidRPr="00292F68">
        <w:rPr>
          <w:rFonts w:eastAsia="Arial"/>
          <w:color w:val="000000"/>
          <w:sz w:val="22"/>
          <w:szCs w:val="22"/>
        </w:rPr>
        <w:t>and corrected for varying detection rates (Lyon et al. 2021), so these estimates should be more robust tha</w:t>
      </w:r>
      <w:r>
        <w:rPr>
          <w:rFonts w:eastAsia="Arial"/>
          <w:color w:val="000000"/>
          <w:sz w:val="22"/>
          <w:szCs w:val="22"/>
        </w:rPr>
        <w:t>n the</w:t>
      </w:r>
      <w:r w:rsidRPr="00292F68">
        <w:rPr>
          <w:rFonts w:eastAsia="Arial"/>
          <w:color w:val="000000"/>
          <w:sz w:val="22"/>
          <w:szCs w:val="22"/>
        </w:rPr>
        <w:t xml:space="preserve"> NSW datasets</w:t>
      </w:r>
      <w:r>
        <w:rPr>
          <w:rFonts w:eastAsia="Arial"/>
          <w:color w:val="000000"/>
          <w:sz w:val="22"/>
          <w:szCs w:val="22"/>
        </w:rPr>
        <w:t>, which</w:t>
      </w:r>
      <w:r w:rsidRPr="00292F68">
        <w:rPr>
          <w:rFonts w:eastAsia="Arial"/>
          <w:color w:val="000000"/>
          <w:sz w:val="22"/>
          <w:szCs w:val="22"/>
        </w:rPr>
        <w:t xml:space="preserve"> had more variable sampling protocols and </w:t>
      </w:r>
      <w:r>
        <w:rPr>
          <w:rFonts w:eastAsia="Arial"/>
          <w:color w:val="000000"/>
          <w:sz w:val="22"/>
          <w:szCs w:val="22"/>
        </w:rPr>
        <w:t xml:space="preserve">for which </w:t>
      </w:r>
      <w:r w:rsidRPr="00292F68">
        <w:rPr>
          <w:rFonts w:eastAsia="Arial"/>
          <w:color w:val="000000"/>
          <w:sz w:val="22"/>
          <w:szCs w:val="22"/>
        </w:rPr>
        <w:t xml:space="preserve">it was not possible to correct for detection rates. </w:t>
      </w:r>
      <w:r>
        <w:rPr>
          <w:rFonts w:eastAsia="Arial"/>
          <w:color w:val="000000"/>
          <w:sz w:val="22"/>
          <w:szCs w:val="22"/>
        </w:rPr>
        <w:t>The</w:t>
      </w:r>
      <w:r w:rsidRPr="00292F68">
        <w:rPr>
          <w:rFonts w:eastAsia="Arial"/>
          <w:color w:val="000000"/>
          <w:sz w:val="22"/>
          <w:szCs w:val="22"/>
        </w:rPr>
        <w:t xml:space="preserve"> NSW estimates </w:t>
      </w:r>
      <w:r>
        <w:rPr>
          <w:rFonts w:eastAsia="Arial"/>
          <w:color w:val="000000"/>
          <w:sz w:val="22"/>
          <w:szCs w:val="22"/>
        </w:rPr>
        <w:t>thus have</w:t>
      </w:r>
      <w:r w:rsidRPr="00292F68">
        <w:rPr>
          <w:rFonts w:eastAsia="Arial"/>
          <w:color w:val="000000"/>
          <w:sz w:val="22"/>
          <w:szCs w:val="22"/>
        </w:rPr>
        <w:t xml:space="preserve"> more potential bias that might distort temporal patterns</w:t>
      </w:r>
      <w:r>
        <w:rPr>
          <w:rFonts w:eastAsia="Arial"/>
          <w:color w:val="000000"/>
          <w:sz w:val="22"/>
          <w:szCs w:val="22"/>
        </w:rPr>
        <w:t xml:space="preserve"> (e.g.</w:t>
      </w:r>
      <w:r w:rsidRPr="00292F68">
        <w:rPr>
          <w:rFonts w:eastAsia="Arial"/>
          <w:color w:val="000000"/>
          <w:sz w:val="22"/>
          <w:szCs w:val="22"/>
        </w:rPr>
        <w:t xml:space="preserve"> </w:t>
      </w:r>
      <w:r>
        <w:rPr>
          <w:rFonts w:eastAsia="Arial"/>
          <w:color w:val="000000"/>
          <w:sz w:val="22"/>
          <w:szCs w:val="22"/>
        </w:rPr>
        <w:t xml:space="preserve">reduced capture probabilities due to </w:t>
      </w:r>
      <w:r w:rsidRPr="00292F68">
        <w:rPr>
          <w:rFonts w:eastAsia="Arial"/>
          <w:color w:val="000000"/>
          <w:sz w:val="22"/>
          <w:szCs w:val="22"/>
        </w:rPr>
        <w:t>river turbidity associated with increased river discharg</w:t>
      </w:r>
      <w:r w:rsidRPr="00FB1E40">
        <w:rPr>
          <w:rFonts w:eastAsia="Arial"/>
          <w:color w:val="000000"/>
          <w:sz w:val="22"/>
          <w:szCs w:val="22"/>
        </w:rPr>
        <w:t>e</w:t>
      </w:r>
      <w:r>
        <w:rPr>
          <w:rFonts w:eastAsia="Arial"/>
          <w:color w:val="000000"/>
          <w:sz w:val="22"/>
          <w:szCs w:val="22"/>
        </w:rPr>
        <w:t xml:space="preserve"> </w:t>
      </w:r>
      <w:r w:rsidRPr="00FB1E40">
        <w:rPr>
          <w:rFonts w:eastAsia="Arial"/>
          <w:color w:val="000000"/>
          <w:sz w:val="22"/>
          <w:szCs w:val="22"/>
        </w:rPr>
        <w:t>or difficulties sampling during high</w:t>
      </w:r>
      <w:r w:rsidRPr="00DA142D">
        <w:rPr>
          <w:rFonts w:eastAsia="Arial"/>
          <w:color w:val="000000"/>
          <w:sz w:val="22"/>
          <w:szCs w:val="22"/>
        </w:rPr>
        <w:t>-</w:t>
      </w:r>
      <w:r w:rsidRPr="00FB1E40">
        <w:rPr>
          <w:rFonts w:eastAsia="Arial"/>
          <w:color w:val="000000"/>
          <w:sz w:val="22"/>
          <w:szCs w:val="22"/>
        </w:rPr>
        <w:t>flow events</w:t>
      </w:r>
      <w:r>
        <w:rPr>
          <w:rFonts w:eastAsia="Arial"/>
          <w:color w:val="000000"/>
          <w:sz w:val="22"/>
          <w:szCs w:val="22"/>
        </w:rPr>
        <w:t xml:space="preserve">: </w:t>
      </w:r>
      <w:r w:rsidRPr="001F017A">
        <w:rPr>
          <w:rFonts w:eastAsia="Arial"/>
          <w:color w:val="000000"/>
          <w:sz w:val="22"/>
          <w:szCs w:val="22"/>
        </w:rPr>
        <w:t>Lyon et al., 2014</w:t>
      </w:r>
      <w:r>
        <w:rPr>
          <w:rFonts w:eastAsia="Arial"/>
          <w:color w:val="000000"/>
          <w:sz w:val="22"/>
          <w:szCs w:val="22"/>
        </w:rPr>
        <w:t>)</w:t>
      </w:r>
      <w:r w:rsidRPr="00FB1E40">
        <w:rPr>
          <w:rFonts w:eastAsia="Arial"/>
          <w:color w:val="000000"/>
          <w:sz w:val="22"/>
          <w:szCs w:val="22"/>
        </w:rPr>
        <w:t>.</w:t>
      </w:r>
    </w:p>
    <w:p w14:paraId="473E55CC" w14:textId="1B1C75E1" w:rsidR="00491210" w:rsidRPr="005377E4" w:rsidRDefault="00EE200C" w:rsidP="005F1F7F">
      <w:pPr>
        <w:pStyle w:val="Heading3"/>
      </w:pPr>
      <w:bookmarkStart w:id="216" w:name="_Toc116994908"/>
      <w:r w:rsidRPr="005377E4">
        <w:t>Opportunities for model refinement</w:t>
      </w:r>
      <w:bookmarkEnd w:id="216"/>
    </w:p>
    <w:p w14:paraId="31205A44" w14:textId="7329C758" w:rsidR="00491210" w:rsidRPr="005377E4" w:rsidRDefault="00EE200C" w:rsidP="3FC79A6E">
      <w:pPr>
        <w:spacing w:before="240" w:after="240"/>
        <w:jc w:val="both"/>
        <w:rPr>
          <w:rFonts w:eastAsia="Arial"/>
          <w:color w:val="000000"/>
          <w:sz w:val="22"/>
          <w:szCs w:val="22"/>
        </w:rPr>
      </w:pPr>
      <w:r w:rsidRPr="005377E4">
        <w:rPr>
          <w:rFonts w:eastAsia="Arial"/>
          <w:color w:val="000000"/>
          <w:sz w:val="22"/>
          <w:szCs w:val="22"/>
        </w:rPr>
        <w:t xml:space="preserve">The model construction, the model rules and the scenarios tested are all underpinned by the latest ecological knowledge of the study species. This knowledge was integrated with the flow data and the operational imperatives, to ensure that the effects of the flow changes being tested were closely linked to the drivers of population dynamics for each species. Knowledge of such flow–species relationships is not always perfect, however, and it is important to ensure that the model outputs are a result of the species’ response and not of uncertainties in the models. In this study, detailed sensitivity analyses were undertaken that showed that the modelled outcomes were stable under various parameterisations (e.g. different </w:t>
      </w:r>
      <w:r w:rsidRPr="00081418">
        <w:rPr>
          <w:rFonts w:eastAsia="Arial"/>
          <w:color w:val="000000"/>
          <w:sz w:val="22"/>
          <w:szCs w:val="22"/>
        </w:rPr>
        <w:t>rates</w:t>
      </w:r>
      <w:r w:rsidRPr="005377E4">
        <w:rPr>
          <w:rFonts w:eastAsia="Arial"/>
          <w:color w:val="000000"/>
          <w:sz w:val="22"/>
          <w:szCs w:val="22"/>
        </w:rPr>
        <w:t xml:space="preserve"> of fish movement, different population sizes), indicating a consistent response to flows (Appendix 4). The sensitivity analyses should also be considered from the perspective that the main Golden Perch populations are located in the middle reaches, from a spatial perspective, and hence even under low rates of movement can still influence adjacent populations.</w:t>
      </w:r>
    </w:p>
    <w:p w14:paraId="4B393678" w14:textId="44BFF37F" w:rsidR="00491210" w:rsidRDefault="00EE200C" w:rsidP="00292F68">
      <w:pPr>
        <w:spacing w:before="240" w:after="240"/>
        <w:jc w:val="both"/>
        <w:rPr>
          <w:rFonts w:eastAsia="Arial"/>
          <w:color w:val="000000"/>
          <w:sz w:val="22"/>
          <w:szCs w:val="22"/>
        </w:rPr>
      </w:pPr>
      <w:r w:rsidRPr="005377E4">
        <w:rPr>
          <w:rFonts w:eastAsia="Arial"/>
          <w:color w:val="000000"/>
          <w:sz w:val="22"/>
          <w:szCs w:val="22"/>
        </w:rPr>
        <w:t>Both the sensitivity analysis and the validation work highlight the fact that there are some areas of uncertainty within the empirical data and the ecological knowledge. The purpose of the ‘model rules’ was to ensure that the best available knowledge was used transparently to construct the models, but equally to transparently capture the assumptions that ha</w:t>
      </w:r>
      <w:r>
        <w:rPr>
          <w:rFonts w:eastAsia="Arial"/>
          <w:color w:val="000000"/>
          <w:sz w:val="22"/>
          <w:szCs w:val="22"/>
        </w:rPr>
        <w:t>ve</w:t>
      </w:r>
      <w:r w:rsidRPr="005377E4">
        <w:rPr>
          <w:rFonts w:eastAsia="Arial"/>
          <w:color w:val="000000"/>
          <w:sz w:val="22"/>
          <w:szCs w:val="22"/>
        </w:rPr>
        <w:t xml:space="preserve"> be</w:t>
      </w:r>
      <w:r>
        <w:rPr>
          <w:rFonts w:eastAsia="Arial"/>
          <w:color w:val="000000"/>
          <w:sz w:val="22"/>
          <w:szCs w:val="22"/>
        </w:rPr>
        <w:t>en</w:t>
      </w:r>
      <w:r w:rsidRPr="005377E4">
        <w:rPr>
          <w:rFonts w:eastAsia="Arial"/>
          <w:color w:val="000000"/>
          <w:sz w:val="22"/>
          <w:szCs w:val="22"/>
        </w:rPr>
        <w:t xml:space="preserve"> made. The validation work has highlighted some aspects of the model rules (especially the movement rules for Golden Perch) and model inputs (especially blackwater) that could be further refined. The models could also be further refined as more knowledge comes to hand, especially in relation to their application </w:t>
      </w:r>
      <w:r w:rsidRPr="00DA142D">
        <w:rPr>
          <w:rFonts w:eastAsia="Arial"/>
          <w:color w:val="000000"/>
          <w:sz w:val="22"/>
          <w:szCs w:val="22"/>
        </w:rPr>
        <w:t xml:space="preserve">in other reaches and </w:t>
      </w:r>
      <w:r w:rsidRPr="005377E4">
        <w:rPr>
          <w:rFonts w:eastAsia="Arial"/>
          <w:color w:val="000000"/>
          <w:sz w:val="22"/>
          <w:szCs w:val="22"/>
        </w:rPr>
        <w:t xml:space="preserve">at other sites. In many cases, the relationships between recruitment and hydrology differ between rivers (Tonkin et al. 2021). Some off-channel (floodplain) areas, including large areas of the Edward–Wakool system, were not included in the model, nor were the impacts of stocking or harvesting, some barriers to fish passage, thermal </w:t>
      </w:r>
      <w:r w:rsidRPr="00DA142D">
        <w:rPr>
          <w:rFonts w:eastAsia="Arial"/>
          <w:color w:val="000000"/>
          <w:sz w:val="22"/>
          <w:szCs w:val="22"/>
        </w:rPr>
        <w:t>shock impacts, productivity, or water quality</w:t>
      </w:r>
      <w:r w:rsidRPr="005377E4">
        <w:rPr>
          <w:rFonts w:eastAsia="Arial"/>
          <w:color w:val="000000"/>
          <w:sz w:val="22"/>
          <w:szCs w:val="22"/>
        </w:rPr>
        <w:t>, or the rates of fish losses due to water extraction pumps.</w:t>
      </w:r>
    </w:p>
    <w:p w14:paraId="6CEB6771" w14:textId="567D8948" w:rsidR="00491210" w:rsidRDefault="00EE200C" w:rsidP="00292F68">
      <w:pPr>
        <w:spacing w:before="240" w:after="240"/>
        <w:jc w:val="both"/>
        <w:rPr>
          <w:rFonts w:eastAsia="Arial"/>
          <w:color w:val="000000"/>
          <w:sz w:val="22"/>
          <w:szCs w:val="22"/>
        </w:rPr>
      </w:pPr>
      <w:r w:rsidRPr="00292F68">
        <w:rPr>
          <w:rFonts w:eastAsia="Arial"/>
          <w:color w:val="000000"/>
          <w:sz w:val="22"/>
          <w:szCs w:val="22"/>
        </w:rPr>
        <w:t xml:space="preserve">The models provide a valuable way forward in managing rivers and flows by identifying the key processes and pathways </w:t>
      </w:r>
      <w:r>
        <w:rPr>
          <w:rFonts w:eastAsia="Arial"/>
          <w:color w:val="000000"/>
          <w:sz w:val="22"/>
          <w:szCs w:val="22"/>
        </w:rPr>
        <w:t>by</w:t>
      </w:r>
      <w:r w:rsidRPr="00292F68">
        <w:rPr>
          <w:rFonts w:eastAsia="Arial"/>
          <w:color w:val="000000"/>
          <w:sz w:val="22"/>
          <w:szCs w:val="22"/>
        </w:rPr>
        <w:t xml:space="preserve"> which populations are likely to be influenced (</w:t>
      </w:r>
      <w:r>
        <w:rPr>
          <w:rFonts w:eastAsia="Arial"/>
          <w:color w:val="000000"/>
          <w:sz w:val="22"/>
          <w:szCs w:val="22"/>
        </w:rPr>
        <w:t>e.g. the provision of</w:t>
      </w:r>
      <w:r w:rsidRPr="00292F68">
        <w:rPr>
          <w:rFonts w:eastAsia="Arial"/>
          <w:color w:val="000000"/>
          <w:sz w:val="22"/>
          <w:szCs w:val="22"/>
        </w:rPr>
        <w:t xml:space="preserve"> flows to cue fish movement from source</w:t>
      </w:r>
      <w:r>
        <w:rPr>
          <w:rFonts w:eastAsia="Arial"/>
          <w:color w:val="000000"/>
          <w:sz w:val="22"/>
          <w:szCs w:val="22"/>
        </w:rPr>
        <w:t>-</w:t>
      </w:r>
      <w:r w:rsidRPr="00292F68">
        <w:rPr>
          <w:rFonts w:eastAsia="Arial"/>
          <w:color w:val="000000"/>
          <w:sz w:val="22"/>
          <w:szCs w:val="22"/>
        </w:rPr>
        <w:t>to</w:t>
      </w:r>
      <w:r>
        <w:rPr>
          <w:rFonts w:eastAsia="Arial"/>
          <w:color w:val="000000"/>
          <w:sz w:val="22"/>
          <w:szCs w:val="22"/>
        </w:rPr>
        <w:t>-</w:t>
      </w:r>
      <w:r w:rsidRPr="00292F68">
        <w:rPr>
          <w:rFonts w:eastAsia="Arial"/>
          <w:color w:val="000000"/>
          <w:sz w:val="22"/>
          <w:szCs w:val="22"/>
        </w:rPr>
        <w:t xml:space="preserve">sink reaches), </w:t>
      </w:r>
      <w:r>
        <w:rPr>
          <w:rFonts w:eastAsia="Arial"/>
          <w:color w:val="000000"/>
          <w:sz w:val="22"/>
          <w:szCs w:val="22"/>
        </w:rPr>
        <w:t xml:space="preserve">and by enabling evaluation of proposed </w:t>
      </w:r>
      <w:r w:rsidRPr="00292F68">
        <w:rPr>
          <w:rFonts w:eastAsia="Arial"/>
          <w:color w:val="000000"/>
          <w:sz w:val="22"/>
          <w:szCs w:val="22"/>
        </w:rPr>
        <w:t xml:space="preserve">interventions </w:t>
      </w:r>
      <w:r>
        <w:rPr>
          <w:rFonts w:eastAsia="Arial"/>
          <w:color w:val="000000"/>
          <w:sz w:val="22"/>
          <w:szCs w:val="22"/>
        </w:rPr>
        <w:t xml:space="preserve">so as to </w:t>
      </w:r>
      <w:r w:rsidRPr="00292F68">
        <w:rPr>
          <w:rFonts w:eastAsia="Arial"/>
          <w:color w:val="000000"/>
          <w:sz w:val="22"/>
          <w:szCs w:val="22"/>
        </w:rPr>
        <w:t xml:space="preserve">provide </w:t>
      </w:r>
      <w:r>
        <w:rPr>
          <w:rFonts w:eastAsia="Arial"/>
          <w:color w:val="000000"/>
          <w:sz w:val="22"/>
          <w:szCs w:val="22"/>
        </w:rPr>
        <w:t xml:space="preserve">the </w:t>
      </w:r>
      <w:r w:rsidRPr="00292F68">
        <w:rPr>
          <w:rFonts w:eastAsia="Arial"/>
          <w:color w:val="000000"/>
          <w:sz w:val="22"/>
          <w:szCs w:val="22"/>
        </w:rPr>
        <w:t xml:space="preserve">greatest </w:t>
      </w:r>
      <w:r>
        <w:rPr>
          <w:rFonts w:eastAsia="Arial"/>
          <w:color w:val="000000"/>
          <w:sz w:val="22"/>
          <w:szCs w:val="22"/>
        </w:rPr>
        <w:t xml:space="preserve">potential </w:t>
      </w:r>
      <w:r w:rsidRPr="00292F68">
        <w:rPr>
          <w:rFonts w:eastAsia="Arial"/>
          <w:color w:val="000000"/>
          <w:sz w:val="22"/>
          <w:szCs w:val="22"/>
        </w:rPr>
        <w:t>benefits to local</w:t>
      </w:r>
      <w:r>
        <w:rPr>
          <w:rFonts w:eastAsia="Arial"/>
          <w:color w:val="000000"/>
          <w:sz w:val="22"/>
          <w:szCs w:val="22"/>
        </w:rPr>
        <w:t>-</w:t>
      </w:r>
      <w:r w:rsidRPr="00292F68">
        <w:rPr>
          <w:rFonts w:eastAsia="Arial"/>
          <w:color w:val="000000"/>
          <w:sz w:val="22"/>
          <w:szCs w:val="22"/>
        </w:rPr>
        <w:t>, regional</w:t>
      </w:r>
      <w:r>
        <w:rPr>
          <w:rFonts w:eastAsia="Arial"/>
          <w:color w:val="000000"/>
          <w:sz w:val="22"/>
          <w:szCs w:val="22"/>
        </w:rPr>
        <w:t>-</w:t>
      </w:r>
      <w:r w:rsidRPr="00292F68">
        <w:rPr>
          <w:rFonts w:eastAsia="Arial"/>
          <w:color w:val="000000"/>
          <w:sz w:val="22"/>
          <w:szCs w:val="22"/>
        </w:rPr>
        <w:t xml:space="preserve"> and basin-scale native fish communities. There were clear predicted benefits for Golden Perch from increased RRCP flows. In the future, it </w:t>
      </w:r>
      <w:r>
        <w:rPr>
          <w:rFonts w:eastAsia="Arial"/>
          <w:color w:val="000000"/>
          <w:sz w:val="22"/>
          <w:szCs w:val="22"/>
        </w:rPr>
        <w:t>will</w:t>
      </w:r>
      <w:r w:rsidRPr="00292F68">
        <w:rPr>
          <w:rFonts w:eastAsia="Arial"/>
          <w:color w:val="000000"/>
          <w:sz w:val="22"/>
          <w:szCs w:val="22"/>
        </w:rPr>
        <w:t xml:space="preserve"> be possible to modify the model to assess likely responses to not only re</w:t>
      </w:r>
      <w:r>
        <w:rPr>
          <w:rFonts w:eastAsia="Arial"/>
          <w:color w:val="000000"/>
          <w:sz w:val="22"/>
          <w:szCs w:val="22"/>
        </w:rPr>
        <w:t>laxing</w:t>
      </w:r>
      <w:r w:rsidRPr="00292F68">
        <w:rPr>
          <w:rFonts w:eastAsia="Arial"/>
          <w:color w:val="000000"/>
          <w:sz w:val="22"/>
          <w:szCs w:val="22"/>
        </w:rPr>
        <w:t xml:space="preserve"> flow constraints but also a broad range of management actions (</w:t>
      </w:r>
      <w:r>
        <w:rPr>
          <w:rFonts w:eastAsia="Arial"/>
          <w:color w:val="000000"/>
          <w:sz w:val="22"/>
          <w:szCs w:val="22"/>
        </w:rPr>
        <w:t>e.g.</w:t>
      </w:r>
      <w:r w:rsidRPr="00292F68">
        <w:rPr>
          <w:rFonts w:eastAsia="Arial"/>
          <w:color w:val="000000"/>
          <w:sz w:val="22"/>
          <w:szCs w:val="22"/>
        </w:rPr>
        <w:t xml:space="preserve"> fishery management, habitat restoration, fish barrier removal</w:t>
      </w:r>
      <w:r>
        <w:rPr>
          <w:rFonts w:eastAsia="Arial"/>
          <w:color w:val="000000"/>
          <w:sz w:val="22"/>
          <w:szCs w:val="22"/>
        </w:rPr>
        <w:t>,</w:t>
      </w:r>
      <w:r w:rsidRPr="00292F68">
        <w:rPr>
          <w:rFonts w:eastAsia="Arial"/>
          <w:color w:val="000000"/>
          <w:sz w:val="22"/>
          <w:szCs w:val="22"/>
        </w:rPr>
        <w:t xml:space="preserve"> </w:t>
      </w:r>
      <w:r>
        <w:rPr>
          <w:rFonts w:eastAsia="Arial"/>
          <w:color w:val="000000"/>
          <w:sz w:val="22"/>
          <w:szCs w:val="22"/>
        </w:rPr>
        <w:t>and</w:t>
      </w:r>
      <w:r w:rsidRPr="00292F68">
        <w:rPr>
          <w:rFonts w:eastAsia="Arial"/>
          <w:color w:val="000000"/>
          <w:sz w:val="22"/>
          <w:szCs w:val="22"/>
        </w:rPr>
        <w:t xml:space="preserve"> </w:t>
      </w:r>
      <w:r>
        <w:rPr>
          <w:rFonts w:eastAsia="Arial"/>
          <w:color w:val="000000"/>
          <w:sz w:val="22"/>
          <w:szCs w:val="22"/>
        </w:rPr>
        <w:t xml:space="preserve">threat </w:t>
      </w:r>
      <w:r w:rsidRPr="00292F68">
        <w:rPr>
          <w:rFonts w:eastAsia="Arial"/>
          <w:color w:val="000000"/>
          <w:sz w:val="22"/>
          <w:szCs w:val="22"/>
        </w:rPr>
        <w:t xml:space="preserve">mitigation). This would allow </w:t>
      </w:r>
      <w:r>
        <w:rPr>
          <w:rFonts w:eastAsia="Arial"/>
          <w:color w:val="000000"/>
          <w:sz w:val="22"/>
          <w:szCs w:val="22"/>
        </w:rPr>
        <w:t xml:space="preserve">a </w:t>
      </w:r>
      <w:r w:rsidRPr="00292F68">
        <w:rPr>
          <w:rFonts w:eastAsia="Arial"/>
          <w:color w:val="000000"/>
          <w:sz w:val="22"/>
          <w:szCs w:val="22"/>
        </w:rPr>
        <w:t xml:space="preserve">more </w:t>
      </w:r>
      <w:r w:rsidRPr="00163EEC">
        <w:rPr>
          <w:rFonts w:eastAsia="Arial"/>
          <w:color w:val="000000"/>
          <w:sz w:val="22"/>
          <w:szCs w:val="22"/>
        </w:rPr>
        <w:t>integrat</w:t>
      </w:r>
      <w:r>
        <w:rPr>
          <w:rFonts w:eastAsia="Arial"/>
          <w:color w:val="000000"/>
          <w:sz w:val="22"/>
          <w:szCs w:val="22"/>
        </w:rPr>
        <w:t>ed</w:t>
      </w:r>
      <w:r w:rsidRPr="00163EEC">
        <w:rPr>
          <w:rFonts w:eastAsia="Arial"/>
          <w:color w:val="000000"/>
          <w:sz w:val="22"/>
          <w:szCs w:val="22"/>
        </w:rPr>
        <w:t xml:space="preserve"> </w:t>
      </w:r>
      <w:r>
        <w:rPr>
          <w:rFonts w:eastAsia="Arial"/>
          <w:color w:val="000000"/>
          <w:sz w:val="22"/>
          <w:szCs w:val="22"/>
        </w:rPr>
        <w:t xml:space="preserve">approach to the </w:t>
      </w:r>
      <w:r w:rsidRPr="00163EEC">
        <w:rPr>
          <w:rFonts w:eastAsia="Arial"/>
          <w:color w:val="000000"/>
          <w:sz w:val="22"/>
          <w:szCs w:val="22"/>
        </w:rPr>
        <w:t xml:space="preserve">management </w:t>
      </w:r>
      <w:r w:rsidRPr="00DA142D">
        <w:rPr>
          <w:rFonts w:eastAsia="Arial"/>
          <w:color w:val="000000"/>
          <w:sz w:val="22"/>
          <w:szCs w:val="22"/>
        </w:rPr>
        <w:t>of rivers and the fish that inhabit them</w:t>
      </w:r>
      <w:r w:rsidRPr="00163EEC">
        <w:rPr>
          <w:rFonts w:eastAsia="Arial"/>
          <w:color w:val="000000"/>
          <w:sz w:val="22"/>
          <w:szCs w:val="22"/>
        </w:rPr>
        <w:t>.</w:t>
      </w:r>
    </w:p>
    <w:p w14:paraId="51202305" w14:textId="0F5980E6" w:rsidR="00491210" w:rsidRPr="00A83DE0" w:rsidRDefault="00EE200C" w:rsidP="005F1F7F">
      <w:pPr>
        <w:pStyle w:val="Heading3"/>
      </w:pPr>
      <w:bookmarkStart w:id="217" w:name="_Toc116994909"/>
      <w:r w:rsidRPr="4D1BBAA5">
        <w:t>Conclusion</w:t>
      </w:r>
      <w:bookmarkEnd w:id="217"/>
    </w:p>
    <w:p w14:paraId="6B21EF26" w14:textId="005EDE8E" w:rsidR="00491210" w:rsidRPr="00292F68" w:rsidRDefault="00EE200C" w:rsidP="00292F68">
      <w:pPr>
        <w:spacing w:before="240" w:after="240"/>
        <w:jc w:val="both"/>
        <w:rPr>
          <w:rFonts w:eastAsia="Arial"/>
          <w:color w:val="000000"/>
          <w:sz w:val="22"/>
          <w:szCs w:val="22"/>
        </w:rPr>
      </w:pPr>
      <w:r w:rsidRPr="00292F68">
        <w:rPr>
          <w:rFonts w:eastAsia="Arial"/>
          <w:color w:val="000000"/>
          <w:sz w:val="22"/>
          <w:szCs w:val="22"/>
        </w:rPr>
        <w:t>As predicted, the fish population responses varie</w:t>
      </w:r>
      <w:r>
        <w:rPr>
          <w:rFonts w:eastAsia="Arial"/>
          <w:color w:val="000000"/>
          <w:sz w:val="22"/>
          <w:szCs w:val="22"/>
        </w:rPr>
        <w:t>d</w:t>
      </w:r>
      <w:r w:rsidRPr="00292F68">
        <w:rPr>
          <w:rFonts w:eastAsia="Arial"/>
          <w:color w:val="000000"/>
          <w:sz w:val="22"/>
          <w:szCs w:val="22"/>
        </w:rPr>
        <w:t xml:space="preserve"> across spatial regions and species due to differing life-history requirements. Nevertheless, </w:t>
      </w:r>
      <w:r>
        <w:rPr>
          <w:rFonts w:eastAsia="Arial"/>
          <w:color w:val="000000"/>
          <w:sz w:val="22"/>
          <w:szCs w:val="22"/>
        </w:rPr>
        <w:t>according to</w:t>
      </w:r>
      <w:r w:rsidRPr="00292F68">
        <w:rPr>
          <w:rFonts w:eastAsia="Arial"/>
          <w:color w:val="000000"/>
          <w:sz w:val="22"/>
          <w:szCs w:val="22"/>
        </w:rPr>
        <w:t xml:space="preserve"> the population model predictions, increased flow limits for environmental water delivery in the Murray and Murrumbidgee </w:t>
      </w:r>
      <w:r>
        <w:rPr>
          <w:rFonts w:eastAsia="Arial"/>
          <w:color w:val="000000"/>
          <w:sz w:val="22"/>
          <w:szCs w:val="22"/>
        </w:rPr>
        <w:t>r</w:t>
      </w:r>
      <w:r w:rsidRPr="00292F68">
        <w:rPr>
          <w:rFonts w:eastAsia="Arial"/>
          <w:color w:val="000000"/>
          <w:sz w:val="22"/>
          <w:szCs w:val="22"/>
        </w:rPr>
        <w:t xml:space="preserve">ivers </w:t>
      </w:r>
      <w:r>
        <w:rPr>
          <w:rFonts w:eastAsia="Arial"/>
          <w:color w:val="000000"/>
          <w:sz w:val="22"/>
          <w:szCs w:val="22"/>
        </w:rPr>
        <w:t>would provide</w:t>
      </w:r>
      <w:r w:rsidRPr="00292F68">
        <w:rPr>
          <w:rFonts w:eastAsia="Arial"/>
          <w:color w:val="000000"/>
          <w:sz w:val="22"/>
          <w:szCs w:val="22"/>
        </w:rPr>
        <w:t xml:space="preserve"> benefits to native fish populations, especially Golden Perch. The highest flow scenario tested (</w:t>
      </w:r>
      <w:r>
        <w:rPr>
          <w:rFonts w:eastAsia="Arial"/>
          <w:color w:val="000000"/>
          <w:sz w:val="22"/>
          <w:szCs w:val="22"/>
        </w:rPr>
        <w:t>i.e.</w:t>
      </w:r>
      <w:r w:rsidRPr="00292F68">
        <w:rPr>
          <w:rFonts w:eastAsia="Arial"/>
          <w:color w:val="000000"/>
          <w:sz w:val="22"/>
          <w:szCs w:val="22"/>
        </w:rPr>
        <w:t xml:space="preserve"> 45,000</w:t>
      </w:r>
      <w:r>
        <w:rPr>
          <w:rFonts w:eastAsia="Arial"/>
          <w:color w:val="000000"/>
          <w:sz w:val="22"/>
          <w:szCs w:val="22"/>
        </w:rPr>
        <w:t> </w:t>
      </w:r>
      <w:r w:rsidRPr="00292F68">
        <w:rPr>
          <w:rFonts w:eastAsia="Arial"/>
          <w:color w:val="000000"/>
          <w:sz w:val="22"/>
          <w:szCs w:val="22"/>
        </w:rPr>
        <w:t>ML</w:t>
      </w:r>
      <w:r>
        <w:rPr>
          <w:rFonts w:eastAsia="Arial"/>
          <w:color w:val="000000"/>
          <w:sz w:val="22"/>
          <w:szCs w:val="22"/>
        </w:rPr>
        <w:t> </w:t>
      </w:r>
      <w:r w:rsidRPr="00292F68">
        <w:rPr>
          <w:rFonts w:eastAsia="Arial"/>
          <w:color w:val="000000"/>
          <w:sz w:val="22"/>
          <w:szCs w:val="22"/>
        </w:rPr>
        <w:t>day</w:t>
      </w:r>
      <w:r>
        <w:rPr>
          <w:rFonts w:eastAsia="Arial"/>
          <w:color w:val="000000"/>
          <w:sz w:val="22"/>
          <w:szCs w:val="22"/>
          <w:vertAlign w:val="superscript"/>
        </w:rPr>
        <w:t>–1</w:t>
      </w:r>
      <w:r w:rsidRPr="00292F68">
        <w:rPr>
          <w:rFonts w:eastAsia="Arial"/>
          <w:color w:val="000000"/>
          <w:sz w:val="22"/>
          <w:szCs w:val="22"/>
        </w:rPr>
        <w:t xml:space="preserve"> in the Murray River at Yarrawonga and 40,000</w:t>
      </w:r>
      <w:r>
        <w:rPr>
          <w:rFonts w:eastAsia="Arial"/>
          <w:color w:val="000000"/>
          <w:sz w:val="22"/>
          <w:szCs w:val="22"/>
        </w:rPr>
        <w:t> </w:t>
      </w:r>
      <w:r w:rsidRPr="00292F68">
        <w:rPr>
          <w:rFonts w:eastAsia="Arial"/>
          <w:color w:val="000000"/>
          <w:sz w:val="22"/>
          <w:szCs w:val="22"/>
        </w:rPr>
        <w:t>ML</w:t>
      </w:r>
      <w:r>
        <w:rPr>
          <w:rFonts w:eastAsia="Arial"/>
          <w:color w:val="000000"/>
          <w:sz w:val="22"/>
          <w:szCs w:val="22"/>
        </w:rPr>
        <w:t> </w:t>
      </w:r>
      <w:r w:rsidRPr="00292F68">
        <w:rPr>
          <w:rFonts w:eastAsia="Arial"/>
          <w:color w:val="000000"/>
          <w:sz w:val="22"/>
          <w:szCs w:val="22"/>
        </w:rPr>
        <w:t>day</w:t>
      </w:r>
      <w:r>
        <w:rPr>
          <w:rFonts w:eastAsia="Arial"/>
          <w:color w:val="000000"/>
          <w:sz w:val="22"/>
          <w:szCs w:val="22"/>
          <w:vertAlign w:val="superscript"/>
        </w:rPr>
        <w:t>–1</w:t>
      </w:r>
      <w:r w:rsidRPr="00292F68">
        <w:rPr>
          <w:rFonts w:eastAsia="Arial"/>
          <w:color w:val="000000"/>
          <w:sz w:val="22"/>
          <w:szCs w:val="22"/>
        </w:rPr>
        <w:t xml:space="preserve"> in the Murrumbidgee River at Wagga Wagga) achieved the greatest benefits</w:t>
      </w:r>
      <w:r>
        <w:rPr>
          <w:rFonts w:eastAsia="Arial"/>
          <w:color w:val="000000"/>
          <w:sz w:val="22"/>
          <w:szCs w:val="22"/>
        </w:rPr>
        <w:t xml:space="preserve"> for Golden Perch,</w:t>
      </w:r>
      <w:r w:rsidRPr="00292F68">
        <w:rPr>
          <w:rFonts w:eastAsia="Arial"/>
          <w:color w:val="000000"/>
          <w:sz w:val="22"/>
          <w:szCs w:val="22"/>
        </w:rPr>
        <w:t xml:space="preserve"> with diminishing gains as flow limits were reduced. This is instructive for selecting the optimal RRCP flow regime. Golden Perch </w:t>
      </w:r>
      <w:r>
        <w:rPr>
          <w:rFonts w:eastAsia="Arial"/>
          <w:color w:val="000000"/>
          <w:sz w:val="22"/>
          <w:szCs w:val="22"/>
        </w:rPr>
        <w:lastRenderedPageBreak/>
        <w:t xml:space="preserve">populations </w:t>
      </w:r>
      <w:r w:rsidRPr="00292F68">
        <w:rPr>
          <w:rFonts w:eastAsia="Arial"/>
          <w:color w:val="000000"/>
          <w:sz w:val="22"/>
          <w:szCs w:val="22"/>
        </w:rPr>
        <w:t>respond</w:t>
      </w:r>
      <w:r>
        <w:rPr>
          <w:rFonts w:eastAsia="Arial"/>
          <w:color w:val="000000"/>
          <w:sz w:val="22"/>
          <w:szCs w:val="22"/>
        </w:rPr>
        <w:t>ed</w:t>
      </w:r>
      <w:r w:rsidRPr="00292F68">
        <w:rPr>
          <w:rFonts w:eastAsia="Arial"/>
          <w:color w:val="000000"/>
          <w:sz w:val="22"/>
          <w:szCs w:val="22"/>
        </w:rPr>
        <w:t xml:space="preserve"> more positively than Murray Cod </w:t>
      </w:r>
      <w:r>
        <w:rPr>
          <w:rFonts w:eastAsia="Arial"/>
          <w:color w:val="000000"/>
          <w:sz w:val="22"/>
          <w:szCs w:val="22"/>
        </w:rPr>
        <w:t xml:space="preserve">populations </w:t>
      </w:r>
      <w:r w:rsidRPr="00292F68">
        <w:rPr>
          <w:rFonts w:eastAsia="Arial"/>
          <w:color w:val="000000"/>
          <w:sz w:val="22"/>
          <w:szCs w:val="22"/>
        </w:rPr>
        <w:t>due to their life</w:t>
      </w:r>
      <w:r>
        <w:rPr>
          <w:rFonts w:eastAsia="Arial"/>
          <w:color w:val="000000"/>
          <w:sz w:val="22"/>
          <w:szCs w:val="22"/>
        </w:rPr>
        <w:t>-</w:t>
      </w:r>
      <w:r w:rsidRPr="00292F68">
        <w:rPr>
          <w:rFonts w:eastAsia="Arial"/>
          <w:color w:val="000000"/>
          <w:sz w:val="22"/>
          <w:szCs w:val="22"/>
        </w:rPr>
        <w:t xml:space="preserve">history requirements being more flow/floodplain dependent. Additional sensitivity analysis </w:t>
      </w:r>
      <w:r>
        <w:rPr>
          <w:rFonts w:eastAsia="Arial"/>
          <w:color w:val="000000"/>
          <w:sz w:val="22"/>
          <w:szCs w:val="22"/>
        </w:rPr>
        <w:t>enabled greater</w:t>
      </w:r>
      <w:r w:rsidRPr="00292F68">
        <w:rPr>
          <w:rFonts w:eastAsia="Arial"/>
          <w:color w:val="000000"/>
          <w:sz w:val="22"/>
          <w:szCs w:val="22"/>
        </w:rPr>
        <w:t xml:space="preserve"> confidence in the </w:t>
      </w:r>
      <w:r>
        <w:rPr>
          <w:rFonts w:eastAsia="Arial"/>
          <w:color w:val="000000"/>
          <w:sz w:val="22"/>
          <w:szCs w:val="22"/>
        </w:rPr>
        <w:t xml:space="preserve">modelling </w:t>
      </w:r>
      <w:r w:rsidRPr="00292F68">
        <w:rPr>
          <w:rFonts w:eastAsia="Arial"/>
          <w:color w:val="000000"/>
          <w:sz w:val="22"/>
          <w:szCs w:val="22"/>
        </w:rPr>
        <w:t>results</w:t>
      </w:r>
      <w:r>
        <w:rPr>
          <w:rFonts w:eastAsia="Arial"/>
          <w:color w:val="000000"/>
          <w:sz w:val="22"/>
          <w:szCs w:val="22"/>
        </w:rPr>
        <w:t>, by</w:t>
      </w:r>
      <w:r w:rsidRPr="00292F68">
        <w:rPr>
          <w:rFonts w:eastAsia="Arial"/>
          <w:color w:val="000000"/>
          <w:sz w:val="22"/>
          <w:szCs w:val="22"/>
        </w:rPr>
        <w:t xml:space="preserve"> test</w:t>
      </w:r>
      <w:r>
        <w:rPr>
          <w:rFonts w:eastAsia="Arial"/>
          <w:color w:val="000000"/>
          <w:sz w:val="22"/>
          <w:szCs w:val="22"/>
        </w:rPr>
        <w:t>ing</w:t>
      </w:r>
      <w:r w:rsidRPr="00292F68">
        <w:rPr>
          <w:rFonts w:eastAsia="Arial"/>
          <w:color w:val="000000"/>
          <w:sz w:val="22"/>
          <w:szCs w:val="22"/>
        </w:rPr>
        <w:t xml:space="preserve"> some of the uncertainties. For river managers, this population modelling allows a clear understanding of the trade-offs between the </w:t>
      </w:r>
      <w:r>
        <w:rPr>
          <w:rFonts w:eastAsia="Arial"/>
          <w:color w:val="000000"/>
          <w:sz w:val="22"/>
          <w:szCs w:val="22"/>
        </w:rPr>
        <w:t>various</w:t>
      </w:r>
      <w:r w:rsidRPr="00292F68">
        <w:rPr>
          <w:rFonts w:eastAsia="Arial"/>
          <w:color w:val="000000"/>
          <w:sz w:val="22"/>
          <w:szCs w:val="22"/>
        </w:rPr>
        <w:t xml:space="preserve"> RRCP flow scenarios by providing a transparent and flexible approach to selecting the flow regime that best meets the needs for tangible ecological restoration (Dalcin et al. 2022).</w:t>
      </w:r>
    </w:p>
    <w:p w14:paraId="6F086818" w14:textId="0F8D3CE1" w:rsidR="00491210" w:rsidRDefault="00EE200C" w:rsidP="005F1F7F">
      <w:pPr>
        <w:pStyle w:val="Heading3"/>
      </w:pPr>
      <w:bookmarkStart w:id="218" w:name="_Toc116994910"/>
      <w:r w:rsidRPr="4D1BBAA5">
        <w:t>Recommendations</w:t>
      </w:r>
      <w:bookmarkEnd w:id="218"/>
    </w:p>
    <w:p w14:paraId="3C6D1054" w14:textId="08C2E2E9" w:rsidR="00491210" w:rsidRPr="00292F68" w:rsidRDefault="00EE200C" w:rsidP="00292F68">
      <w:pPr>
        <w:spacing w:before="240" w:after="240"/>
        <w:jc w:val="both"/>
        <w:rPr>
          <w:rFonts w:eastAsia="Arial"/>
          <w:sz w:val="22"/>
          <w:szCs w:val="22"/>
        </w:rPr>
      </w:pPr>
      <w:r w:rsidRPr="00FC7D06">
        <w:rPr>
          <w:rFonts w:eastAsia="Arial"/>
          <w:iCs/>
          <w:sz w:val="22"/>
          <w:szCs w:val="22"/>
        </w:rPr>
        <w:t xml:space="preserve">In relation to the four RRCP flow scenarios examined, the population model predictions for Golden Perch </w:t>
      </w:r>
      <w:r w:rsidRPr="00FC7D06">
        <w:rPr>
          <w:rFonts w:eastAsia="Arial"/>
          <w:sz w:val="22"/>
          <w:szCs w:val="22"/>
        </w:rPr>
        <w:t>indic</w:t>
      </w:r>
      <w:r w:rsidRPr="00FC7D06">
        <w:rPr>
          <w:rFonts w:eastAsia="Arial"/>
          <w:iCs/>
          <w:sz w:val="22"/>
          <w:szCs w:val="22"/>
        </w:rPr>
        <w:t>ate that</w:t>
      </w:r>
      <w:r w:rsidRPr="00FC7D06">
        <w:rPr>
          <w:rFonts w:eastAsia="Arial"/>
          <w:sz w:val="22"/>
          <w:szCs w:val="22"/>
        </w:rPr>
        <w:t>, in the RRCP reaches of the Murray and Murrumbidgee rivers,</w:t>
      </w:r>
      <w:r w:rsidRPr="00FC7D06">
        <w:rPr>
          <w:rFonts w:eastAsia="Arial"/>
          <w:iCs/>
          <w:sz w:val="22"/>
          <w:szCs w:val="22"/>
        </w:rPr>
        <w:t xml:space="preserve"> the 45,000 ML</w:t>
      </w:r>
      <w:r w:rsidRPr="00FC7D06">
        <w:rPr>
          <w:rFonts w:eastAsia="Arial"/>
          <w:sz w:val="22"/>
          <w:szCs w:val="22"/>
        </w:rPr>
        <w:t> </w:t>
      </w:r>
      <w:r w:rsidRPr="00FC7D06">
        <w:rPr>
          <w:rFonts w:eastAsia="Arial"/>
          <w:iCs/>
          <w:sz w:val="22"/>
          <w:szCs w:val="22"/>
        </w:rPr>
        <w:t>day</w:t>
      </w:r>
      <w:r w:rsidRPr="00FC7D06">
        <w:rPr>
          <w:rFonts w:eastAsia="Arial"/>
          <w:iCs/>
          <w:sz w:val="22"/>
          <w:szCs w:val="22"/>
          <w:vertAlign w:val="superscript"/>
        </w:rPr>
        <w:t>–1</w:t>
      </w:r>
      <w:r w:rsidRPr="00FC7D06">
        <w:rPr>
          <w:rFonts w:eastAsia="Arial"/>
          <w:iCs/>
          <w:sz w:val="22"/>
          <w:szCs w:val="22"/>
        </w:rPr>
        <w:t xml:space="preserve"> RRCP hydrological scenario (i.e. Option 4) has the greatest benefits overall (</w:t>
      </w:r>
      <w:r w:rsidRPr="00FC7D06">
        <w:rPr>
          <w:rFonts w:eastAsia="Arial"/>
          <w:sz w:val="22"/>
          <w:szCs w:val="22"/>
        </w:rPr>
        <w:t xml:space="preserve">an </w:t>
      </w:r>
      <w:r w:rsidRPr="00FC7D06">
        <w:rPr>
          <w:rFonts w:eastAsia="Arial"/>
          <w:iCs/>
          <w:sz w:val="22"/>
          <w:szCs w:val="22"/>
        </w:rPr>
        <w:t xml:space="preserve">average 30% expected increase in mean </w:t>
      </w:r>
      <w:r w:rsidRPr="00FC7D06">
        <w:rPr>
          <w:rFonts w:eastAsia="Arial"/>
          <w:sz w:val="22"/>
          <w:szCs w:val="22"/>
        </w:rPr>
        <w:t xml:space="preserve">adult </w:t>
      </w:r>
      <w:r w:rsidRPr="00FC7D06">
        <w:rPr>
          <w:rFonts w:eastAsia="Arial"/>
          <w:iCs/>
          <w:sz w:val="22"/>
          <w:szCs w:val="22"/>
        </w:rPr>
        <w:t>population size, and up to 49% for some spatial areas</w:t>
      </w:r>
      <w:r w:rsidRPr="00FC7D06">
        <w:rPr>
          <w:rFonts w:eastAsia="Arial"/>
          <w:sz w:val="22"/>
          <w:szCs w:val="22"/>
        </w:rPr>
        <w:t>,</w:t>
      </w:r>
      <w:r w:rsidRPr="00FC7D06">
        <w:rPr>
          <w:rFonts w:eastAsia="Arial"/>
          <w:iCs/>
          <w:sz w:val="22"/>
          <w:szCs w:val="22"/>
        </w:rPr>
        <w:t xml:space="preserve"> compared with the Base case</w:t>
      </w:r>
      <w:r w:rsidRPr="00FC7D06">
        <w:rPr>
          <w:rFonts w:eastAsia="Arial"/>
          <w:sz w:val="22"/>
          <w:szCs w:val="22"/>
        </w:rPr>
        <w:t>)</w:t>
      </w:r>
      <w:r w:rsidRPr="00FC7D06">
        <w:rPr>
          <w:rFonts w:eastAsia="Arial"/>
          <w:iCs/>
          <w:sz w:val="22"/>
          <w:szCs w:val="22"/>
        </w:rPr>
        <w:t xml:space="preserve">. </w:t>
      </w:r>
      <w:r w:rsidRPr="00292F68">
        <w:rPr>
          <w:rFonts w:eastAsia="Arial"/>
          <w:sz w:val="22"/>
          <w:szCs w:val="22"/>
        </w:rPr>
        <w:t xml:space="preserve">For </w:t>
      </w:r>
      <w:r>
        <w:rPr>
          <w:rFonts w:eastAsia="Arial"/>
          <w:sz w:val="22"/>
          <w:szCs w:val="22"/>
        </w:rPr>
        <w:t xml:space="preserve">the </w:t>
      </w:r>
      <w:r w:rsidRPr="00292F68">
        <w:rPr>
          <w:rFonts w:eastAsia="Arial"/>
          <w:sz w:val="22"/>
          <w:szCs w:val="22"/>
        </w:rPr>
        <w:t xml:space="preserve">NSW DPE, we recommend that RRCP flow scenario of Option 4 </w:t>
      </w:r>
      <w:r>
        <w:rPr>
          <w:rFonts w:eastAsia="Arial"/>
          <w:sz w:val="22"/>
          <w:szCs w:val="22"/>
        </w:rPr>
        <w:t>i</w:t>
      </w:r>
      <w:r w:rsidRPr="00292F68">
        <w:rPr>
          <w:rFonts w:eastAsia="Arial"/>
          <w:sz w:val="22"/>
          <w:szCs w:val="22"/>
        </w:rPr>
        <w:t xml:space="preserve">s likely to be </w:t>
      </w:r>
      <w:r>
        <w:rPr>
          <w:rFonts w:eastAsia="Arial"/>
          <w:sz w:val="22"/>
          <w:szCs w:val="22"/>
        </w:rPr>
        <w:t xml:space="preserve">the </w:t>
      </w:r>
      <w:r w:rsidRPr="00292F68">
        <w:rPr>
          <w:rFonts w:eastAsia="Arial"/>
          <w:sz w:val="22"/>
          <w:szCs w:val="22"/>
        </w:rPr>
        <w:t>most beneficial for Golden Perch populations in the future.</w:t>
      </w:r>
    </w:p>
    <w:p w14:paraId="0A0716C7" w14:textId="7772CA06" w:rsidR="00491210" w:rsidRDefault="00EE200C" w:rsidP="005A3AE8">
      <w:pPr>
        <w:spacing w:before="240" w:after="240"/>
        <w:jc w:val="both"/>
        <w:rPr>
          <w:rFonts w:eastAsia="Arial"/>
          <w:sz w:val="22"/>
          <w:szCs w:val="22"/>
        </w:rPr>
      </w:pPr>
      <w:r w:rsidRPr="00FC7D06">
        <w:rPr>
          <w:rFonts w:eastAsia="Arial"/>
          <w:sz w:val="22"/>
          <w:szCs w:val="22"/>
        </w:rPr>
        <w:t>The population modelling has revealed several of the important pathways/mechanisms that help to support Golden Perch populations, including emigration between the Lower Murray–Darling Basin system and upstream tributaries, such as the Murray River above Torrumbarry, the Edward and Wakool rivers, and the Murrumbidgee system. The population models identified the flows and spatial areas that can influence these processes, indicating a strong link between the scenarios and outcomes supporting native fish recovery.</w:t>
      </w:r>
    </w:p>
    <w:p w14:paraId="386533B1" w14:textId="6C52AE3C" w:rsidR="00491210" w:rsidRPr="005A3AE8" w:rsidRDefault="00EE200C" w:rsidP="005A3AE8">
      <w:pPr>
        <w:spacing w:before="240" w:after="240"/>
        <w:jc w:val="both"/>
        <w:rPr>
          <w:rFonts w:eastAsia="Arial"/>
          <w:color w:val="000000"/>
          <w:sz w:val="22"/>
          <w:szCs w:val="22"/>
        </w:rPr>
      </w:pPr>
      <w:r w:rsidRPr="00292F68">
        <w:rPr>
          <w:rFonts w:eastAsia="Arial"/>
          <w:sz w:val="22"/>
          <w:szCs w:val="22"/>
        </w:rPr>
        <w:t>For Murray Cod, the population models highlighted that avoiding anoxic blackwater is the most influential factor in recovering populations. We recommend utilising this knowledge in annual watering plans to better support broad fish population dynamics.</w:t>
      </w:r>
    </w:p>
    <w:p w14:paraId="6A5E5781" w14:textId="77777777" w:rsidR="00491210" w:rsidRPr="00511C2D" w:rsidRDefault="00EE200C" w:rsidP="00511C2D">
      <w:pPr>
        <w:pStyle w:val="Heading4"/>
      </w:pPr>
      <w:r w:rsidRPr="00511C2D">
        <w:t>Supporting recommendations</w:t>
      </w:r>
    </w:p>
    <w:p w14:paraId="1CBA22F4" w14:textId="379E37CF" w:rsidR="00491210" w:rsidRPr="00292F68" w:rsidRDefault="00EE200C" w:rsidP="00292F68">
      <w:pPr>
        <w:spacing w:before="240" w:after="240"/>
        <w:jc w:val="both"/>
        <w:rPr>
          <w:rFonts w:eastAsia="Arial"/>
          <w:color w:val="000000"/>
          <w:sz w:val="22"/>
          <w:szCs w:val="22"/>
        </w:rPr>
      </w:pPr>
      <w:r w:rsidRPr="00D56990">
        <w:rPr>
          <w:rFonts w:eastAsia="Arial"/>
          <w:color w:val="000000"/>
          <w:sz w:val="22"/>
          <w:szCs w:val="22"/>
        </w:rPr>
        <w:t>The population models for Golden Perch and Murray Cod represent some of the most sophisticated tools for exploring future scenarios and likely ecological responses to a broad range of management interventions. Further technical refinements are suggested (e.g. the addition of key missing spatial areas, such as the Goulburn River and the Menindee Lakes, as well as modifications to the flow–ecology drivers), as are additional flow scenarios (e.g. natural flooding and climate change).</w:t>
      </w:r>
      <w:r w:rsidRPr="00292F68">
        <w:rPr>
          <w:rFonts w:eastAsia="Arial"/>
          <w:color w:val="000000"/>
          <w:sz w:val="22"/>
          <w:szCs w:val="22"/>
        </w:rPr>
        <w:t xml:space="preserve"> Subsequent application of the models may provide much-needed insights into the drivers of fish population dynamics over broad spatial and temporal scales to highlight applied pathways for fish recovery.</w:t>
      </w:r>
    </w:p>
    <w:p w14:paraId="4BCD05BA" w14:textId="1CE87E2B" w:rsidR="00491210" w:rsidRPr="00C57B10" w:rsidRDefault="00EE200C" w:rsidP="4D01078A">
      <w:pPr>
        <w:rPr>
          <w:sz w:val="22"/>
        </w:rPr>
      </w:pPr>
      <w:r w:rsidRPr="3FC79A6E">
        <w:rPr>
          <w:sz w:val="22"/>
          <w:szCs w:val="22"/>
        </w:rPr>
        <w:br w:type="page"/>
      </w:r>
    </w:p>
    <w:p w14:paraId="579BCC97" w14:textId="0EB1FE9C" w:rsidR="00491210" w:rsidRPr="007C54A1" w:rsidRDefault="00EE200C" w:rsidP="003472C9">
      <w:pPr>
        <w:pStyle w:val="Heading1-Numbered"/>
      </w:pPr>
      <w:bookmarkStart w:id="219" w:name="_Toc90388573"/>
      <w:bookmarkStart w:id="220" w:name="_Toc116994911"/>
      <w:r>
        <w:lastRenderedPageBreak/>
        <w:t>References</w:t>
      </w:r>
      <w:bookmarkEnd w:id="219"/>
      <w:bookmarkEnd w:id="220"/>
    </w:p>
    <w:p w14:paraId="6AEEE461" w14:textId="5CB482E0" w:rsidR="00491210" w:rsidRPr="00BF70A3" w:rsidRDefault="00EE200C" w:rsidP="00BF70A3">
      <w:pPr>
        <w:pStyle w:val="References1"/>
        <w:ind w:left="720" w:hanging="720"/>
        <w:rPr>
          <w:rFonts w:ascii="Arial" w:hAnsi="Arial" w:cs="Arial"/>
          <w:snapToGrid w:val="0"/>
          <w:sz w:val="22"/>
          <w:szCs w:val="22"/>
        </w:rPr>
      </w:pPr>
      <w:r w:rsidRPr="00087BF8">
        <w:rPr>
          <w:rFonts w:ascii="Arial" w:hAnsi="Arial" w:cs="Arial"/>
          <w:sz w:val="22"/>
          <w:szCs w:val="22"/>
          <w:lang w:eastAsia="en-AU"/>
        </w:rPr>
        <w:t xml:space="preserve">Akçakaya, H.R. (1991). A method for simulating demographic stochasticity. </w:t>
      </w:r>
      <w:r w:rsidRPr="00087BF8">
        <w:rPr>
          <w:rFonts w:ascii="Arial" w:hAnsi="Arial" w:cs="Arial"/>
          <w:i/>
          <w:iCs/>
          <w:sz w:val="22"/>
          <w:szCs w:val="22"/>
          <w:lang w:eastAsia="en-AU"/>
        </w:rPr>
        <w:t>Ecological Modelling</w:t>
      </w:r>
      <w:r w:rsidRPr="00087BF8">
        <w:rPr>
          <w:rFonts w:ascii="Arial" w:hAnsi="Arial" w:cs="Arial"/>
          <w:sz w:val="22"/>
          <w:szCs w:val="22"/>
          <w:lang w:eastAsia="en-AU"/>
        </w:rPr>
        <w:t xml:space="preserve"> </w:t>
      </w:r>
      <w:r w:rsidRPr="00087BF8">
        <w:rPr>
          <w:rFonts w:ascii="Arial" w:hAnsi="Arial" w:cs="Arial"/>
          <w:b/>
          <w:bCs/>
          <w:sz w:val="22"/>
          <w:szCs w:val="22"/>
          <w:lang w:eastAsia="en-AU"/>
        </w:rPr>
        <w:t>54,</w:t>
      </w:r>
      <w:r w:rsidRPr="00087BF8">
        <w:rPr>
          <w:rFonts w:ascii="Arial" w:hAnsi="Arial" w:cs="Arial"/>
          <w:sz w:val="22"/>
          <w:szCs w:val="22"/>
          <w:lang w:eastAsia="en-AU"/>
        </w:rPr>
        <w:t xml:space="preserve"> </w:t>
      </w:r>
      <w:r w:rsidRPr="00BF70A3">
        <w:rPr>
          <w:rFonts w:ascii="Arial" w:hAnsi="Arial" w:cs="Arial"/>
          <w:sz w:val="22"/>
          <w:szCs w:val="22"/>
          <w:lang w:eastAsia="en-AU"/>
        </w:rPr>
        <w:t>133–</w:t>
      </w:r>
      <w:r w:rsidRPr="00BF70A3">
        <w:rPr>
          <w:rFonts w:ascii="Arial" w:hAnsi="Arial" w:cs="Arial"/>
          <w:snapToGrid w:val="0"/>
          <w:sz w:val="22"/>
          <w:szCs w:val="22"/>
        </w:rPr>
        <w:t>136.</w:t>
      </w:r>
    </w:p>
    <w:p w14:paraId="140DA584" w14:textId="53C8792B" w:rsidR="00491210" w:rsidRPr="00BF70A3" w:rsidRDefault="00EE200C" w:rsidP="00BF70A3">
      <w:pPr>
        <w:ind w:left="720" w:hanging="720"/>
        <w:rPr>
          <w:sz w:val="22"/>
          <w:szCs w:val="22"/>
        </w:rPr>
      </w:pPr>
      <w:r w:rsidRPr="00BF70A3">
        <w:rPr>
          <w:sz w:val="22"/>
          <w:szCs w:val="22"/>
        </w:rPr>
        <w:t>Anderson</w:t>
      </w:r>
      <w:r>
        <w:rPr>
          <w:sz w:val="22"/>
          <w:szCs w:val="22"/>
        </w:rPr>
        <w:t>,</w:t>
      </w:r>
      <w:r w:rsidRPr="00BF70A3">
        <w:rPr>
          <w:sz w:val="22"/>
          <w:szCs w:val="22"/>
        </w:rPr>
        <w:t xml:space="preserve"> J</w:t>
      </w:r>
      <w:r>
        <w:rPr>
          <w:sz w:val="22"/>
          <w:szCs w:val="22"/>
        </w:rPr>
        <w:t>.,</w:t>
      </w:r>
      <w:r w:rsidRPr="00BF70A3">
        <w:rPr>
          <w:sz w:val="22"/>
          <w:szCs w:val="22"/>
        </w:rPr>
        <w:t xml:space="preserve"> Morison</w:t>
      </w:r>
      <w:r>
        <w:rPr>
          <w:sz w:val="22"/>
          <w:szCs w:val="22"/>
        </w:rPr>
        <w:t>,</w:t>
      </w:r>
      <w:r w:rsidRPr="00BF70A3">
        <w:rPr>
          <w:sz w:val="22"/>
          <w:szCs w:val="22"/>
        </w:rPr>
        <w:t xml:space="preserve"> A</w:t>
      </w:r>
      <w:r>
        <w:rPr>
          <w:sz w:val="22"/>
          <w:szCs w:val="22"/>
        </w:rPr>
        <w:t>. and</w:t>
      </w:r>
      <w:r w:rsidRPr="00BF70A3">
        <w:rPr>
          <w:sz w:val="22"/>
          <w:szCs w:val="22"/>
        </w:rPr>
        <w:t xml:space="preserve"> Ray</w:t>
      </w:r>
      <w:r>
        <w:rPr>
          <w:sz w:val="22"/>
          <w:szCs w:val="22"/>
        </w:rPr>
        <w:t>,</w:t>
      </w:r>
      <w:r w:rsidRPr="00BF70A3">
        <w:rPr>
          <w:sz w:val="22"/>
          <w:szCs w:val="22"/>
        </w:rPr>
        <w:t xml:space="preserve"> D</w:t>
      </w:r>
      <w:r>
        <w:rPr>
          <w:sz w:val="22"/>
          <w:szCs w:val="22"/>
        </w:rPr>
        <w:t>.</w:t>
      </w:r>
      <w:r w:rsidRPr="00BF70A3">
        <w:rPr>
          <w:sz w:val="22"/>
          <w:szCs w:val="22"/>
        </w:rPr>
        <w:t xml:space="preserve"> (1992). Age and growth of Murray Cod, </w:t>
      </w:r>
      <w:r w:rsidRPr="00BF70A3">
        <w:rPr>
          <w:i/>
          <w:iCs/>
          <w:sz w:val="22"/>
          <w:szCs w:val="22"/>
        </w:rPr>
        <w:t>Maccullochella peelii</w:t>
      </w:r>
      <w:r w:rsidRPr="00BF70A3">
        <w:rPr>
          <w:sz w:val="22"/>
          <w:szCs w:val="22"/>
        </w:rPr>
        <w:t xml:space="preserve"> (Perciformes: Percichthyidae), in the lower Murray-Darling Basin, Australia, from thin-sectioned otoliths. </w:t>
      </w:r>
      <w:r w:rsidRPr="00BF70A3">
        <w:rPr>
          <w:i/>
          <w:iCs/>
          <w:sz w:val="22"/>
          <w:szCs w:val="22"/>
        </w:rPr>
        <w:t>Marine and Freshwater Research</w:t>
      </w:r>
      <w:r w:rsidRPr="00BF70A3">
        <w:rPr>
          <w:sz w:val="22"/>
          <w:szCs w:val="22"/>
        </w:rPr>
        <w:t xml:space="preserve"> </w:t>
      </w:r>
      <w:r w:rsidRPr="00BF70A3">
        <w:rPr>
          <w:b/>
          <w:bCs/>
          <w:sz w:val="22"/>
          <w:szCs w:val="22"/>
        </w:rPr>
        <w:t>43</w:t>
      </w:r>
      <w:r w:rsidRPr="00BF70A3">
        <w:rPr>
          <w:sz w:val="22"/>
          <w:szCs w:val="22"/>
        </w:rPr>
        <w:t>, 983–1013.</w:t>
      </w:r>
    </w:p>
    <w:p w14:paraId="69BC44C9" w14:textId="222D3968" w:rsidR="00491210" w:rsidRPr="00BF70A3" w:rsidRDefault="00EE200C" w:rsidP="00BF70A3">
      <w:pPr>
        <w:pStyle w:val="References1"/>
        <w:ind w:left="720" w:hanging="720"/>
        <w:rPr>
          <w:rFonts w:ascii="Arial" w:hAnsi="Arial" w:cs="Arial"/>
          <w:sz w:val="22"/>
          <w:szCs w:val="22"/>
          <w:lang w:eastAsia="en-AU"/>
        </w:rPr>
      </w:pPr>
      <w:r w:rsidRPr="00BF70A3">
        <w:rPr>
          <w:rFonts w:ascii="Arial" w:hAnsi="Arial" w:cs="Arial"/>
          <w:sz w:val="22"/>
          <w:szCs w:val="22"/>
          <w:lang w:eastAsia="en-AU"/>
        </w:rPr>
        <w:t>Arumugam, P.T. and Geddes, M.C. (1987). Feeding and growth of golden perch larvae and fry (</w:t>
      </w:r>
      <w:r w:rsidRPr="00BF70A3">
        <w:rPr>
          <w:rFonts w:ascii="Arial" w:hAnsi="Arial" w:cs="Arial"/>
          <w:i/>
          <w:iCs/>
          <w:sz w:val="22"/>
          <w:szCs w:val="22"/>
          <w:lang w:eastAsia="en-AU"/>
        </w:rPr>
        <w:t xml:space="preserve">Macquaria ambigua </w:t>
      </w:r>
      <w:r w:rsidRPr="00BF70A3">
        <w:rPr>
          <w:rFonts w:ascii="Arial" w:hAnsi="Arial" w:cs="Arial"/>
          <w:sz w:val="22"/>
          <w:szCs w:val="22"/>
          <w:lang w:eastAsia="en-AU"/>
        </w:rPr>
        <w:t xml:space="preserve">Richardson). </w:t>
      </w:r>
      <w:r w:rsidRPr="00BF70A3">
        <w:rPr>
          <w:rFonts w:ascii="Arial" w:hAnsi="Arial" w:cs="Arial"/>
          <w:i/>
          <w:iCs/>
          <w:sz w:val="22"/>
          <w:szCs w:val="22"/>
          <w:lang w:eastAsia="en-AU"/>
        </w:rPr>
        <w:t>Transactions of the Royal Society of South Australia</w:t>
      </w:r>
      <w:r w:rsidRPr="00BF70A3">
        <w:rPr>
          <w:rFonts w:ascii="Arial" w:hAnsi="Arial" w:cs="Arial"/>
          <w:sz w:val="22"/>
          <w:szCs w:val="22"/>
          <w:lang w:eastAsia="en-AU"/>
        </w:rPr>
        <w:t xml:space="preserve"> </w:t>
      </w:r>
      <w:r w:rsidRPr="00BF70A3">
        <w:rPr>
          <w:rFonts w:ascii="Arial" w:hAnsi="Arial" w:cs="Arial"/>
          <w:b/>
          <w:bCs/>
          <w:sz w:val="22"/>
          <w:szCs w:val="22"/>
          <w:lang w:eastAsia="en-AU"/>
        </w:rPr>
        <w:t>111</w:t>
      </w:r>
      <w:r w:rsidRPr="00BF70A3">
        <w:rPr>
          <w:rFonts w:ascii="Arial" w:hAnsi="Arial" w:cs="Arial"/>
          <w:sz w:val="22"/>
          <w:szCs w:val="22"/>
          <w:lang w:eastAsia="en-AU"/>
        </w:rPr>
        <w:t>, 59–66.</w:t>
      </w:r>
    </w:p>
    <w:p w14:paraId="3C001B68" w14:textId="12AC29CA" w:rsidR="00491210" w:rsidRDefault="00EE200C" w:rsidP="00C30C65">
      <w:pPr>
        <w:pStyle w:val="References1"/>
        <w:rPr>
          <w:rFonts w:ascii="Arial" w:hAnsi="Arial" w:cs="Arial"/>
          <w:color w:val="201F1E"/>
          <w:sz w:val="22"/>
          <w:szCs w:val="22"/>
          <w:shd w:val="clear" w:color="auto" w:fill="FFFFFF"/>
        </w:rPr>
      </w:pPr>
      <w:r w:rsidRPr="003859A0">
        <w:rPr>
          <w:rFonts w:ascii="Arial" w:hAnsi="Arial" w:cs="Arial"/>
          <w:color w:val="201F1E"/>
          <w:sz w:val="22"/>
          <w:szCs w:val="22"/>
          <w:shd w:val="clear" w:color="auto" w:fill="FFFFFF"/>
        </w:rPr>
        <w:t>Augusiak, J., Van den Brink</w:t>
      </w:r>
      <w:r>
        <w:rPr>
          <w:rFonts w:ascii="Arial" w:hAnsi="Arial" w:cs="Arial"/>
          <w:color w:val="201F1E"/>
          <w:sz w:val="22"/>
          <w:szCs w:val="22"/>
          <w:shd w:val="clear" w:color="auto" w:fill="FFFFFF"/>
        </w:rPr>
        <w:t xml:space="preserve">, </w:t>
      </w:r>
      <w:r w:rsidRPr="003859A0">
        <w:rPr>
          <w:rFonts w:ascii="Arial" w:hAnsi="Arial" w:cs="Arial"/>
          <w:color w:val="201F1E"/>
          <w:sz w:val="22"/>
          <w:szCs w:val="22"/>
          <w:shd w:val="clear" w:color="auto" w:fill="FFFFFF"/>
        </w:rPr>
        <w:t>P. J., and Grimm</w:t>
      </w:r>
      <w:r>
        <w:rPr>
          <w:rFonts w:ascii="Arial" w:hAnsi="Arial" w:cs="Arial"/>
          <w:color w:val="201F1E"/>
          <w:sz w:val="22"/>
          <w:szCs w:val="22"/>
          <w:shd w:val="clear" w:color="auto" w:fill="FFFFFF"/>
        </w:rPr>
        <w:t xml:space="preserve">, </w:t>
      </w:r>
      <w:r w:rsidRPr="003859A0">
        <w:rPr>
          <w:rFonts w:ascii="Arial" w:hAnsi="Arial" w:cs="Arial"/>
          <w:color w:val="201F1E"/>
          <w:sz w:val="22"/>
          <w:szCs w:val="22"/>
          <w:shd w:val="clear" w:color="auto" w:fill="FFFFFF"/>
        </w:rPr>
        <w:t xml:space="preserve">V. </w:t>
      </w:r>
      <w:r>
        <w:rPr>
          <w:rFonts w:ascii="Arial" w:hAnsi="Arial" w:cs="Arial"/>
          <w:color w:val="201F1E"/>
          <w:sz w:val="22"/>
          <w:szCs w:val="22"/>
          <w:shd w:val="clear" w:color="auto" w:fill="FFFFFF"/>
        </w:rPr>
        <w:t>(</w:t>
      </w:r>
      <w:r w:rsidRPr="003859A0">
        <w:rPr>
          <w:rFonts w:ascii="Arial" w:hAnsi="Arial" w:cs="Arial"/>
          <w:color w:val="201F1E"/>
          <w:sz w:val="22"/>
          <w:szCs w:val="22"/>
          <w:shd w:val="clear" w:color="auto" w:fill="FFFFFF"/>
        </w:rPr>
        <w:t>2014</w:t>
      </w:r>
      <w:r>
        <w:rPr>
          <w:rFonts w:ascii="Arial" w:hAnsi="Arial" w:cs="Arial"/>
          <w:color w:val="201F1E"/>
          <w:sz w:val="22"/>
          <w:szCs w:val="22"/>
          <w:shd w:val="clear" w:color="auto" w:fill="FFFFFF"/>
        </w:rPr>
        <w:t>)</w:t>
      </w:r>
      <w:r w:rsidRPr="003859A0">
        <w:rPr>
          <w:rFonts w:ascii="Arial" w:hAnsi="Arial" w:cs="Arial"/>
          <w:color w:val="201F1E"/>
          <w:sz w:val="22"/>
          <w:szCs w:val="22"/>
          <w:shd w:val="clear" w:color="auto" w:fill="FFFFFF"/>
        </w:rPr>
        <w:t xml:space="preserve"> Merging validation and evaluation of ecological models to ‘evaludation’: A review of terminology and a practical approach. </w:t>
      </w:r>
      <w:r w:rsidRPr="003859A0">
        <w:rPr>
          <w:rFonts w:ascii="Arial" w:hAnsi="Arial" w:cs="Arial"/>
          <w:i/>
          <w:iCs/>
          <w:color w:val="201F1E"/>
          <w:sz w:val="22"/>
          <w:szCs w:val="22"/>
          <w:shd w:val="clear" w:color="auto" w:fill="FFFFFF"/>
        </w:rPr>
        <w:t>Ecological Modelling</w:t>
      </w:r>
      <w:r w:rsidRPr="003859A0">
        <w:rPr>
          <w:rFonts w:ascii="Arial" w:hAnsi="Arial" w:cs="Arial"/>
          <w:color w:val="201F1E"/>
          <w:sz w:val="22"/>
          <w:szCs w:val="22"/>
          <w:shd w:val="clear" w:color="auto" w:fill="FFFFFF"/>
        </w:rPr>
        <w:t> </w:t>
      </w:r>
      <w:r w:rsidRPr="003859A0">
        <w:rPr>
          <w:rFonts w:ascii="Arial" w:hAnsi="Arial" w:cs="Arial"/>
          <w:b/>
          <w:bCs/>
          <w:color w:val="201F1E"/>
          <w:sz w:val="22"/>
          <w:szCs w:val="22"/>
          <w:shd w:val="clear" w:color="auto" w:fill="FFFFFF"/>
        </w:rPr>
        <w:t>280</w:t>
      </w:r>
      <w:r>
        <w:rPr>
          <w:rFonts w:ascii="Arial" w:hAnsi="Arial" w:cs="Arial"/>
          <w:color w:val="201F1E"/>
          <w:sz w:val="22"/>
          <w:szCs w:val="22"/>
          <w:shd w:val="clear" w:color="auto" w:fill="FFFFFF"/>
        </w:rPr>
        <w:t xml:space="preserve">, </w:t>
      </w:r>
      <w:r w:rsidRPr="003859A0">
        <w:rPr>
          <w:rFonts w:ascii="Arial" w:hAnsi="Arial" w:cs="Arial"/>
          <w:color w:val="201F1E"/>
          <w:sz w:val="22"/>
          <w:szCs w:val="22"/>
          <w:shd w:val="clear" w:color="auto" w:fill="FFFFFF"/>
        </w:rPr>
        <w:t>117</w:t>
      </w:r>
      <w:r w:rsidRPr="00087BF8">
        <w:rPr>
          <w:rFonts w:ascii="Arial" w:hAnsi="Arial" w:cs="Arial"/>
          <w:color w:val="000000"/>
          <w:sz w:val="22"/>
          <w:szCs w:val="22"/>
          <w:lang w:eastAsia="en-AU"/>
        </w:rPr>
        <w:t>–</w:t>
      </w:r>
      <w:r w:rsidRPr="003859A0">
        <w:rPr>
          <w:rFonts w:ascii="Arial" w:hAnsi="Arial" w:cs="Arial"/>
          <w:color w:val="201F1E"/>
          <w:sz w:val="22"/>
          <w:szCs w:val="22"/>
          <w:shd w:val="clear" w:color="auto" w:fill="FFFFFF"/>
        </w:rPr>
        <w:t>128.</w:t>
      </w:r>
    </w:p>
    <w:p w14:paraId="162DE2E3" w14:textId="4D43C1E9" w:rsidR="00491210" w:rsidRPr="003859A0" w:rsidRDefault="00EE200C" w:rsidP="00C30C65">
      <w:pPr>
        <w:pStyle w:val="References1"/>
        <w:rPr>
          <w:rFonts w:ascii="Arial" w:hAnsi="Arial" w:cs="Arial"/>
          <w:sz w:val="22"/>
          <w:szCs w:val="22"/>
          <w:lang w:eastAsia="en-AU"/>
        </w:rPr>
      </w:pPr>
      <w:r w:rsidRPr="003859A0">
        <w:rPr>
          <w:rFonts w:ascii="Arial" w:hAnsi="Arial" w:cs="Arial"/>
          <w:color w:val="201F1E"/>
          <w:sz w:val="22"/>
          <w:szCs w:val="22"/>
          <w:shd w:val="clear" w:color="auto" w:fill="FFFFFF"/>
        </w:rPr>
        <w:t xml:space="preserve">Bart, J. </w:t>
      </w:r>
      <w:r>
        <w:rPr>
          <w:rFonts w:ascii="Arial" w:hAnsi="Arial" w:cs="Arial"/>
          <w:color w:val="201F1E"/>
          <w:sz w:val="22"/>
          <w:szCs w:val="22"/>
          <w:shd w:val="clear" w:color="auto" w:fill="FFFFFF"/>
        </w:rPr>
        <w:t>(</w:t>
      </w:r>
      <w:r w:rsidRPr="003859A0">
        <w:rPr>
          <w:rFonts w:ascii="Arial" w:hAnsi="Arial" w:cs="Arial"/>
          <w:color w:val="201F1E"/>
          <w:sz w:val="22"/>
          <w:szCs w:val="22"/>
          <w:shd w:val="clear" w:color="auto" w:fill="FFFFFF"/>
        </w:rPr>
        <w:t>1995</w:t>
      </w:r>
      <w:r>
        <w:rPr>
          <w:rFonts w:ascii="Arial" w:hAnsi="Arial" w:cs="Arial"/>
          <w:color w:val="201F1E"/>
          <w:sz w:val="22"/>
          <w:szCs w:val="22"/>
          <w:shd w:val="clear" w:color="auto" w:fill="FFFFFF"/>
        </w:rPr>
        <w:t>)</w:t>
      </w:r>
      <w:r w:rsidRPr="003859A0">
        <w:rPr>
          <w:rFonts w:ascii="Arial" w:hAnsi="Arial" w:cs="Arial"/>
          <w:color w:val="201F1E"/>
          <w:sz w:val="22"/>
          <w:szCs w:val="22"/>
          <w:shd w:val="clear" w:color="auto" w:fill="FFFFFF"/>
        </w:rPr>
        <w:t xml:space="preserve"> Acceptance criteria for using individual</w:t>
      </w:r>
      <w:r w:rsidRPr="003859A0">
        <w:rPr>
          <w:rFonts w:ascii="Cambria Math" w:hAnsi="Cambria Math" w:cs="Cambria Math"/>
          <w:color w:val="201F1E"/>
          <w:sz w:val="22"/>
          <w:szCs w:val="22"/>
          <w:shd w:val="clear" w:color="auto" w:fill="FFFFFF"/>
        </w:rPr>
        <w:t>‐</w:t>
      </w:r>
      <w:r w:rsidRPr="003859A0">
        <w:rPr>
          <w:rFonts w:ascii="Arial" w:hAnsi="Arial" w:cs="Arial"/>
          <w:color w:val="201F1E"/>
          <w:sz w:val="22"/>
          <w:szCs w:val="22"/>
          <w:shd w:val="clear" w:color="auto" w:fill="FFFFFF"/>
        </w:rPr>
        <w:t xml:space="preserve">based models to make management decisions. </w:t>
      </w:r>
      <w:r w:rsidRPr="003859A0">
        <w:rPr>
          <w:rFonts w:ascii="Arial" w:hAnsi="Arial" w:cs="Arial"/>
          <w:i/>
          <w:iCs/>
          <w:color w:val="201F1E"/>
          <w:sz w:val="22"/>
          <w:szCs w:val="22"/>
          <w:shd w:val="clear" w:color="auto" w:fill="FFFFFF"/>
        </w:rPr>
        <w:t>Ecological Applications</w:t>
      </w:r>
      <w:r w:rsidRPr="003859A0">
        <w:rPr>
          <w:rFonts w:ascii="Arial" w:hAnsi="Arial" w:cs="Arial"/>
          <w:color w:val="201F1E"/>
          <w:sz w:val="22"/>
          <w:szCs w:val="22"/>
          <w:shd w:val="clear" w:color="auto" w:fill="FFFFFF"/>
        </w:rPr>
        <w:t> </w:t>
      </w:r>
      <w:r w:rsidRPr="003859A0">
        <w:rPr>
          <w:rFonts w:ascii="Arial" w:hAnsi="Arial" w:cs="Arial"/>
          <w:b/>
          <w:bCs/>
          <w:color w:val="201F1E"/>
          <w:sz w:val="22"/>
          <w:szCs w:val="22"/>
          <w:shd w:val="clear" w:color="auto" w:fill="FFFFFF"/>
        </w:rPr>
        <w:t>5</w:t>
      </w:r>
      <w:r w:rsidRPr="003859A0">
        <w:rPr>
          <w:rFonts w:ascii="Arial" w:hAnsi="Arial" w:cs="Arial"/>
          <w:color w:val="201F1E"/>
          <w:sz w:val="22"/>
          <w:szCs w:val="22"/>
          <w:shd w:val="clear" w:color="auto" w:fill="FFFFFF"/>
        </w:rPr>
        <w:t>, 411</w:t>
      </w:r>
      <w:r w:rsidRPr="00087BF8">
        <w:rPr>
          <w:rFonts w:ascii="Arial" w:hAnsi="Arial" w:cs="Arial"/>
          <w:color w:val="000000"/>
          <w:sz w:val="22"/>
          <w:szCs w:val="22"/>
          <w:lang w:eastAsia="en-AU"/>
        </w:rPr>
        <w:t>–</w:t>
      </w:r>
      <w:r w:rsidRPr="003859A0">
        <w:rPr>
          <w:rFonts w:ascii="Arial" w:hAnsi="Arial" w:cs="Arial"/>
          <w:color w:val="201F1E"/>
          <w:sz w:val="22"/>
          <w:szCs w:val="22"/>
          <w:shd w:val="clear" w:color="auto" w:fill="FFFFFF"/>
        </w:rPr>
        <w:t>420.</w:t>
      </w:r>
    </w:p>
    <w:p w14:paraId="76A7D46B" w14:textId="1C2102D0" w:rsidR="00491210" w:rsidRPr="00087BF8" w:rsidRDefault="00EE200C" w:rsidP="00C30C65">
      <w:pPr>
        <w:pStyle w:val="References1"/>
        <w:rPr>
          <w:rFonts w:ascii="Arial" w:hAnsi="Arial" w:cs="Arial"/>
          <w:sz w:val="22"/>
          <w:szCs w:val="22"/>
          <w:shd w:val="clear" w:color="auto" w:fill="FFFFFF"/>
          <w:lang w:eastAsia="en-AU"/>
        </w:rPr>
      </w:pPr>
      <w:r w:rsidRPr="00087BF8">
        <w:rPr>
          <w:rFonts w:ascii="Arial" w:hAnsi="Arial" w:cs="Arial"/>
          <w:sz w:val="22"/>
          <w:szCs w:val="22"/>
          <w:shd w:val="clear" w:color="auto" w:fill="FFFFFF"/>
          <w:lang w:eastAsia="en-AU"/>
        </w:rPr>
        <w:t xml:space="preserve">Brown, T.R., Todd, C.R., Hale, R., Swearer, S.E. and Coleman, R.A. (2020). Testing the adaptive advantage of a threatened species over an invasive species using a stochastic population model. </w:t>
      </w:r>
      <w:r w:rsidRPr="00087BF8">
        <w:rPr>
          <w:rFonts w:ascii="Arial" w:hAnsi="Arial" w:cs="Arial"/>
          <w:i/>
          <w:iCs/>
          <w:sz w:val="22"/>
          <w:szCs w:val="22"/>
          <w:shd w:val="clear" w:color="auto" w:fill="FFFFFF"/>
          <w:lang w:eastAsia="en-AU"/>
        </w:rPr>
        <w:t>Journal of Environmental Management</w:t>
      </w:r>
      <w:r w:rsidRPr="00087BF8">
        <w:rPr>
          <w:rFonts w:ascii="Arial" w:hAnsi="Arial" w:cs="Arial"/>
          <w:sz w:val="22"/>
          <w:szCs w:val="22"/>
          <w:shd w:val="clear" w:color="auto" w:fill="FFFFFF"/>
          <w:lang w:eastAsia="en-AU"/>
        </w:rPr>
        <w:t xml:space="preserve"> </w:t>
      </w:r>
      <w:r w:rsidRPr="00087BF8">
        <w:rPr>
          <w:rFonts w:ascii="Arial" w:hAnsi="Arial" w:cs="Arial"/>
          <w:b/>
          <w:bCs/>
          <w:sz w:val="22"/>
          <w:szCs w:val="22"/>
          <w:shd w:val="clear" w:color="auto" w:fill="FFFFFF"/>
          <w:lang w:eastAsia="en-AU"/>
        </w:rPr>
        <w:t>264</w:t>
      </w:r>
      <w:r w:rsidRPr="00087BF8">
        <w:rPr>
          <w:rFonts w:ascii="Arial" w:hAnsi="Arial" w:cs="Arial"/>
          <w:sz w:val="22"/>
          <w:szCs w:val="22"/>
          <w:shd w:val="clear" w:color="auto" w:fill="FFFFFF"/>
          <w:lang w:eastAsia="en-AU"/>
        </w:rPr>
        <w:t>, 110524.</w:t>
      </w:r>
    </w:p>
    <w:p w14:paraId="1F8D0150" w14:textId="77777777" w:rsidR="00491210" w:rsidRPr="00087BF8" w:rsidRDefault="00EE200C" w:rsidP="00C30C65">
      <w:pPr>
        <w:pStyle w:val="References1"/>
        <w:rPr>
          <w:rFonts w:ascii="Arial" w:hAnsi="Arial" w:cs="Arial"/>
          <w:sz w:val="22"/>
          <w:szCs w:val="22"/>
          <w:highlight w:val="yellow"/>
        </w:rPr>
      </w:pPr>
      <w:r w:rsidRPr="00087BF8">
        <w:rPr>
          <w:rFonts w:ascii="Arial" w:hAnsi="Arial" w:cs="Arial"/>
          <w:sz w:val="22"/>
          <w:szCs w:val="22"/>
          <w:shd w:val="clear" w:color="auto" w:fill="FFFFFF"/>
          <w:lang w:eastAsia="en-AU"/>
        </w:rPr>
        <w:t xml:space="preserve">Burgman, M.A., Ferson, S. and Akçakaya, H.R. (1993). </w:t>
      </w:r>
      <w:r w:rsidRPr="00087BF8">
        <w:rPr>
          <w:rFonts w:ascii="Arial" w:hAnsi="Arial" w:cs="Arial"/>
          <w:i/>
          <w:sz w:val="22"/>
          <w:szCs w:val="22"/>
          <w:shd w:val="clear" w:color="auto" w:fill="FFFFFF"/>
          <w:lang w:eastAsia="en-AU"/>
        </w:rPr>
        <w:t>Risk Assessment in Conservation Biology</w:t>
      </w:r>
      <w:r w:rsidRPr="00087BF8">
        <w:rPr>
          <w:rFonts w:ascii="Arial" w:hAnsi="Arial" w:cs="Arial"/>
          <w:sz w:val="22"/>
          <w:szCs w:val="22"/>
          <w:shd w:val="clear" w:color="auto" w:fill="FFFFFF"/>
          <w:lang w:eastAsia="en-AU"/>
        </w:rPr>
        <w:t xml:space="preserve">. </w:t>
      </w:r>
      <w:r w:rsidRPr="00087BF8">
        <w:rPr>
          <w:rFonts w:ascii="Arial" w:hAnsi="Arial" w:cs="Arial"/>
          <w:sz w:val="22"/>
          <w:szCs w:val="22"/>
        </w:rPr>
        <w:t>Chapman and Hall, London, UK.</w:t>
      </w:r>
    </w:p>
    <w:p w14:paraId="7F781806" w14:textId="4E3195CD" w:rsidR="00491210" w:rsidRPr="00087BF8" w:rsidRDefault="00EE200C" w:rsidP="00C30C65">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Cadwallader, P.L. and Gooley, G.J. (1985). </w:t>
      </w:r>
      <w:r w:rsidRPr="00087BF8">
        <w:rPr>
          <w:rFonts w:ascii="Arial" w:hAnsi="Arial" w:cs="Arial"/>
          <w:i/>
          <w:color w:val="000000"/>
          <w:sz w:val="22"/>
          <w:szCs w:val="22"/>
          <w:lang w:eastAsia="en-AU"/>
        </w:rPr>
        <w:t xml:space="preserve">Propagation and rearing of Murray Cod </w:t>
      </w:r>
      <w:r w:rsidRPr="00087BF8">
        <w:rPr>
          <w:rFonts w:ascii="Arial" w:hAnsi="Arial" w:cs="Arial"/>
          <w:i/>
          <w:iCs/>
          <w:color w:val="000000"/>
          <w:sz w:val="22"/>
          <w:szCs w:val="22"/>
          <w:lang w:eastAsia="en-AU"/>
        </w:rPr>
        <w:t>Maccullochella peelii</w:t>
      </w:r>
      <w:r w:rsidRPr="00087BF8">
        <w:rPr>
          <w:rFonts w:ascii="Arial" w:hAnsi="Arial" w:cs="Arial"/>
          <w:i/>
          <w:color w:val="000000"/>
          <w:sz w:val="22"/>
          <w:szCs w:val="22"/>
          <w:lang w:eastAsia="en-AU"/>
        </w:rPr>
        <w:t xml:space="preserve"> at the Warmwater Fisheries Station Pilot Project, Lake Charlegrark</w:t>
      </w:r>
      <w:r w:rsidRPr="00087BF8">
        <w:rPr>
          <w:rFonts w:ascii="Arial" w:hAnsi="Arial" w:cs="Arial"/>
          <w:color w:val="000000"/>
          <w:sz w:val="22"/>
          <w:szCs w:val="22"/>
          <w:lang w:eastAsia="en-AU"/>
        </w:rPr>
        <w:t>. Fisheries and Wildlife Service, Department of Conservation, Forests and Lands, Melbourne, Victoria.</w:t>
      </w:r>
    </w:p>
    <w:p w14:paraId="3D3EA6B3" w14:textId="126A31D1" w:rsidR="00491210" w:rsidRPr="00087BF8" w:rsidDel="00004B87" w:rsidRDefault="00EE200C" w:rsidP="00C30C65">
      <w:pPr>
        <w:pStyle w:val="References1"/>
        <w:rPr>
          <w:rFonts w:ascii="Arial" w:hAnsi="Arial" w:cs="Arial"/>
          <w:color w:val="000000"/>
          <w:sz w:val="22"/>
          <w:szCs w:val="22"/>
          <w:lang w:eastAsia="en-AU"/>
        </w:rPr>
      </w:pPr>
      <w:r w:rsidRPr="00087BF8">
        <w:rPr>
          <w:rFonts w:ascii="Arial" w:hAnsi="Arial" w:cs="Arial"/>
          <w:color w:val="000000"/>
          <w:sz w:val="22"/>
          <w:szCs w:val="22"/>
          <w:lang w:eastAsia="en-AU"/>
        </w:rPr>
        <w:t xml:space="preserve">Dalcin, A.P., Marques, G.F., Galego de Oliveira, A. and Tilmant, A. (2022). Identifying functional flow regimes and fish response for multiple reservoir operating solutions. </w:t>
      </w:r>
      <w:r w:rsidRPr="00087BF8">
        <w:rPr>
          <w:rFonts w:ascii="Arial" w:hAnsi="Arial" w:cs="Arial"/>
          <w:i/>
          <w:iCs/>
          <w:color w:val="000000"/>
          <w:sz w:val="22"/>
          <w:szCs w:val="22"/>
          <w:lang w:eastAsia="en-AU"/>
        </w:rPr>
        <w:t>Journal of Water Resources Planning and Management</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148</w:t>
      </w:r>
      <w:r w:rsidRPr="00087BF8">
        <w:rPr>
          <w:rFonts w:ascii="Arial" w:hAnsi="Arial" w:cs="Arial"/>
          <w:color w:val="000000"/>
          <w:sz w:val="22"/>
          <w:szCs w:val="22"/>
          <w:lang w:eastAsia="en-AU"/>
        </w:rPr>
        <w:t>, 04022026.</w:t>
      </w:r>
    </w:p>
    <w:p w14:paraId="278DF912" w14:textId="60339C09" w:rsidR="00491210" w:rsidRPr="00087BF8" w:rsidRDefault="00EE200C" w:rsidP="00C30C65">
      <w:pPr>
        <w:pStyle w:val="References1"/>
        <w:rPr>
          <w:rFonts w:ascii="Arial" w:hAnsi="Arial" w:cs="Arial"/>
          <w:color w:val="000000"/>
          <w:sz w:val="22"/>
          <w:szCs w:val="22"/>
          <w:lang w:eastAsia="en-AU"/>
        </w:rPr>
      </w:pPr>
      <w:r w:rsidRPr="00087BF8">
        <w:rPr>
          <w:rFonts w:ascii="Arial" w:hAnsi="Arial" w:cs="Arial"/>
          <w:color w:val="000000"/>
          <w:sz w:val="22"/>
          <w:szCs w:val="22"/>
          <w:lang w:eastAsia="en-AU"/>
        </w:rPr>
        <w:t xml:space="preserve">Deitze, M.C., Fox, A., Beck-Johnson, L.M., Betancourt, J.L., Hooten, M.B. Jarnevich, C.S, Keitt, T.H, Kenney, M.A., Laney, C.M., Larsen, L.G., Loescher, H.W., Lunch, C.K., Pijanowski, B.C., Randerson, J.T., Read, E.K., Tredennick, A.T., Vargas, R., Weathers, K.C. and White, E.P. (2018). </w:t>
      </w:r>
      <w:r w:rsidRPr="00087BF8">
        <w:rPr>
          <w:rFonts w:ascii="Arial" w:hAnsi="Arial" w:cs="Arial"/>
          <w:iCs/>
          <w:color w:val="000000"/>
          <w:sz w:val="22"/>
          <w:szCs w:val="22"/>
          <w:lang w:eastAsia="en-AU"/>
        </w:rPr>
        <w:t>Iterative near-term ecological forecasting: needs, opportunities, and challenges</w:t>
      </w:r>
      <w:r w:rsidRPr="00087BF8">
        <w:rPr>
          <w:rFonts w:ascii="Arial" w:hAnsi="Arial" w:cs="Arial"/>
          <w:color w:val="000000"/>
          <w:sz w:val="22"/>
          <w:szCs w:val="22"/>
          <w:lang w:eastAsia="en-AU"/>
        </w:rPr>
        <w:t xml:space="preserve">. </w:t>
      </w:r>
      <w:r w:rsidRPr="00087BF8">
        <w:rPr>
          <w:rFonts w:ascii="Arial" w:hAnsi="Arial" w:cs="Arial"/>
          <w:i/>
          <w:color w:val="000000"/>
          <w:sz w:val="22"/>
          <w:szCs w:val="22"/>
          <w:lang w:eastAsia="en-AU"/>
        </w:rPr>
        <w:t>Proceedings of the National Academy of Sciences of the United States of America</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115</w:t>
      </w:r>
      <w:r w:rsidRPr="00087BF8">
        <w:rPr>
          <w:rFonts w:ascii="Arial" w:hAnsi="Arial" w:cs="Arial"/>
          <w:color w:val="000000"/>
          <w:sz w:val="22"/>
          <w:szCs w:val="22"/>
          <w:lang w:eastAsia="en-AU"/>
        </w:rPr>
        <w:t>, 1424–1432.</w:t>
      </w:r>
    </w:p>
    <w:p w14:paraId="0C98EB6D" w14:textId="2CF4D73F" w:rsidR="00491210" w:rsidRPr="00087BF8" w:rsidRDefault="00EE200C" w:rsidP="00C30C65">
      <w:pPr>
        <w:pStyle w:val="References1"/>
        <w:rPr>
          <w:rFonts w:ascii="Arial" w:eastAsia="Arial" w:hAnsi="Arial" w:cs="Arial"/>
          <w:color w:val="000000"/>
          <w:sz w:val="22"/>
          <w:szCs w:val="22"/>
        </w:rPr>
      </w:pPr>
      <w:r w:rsidRPr="00087BF8">
        <w:rPr>
          <w:rFonts w:ascii="Arial" w:eastAsia="Arial" w:hAnsi="Arial" w:cs="Arial"/>
          <w:color w:val="000000"/>
          <w:sz w:val="22"/>
          <w:szCs w:val="22"/>
        </w:rPr>
        <w:t xml:space="preserve">Department of Planning and Environment (DPE). (2022). </w:t>
      </w:r>
      <w:r w:rsidRPr="00087BF8">
        <w:rPr>
          <w:rFonts w:ascii="Arial" w:eastAsia="Arial" w:hAnsi="Arial" w:cs="Arial"/>
          <w:i/>
          <w:color w:val="000000"/>
          <w:sz w:val="22"/>
          <w:szCs w:val="22"/>
        </w:rPr>
        <w:t>Hypoxic blackwater likelihood timeseries assessment for the Murray Project area, April 2022</w:t>
      </w:r>
      <w:r w:rsidRPr="00087BF8">
        <w:rPr>
          <w:rFonts w:ascii="Arial" w:eastAsia="Arial" w:hAnsi="Arial" w:cs="Arial"/>
          <w:color w:val="000000"/>
          <w:sz w:val="22"/>
          <w:szCs w:val="22"/>
        </w:rPr>
        <w:t>. Environment and Heritage Group, Department of Planning and Environment, NSW.</w:t>
      </w:r>
    </w:p>
    <w:p w14:paraId="618C7DCD" w14:textId="1BE4309B" w:rsidR="00491210" w:rsidRPr="00087BF8" w:rsidDel="00004B87" w:rsidRDefault="00EE200C" w:rsidP="00C30C65">
      <w:pPr>
        <w:pStyle w:val="References1"/>
        <w:rPr>
          <w:rFonts w:ascii="Arial" w:hAnsi="Arial" w:cs="Arial"/>
          <w:color w:val="000000"/>
          <w:sz w:val="22"/>
          <w:szCs w:val="22"/>
          <w:lang w:eastAsia="en-AU"/>
        </w:rPr>
      </w:pPr>
      <w:r w:rsidRPr="00087BF8">
        <w:rPr>
          <w:rFonts w:ascii="Arial" w:hAnsi="Arial" w:cs="Arial"/>
          <w:color w:val="000000"/>
          <w:sz w:val="22"/>
          <w:szCs w:val="22"/>
          <w:lang w:eastAsia="en-AU"/>
        </w:rPr>
        <w:t xml:space="preserve">Department of Planning, Industry and Environment (DPIE). (2020a). </w:t>
      </w:r>
      <w:r w:rsidRPr="00087BF8">
        <w:rPr>
          <w:rFonts w:ascii="Arial" w:hAnsi="Arial" w:cs="Arial"/>
          <w:i/>
          <w:color w:val="000000"/>
          <w:sz w:val="22"/>
          <w:szCs w:val="22"/>
          <w:lang w:eastAsia="en-AU"/>
        </w:rPr>
        <w:t>Murray–Lower Darling Long Term Water Plan Part B: Murray–Lower Darling planning units.</w:t>
      </w:r>
      <w:r w:rsidRPr="00087BF8">
        <w:rPr>
          <w:rFonts w:ascii="Arial" w:hAnsi="Arial" w:cs="Arial"/>
          <w:color w:val="000000"/>
          <w:sz w:val="22"/>
          <w:szCs w:val="22"/>
          <w:lang w:eastAsia="en-AU"/>
        </w:rPr>
        <w:t xml:space="preserve"> State of New South Wales and Department of Planning, Industry and Environment, NSW.</w:t>
      </w:r>
    </w:p>
    <w:p w14:paraId="65C30D11" w14:textId="42EA50A2" w:rsidR="00491210" w:rsidRPr="00087BF8" w:rsidRDefault="00EE200C" w:rsidP="00C30C65">
      <w:pPr>
        <w:pStyle w:val="References1"/>
        <w:rPr>
          <w:rFonts w:ascii="Arial" w:hAnsi="Arial" w:cs="Arial"/>
          <w:color w:val="000000"/>
          <w:sz w:val="22"/>
          <w:szCs w:val="22"/>
          <w:lang w:eastAsia="en-AU"/>
        </w:rPr>
      </w:pPr>
      <w:r w:rsidRPr="00087BF8">
        <w:rPr>
          <w:rFonts w:ascii="Arial" w:hAnsi="Arial" w:cs="Arial"/>
          <w:color w:val="000000"/>
          <w:sz w:val="22"/>
          <w:szCs w:val="22"/>
          <w:lang w:eastAsia="en-AU"/>
        </w:rPr>
        <w:t xml:space="preserve">Department of Planning, Industry and Environment (DPIE). (2020b). </w:t>
      </w:r>
      <w:r w:rsidRPr="00087BF8">
        <w:rPr>
          <w:rFonts w:ascii="Arial" w:hAnsi="Arial" w:cs="Arial"/>
          <w:i/>
          <w:color w:val="000000"/>
          <w:sz w:val="22"/>
          <w:szCs w:val="22"/>
          <w:lang w:eastAsia="en-AU"/>
        </w:rPr>
        <w:t>Murrumbidgee Long Term Water Plan Part B: Murrumbidgee planning units</w:t>
      </w:r>
      <w:r w:rsidRPr="00087BF8">
        <w:rPr>
          <w:rFonts w:ascii="Arial" w:hAnsi="Arial" w:cs="Arial"/>
          <w:color w:val="000000"/>
          <w:sz w:val="22"/>
          <w:szCs w:val="22"/>
          <w:lang w:eastAsia="en-AU"/>
        </w:rPr>
        <w:t>. State of New South Wales and Department of Planning, Industry and Environment, NSW.</w:t>
      </w:r>
    </w:p>
    <w:p w14:paraId="19918E69" w14:textId="6FE09495" w:rsidR="00491210" w:rsidRPr="00F0228E" w:rsidRDefault="00EE200C" w:rsidP="00C30C65">
      <w:pPr>
        <w:pStyle w:val="References1"/>
        <w:rPr>
          <w:rFonts w:ascii="Arial" w:hAnsi="Arial" w:cs="Arial"/>
          <w:color w:val="000000"/>
          <w:sz w:val="22"/>
          <w:szCs w:val="22"/>
          <w:lang w:eastAsia="en-AU"/>
        </w:rPr>
      </w:pPr>
      <w:r w:rsidRPr="00F0228E">
        <w:rPr>
          <w:rFonts w:ascii="Arial" w:hAnsi="Arial" w:cs="Arial"/>
          <w:noProof w:val="0"/>
          <w:color w:val="201F1E"/>
          <w:sz w:val="22"/>
          <w:szCs w:val="22"/>
          <w:shd w:val="clear" w:color="auto" w:fill="FFFFFF"/>
        </w:rPr>
        <w:t>Dudgeon, D., Arthington, A.H., Gessner, M.O., Kawabata, Z.-I., Knowler, D.J., Lévêque, C., Naiman, R.J., Prieur-Richard, A.-H., Soto, D., Stiassny, M.L.J., Sullivan, C.A.</w:t>
      </w:r>
      <w:r>
        <w:rPr>
          <w:rFonts w:ascii="Arial" w:hAnsi="Arial" w:cs="Arial"/>
          <w:noProof w:val="0"/>
          <w:color w:val="201F1E"/>
          <w:sz w:val="22"/>
          <w:szCs w:val="22"/>
          <w:shd w:val="clear" w:color="auto" w:fill="FFFFFF"/>
        </w:rPr>
        <w:t xml:space="preserve"> (</w:t>
      </w:r>
      <w:r w:rsidRPr="00F0228E">
        <w:rPr>
          <w:rFonts w:ascii="Arial" w:hAnsi="Arial" w:cs="Arial"/>
          <w:noProof w:val="0"/>
          <w:color w:val="201F1E"/>
          <w:sz w:val="22"/>
          <w:szCs w:val="22"/>
          <w:shd w:val="clear" w:color="auto" w:fill="FFFFFF"/>
        </w:rPr>
        <w:t>2006</w:t>
      </w:r>
      <w:r>
        <w:rPr>
          <w:rFonts w:ascii="Arial" w:hAnsi="Arial" w:cs="Arial"/>
          <w:noProof w:val="0"/>
          <w:color w:val="201F1E"/>
          <w:sz w:val="22"/>
          <w:szCs w:val="22"/>
          <w:shd w:val="clear" w:color="auto" w:fill="FFFFFF"/>
        </w:rPr>
        <w:t>)</w:t>
      </w:r>
      <w:r w:rsidRPr="00F0228E">
        <w:rPr>
          <w:rFonts w:ascii="Arial" w:hAnsi="Arial" w:cs="Arial"/>
          <w:noProof w:val="0"/>
          <w:color w:val="201F1E"/>
          <w:sz w:val="22"/>
          <w:szCs w:val="22"/>
          <w:shd w:val="clear" w:color="auto" w:fill="FFFFFF"/>
        </w:rPr>
        <w:t xml:space="preserve"> Freshwater biodiversity: importance, threats, status and conservation challenges. </w:t>
      </w:r>
      <w:r w:rsidRPr="00F0228E">
        <w:rPr>
          <w:rFonts w:ascii="Arial" w:hAnsi="Arial" w:cs="Arial"/>
          <w:i/>
          <w:iCs/>
          <w:noProof w:val="0"/>
          <w:color w:val="201F1E"/>
          <w:sz w:val="22"/>
          <w:szCs w:val="22"/>
          <w:shd w:val="clear" w:color="auto" w:fill="FFFFFF"/>
        </w:rPr>
        <w:t>Biological Reviews</w:t>
      </w:r>
      <w:r w:rsidRPr="00F0228E">
        <w:rPr>
          <w:rFonts w:ascii="Arial" w:hAnsi="Arial" w:cs="Arial"/>
          <w:noProof w:val="0"/>
          <w:color w:val="201F1E"/>
          <w:sz w:val="22"/>
          <w:szCs w:val="22"/>
          <w:shd w:val="clear" w:color="auto" w:fill="FFFFFF"/>
        </w:rPr>
        <w:t xml:space="preserve"> </w:t>
      </w:r>
      <w:r w:rsidRPr="00F0228E">
        <w:rPr>
          <w:rFonts w:ascii="Arial" w:hAnsi="Arial" w:cs="Arial"/>
          <w:b/>
          <w:bCs/>
          <w:noProof w:val="0"/>
          <w:color w:val="201F1E"/>
          <w:sz w:val="22"/>
          <w:szCs w:val="22"/>
          <w:shd w:val="clear" w:color="auto" w:fill="FFFFFF"/>
        </w:rPr>
        <w:t>81</w:t>
      </w:r>
      <w:r w:rsidRPr="00F0228E">
        <w:rPr>
          <w:rFonts w:ascii="Arial" w:hAnsi="Arial" w:cs="Arial"/>
          <w:noProof w:val="0"/>
          <w:color w:val="201F1E"/>
          <w:sz w:val="22"/>
          <w:szCs w:val="22"/>
          <w:shd w:val="clear" w:color="auto" w:fill="FFFFFF"/>
        </w:rPr>
        <w:t>, 163. </w:t>
      </w:r>
      <w:hyperlink r:id="rId53" w:tgtFrame="_blank" w:history="1">
        <w:r w:rsidRPr="00F0228E">
          <w:rPr>
            <w:rFonts w:ascii="Arial" w:hAnsi="Arial" w:cs="Arial"/>
            <w:noProof w:val="0"/>
            <w:color w:val="0000FF"/>
            <w:sz w:val="22"/>
            <w:szCs w:val="22"/>
            <w:u w:val="single"/>
            <w:bdr w:val="none" w:sz="0" w:space="0" w:color="auto" w:frame="1"/>
            <w:shd w:val="clear" w:color="auto" w:fill="FFFFFF"/>
          </w:rPr>
          <w:t>https://doi.org/10.1017/S1464793105006950</w:t>
        </w:r>
      </w:hyperlink>
    </w:p>
    <w:p w14:paraId="06D93F17" w14:textId="3154896F" w:rsidR="00491210" w:rsidRPr="00087BF8" w:rsidRDefault="00EE200C" w:rsidP="00C30C65">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Earl, J. (2020). </w:t>
      </w:r>
      <w:r w:rsidRPr="00087BF8">
        <w:rPr>
          <w:rFonts w:ascii="Arial" w:hAnsi="Arial" w:cs="Arial"/>
          <w:i/>
          <w:color w:val="000000"/>
          <w:sz w:val="22"/>
          <w:szCs w:val="22"/>
          <w:lang w:eastAsia="en-AU"/>
        </w:rPr>
        <w:t>Assessment of the South Australian Lakes and Coorong Fishery in 2018/19</w:t>
      </w:r>
      <w:r w:rsidRPr="00087BF8">
        <w:rPr>
          <w:rFonts w:ascii="Arial" w:hAnsi="Arial" w:cs="Arial"/>
          <w:color w:val="000000"/>
          <w:sz w:val="22"/>
          <w:szCs w:val="22"/>
          <w:lang w:eastAsia="en-AU"/>
        </w:rPr>
        <w:t xml:space="preserve">. Report to PIRSA Fisheries and Aquaculture. SARDI Publication No. F2020/000208-01. SARDI </w:t>
      </w:r>
      <w:r w:rsidRPr="00087BF8">
        <w:rPr>
          <w:rFonts w:ascii="Arial" w:hAnsi="Arial" w:cs="Arial"/>
          <w:color w:val="000000"/>
          <w:sz w:val="22"/>
          <w:szCs w:val="22"/>
          <w:lang w:eastAsia="en-AU"/>
        </w:rPr>
        <w:lastRenderedPageBreak/>
        <w:t>Research Report Series No. 1059. South Australian Research and Development Institute (Aquatic Sciences), Adelaide, SA.</w:t>
      </w:r>
    </w:p>
    <w:p w14:paraId="5755F6C6" w14:textId="208DB6E8" w:rsidR="00491210" w:rsidRPr="00087BF8" w:rsidDel="00004B87" w:rsidRDefault="00EE200C" w:rsidP="00C30C65">
      <w:pPr>
        <w:pStyle w:val="References1"/>
        <w:rPr>
          <w:rFonts w:ascii="Arial" w:hAnsi="Arial" w:cs="Arial"/>
          <w:color w:val="000000"/>
          <w:sz w:val="22"/>
          <w:szCs w:val="22"/>
          <w:lang w:eastAsia="en-AU"/>
        </w:rPr>
      </w:pPr>
      <w:r w:rsidRPr="00087BF8">
        <w:rPr>
          <w:rFonts w:ascii="Arial" w:hAnsi="Arial" w:cs="Arial"/>
          <w:color w:val="000000"/>
          <w:sz w:val="22"/>
          <w:szCs w:val="22"/>
          <w:lang w:eastAsia="en-AU"/>
        </w:rPr>
        <w:t>Ellis, I., Bates, W.B., Martin, S., McCrabb, G., Koehn, J., Heath, P. and Hardman, D. (2021). How fish kills affected traditional (</w:t>
      </w:r>
      <w:r w:rsidRPr="00087BF8">
        <w:rPr>
          <w:rFonts w:ascii="Arial" w:hAnsi="Arial" w:cs="Arial"/>
          <w:i/>
          <w:color w:val="000000"/>
          <w:sz w:val="22"/>
          <w:szCs w:val="22"/>
          <w:lang w:eastAsia="en-AU"/>
        </w:rPr>
        <w:t>Baakandji</w:t>
      </w:r>
      <w:r w:rsidRPr="00087BF8">
        <w:rPr>
          <w:rFonts w:ascii="Arial" w:hAnsi="Arial" w:cs="Arial"/>
          <w:color w:val="000000"/>
          <w:sz w:val="22"/>
          <w:szCs w:val="22"/>
          <w:lang w:eastAsia="en-AU"/>
        </w:rPr>
        <w:t>) and non-traditional communities on the Lower Darling–</w:t>
      </w:r>
      <w:r w:rsidRPr="00087BF8">
        <w:rPr>
          <w:rFonts w:ascii="Arial" w:hAnsi="Arial" w:cs="Arial"/>
          <w:i/>
          <w:color w:val="000000"/>
          <w:sz w:val="22"/>
          <w:szCs w:val="22"/>
          <w:lang w:eastAsia="en-AU"/>
        </w:rPr>
        <w:t>Baaka</w:t>
      </w:r>
      <w:r w:rsidRPr="00087BF8">
        <w:rPr>
          <w:rFonts w:ascii="Arial" w:hAnsi="Arial" w:cs="Arial"/>
          <w:color w:val="000000"/>
          <w:sz w:val="22"/>
          <w:szCs w:val="22"/>
          <w:lang w:eastAsia="en-AU"/>
        </w:rPr>
        <w:t xml:space="preserve"> River. </w:t>
      </w:r>
      <w:r w:rsidRPr="00087BF8">
        <w:rPr>
          <w:rFonts w:ascii="Arial" w:hAnsi="Arial" w:cs="Arial"/>
          <w:i/>
          <w:iCs/>
          <w:color w:val="000000"/>
          <w:sz w:val="22"/>
          <w:szCs w:val="22"/>
          <w:lang w:eastAsia="en-AU"/>
        </w:rPr>
        <w:t>Marine and Freshwater Research</w:t>
      </w:r>
      <w:r w:rsidRPr="00087BF8">
        <w:rPr>
          <w:rFonts w:ascii="Arial" w:hAnsi="Arial" w:cs="Arial"/>
          <w:color w:val="000000"/>
          <w:sz w:val="22"/>
          <w:szCs w:val="22"/>
          <w:lang w:eastAsia="en-AU"/>
        </w:rPr>
        <w:t xml:space="preserve"> </w:t>
      </w:r>
      <w:r w:rsidRPr="00087BF8">
        <w:rPr>
          <w:rFonts w:ascii="Arial" w:hAnsi="Arial" w:cs="Arial"/>
          <w:b/>
          <w:color w:val="000000"/>
          <w:sz w:val="22"/>
          <w:szCs w:val="22"/>
          <w:lang w:eastAsia="en-AU"/>
        </w:rPr>
        <w:t>73</w:t>
      </w:r>
      <w:r w:rsidRPr="00087BF8">
        <w:rPr>
          <w:rFonts w:ascii="Arial" w:hAnsi="Arial" w:cs="Arial"/>
          <w:color w:val="000000"/>
          <w:sz w:val="22"/>
          <w:szCs w:val="22"/>
          <w:lang w:eastAsia="en-AU"/>
        </w:rPr>
        <w:t>, 259–268.</w:t>
      </w:r>
    </w:p>
    <w:p w14:paraId="17E8E439" w14:textId="7E189065" w:rsidR="00491210" w:rsidRPr="00087BF8" w:rsidRDefault="00EE200C" w:rsidP="00456B46">
      <w:pPr>
        <w:pStyle w:val="References1"/>
        <w:ind w:left="720" w:hanging="720"/>
        <w:rPr>
          <w:rFonts w:ascii="Arial" w:hAnsi="Arial" w:cs="Arial"/>
          <w:sz w:val="22"/>
          <w:szCs w:val="22"/>
          <w:lang w:eastAsia="en-AU"/>
        </w:rPr>
      </w:pPr>
      <w:r w:rsidRPr="00087BF8">
        <w:rPr>
          <w:rFonts w:ascii="Arial" w:hAnsi="Arial" w:cs="Arial"/>
          <w:color w:val="000000"/>
          <w:sz w:val="22"/>
          <w:szCs w:val="22"/>
          <w:lang w:eastAsia="en-AU"/>
        </w:rPr>
        <w:t xml:space="preserve">Ferguson, G.J. and Ye, Q. (2012). </w:t>
      </w:r>
      <w:r w:rsidRPr="00087BF8">
        <w:rPr>
          <w:rFonts w:ascii="Arial" w:hAnsi="Arial" w:cs="Arial"/>
          <w:i/>
          <w:color w:val="000000"/>
          <w:sz w:val="22"/>
          <w:szCs w:val="22"/>
          <w:lang w:eastAsia="en-AU"/>
        </w:rPr>
        <w:t>Stock assessment of Golden Perch (</w:t>
      </w:r>
      <w:r w:rsidRPr="00087BF8">
        <w:rPr>
          <w:rFonts w:ascii="Arial" w:hAnsi="Arial" w:cs="Arial"/>
          <w:i/>
          <w:iCs/>
          <w:color w:val="000000"/>
          <w:sz w:val="22"/>
          <w:szCs w:val="22"/>
          <w:lang w:eastAsia="en-AU"/>
        </w:rPr>
        <w:t>Macquaria ambigua</w:t>
      </w:r>
      <w:r w:rsidRPr="00087BF8">
        <w:rPr>
          <w:rFonts w:ascii="Arial" w:hAnsi="Arial" w:cs="Arial"/>
          <w:i/>
          <w:color w:val="000000"/>
          <w:sz w:val="22"/>
          <w:szCs w:val="22"/>
          <w:lang w:eastAsia="en-AU"/>
        </w:rPr>
        <w:t>)</w:t>
      </w:r>
      <w:r w:rsidRPr="00087BF8">
        <w:rPr>
          <w:rFonts w:ascii="Arial" w:hAnsi="Arial" w:cs="Arial"/>
          <w:color w:val="000000"/>
          <w:sz w:val="22"/>
          <w:szCs w:val="22"/>
          <w:lang w:eastAsia="en-AU"/>
        </w:rPr>
        <w:t xml:space="preserve">. SARDI Publication No. F2007/001051-1. </w:t>
      </w:r>
      <w:r w:rsidRPr="00087BF8">
        <w:rPr>
          <w:rFonts w:ascii="Arial" w:hAnsi="Arial" w:cs="Arial"/>
          <w:iCs/>
          <w:color w:val="000000"/>
          <w:sz w:val="22"/>
          <w:szCs w:val="22"/>
          <w:lang w:eastAsia="en-AU"/>
        </w:rPr>
        <w:t>SARDI Research Report Series No. 656</w:t>
      </w:r>
      <w:r w:rsidRPr="00087BF8">
        <w:rPr>
          <w:rFonts w:ascii="Arial" w:hAnsi="Arial" w:cs="Arial"/>
          <w:color w:val="000000"/>
          <w:sz w:val="22"/>
          <w:szCs w:val="22"/>
          <w:lang w:eastAsia="en-AU"/>
        </w:rPr>
        <w:t>. South Australian Research and Development Institute (Aquatic Sciences), Adelaide, SA.</w:t>
      </w:r>
    </w:p>
    <w:p w14:paraId="5C880D76" w14:textId="3A14A344" w:rsidR="00491210" w:rsidRDefault="00EE200C" w:rsidP="00456B46">
      <w:pPr>
        <w:pStyle w:val="References1"/>
        <w:ind w:left="720" w:hanging="720"/>
        <w:rPr>
          <w:rFonts w:ascii="Arial" w:hAnsi="Arial" w:cs="Arial"/>
          <w:color w:val="000000"/>
          <w:sz w:val="22"/>
          <w:szCs w:val="22"/>
          <w:lang w:eastAsia="en-AU"/>
        </w:rPr>
      </w:pPr>
      <w:r w:rsidRPr="00087BF8">
        <w:rPr>
          <w:rFonts w:ascii="Arial" w:hAnsi="Arial" w:cs="Arial"/>
          <w:color w:val="000000"/>
          <w:sz w:val="22"/>
          <w:szCs w:val="22"/>
          <w:lang w:eastAsia="en-AU"/>
        </w:rPr>
        <w:t>Forsyth, D.M., Koehn, J.D., MacKenzie, D.I. and Stuart, I.G. (2013). Population dynami of invading freshwater fish: common carp (</w:t>
      </w:r>
      <w:r w:rsidRPr="00087BF8">
        <w:rPr>
          <w:rFonts w:ascii="Arial" w:hAnsi="Arial" w:cs="Arial"/>
          <w:i/>
          <w:iCs/>
          <w:color w:val="000000"/>
          <w:sz w:val="22"/>
          <w:szCs w:val="22"/>
          <w:lang w:eastAsia="en-AU"/>
        </w:rPr>
        <w:t>Cyprinus carpio</w:t>
      </w:r>
      <w:r w:rsidRPr="00087BF8">
        <w:rPr>
          <w:rFonts w:ascii="Arial" w:hAnsi="Arial" w:cs="Arial"/>
          <w:color w:val="000000"/>
          <w:sz w:val="22"/>
          <w:szCs w:val="22"/>
          <w:lang w:eastAsia="en-AU"/>
        </w:rPr>
        <w:t xml:space="preserve">) in the Murray–Darling Basin, Australia. </w:t>
      </w:r>
      <w:r w:rsidRPr="00087BF8">
        <w:rPr>
          <w:rFonts w:ascii="Arial" w:hAnsi="Arial" w:cs="Arial"/>
          <w:i/>
          <w:iCs/>
          <w:color w:val="000000"/>
          <w:sz w:val="22"/>
          <w:szCs w:val="22"/>
          <w:lang w:eastAsia="en-AU"/>
        </w:rPr>
        <w:t>Biological Invasions</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15</w:t>
      </w:r>
      <w:r w:rsidRPr="00087BF8">
        <w:rPr>
          <w:rFonts w:ascii="Arial" w:hAnsi="Arial" w:cs="Arial"/>
          <w:color w:val="000000"/>
          <w:sz w:val="22"/>
          <w:szCs w:val="22"/>
          <w:lang w:eastAsia="en-AU"/>
        </w:rPr>
        <w:t>, 341–354.</w:t>
      </w:r>
    </w:p>
    <w:p w14:paraId="44C82A64" w14:textId="79BBF666" w:rsidR="00491210" w:rsidRPr="00456B46" w:rsidRDefault="00EE200C" w:rsidP="00456B46">
      <w:pPr>
        <w:ind w:left="720" w:hanging="720"/>
        <w:rPr>
          <w:sz w:val="22"/>
          <w:szCs w:val="28"/>
        </w:rPr>
      </w:pPr>
      <w:bookmarkStart w:id="221" w:name="ref-gelman1992"/>
      <w:r w:rsidRPr="00456B46">
        <w:rPr>
          <w:sz w:val="22"/>
          <w:szCs w:val="28"/>
        </w:rPr>
        <w:t>Gelman</w:t>
      </w:r>
      <w:r>
        <w:rPr>
          <w:sz w:val="22"/>
          <w:szCs w:val="28"/>
        </w:rPr>
        <w:t>,</w:t>
      </w:r>
      <w:r w:rsidRPr="00456B46">
        <w:rPr>
          <w:sz w:val="22"/>
          <w:szCs w:val="28"/>
        </w:rPr>
        <w:t xml:space="preserve"> A</w:t>
      </w:r>
      <w:r>
        <w:rPr>
          <w:sz w:val="22"/>
          <w:szCs w:val="28"/>
        </w:rPr>
        <w:t>. and</w:t>
      </w:r>
      <w:r w:rsidRPr="00456B46">
        <w:rPr>
          <w:sz w:val="22"/>
          <w:szCs w:val="28"/>
        </w:rPr>
        <w:t xml:space="preserve"> Rubin</w:t>
      </w:r>
      <w:r>
        <w:rPr>
          <w:sz w:val="22"/>
          <w:szCs w:val="28"/>
        </w:rPr>
        <w:t>,</w:t>
      </w:r>
      <w:r w:rsidRPr="00456B46">
        <w:rPr>
          <w:sz w:val="22"/>
          <w:szCs w:val="28"/>
        </w:rPr>
        <w:t xml:space="preserve"> D</w:t>
      </w:r>
      <w:r>
        <w:rPr>
          <w:sz w:val="22"/>
          <w:szCs w:val="28"/>
        </w:rPr>
        <w:t xml:space="preserve">. </w:t>
      </w:r>
      <w:r w:rsidRPr="00456B46">
        <w:rPr>
          <w:sz w:val="22"/>
          <w:szCs w:val="28"/>
        </w:rPr>
        <w:t>B</w:t>
      </w:r>
      <w:r>
        <w:rPr>
          <w:sz w:val="22"/>
          <w:szCs w:val="28"/>
        </w:rPr>
        <w:t>.</w:t>
      </w:r>
      <w:r w:rsidRPr="00456B46">
        <w:rPr>
          <w:sz w:val="22"/>
          <w:szCs w:val="28"/>
        </w:rPr>
        <w:t xml:space="preserve"> (1992). Inference from iterative simulation using multiple sequences. </w:t>
      </w:r>
      <w:r w:rsidRPr="00456B46">
        <w:rPr>
          <w:i/>
          <w:iCs/>
          <w:sz w:val="22"/>
          <w:szCs w:val="28"/>
        </w:rPr>
        <w:t>Statistical Science</w:t>
      </w:r>
      <w:r w:rsidRPr="00456B46">
        <w:rPr>
          <w:sz w:val="22"/>
          <w:szCs w:val="28"/>
        </w:rPr>
        <w:t xml:space="preserve"> </w:t>
      </w:r>
      <w:r w:rsidRPr="00456B46">
        <w:rPr>
          <w:b/>
          <w:bCs/>
          <w:sz w:val="22"/>
          <w:szCs w:val="28"/>
        </w:rPr>
        <w:t>7</w:t>
      </w:r>
      <w:r w:rsidRPr="00456B46">
        <w:rPr>
          <w:sz w:val="22"/>
          <w:szCs w:val="28"/>
        </w:rPr>
        <w:t>, 457–472.</w:t>
      </w:r>
      <w:bookmarkEnd w:id="221"/>
    </w:p>
    <w:p w14:paraId="7099DE6A" w14:textId="022FC3F7" w:rsidR="00491210" w:rsidRPr="00456B46" w:rsidRDefault="00EE200C" w:rsidP="00456B46">
      <w:pPr>
        <w:ind w:left="720" w:hanging="720"/>
        <w:rPr>
          <w:sz w:val="22"/>
          <w:szCs w:val="28"/>
        </w:rPr>
      </w:pPr>
      <w:r w:rsidRPr="00456B46">
        <w:rPr>
          <w:sz w:val="22"/>
          <w:szCs w:val="28"/>
        </w:rPr>
        <w:t xml:space="preserve">Kéry, M. and Schaub, M. (2011). </w:t>
      </w:r>
      <w:r w:rsidRPr="001F017A">
        <w:rPr>
          <w:i/>
          <w:iCs/>
          <w:sz w:val="22"/>
          <w:szCs w:val="28"/>
        </w:rPr>
        <w:t>Bayesian population analysis using WinBUGS: A hierarchical perspective</w:t>
      </w:r>
      <w:r w:rsidRPr="00456B46">
        <w:rPr>
          <w:sz w:val="22"/>
          <w:szCs w:val="28"/>
        </w:rPr>
        <w:t>.</w:t>
      </w:r>
      <w:r>
        <w:rPr>
          <w:sz w:val="22"/>
          <w:szCs w:val="28"/>
        </w:rPr>
        <w:t xml:space="preserve"> </w:t>
      </w:r>
      <w:r w:rsidRPr="001F017A">
        <w:rPr>
          <w:sz w:val="22"/>
          <w:szCs w:val="28"/>
        </w:rPr>
        <w:t>Academic Press</w:t>
      </w:r>
      <w:r>
        <w:rPr>
          <w:sz w:val="22"/>
          <w:szCs w:val="28"/>
        </w:rPr>
        <w:t>, Boston, MA.</w:t>
      </w:r>
    </w:p>
    <w:p w14:paraId="53FF91BE" w14:textId="171C0086" w:rsidR="00491210" w:rsidRPr="00087BF8" w:rsidRDefault="00EE200C" w:rsidP="00456B46">
      <w:pPr>
        <w:pStyle w:val="References1"/>
        <w:ind w:left="720" w:hanging="720"/>
        <w:rPr>
          <w:rFonts w:ascii="Arial" w:hAnsi="Arial" w:cs="Arial"/>
          <w:color w:val="000000"/>
          <w:sz w:val="22"/>
          <w:szCs w:val="22"/>
          <w:lang w:eastAsia="en-AU"/>
        </w:rPr>
      </w:pPr>
      <w:r w:rsidRPr="00087BF8">
        <w:rPr>
          <w:rFonts w:ascii="Arial" w:hAnsi="Arial" w:cs="Arial"/>
          <w:color w:val="000000"/>
          <w:sz w:val="22"/>
          <w:szCs w:val="22"/>
          <w:lang w:eastAsia="en-AU"/>
        </w:rPr>
        <w:t xml:space="preserve">King, A.J., Tonkin, Z. and Mahoney, J. (2009). Environmental flow enhances native fish spawning and recruitment in the Murray River, Australia. </w:t>
      </w:r>
      <w:r w:rsidRPr="00087BF8">
        <w:rPr>
          <w:rFonts w:ascii="Arial" w:hAnsi="Arial" w:cs="Arial"/>
          <w:i/>
          <w:iCs/>
          <w:color w:val="000000"/>
          <w:sz w:val="22"/>
          <w:szCs w:val="22"/>
          <w:lang w:eastAsia="en-AU"/>
        </w:rPr>
        <w:t>River Research and Applications</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25</w:t>
      </w:r>
      <w:r w:rsidRPr="00087BF8">
        <w:rPr>
          <w:rFonts w:ascii="Arial" w:hAnsi="Arial" w:cs="Arial"/>
          <w:color w:val="000000"/>
          <w:sz w:val="22"/>
          <w:szCs w:val="22"/>
          <w:lang w:eastAsia="en-AU"/>
        </w:rPr>
        <w:t>,1205–1218.</w:t>
      </w:r>
    </w:p>
    <w:p w14:paraId="0E870FD3" w14:textId="782A68FC" w:rsidR="00491210" w:rsidRPr="00087BF8" w:rsidRDefault="00EE200C" w:rsidP="00456B46">
      <w:pPr>
        <w:pStyle w:val="References1"/>
        <w:ind w:left="720" w:hanging="720"/>
        <w:rPr>
          <w:rFonts w:ascii="Arial" w:hAnsi="Arial" w:cs="Arial"/>
          <w:color w:val="000000"/>
          <w:sz w:val="22"/>
          <w:szCs w:val="22"/>
          <w:lang w:eastAsia="en-AU"/>
        </w:rPr>
      </w:pPr>
      <w:r w:rsidRPr="00087BF8">
        <w:rPr>
          <w:rFonts w:ascii="Arial" w:hAnsi="Arial" w:cs="Arial"/>
          <w:color w:val="000000"/>
          <w:sz w:val="22"/>
          <w:szCs w:val="22"/>
          <w:lang w:eastAsia="en-AU"/>
        </w:rPr>
        <w:t>Kirch, W. (2008). Pearson</w:t>
      </w:r>
      <w:r w:rsidRPr="00087BF8" w:rsidDel="00FB3C13">
        <w:rPr>
          <w:rFonts w:ascii="Arial" w:hAnsi="Arial" w:cs="Arial"/>
          <w:color w:val="000000"/>
          <w:sz w:val="22"/>
          <w:szCs w:val="22"/>
          <w:lang w:eastAsia="en-AU"/>
        </w:rPr>
        <w:t>’</w:t>
      </w:r>
      <w:r w:rsidRPr="00087BF8">
        <w:rPr>
          <w:rFonts w:ascii="Arial" w:hAnsi="Arial" w:cs="Arial"/>
          <w:color w:val="000000"/>
          <w:sz w:val="22"/>
          <w:szCs w:val="22"/>
          <w:lang w:eastAsia="en-AU"/>
        </w:rPr>
        <w:t xml:space="preserve">s Correlation Coefficient. In: Kirch, W. (Ed.) </w:t>
      </w:r>
      <w:r w:rsidRPr="00087BF8">
        <w:rPr>
          <w:rFonts w:ascii="Arial" w:hAnsi="Arial" w:cs="Arial"/>
          <w:i/>
          <w:color w:val="000000"/>
          <w:sz w:val="22"/>
          <w:szCs w:val="22"/>
          <w:lang w:eastAsia="en-AU"/>
        </w:rPr>
        <w:t>Encyclopedia of Public Health</w:t>
      </w:r>
      <w:r w:rsidRPr="00087BF8">
        <w:rPr>
          <w:rFonts w:ascii="Arial" w:hAnsi="Arial" w:cs="Arial"/>
          <w:color w:val="000000"/>
          <w:sz w:val="22"/>
          <w:szCs w:val="22"/>
          <w:lang w:eastAsia="en-AU"/>
        </w:rPr>
        <w:t>, pp. 1090–1091. Springer, Dordrecht, Netherlands.</w:t>
      </w:r>
    </w:p>
    <w:p w14:paraId="6E76D768" w14:textId="337A6B59" w:rsidR="00491210" w:rsidRPr="00087BF8" w:rsidRDefault="00EE200C" w:rsidP="00C30C65">
      <w:pPr>
        <w:pStyle w:val="References1"/>
        <w:rPr>
          <w:rFonts w:ascii="Arial" w:hAnsi="Arial" w:cs="Arial"/>
          <w:sz w:val="22"/>
          <w:szCs w:val="22"/>
          <w:lang w:eastAsia="en-AU"/>
        </w:rPr>
      </w:pPr>
      <w:r w:rsidRPr="00087BF8">
        <w:rPr>
          <w:rFonts w:ascii="Arial" w:hAnsi="Arial" w:cs="Arial"/>
          <w:color w:val="000000"/>
          <w:sz w:val="22"/>
          <w:szCs w:val="22"/>
          <w:lang w:eastAsia="en-AU"/>
        </w:rPr>
        <w:t>Koehn, J.D. (2009a). Using radio telemetry to evaluate the depths inhabited by Murray cod (</w:t>
      </w:r>
      <w:r w:rsidRPr="00087BF8">
        <w:rPr>
          <w:rFonts w:ascii="Arial" w:hAnsi="Arial" w:cs="Arial"/>
          <w:i/>
          <w:iCs/>
          <w:color w:val="000000"/>
          <w:sz w:val="22"/>
          <w:szCs w:val="22"/>
          <w:lang w:eastAsia="en-AU"/>
        </w:rPr>
        <w:t>Maccullochella peelii peelii</w:t>
      </w:r>
      <w:r w:rsidRPr="00087BF8">
        <w:rPr>
          <w:rFonts w:ascii="Arial" w:hAnsi="Arial" w:cs="Arial"/>
          <w:color w:val="000000"/>
          <w:sz w:val="22"/>
          <w:szCs w:val="22"/>
          <w:lang w:eastAsia="en-AU"/>
        </w:rPr>
        <w:t xml:space="preserve">). </w:t>
      </w:r>
      <w:r w:rsidRPr="00087BF8">
        <w:rPr>
          <w:rFonts w:ascii="Arial" w:hAnsi="Arial" w:cs="Arial"/>
          <w:i/>
          <w:iCs/>
          <w:color w:val="000000"/>
          <w:sz w:val="22"/>
          <w:szCs w:val="22"/>
          <w:lang w:eastAsia="en-AU"/>
        </w:rPr>
        <w:t>Marine and Freshwater Research</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60</w:t>
      </w:r>
      <w:r w:rsidRPr="00087BF8">
        <w:rPr>
          <w:rFonts w:ascii="Arial" w:hAnsi="Arial" w:cs="Arial"/>
          <w:color w:val="000000"/>
          <w:sz w:val="22"/>
          <w:szCs w:val="22"/>
          <w:lang w:eastAsia="en-AU"/>
        </w:rPr>
        <w:t>, 317–320. doi:10.1071/MF08163</w:t>
      </w:r>
    </w:p>
    <w:p w14:paraId="6032B51A" w14:textId="7D7D0BC0" w:rsidR="00491210" w:rsidRPr="00087BF8" w:rsidRDefault="00EE200C" w:rsidP="00C30C65">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Koehn, J.D. (2009b). Multi-scale habitat selection by Murray cod </w:t>
      </w:r>
      <w:r w:rsidRPr="00087BF8">
        <w:rPr>
          <w:rFonts w:ascii="Arial" w:hAnsi="Arial" w:cs="Arial"/>
          <w:i/>
          <w:iCs/>
          <w:color w:val="000000"/>
          <w:sz w:val="22"/>
          <w:szCs w:val="22"/>
          <w:lang w:eastAsia="en-AU"/>
        </w:rPr>
        <w:t>Maccullochella peelii peelii</w:t>
      </w:r>
      <w:r w:rsidRPr="00087BF8">
        <w:rPr>
          <w:rFonts w:ascii="Arial" w:hAnsi="Arial" w:cs="Arial"/>
          <w:color w:val="000000"/>
          <w:sz w:val="22"/>
          <w:szCs w:val="22"/>
          <w:lang w:eastAsia="en-AU"/>
        </w:rPr>
        <w:t xml:space="preserve"> in two lowland rivers. </w:t>
      </w:r>
      <w:r w:rsidRPr="00087BF8">
        <w:rPr>
          <w:rFonts w:ascii="Arial" w:hAnsi="Arial" w:cs="Arial"/>
          <w:i/>
          <w:iCs/>
          <w:color w:val="000000"/>
          <w:sz w:val="22"/>
          <w:szCs w:val="22"/>
          <w:lang w:eastAsia="en-AU"/>
        </w:rPr>
        <w:t>Journal of Fish Biology</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75</w:t>
      </w:r>
      <w:r w:rsidRPr="00087BF8">
        <w:rPr>
          <w:rFonts w:ascii="Arial" w:hAnsi="Arial" w:cs="Arial"/>
          <w:color w:val="000000"/>
          <w:sz w:val="22"/>
          <w:szCs w:val="22"/>
          <w:lang w:eastAsia="en-AU"/>
        </w:rPr>
        <w:t>, 113–129. doi:10.1111/j.1095-8649.2009.02270.x</w:t>
      </w:r>
    </w:p>
    <w:p w14:paraId="73760E75" w14:textId="04215B59" w:rsidR="00491210" w:rsidRPr="00087BF8" w:rsidRDefault="00EE200C" w:rsidP="00C30C65">
      <w:pPr>
        <w:pStyle w:val="References1"/>
        <w:rPr>
          <w:rFonts w:ascii="Arial" w:hAnsi="Arial" w:cs="Arial"/>
          <w:sz w:val="22"/>
          <w:szCs w:val="22"/>
          <w:lang w:eastAsia="en-AU"/>
        </w:rPr>
      </w:pPr>
      <w:r w:rsidRPr="00087BF8">
        <w:rPr>
          <w:rFonts w:ascii="Arial" w:hAnsi="Arial" w:cs="Arial"/>
          <w:color w:val="000000"/>
          <w:sz w:val="22"/>
          <w:szCs w:val="22"/>
          <w:lang w:eastAsia="en-AU"/>
        </w:rPr>
        <w:t>Koehn, J.D. and Harrington, D.J. (2006). Environmental conditions and timing for the spawning of Murray cod (</w:t>
      </w:r>
      <w:r w:rsidRPr="00087BF8">
        <w:rPr>
          <w:rFonts w:ascii="Arial" w:hAnsi="Arial" w:cs="Arial"/>
          <w:i/>
          <w:iCs/>
          <w:color w:val="000000"/>
          <w:sz w:val="22"/>
          <w:szCs w:val="22"/>
          <w:lang w:eastAsia="en-AU"/>
        </w:rPr>
        <w:t>Maccullochella peelii peelii</w:t>
      </w:r>
      <w:r w:rsidRPr="00087BF8">
        <w:rPr>
          <w:rFonts w:ascii="Arial" w:hAnsi="Arial" w:cs="Arial"/>
          <w:color w:val="000000"/>
          <w:sz w:val="22"/>
          <w:szCs w:val="22"/>
          <w:lang w:eastAsia="en-AU"/>
        </w:rPr>
        <w:t>) and the endangered trout cod (</w:t>
      </w:r>
      <w:r w:rsidRPr="00087BF8">
        <w:rPr>
          <w:rFonts w:ascii="Arial" w:hAnsi="Arial" w:cs="Arial"/>
          <w:i/>
          <w:iCs/>
          <w:color w:val="000000"/>
          <w:sz w:val="22"/>
          <w:szCs w:val="22"/>
          <w:lang w:eastAsia="en-AU"/>
        </w:rPr>
        <w:t>M. macquariensis</w:t>
      </w:r>
      <w:r w:rsidRPr="00087BF8">
        <w:rPr>
          <w:rFonts w:ascii="Arial" w:hAnsi="Arial" w:cs="Arial"/>
          <w:color w:val="000000"/>
          <w:sz w:val="22"/>
          <w:szCs w:val="22"/>
          <w:lang w:eastAsia="en-AU"/>
        </w:rPr>
        <w:t xml:space="preserve">) in Southeastern Australian rivers. </w:t>
      </w:r>
      <w:r w:rsidRPr="00087BF8">
        <w:rPr>
          <w:rFonts w:ascii="Arial" w:hAnsi="Arial" w:cs="Arial"/>
          <w:i/>
          <w:iCs/>
          <w:color w:val="000000"/>
          <w:sz w:val="22"/>
          <w:szCs w:val="22"/>
          <w:lang w:eastAsia="en-AU"/>
        </w:rPr>
        <w:t>River Research and Applications</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22</w:t>
      </w:r>
      <w:r w:rsidRPr="00087BF8">
        <w:rPr>
          <w:rFonts w:ascii="Arial" w:hAnsi="Arial" w:cs="Arial"/>
          <w:color w:val="000000"/>
          <w:sz w:val="22"/>
          <w:szCs w:val="22"/>
          <w:lang w:eastAsia="en-AU"/>
        </w:rPr>
        <w:t>, 327–342. doi:10.1002/rra.897</w:t>
      </w:r>
    </w:p>
    <w:p w14:paraId="13159F75" w14:textId="73EA75D5" w:rsidR="00491210" w:rsidRPr="00087BF8" w:rsidRDefault="00EE200C" w:rsidP="00C30C65">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Koehn, J.D. and Nicol, S.J. (2014). Comparative habitat use by large riverine fishes. </w:t>
      </w:r>
      <w:r w:rsidRPr="00087BF8">
        <w:rPr>
          <w:rFonts w:ascii="Arial" w:hAnsi="Arial" w:cs="Arial"/>
          <w:i/>
          <w:iCs/>
          <w:color w:val="000000"/>
          <w:sz w:val="22"/>
          <w:szCs w:val="22"/>
          <w:lang w:eastAsia="en-AU"/>
        </w:rPr>
        <w:t>Marine and Freshwater Research</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65</w:t>
      </w:r>
      <w:r w:rsidRPr="00087BF8">
        <w:rPr>
          <w:rFonts w:ascii="Arial" w:hAnsi="Arial" w:cs="Arial"/>
          <w:color w:val="000000"/>
          <w:sz w:val="22"/>
          <w:szCs w:val="22"/>
          <w:lang w:eastAsia="en-AU"/>
        </w:rPr>
        <w:t>, 164–174. doi:10.1071/MF13011</w:t>
      </w:r>
    </w:p>
    <w:p w14:paraId="3F931635" w14:textId="5318C7C9" w:rsidR="00491210" w:rsidRPr="00087BF8" w:rsidRDefault="00EE200C" w:rsidP="00C30C65">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Koehn, J.D. and Nicol, S.J. (2016). Comparative movements of four large fish species in a lowland river. </w:t>
      </w:r>
      <w:r w:rsidRPr="00087BF8">
        <w:rPr>
          <w:rFonts w:ascii="Arial" w:hAnsi="Arial" w:cs="Arial"/>
          <w:i/>
          <w:iCs/>
          <w:color w:val="000000"/>
          <w:sz w:val="22"/>
          <w:szCs w:val="22"/>
          <w:lang w:eastAsia="en-AU"/>
        </w:rPr>
        <w:t>Journal of Fish Biology</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88</w:t>
      </w:r>
      <w:r w:rsidRPr="00087BF8">
        <w:rPr>
          <w:rFonts w:ascii="Arial" w:hAnsi="Arial" w:cs="Arial"/>
          <w:color w:val="000000"/>
          <w:sz w:val="22"/>
          <w:szCs w:val="22"/>
          <w:lang w:eastAsia="en-AU"/>
        </w:rPr>
        <w:t>, 1350–1368. doi:10.1111/jfb.12884</w:t>
      </w:r>
    </w:p>
    <w:p w14:paraId="08C7CCC5" w14:textId="088595AC" w:rsidR="00491210" w:rsidRPr="00087BF8" w:rsidRDefault="00EE200C" w:rsidP="00C30C65">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Koehn, J.D. and Todd, C.R. (2012). Balancing conservation and recreational fishery objectives for a threatened species, the Murray Cod, </w:t>
      </w:r>
      <w:r w:rsidRPr="00087BF8">
        <w:rPr>
          <w:rFonts w:ascii="Arial" w:hAnsi="Arial" w:cs="Arial"/>
          <w:i/>
          <w:iCs/>
          <w:color w:val="000000"/>
          <w:sz w:val="22"/>
          <w:szCs w:val="22"/>
          <w:lang w:eastAsia="en-AU"/>
        </w:rPr>
        <w:t>Maccullochella peelii</w:t>
      </w:r>
      <w:r w:rsidRPr="00087BF8">
        <w:rPr>
          <w:rFonts w:ascii="Arial" w:hAnsi="Arial" w:cs="Arial"/>
          <w:color w:val="000000"/>
          <w:sz w:val="22"/>
          <w:szCs w:val="22"/>
          <w:lang w:eastAsia="en-AU"/>
        </w:rPr>
        <w:t xml:space="preserve">. </w:t>
      </w:r>
      <w:r w:rsidRPr="00087BF8">
        <w:rPr>
          <w:rFonts w:ascii="Arial" w:hAnsi="Arial" w:cs="Arial"/>
          <w:i/>
          <w:iCs/>
          <w:color w:val="000000"/>
          <w:sz w:val="22"/>
          <w:szCs w:val="22"/>
          <w:lang w:eastAsia="en-AU"/>
        </w:rPr>
        <w:t>Fisheries Management and Ecology</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19</w:t>
      </w:r>
      <w:r w:rsidRPr="00087BF8">
        <w:rPr>
          <w:rFonts w:ascii="Arial" w:hAnsi="Arial" w:cs="Arial"/>
          <w:color w:val="000000"/>
          <w:sz w:val="22"/>
          <w:szCs w:val="22"/>
          <w:lang w:eastAsia="en-AU"/>
        </w:rPr>
        <w:t>, 410–425.</w:t>
      </w:r>
    </w:p>
    <w:p w14:paraId="7407490D" w14:textId="2786B7B2" w:rsidR="00491210" w:rsidRPr="00087BF8" w:rsidRDefault="00EE200C" w:rsidP="00C30C65">
      <w:pPr>
        <w:pStyle w:val="References1"/>
        <w:rPr>
          <w:rFonts w:ascii="Arial" w:hAnsi="Arial" w:cs="Arial"/>
          <w:sz w:val="22"/>
          <w:szCs w:val="22"/>
          <w:lang w:eastAsia="en-AU"/>
        </w:rPr>
      </w:pPr>
      <w:r w:rsidRPr="00087BF8">
        <w:rPr>
          <w:rFonts w:ascii="Arial" w:hAnsi="Arial" w:cs="Arial"/>
          <w:color w:val="000000"/>
          <w:sz w:val="22"/>
          <w:szCs w:val="22"/>
          <w:lang w:eastAsia="en-AU"/>
        </w:rPr>
        <w:t>Koehn, J.D., McKenzie, J.A., O</w:t>
      </w:r>
      <w:r w:rsidRPr="00087BF8" w:rsidDel="00FB3C13">
        <w:rPr>
          <w:rFonts w:ascii="Arial" w:hAnsi="Arial" w:cs="Arial"/>
          <w:color w:val="000000"/>
          <w:sz w:val="22"/>
          <w:szCs w:val="22"/>
          <w:lang w:eastAsia="en-AU"/>
        </w:rPr>
        <w:t>’</w:t>
      </w:r>
      <w:r w:rsidRPr="00087BF8">
        <w:rPr>
          <w:rFonts w:ascii="Arial" w:hAnsi="Arial" w:cs="Arial"/>
          <w:color w:val="000000"/>
          <w:sz w:val="22"/>
          <w:szCs w:val="22"/>
          <w:lang w:eastAsia="en-AU"/>
        </w:rPr>
        <w:t>Mahony, D.J., Nicol, S.J., O</w:t>
      </w:r>
      <w:r w:rsidRPr="00087BF8" w:rsidDel="00FB3C13">
        <w:rPr>
          <w:rFonts w:ascii="Arial" w:hAnsi="Arial" w:cs="Arial"/>
          <w:color w:val="000000"/>
          <w:sz w:val="22"/>
          <w:szCs w:val="22"/>
          <w:lang w:eastAsia="en-AU"/>
        </w:rPr>
        <w:t>’</w:t>
      </w:r>
      <w:r w:rsidRPr="00087BF8">
        <w:rPr>
          <w:rFonts w:ascii="Arial" w:hAnsi="Arial" w:cs="Arial"/>
          <w:color w:val="000000"/>
          <w:sz w:val="22"/>
          <w:szCs w:val="22"/>
          <w:lang w:eastAsia="en-AU"/>
        </w:rPr>
        <w:t>Connor, J.P. and O</w:t>
      </w:r>
      <w:r w:rsidRPr="00087BF8" w:rsidDel="00FB3C13">
        <w:rPr>
          <w:rFonts w:ascii="Arial" w:hAnsi="Arial" w:cs="Arial"/>
          <w:color w:val="000000"/>
          <w:sz w:val="22"/>
          <w:szCs w:val="22"/>
          <w:lang w:eastAsia="en-AU"/>
        </w:rPr>
        <w:t>’</w:t>
      </w:r>
      <w:r w:rsidRPr="00087BF8">
        <w:rPr>
          <w:rFonts w:ascii="Arial" w:hAnsi="Arial" w:cs="Arial"/>
          <w:color w:val="000000"/>
          <w:sz w:val="22"/>
          <w:szCs w:val="22"/>
          <w:lang w:eastAsia="en-AU"/>
        </w:rPr>
        <w:t>Connor, W.G. (2009). Movements of Murray cod (</w:t>
      </w:r>
      <w:r w:rsidRPr="00087BF8">
        <w:rPr>
          <w:rFonts w:ascii="Arial" w:hAnsi="Arial" w:cs="Arial"/>
          <w:i/>
          <w:iCs/>
          <w:color w:val="000000"/>
          <w:sz w:val="22"/>
          <w:szCs w:val="22"/>
          <w:lang w:eastAsia="en-AU"/>
        </w:rPr>
        <w:t>Maccullochella peelii peelii</w:t>
      </w:r>
      <w:r w:rsidRPr="00087BF8">
        <w:rPr>
          <w:rFonts w:ascii="Arial" w:hAnsi="Arial" w:cs="Arial"/>
          <w:color w:val="000000"/>
          <w:sz w:val="22"/>
          <w:szCs w:val="22"/>
          <w:lang w:eastAsia="en-AU"/>
        </w:rPr>
        <w:t xml:space="preserve">) in a large Australian lowland river. </w:t>
      </w:r>
      <w:r w:rsidRPr="00087BF8">
        <w:rPr>
          <w:rFonts w:ascii="Arial" w:hAnsi="Arial" w:cs="Arial"/>
          <w:i/>
          <w:iCs/>
          <w:color w:val="000000"/>
          <w:sz w:val="22"/>
          <w:szCs w:val="22"/>
          <w:lang w:eastAsia="en-AU"/>
        </w:rPr>
        <w:t>Ecology of Freshwater Fish</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18</w:t>
      </w:r>
      <w:r w:rsidRPr="00087BF8">
        <w:rPr>
          <w:rFonts w:ascii="Arial" w:hAnsi="Arial" w:cs="Arial"/>
          <w:color w:val="000000"/>
          <w:sz w:val="22"/>
          <w:szCs w:val="22"/>
          <w:lang w:eastAsia="en-AU"/>
        </w:rPr>
        <w:t>, 594–602. doi:10.1111/j.1600-0633.2009.00375.x</w:t>
      </w:r>
    </w:p>
    <w:p w14:paraId="3EEED6FE" w14:textId="0624C122" w:rsidR="00491210" w:rsidRPr="00087BF8" w:rsidRDefault="00EE200C" w:rsidP="00D06EBF">
      <w:pPr>
        <w:pStyle w:val="References1"/>
        <w:rPr>
          <w:rFonts w:ascii="Arial" w:hAnsi="Arial" w:cs="Arial"/>
          <w:sz w:val="22"/>
          <w:szCs w:val="22"/>
          <w:lang w:eastAsia="en-AU"/>
        </w:rPr>
      </w:pPr>
      <w:r w:rsidRPr="00087BF8">
        <w:rPr>
          <w:rFonts w:ascii="Arial" w:hAnsi="Arial" w:cs="Arial"/>
          <w:color w:val="000000"/>
          <w:sz w:val="22"/>
          <w:szCs w:val="22"/>
          <w:lang w:eastAsia="en-AU"/>
        </w:rPr>
        <w:t>Koehn, J.D., Raymond, S.A., Stuart, I., Todd, C.R., Balcombe, S.R., Zampatti, B.P., Bamford, H., Ingram, B.A., Bice, C., Burndred, K., Butler, G., Baumgartner, L., Clunie, P., Ellis, I., Forbes, J., Hutchison, M., Koster, Lintermans, W., Lyon, J.P., Mallen-Cooper, M., McLellan, M., Pearce, L.,</w:t>
      </w:r>
      <w:r w:rsidRPr="00087BF8" w:rsidDel="00004B87">
        <w:rPr>
          <w:rFonts w:ascii="Arial" w:hAnsi="Arial" w:cs="Arial"/>
          <w:color w:val="000000"/>
          <w:sz w:val="22"/>
          <w:szCs w:val="22"/>
          <w:lang w:eastAsia="en-AU"/>
        </w:rPr>
        <w:t xml:space="preserve"> </w:t>
      </w:r>
      <w:r w:rsidRPr="00087BF8">
        <w:rPr>
          <w:rFonts w:ascii="Arial" w:hAnsi="Arial" w:cs="Arial"/>
          <w:color w:val="000000"/>
          <w:sz w:val="22"/>
          <w:szCs w:val="22"/>
          <w:lang w:eastAsia="en-AU"/>
        </w:rPr>
        <w:t>Ryall, J., Sharpe, C., Stoessel, D.J., Thiem, J.D., Tonkin, Z., Townsend, A. and Ye, Q. (2020). A compendium of ecological knowledge for restoration of freshwater fishes in Australia</w:t>
      </w:r>
      <w:r w:rsidRPr="00087BF8" w:rsidDel="00FB3C13">
        <w:rPr>
          <w:rFonts w:ascii="Arial" w:hAnsi="Arial" w:cs="Arial"/>
          <w:color w:val="000000"/>
          <w:sz w:val="22"/>
          <w:szCs w:val="22"/>
          <w:lang w:eastAsia="en-AU"/>
        </w:rPr>
        <w:t>’</w:t>
      </w:r>
      <w:r w:rsidRPr="00087BF8">
        <w:rPr>
          <w:rFonts w:ascii="Arial" w:hAnsi="Arial" w:cs="Arial"/>
          <w:color w:val="000000"/>
          <w:sz w:val="22"/>
          <w:szCs w:val="22"/>
          <w:lang w:eastAsia="en-AU"/>
        </w:rPr>
        <w:t xml:space="preserve">s Murray–Darling Basin. </w:t>
      </w:r>
      <w:r w:rsidRPr="00087BF8">
        <w:rPr>
          <w:rFonts w:ascii="Arial" w:hAnsi="Arial" w:cs="Arial"/>
          <w:i/>
          <w:iCs/>
          <w:color w:val="000000"/>
          <w:sz w:val="22"/>
          <w:szCs w:val="22"/>
          <w:lang w:eastAsia="en-AU"/>
        </w:rPr>
        <w:t>Marine and Freshwater Research</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71</w:t>
      </w:r>
      <w:r w:rsidRPr="00087BF8">
        <w:rPr>
          <w:rFonts w:ascii="Arial" w:hAnsi="Arial" w:cs="Arial"/>
          <w:color w:val="000000"/>
          <w:sz w:val="22"/>
          <w:szCs w:val="22"/>
          <w:lang w:eastAsia="en-AU"/>
        </w:rPr>
        <w:t>, 1391–1463.</w:t>
      </w:r>
    </w:p>
    <w:p w14:paraId="17924328" w14:textId="66EDE30C" w:rsidR="00491210" w:rsidRPr="00087BF8" w:rsidRDefault="00EE200C" w:rsidP="003472C9">
      <w:pPr>
        <w:pStyle w:val="References1"/>
        <w:rPr>
          <w:rFonts w:ascii="Arial" w:hAnsi="Arial" w:cs="Arial"/>
          <w:sz w:val="22"/>
          <w:szCs w:val="22"/>
          <w:lang w:eastAsia="en-AU"/>
        </w:rPr>
      </w:pPr>
      <w:r w:rsidRPr="00087BF8">
        <w:rPr>
          <w:rFonts w:ascii="Arial" w:hAnsi="Arial" w:cs="Arial"/>
          <w:sz w:val="22"/>
          <w:szCs w:val="22"/>
          <w:shd w:val="clear" w:color="auto" w:fill="FFFFFF"/>
          <w:lang w:eastAsia="en-AU"/>
        </w:rPr>
        <w:t>Koehn, J.D., Todd, C.R., Zampatti, B.P., Stuart, I.G., Conallin, A., Thwaites, L. and Ye, Q. (2018). Using a population model to inform the management of river flows and invasive carp (</w:t>
      </w:r>
      <w:r w:rsidRPr="00087BF8">
        <w:rPr>
          <w:rFonts w:ascii="Arial" w:hAnsi="Arial" w:cs="Arial"/>
          <w:i/>
          <w:iCs/>
          <w:sz w:val="22"/>
          <w:szCs w:val="22"/>
          <w:shd w:val="clear" w:color="auto" w:fill="FFFFFF"/>
          <w:lang w:eastAsia="en-AU"/>
        </w:rPr>
        <w:t>Cyprinus carpio</w:t>
      </w:r>
      <w:r w:rsidRPr="00087BF8">
        <w:rPr>
          <w:rFonts w:ascii="Arial" w:hAnsi="Arial" w:cs="Arial"/>
          <w:sz w:val="22"/>
          <w:szCs w:val="22"/>
          <w:shd w:val="clear" w:color="auto" w:fill="FFFFFF"/>
          <w:lang w:eastAsia="en-AU"/>
        </w:rPr>
        <w:t xml:space="preserve">). </w:t>
      </w:r>
      <w:r w:rsidRPr="00087BF8">
        <w:rPr>
          <w:rFonts w:ascii="Arial" w:hAnsi="Arial" w:cs="Arial"/>
          <w:i/>
          <w:iCs/>
          <w:sz w:val="22"/>
          <w:szCs w:val="22"/>
          <w:shd w:val="clear" w:color="auto" w:fill="FFFFFF"/>
          <w:lang w:eastAsia="en-AU"/>
        </w:rPr>
        <w:t>Environmental Management</w:t>
      </w:r>
      <w:r w:rsidRPr="00087BF8">
        <w:rPr>
          <w:rFonts w:ascii="Arial" w:hAnsi="Arial" w:cs="Arial"/>
          <w:sz w:val="22"/>
          <w:szCs w:val="22"/>
          <w:shd w:val="clear" w:color="auto" w:fill="FFFFFF"/>
          <w:lang w:eastAsia="en-AU"/>
        </w:rPr>
        <w:t xml:space="preserve"> </w:t>
      </w:r>
      <w:r w:rsidRPr="00087BF8">
        <w:rPr>
          <w:rFonts w:ascii="Arial" w:hAnsi="Arial" w:cs="Arial"/>
          <w:b/>
          <w:bCs/>
          <w:sz w:val="22"/>
          <w:szCs w:val="22"/>
          <w:shd w:val="clear" w:color="auto" w:fill="FFFFFF"/>
          <w:lang w:eastAsia="en-AU"/>
        </w:rPr>
        <w:t>61</w:t>
      </w:r>
      <w:r w:rsidRPr="00087BF8">
        <w:rPr>
          <w:rFonts w:ascii="Arial" w:hAnsi="Arial" w:cs="Arial"/>
          <w:sz w:val="22"/>
          <w:szCs w:val="22"/>
          <w:shd w:val="clear" w:color="auto" w:fill="FFFFFF"/>
          <w:lang w:eastAsia="en-AU"/>
        </w:rPr>
        <w:t>, 432–442.</w:t>
      </w:r>
    </w:p>
    <w:p w14:paraId="5063067E" w14:textId="51D8249B" w:rsidR="00491210" w:rsidRDefault="00EE200C" w:rsidP="003472C9">
      <w:pPr>
        <w:pStyle w:val="References1"/>
        <w:rPr>
          <w:rFonts w:ascii="Arial" w:hAnsi="Arial" w:cs="Arial"/>
          <w:color w:val="000000"/>
          <w:sz w:val="22"/>
          <w:szCs w:val="22"/>
          <w:lang w:eastAsia="en-AU"/>
        </w:rPr>
      </w:pPr>
      <w:r w:rsidRPr="00D41515">
        <w:rPr>
          <w:rFonts w:ascii="Arial" w:hAnsi="Arial" w:cs="Arial"/>
          <w:color w:val="000000"/>
          <w:sz w:val="22"/>
          <w:szCs w:val="22"/>
          <w:lang w:eastAsia="en-AU"/>
        </w:rPr>
        <w:lastRenderedPageBreak/>
        <w:t>Koster W</w:t>
      </w:r>
      <w:r>
        <w:rPr>
          <w:rFonts w:ascii="Arial" w:hAnsi="Arial" w:cs="Arial"/>
          <w:color w:val="000000"/>
          <w:sz w:val="22"/>
          <w:szCs w:val="22"/>
          <w:lang w:eastAsia="en-AU"/>
        </w:rPr>
        <w:t>.</w:t>
      </w:r>
      <w:r w:rsidRPr="00D41515">
        <w:rPr>
          <w:rFonts w:ascii="Arial" w:hAnsi="Arial" w:cs="Arial"/>
          <w:color w:val="000000"/>
          <w:sz w:val="22"/>
          <w:szCs w:val="22"/>
          <w:lang w:eastAsia="en-AU"/>
        </w:rPr>
        <w:t>M</w:t>
      </w:r>
      <w:r>
        <w:rPr>
          <w:rFonts w:ascii="Arial" w:hAnsi="Arial" w:cs="Arial"/>
          <w:color w:val="000000"/>
          <w:sz w:val="22"/>
          <w:szCs w:val="22"/>
          <w:lang w:eastAsia="en-AU"/>
        </w:rPr>
        <w:t xml:space="preserve"> </w:t>
      </w:r>
      <w:r w:rsidRPr="00D41515">
        <w:rPr>
          <w:rFonts w:ascii="Arial" w:hAnsi="Arial" w:cs="Arial"/>
          <w:color w:val="000000"/>
          <w:sz w:val="22"/>
          <w:szCs w:val="22"/>
          <w:lang w:eastAsia="en-AU"/>
        </w:rPr>
        <w:t>, Dawson</w:t>
      </w:r>
      <w:r>
        <w:rPr>
          <w:rFonts w:ascii="Arial" w:hAnsi="Arial" w:cs="Arial"/>
          <w:color w:val="000000"/>
          <w:sz w:val="22"/>
          <w:szCs w:val="22"/>
          <w:lang w:eastAsia="en-AU"/>
        </w:rPr>
        <w:t>,</w:t>
      </w:r>
      <w:r w:rsidRPr="00D41515">
        <w:rPr>
          <w:rFonts w:ascii="Arial" w:hAnsi="Arial" w:cs="Arial"/>
          <w:color w:val="000000"/>
          <w:sz w:val="22"/>
          <w:szCs w:val="22"/>
          <w:lang w:eastAsia="en-AU"/>
        </w:rPr>
        <w:t xml:space="preserve"> D</w:t>
      </w:r>
      <w:r>
        <w:rPr>
          <w:rFonts w:ascii="Arial" w:hAnsi="Arial" w:cs="Arial"/>
          <w:color w:val="000000"/>
          <w:sz w:val="22"/>
          <w:szCs w:val="22"/>
          <w:lang w:eastAsia="en-AU"/>
        </w:rPr>
        <w:t>.</w:t>
      </w:r>
      <w:r w:rsidRPr="00D41515">
        <w:rPr>
          <w:rFonts w:ascii="Arial" w:hAnsi="Arial" w:cs="Arial"/>
          <w:color w:val="000000"/>
          <w:sz w:val="22"/>
          <w:szCs w:val="22"/>
          <w:lang w:eastAsia="en-AU"/>
        </w:rPr>
        <w:t>R</w:t>
      </w:r>
      <w:r>
        <w:rPr>
          <w:rFonts w:ascii="Arial" w:hAnsi="Arial" w:cs="Arial"/>
          <w:color w:val="000000"/>
          <w:sz w:val="22"/>
          <w:szCs w:val="22"/>
          <w:lang w:eastAsia="en-AU"/>
        </w:rPr>
        <w:t>.</w:t>
      </w:r>
      <w:r w:rsidRPr="00D41515">
        <w:rPr>
          <w:rFonts w:ascii="Arial" w:hAnsi="Arial" w:cs="Arial"/>
          <w:color w:val="000000"/>
          <w:sz w:val="22"/>
          <w:szCs w:val="22"/>
          <w:lang w:eastAsia="en-AU"/>
        </w:rPr>
        <w:t>, Liu</w:t>
      </w:r>
      <w:r>
        <w:rPr>
          <w:rFonts w:ascii="Arial" w:hAnsi="Arial" w:cs="Arial"/>
          <w:color w:val="000000"/>
          <w:sz w:val="22"/>
          <w:szCs w:val="22"/>
          <w:lang w:eastAsia="en-AU"/>
        </w:rPr>
        <w:t>,</w:t>
      </w:r>
      <w:r w:rsidRPr="00D41515">
        <w:rPr>
          <w:rFonts w:ascii="Arial" w:hAnsi="Arial" w:cs="Arial"/>
          <w:color w:val="000000"/>
          <w:sz w:val="22"/>
          <w:szCs w:val="22"/>
          <w:lang w:eastAsia="en-AU"/>
        </w:rPr>
        <w:t xml:space="preserve"> C</w:t>
      </w:r>
      <w:r>
        <w:rPr>
          <w:rFonts w:ascii="Arial" w:hAnsi="Arial" w:cs="Arial"/>
          <w:color w:val="000000"/>
          <w:sz w:val="22"/>
          <w:szCs w:val="22"/>
          <w:lang w:eastAsia="en-AU"/>
        </w:rPr>
        <w:t>.</w:t>
      </w:r>
      <w:r w:rsidRPr="00D41515">
        <w:rPr>
          <w:rFonts w:ascii="Arial" w:hAnsi="Arial" w:cs="Arial"/>
          <w:color w:val="000000"/>
          <w:sz w:val="22"/>
          <w:szCs w:val="22"/>
          <w:lang w:eastAsia="en-AU"/>
        </w:rPr>
        <w:t xml:space="preserve">, </w:t>
      </w:r>
      <w:r>
        <w:rPr>
          <w:rFonts w:ascii="Arial" w:hAnsi="Arial" w:cs="Arial"/>
          <w:color w:val="000000"/>
          <w:sz w:val="22"/>
          <w:szCs w:val="22"/>
          <w:lang w:eastAsia="en-AU"/>
        </w:rPr>
        <w:t>Moloney, P.D., Crook, D.A. and Thomson, J.R</w:t>
      </w:r>
      <w:r w:rsidRPr="00D41515">
        <w:rPr>
          <w:rFonts w:ascii="Arial" w:hAnsi="Arial" w:cs="Arial"/>
          <w:color w:val="000000"/>
          <w:sz w:val="22"/>
          <w:szCs w:val="22"/>
          <w:lang w:eastAsia="en-AU"/>
        </w:rPr>
        <w:t xml:space="preserve">. </w:t>
      </w:r>
      <w:r>
        <w:rPr>
          <w:rFonts w:ascii="Arial" w:hAnsi="Arial" w:cs="Arial"/>
          <w:color w:val="000000"/>
          <w:sz w:val="22"/>
          <w:szCs w:val="22"/>
          <w:lang w:eastAsia="en-AU"/>
        </w:rPr>
        <w:t xml:space="preserve">(2016). </w:t>
      </w:r>
      <w:r w:rsidRPr="00D41515">
        <w:rPr>
          <w:rFonts w:ascii="Arial" w:hAnsi="Arial" w:cs="Arial"/>
          <w:color w:val="000000"/>
          <w:sz w:val="22"/>
          <w:szCs w:val="22"/>
          <w:lang w:eastAsia="en-AU"/>
        </w:rPr>
        <w:t xml:space="preserve">Influence of streamflow on spawning-related movements of golden perch </w:t>
      </w:r>
      <w:r w:rsidRPr="00D41515">
        <w:rPr>
          <w:rFonts w:ascii="Arial" w:hAnsi="Arial" w:cs="Arial"/>
          <w:i/>
          <w:iCs/>
          <w:color w:val="000000"/>
          <w:sz w:val="22"/>
          <w:szCs w:val="22"/>
          <w:lang w:eastAsia="en-AU"/>
        </w:rPr>
        <w:t>Macquaria ambigua</w:t>
      </w:r>
      <w:r w:rsidRPr="00D41515">
        <w:rPr>
          <w:rFonts w:ascii="Arial" w:hAnsi="Arial" w:cs="Arial"/>
          <w:color w:val="000000"/>
          <w:sz w:val="22"/>
          <w:szCs w:val="22"/>
          <w:lang w:eastAsia="en-AU"/>
        </w:rPr>
        <w:t xml:space="preserve"> in south-eastern Australia. </w:t>
      </w:r>
      <w:r w:rsidRPr="00D41515">
        <w:rPr>
          <w:rFonts w:ascii="Arial" w:hAnsi="Arial" w:cs="Arial"/>
          <w:i/>
          <w:iCs/>
          <w:color w:val="000000"/>
          <w:sz w:val="22"/>
          <w:szCs w:val="22"/>
          <w:lang w:eastAsia="en-AU"/>
        </w:rPr>
        <w:t>Journal of Fish Biology</w:t>
      </w:r>
      <w:r w:rsidRPr="00D41515">
        <w:rPr>
          <w:rFonts w:ascii="Arial" w:hAnsi="Arial" w:cs="Arial"/>
          <w:color w:val="000000"/>
          <w:sz w:val="22"/>
          <w:szCs w:val="22"/>
          <w:lang w:eastAsia="en-AU"/>
        </w:rPr>
        <w:t xml:space="preserve"> </w:t>
      </w:r>
      <w:r w:rsidRPr="00D41515">
        <w:rPr>
          <w:rFonts w:ascii="Arial" w:hAnsi="Arial" w:cs="Arial"/>
          <w:b/>
          <w:bCs/>
          <w:color w:val="000000"/>
          <w:sz w:val="22"/>
          <w:szCs w:val="22"/>
          <w:lang w:eastAsia="en-AU"/>
        </w:rPr>
        <w:t>90</w:t>
      </w:r>
      <w:r>
        <w:rPr>
          <w:rFonts w:ascii="Arial" w:hAnsi="Arial" w:cs="Arial"/>
          <w:color w:val="000000"/>
          <w:sz w:val="22"/>
          <w:szCs w:val="22"/>
          <w:lang w:eastAsia="en-AU"/>
        </w:rPr>
        <w:t xml:space="preserve">, </w:t>
      </w:r>
      <w:r w:rsidRPr="00D41515">
        <w:rPr>
          <w:rFonts w:ascii="Arial" w:hAnsi="Arial" w:cs="Arial"/>
          <w:color w:val="000000"/>
          <w:sz w:val="22"/>
          <w:szCs w:val="22"/>
          <w:lang w:eastAsia="en-AU"/>
        </w:rPr>
        <w:t>93</w:t>
      </w:r>
      <w:r w:rsidRPr="00087BF8">
        <w:rPr>
          <w:rFonts w:ascii="Arial" w:hAnsi="Arial" w:cs="Arial"/>
          <w:sz w:val="22"/>
          <w:szCs w:val="22"/>
          <w:shd w:val="clear" w:color="auto" w:fill="FFFFFF"/>
          <w:lang w:eastAsia="en-AU"/>
        </w:rPr>
        <w:t>–</w:t>
      </w:r>
      <w:r w:rsidRPr="00D41515">
        <w:rPr>
          <w:rFonts w:ascii="Arial" w:hAnsi="Arial" w:cs="Arial"/>
          <w:color w:val="000000"/>
          <w:sz w:val="22"/>
          <w:szCs w:val="22"/>
          <w:lang w:eastAsia="en-AU"/>
        </w:rPr>
        <w:t xml:space="preserve">108. </w:t>
      </w:r>
      <w:r>
        <w:rPr>
          <w:rFonts w:ascii="Arial" w:hAnsi="Arial" w:cs="Arial"/>
          <w:color w:val="000000"/>
          <w:sz w:val="22"/>
          <w:szCs w:val="22"/>
          <w:lang w:eastAsia="en-AU"/>
        </w:rPr>
        <w:t>doi</w:t>
      </w:r>
      <w:r w:rsidRPr="00D41515">
        <w:rPr>
          <w:rFonts w:ascii="Arial" w:hAnsi="Arial" w:cs="Arial"/>
          <w:color w:val="000000"/>
          <w:sz w:val="22"/>
          <w:szCs w:val="22"/>
          <w:lang w:eastAsia="en-AU"/>
        </w:rPr>
        <w:t xml:space="preserve">:10.1111/jfb.13160. </w:t>
      </w:r>
    </w:p>
    <w:p w14:paraId="61271C1D" w14:textId="3FE85DCB" w:rsidR="00491210" w:rsidRPr="00087BF8" w:rsidDel="00004B87" w:rsidRDefault="00EE200C" w:rsidP="003472C9">
      <w:pPr>
        <w:pStyle w:val="References1"/>
        <w:rPr>
          <w:rFonts w:ascii="Arial" w:hAnsi="Arial" w:cs="Arial"/>
          <w:color w:val="000000"/>
          <w:sz w:val="22"/>
          <w:szCs w:val="22"/>
          <w:lang w:eastAsia="en-AU"/>
        </w:rPr>
      </w:pPr>
      <w:r w:rsidRPr="00087BF8">
        <w:rPr>
          <w:rFonts w:ascii="Arial" w:hAnsi="Arial" w:cs="Arial"/>
          <w:color w:val="000000"/>
          <w:sz w:val="22"/>
          <w:szCs w:val="22"/>
          <w:lang w:eastAsia="en-AU"/>
        </w:rPr>
        <w:t xml:space="preserve">Koster, W.M., Stuart, I., Tonkin, Z., Dawson, D. and Fanson, B. (2021). Environmental influences on migration patterns and pathways of a threatened potamodromous fish in a regulated lowland river network. </w:t>
      </w:r>
      <w:r w:rsidRPr="00087BF8">
        <w:rPr>
          <w:rFonts w:ascii="Arial" w:hAnsi="Arial" w:cs="Arial"/>
          <w:i/>
          <w:iCs/>
          <w:color w:val="000000"/>
          <w:sz w:val="22"/>
          <w:szCs w:val="22"/>
          <w:lang w:eastAsia="en-AU"/>
        </w:rPr>
        <w:t>Ecohydrology</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14</w:t>
      </w:r>
      <w:r w:rsidRPr="00087BF8">
        <w:rPr>
          <w:rFonts w:ascii="Arial" w:hAnsi="Arial" w:cs="Arial"/>
          <w:color w:val="000000"/>
          <w:sz w:val="22"/>
          <w:szCs w:val="22"/>
          <w:lang w:eastAsia="en-AU"/>
        </w:rPr>
        <w:t>, p.e2260.</w:t>
      </w:r>
    </w:p>
    <w:p w14:paraId="346E626C" w14:textId="589B740C" w:rsidR="00491210" w:rsidRPr="00087BF8" w:rsidRDefault="00EE200C" w:rsidP="003472C9">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Lake, J.S. (1967). Rearing experiments with five species of Australian freshwater fishes. I. Inducement to spawning. </w:t>
      </w:r>
      <w:r w:rsidRPr="00087BF8">
        <w:rPr>
          <w:rFonts w:ascii="Arial" w:hAnsi="Arial" w:cs="Arial"/>
          <w:i/>
          <w:iCs/>
          <w:color w:val="000000"/>
          <w:sz w:val="22"/>
          <w:szCs w:val="22"/>
          <w:lang w:eastAsia="en-AU"/>
        </w:rPr>
        <w:t>Australian Journal of Marine and Freshwater Research</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18</w:t>
      </w:r>
      <w:r w:rsidRPr="00087BF8">
        <w:rPr>
          <w:rFonts w:ascii="Arial" w:hAnsi="Arial" w:cs="Arial"/>
          <w:color w:val="000000"/>
          <w:sz w:val="22"/>
          <w:szCs w:val="22"/>
          <w:lang w:eastAsia="en-AU"/>
        </w:rPr>
        <w:t>, 137–153.</w:t>
      </w:r>
    </w:p>
    <w:p w14:paraId="3CD42BCE" w14:textId="588BC887" w:rsidR="00491210" w:rsidRDefault="00EE200C" w:rsidP="003472C9">
      <w:pPr>
        <w:pStyle w:val="References1"/>
        <w:rPr>
          <w:rFonts w:ascii="Arial" w:hAnsi="Arial" w:cs="Arial"/>
          <w:color w:val="000000"/>
          <w:sz w:val="22"/>
          <w:szCs w:val="22"/>
          <w:lang w:eastAsia="en-AU"/>
        </w:rPr>
      </w:pPr>
      <w:r w:rsidRPr="00607021">
        <w:rPr>
          <w:rFonts w:ascii="Arial" w:hAnsi="Arial" w:cs="Arial"/>
          <w:color w:val="000000"/>
          <w:sz w:val="22"/>
          <w:szCs w:val="22"/>
          <w:lang w:eastAsia="en-AU"/>
        </w:rPr>
        <w:t>Lyon, J.P., Bird, T., Nicol, S., Kearns, J., O’Mahony, J., Todd, C.R., Cowx, I.G.</w:t>
      </w:r>
      <w:r>
        <w:rPr>
          <w:rFonts w:ascii="Arial" w:hAnsi="Arial" w:cs="Arial"/>
          <w:color w:val="000000"/>
          <w:sz w:val="22"/>
          <w:szCs w:val="22"/>
          <w:lang w:eastAsia="en-AU"/>
        </w:rPr>
        <w:t xml:space="preserve"> and</w:t>
      </w:r>
      <w:r w:rsidRPr="00607021">
        <w:rPr>
          <w:rFonts w:ascii="Arial" w:hAnsi="Arial" w:cs="Arial"/>
          <w:color w:val="000000"/>
          <w:sz w:val="22"/>
          <w:szCs w:val="22"/>
          <w:lang w:eastAsia="en-AU"/>
        </w:rPr>
        <w:t xml:space="preserve"> Bradshaw, C.J.A., </w:t>
      </w:r>
      <w:r>
        <w:rPr>
          <w:rFonts w:ascii="Arial" w:hAnsi="Arial" w:cs="Arial"/>
          <w:color w:val="000000"/>
          <w:sz w:val="22"/>
          <w:szCs w:val="22"/>
          <w:lang w:eastAsia="en-AU"/>
        </w:rPr>
        <w:t>(</w:t>
      </w:r>
      <w:r w:rsidRPr="00607021">
        <w:rPr>
          <w:rFonts w:ascii="Arial" w:hAnsi="Arial" w:cs="Arial"/>
          <w:color w:val="000000"/>
          <w:sz w:val="22"/>
          <w:szCs w:val="22"/>
          <w:lang w:eastAsia="en-AU"/>
        </w:rPr>
        <w:t>2014</w:t>
      </w:r>
      <w:r>
        <w:rPr>
          <w:rFonts w:ascii="Arial" w:hAnsi="Arial" w:cs="Arial"/>
          <w:color w:val="000000"/>
          <w:sz w:val="22"/>
          <w:szCs w:val="22"/>
          <w:lang w:eastAsia="en-AU"/>
        </w:rPr>
        <w:t>)</w:t>
      </w:r>
      <w:r w:rsidRPr="00607021">
        <w:rPr>
          <w:rFonts w:ascii="Arial" w:hAnsi="Arial" w:cs="Arial"/>
          <w:color w:val="000000"/>
          <w:sz w:val="22"/>
          <w:szCs w:val="22"/>
          <w:lang w:eastAsia="en-AU"/>
        </w:rPr>
        <w:t xml:space="preserve">. Efficiency of electrofishing in turbid lowland rivers: implications for measuring temporal change in fish populations. </w:t>
      </w:r>
      <w:r w:rsidRPr="006460CC">
        <w:rPr>
          <w:rFonts w:ascii="Arial" w:hAnsi="Arial" w:cs="Arial"/>
          <w:i/>
          <w:iCs/>
          <w:color w:val="000000"/>
          <w:sz w:val="22"/>
          <w:szCs w:val="22"/>
          <w:lang w:eastAsia="en-AU"/>
        </w:rPr>
        <w:t>Canadian Journal of Fisheries and Aquatic Sciences</w:t>
      </w:r>
      <w:r w:rsidRPr="00607021">
        <w:rPr>
          <w:rFonts w:ascii="Arial" w:hAnsi="Arial" w:cs="Arial"/>
          <w:color w:val="000000"/>
          <w:sz w:val="22"/>
          <w:szCs w:val="22"/>
          <w:lang w:eastAsia="en-AU"/>
        </w:rPr>
        <w:t xml:space="preserve"> </w:t>
      </w:r>
      <w:r w:rsidRPr="006460CC">
        <w:rPr>
          <w:rFonts w:ascii="Arial" w:hAnsi="Arial" w:cs="Arial"/>
          <w:b/>
          <w:bCs/>
          <w:color w:val="000000"/>
          <w:sz w:val="22"/>
          <w:szCs w:val="22"/>
          <w:lang w:eastAsia="en-AU"/>
        </w:rPr>
        <w:t>71</w:t>
      </w:r>
      <w:r w:rsidRPr="00607021">
        <w:rPr>
          <w:rFonts w:ascii="Arial" w:hAnsi="Arial" w:cs="Arial"/>
          <w:color w:val="000000"/>
          <w:sz w:val="22"/>
          <w:szCs w:val="22"/>
          <w:lang w:eastAsia="en-AU"/>
        </w:rPr>
        <w:t>, 878–886. https://doi.org/10.1139/cjfas-2013-0287</w:t>
      </w:r>
    </w:p>
    <w:p w14:paraId="08A3DC59" w14:textId="0E7515DB" w:rsidR="00491210" w:rsidRPr="00087BF8" w:rsidRDefault="00EE200C" w:rsidP="003472C9">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Lyon, J.P., Bird, T.J., Kearns, J., Nicol, S., Tonkin, Z., Todd, C.R., O’Mahony, J., Hackett, G., Raymond, S., Lieschke, J. and Kitchingman, A. (2019). Increased population size of fish in a lowland river following restoration of structural habitat. </w:t>
      </w:r>
      <w:r w:rsidRPr="00087BF8">
        <w:rPr>
          <w:rFonts w:ascii="Arial" w:hAnsi="Arial" w:cs="Arial"/>
          <w:i/>
          <w:iCs/>
          <w:color w:val="000000"/>
          <w:sz w:val="22"/>
          <w:szCs w:val="22"/>
          <w:lang w:eastAsia="en-AU"/>
        </w:rPr>
        <w:t>Ecological Applications</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29</w:t>
      </w:r>
      <w:r w:rsidRPr="00087BF8">
        <w:rPr>
          <w:rFonts w:ascii="Arial" w:hAnsi="Arial" w:cs="Arial"/>
          <w:color w:val="000000"/>
          <w:sz w:val="22"/>
          <w:szCs w:val="22"/>
          <w:lang w:eastAsia="en-AU"/>
        </w:rPr>
        <w:t>, p.e01882.</w:t>
      </w:r>
    </w:p>
    <w:p w14:paraId="013BCA46" w14:textId="5A819308" w:rsidR="00491210" w:rsidRPr="00087BF8" w:rsidRDefault="00EE200C" w:rsidP="000E4CF8">
      <w:pPr>
        <w:pStyle w:val="References1"/>
        <w:rPr>
          <w:rFonts w:ascii="Arial" w:hAnsi="Arial" w:cs="Arial"/>
          <w:color w:val="000000"/>
          <w:sz w:val="22"/>
          <w:szCs w:val="22"/>
          <w:lang w:val="en-US" w:eastAsia="en-AU"/>
        </w:rPr>
      </w:pPr>
      <w:r w:rsidRPr="00087BF8">
        <w:rPr>
          <w:rFonts w:ascii="Arial" w:hAnsi="Arial" w:cs="Arial"/>
          <w:color w:val="000000"/>
          <w:sz w:val="22"/>
          <w:szCs w:val="22"/>
          <w:lang w:eastAsia="en-AU"/>
        </w:rPr>
        <w:t xml:space="preserve">Lyon, J.P., Bird, T., Tonkin, Z., Raymond, S., Sharley, J. and Hale, R. (2021). Does life history mediate the effects of discharge as a driver of multi-decadal changes in population abundance and size structure of freshwater fish? </w:t>
      </w:r>
      <w:r w:rsidRPr="00087BF8">
        <w:rPr>
          <w:rFonts w:ascii="Arial" w:hAnsi="Arial" w:cs="Arial"/>
          <w:i/>
          <w:iCs/>
          <w:color w:val="000000"/>
          <w:sz w:val="22"/>
          <w:szCs w:val="22"/>
          <w:lang w:eastAsia="en-AU"/>
        </w:rPr>
        <w:t>Ecological Applications</w:t>
      </w:r>
      <w:r w:rsidRPr="00087BF8">
        <w:rPr>
          <w:rFonts w:ascii="Arial" w:hAnsi="Arial" w:cs="Arial"/>
          <w:color w:val="000000"/>
          <w:sz w:val="22"/>
          <w:szCs w:val="22"/>
          <w:lang w:eastAsia="en-AU"/>
        </w:rPr>
        <w:t xml:space="preserve"> </w:t>
      </w:r>
      <w:r w:rsidRPr="00087BF8">
        <w:rPr>
          <w:rFonts w:ascii="Arial" w:hAnsi="Arial" w:cs="Arial"/>
          <w:color w:val="000000"/>
          <w:sz w:val="22"/>
          <w:szCs w:val="22"/>
          <w:lang w:val="en-US" w:eastAsia="en-AU"/>
        </w:rPr>
        <w:t>e02430.</w:t>
      </w:r>
    </w:p>
    <w:p w14:paraId="38556900" w14:textId="42216524" w:rsidR="00491210" w:rsidRPr="00087BF8" w:rsidRDefault="00EE200C" w:rsidP="00261480">
      <w:pPr>
        <w:pStyle w:val="References1"/>
        <w:rPr>
          <w:rFonts w:ascii="Arial" w:hAnsi="Arial" w:cs="Arial"/>
          <w:color w:val="000000"/>
          <w:sz w:val="22"/>
          <w:szCs w:val="22"/>
          <w:lang w:eastAsia="en-AU"/>
        </w:rPr>
      </w:pPr>
      <w:r w:rsidRPr="00087BF8">
        <w:rPr>
          <w:rFonts w:ascii="Arial" w:hAnsi="Arial" w:cs="Arial"/>
          <w:color w:val="000000"/>
          <w:sz w:val="22"/>
          <w:szCs w:val="22"/>
          <w:lang w:eastAsia="en-AU"/>
        </w:rPr>
        <w:t>Mallen</w:t>
      </w:r>
      <w:r w:rsidRPr="00087BF8">
        <w:rPr>
          <w:rFonts w:ascii="Cambria Math" w:hAnsi="Cambria Math" w:cs="Cambria Math"/>
          <w:color w:val="000000"/>
          <w:sz w:val="22"/>
          <w:szCs w:val="22"/>
          <w:lang w:eastAsia="en-AU"/>
        </w:rPr>
        <w:t>‐</w:t>
      </w:r>
      <w:r w:rsidRPr="00087BF8">
        <w:rPr>
          <w:rFonts w:ascii="Arial" w:hAnsi="Arial" w:cs="Arial"/>
          <w:color w:val="000000"/>
          <w:sz w:val="22"/>
          <w:szCs w:val="22"/>
          <w:lang w:eastAsia="en-AU"/>
        </w:rPr>
        <w:t>Cooper, M. and Stuart, I.G. (2003). Age, growth and non</w:t>
      </w:r>
      <w:r w:rsidRPr="00087BF8">
        <w:rPr>
          <w:rFonts w:ascii="Cambria Math" w:hAnsi="Cambria Math" w:cs="Cambria Math"/>
          <w:color w:val="000000"/>
          <w:sz w:val="22"/>
          <w:szCs w:val="22"/>
          <w:lang w:eastAsia="en-AU"/>
        </w:rPr>
        <w:t>‐</w:t>
      </w:r>
      <w:r w:rsidRPr="00087BF8">
        <w:rPr>
          <w:rFonts w:ascii="Arial" w:hAnsi="Arial" w:cs="Arial"/>
          <w:color w:val="000000"/>
          <w:sz w:val="22"/>
          <w:szCs w:val="22"/>
          <w:lang w:eastAsia="en-AU"/>
        </w:rPr>
        <w:t>flood recruitment of two potamodromous fishes in a large semi</w:t>
      </w:r>
      <w:r w:rsidRPr="00087BF8">
        <w:rPr>
          <w:rFonts w:ascii="Cambria Math" w:hAnsi="Cambria Math" w:cs="Cambria Math"/>
          <w:color w:val="000000"/>
          <w:sz w:val="22"/>
          <w:szCs w:val="22"/>
          <w:lang w:eastAsia="en-AU"/>
        </w:rPr>
        <w:t>‐</w:t>
      </w:r>
      <w:r w:rsidRPr="00087BF8">
        <w:rPr>
          <w:rFonts w:ascii="Arial" w:hAnsi="Arial" w:cs="Arial"/>
          <w:color w:val="000000"/>
          <w:sz w:val="22"/>
          <w:szCs w:val="22"/>
          <w:lang w:eastAsia="en-AU"/>
        </w:rPr>
        <w:t xml:space="preserve">arid/temperate river system. </w:t>
      </w:r>
      <w:r w:rsidRPr="00087BF8">
        <w:rPr>
          <w:rFonts w:ascii="Arial" w:hAnsi="Arial" w:cs="Arial"/>
          <w:i/>
          <w:iCs/>
          <w:color w:val="000000"/>
          <w:sz w:val="22"/>
          <w:szCs w:val="22"/>
          <w:lang w:eastAsia="en-AU"/>
        </w:rPr>
        <w:t>River Research and Applications</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19</w:t>
      </w:r>
      <w:r w:rsidRPr="00087BF8">
        <w:rPr>
          <w:rFonts w:ascii="Arial" w:hAnsi="Arial" w:cs="Arial"/>
          <w:color w:val="000000"/>
          <w:sz w:val="22"/>
          <w:szCs w:val="22"/>
          <w:lang w:eastAsia="en-AU"/>
        </w:rPr>
        <w:t>, 697–719.</w:t>
      </w:r>
    </w:p>
    <w:p w14:paraId="3FA9F0D4" w14:textId="77777777" w:rsidR="00491210" w:rsidRPr="00087BF8" w:rsidRDefault="00EE200C" w:rsidP="00261480">
      <w:pPr>
        <w:pStyle w:val="References1"/>
        <w:rPr>
          <w:rFonts w:ascii="Arial" w:hAnsi="Arial" w:cs="Arial"/>
          <w:color w:val="000000"/>
          <w:sz w:val="22"/>
          <w:szCs w:val="22"/>
          <w:lang w:val="en-US" w:eastAsia="en-AU"/>
        </w:rPr>
      </w:pPr>
      <w:bookmarkStart w:id="222" w:name="ref-mandel2013simulation"/>
      <w:r w:rsidRPr="00087BF8">
        <w:rPr>
          <w:rFonts w:ascii="Arial" w:hAnsi="Arial" w:cs="Arial"/>
          <w:color w:val="000000"/>
          <w:sz w:val="22"/>
          <w:szCs w:val="22"/>
          <w:lang w:val="en-US" w:eastAsia="en-AU"/>
        </w:rPr>
        <w:t xml:space="preserve">Mandel, M. (2013). Simulation-based confidence intervals for functions with complicated derivatives. </w:t>
      </w:r>
      <w:r w:rsidRPr="00087BF8">
        <w:rPr>
          <w:rFonts w:ascii="Arial" w:hAnsi="Arial" w:cs="Arial"/>
          <w:i/>
          <w:iCs/>
          <w:color w:val="000000"/>
          <w:sz w:val="22"/>
          <w:szCs w:val="22"/>
          <w:lang w:val="en-US" w:eastAsia="en-AU"/>
        </w:rPr>
        <w:t>The American Statistician</w:t>
      </w:r>
      <w:r w:rsidRPr="00087BF8">
        <w:rPr>
          <w:rFonts w:ascii="Arial" w:hAnsi="Arial" w:cs="Arial"/>
          <w:color w:val="000000"/>
          <w:sz w:val="22"/>
          <w:szCs w:val="22"/>
          <w:lang w:val="en-US" w:eastAsia="en-AU"/>
        </w:rPr>
        <w:t xml:space="preserve"> </w:t>
      </w:r>
      <w:r w:rsidRPr="00087BF8">
        <w:rPr>
          <w:rFonts w:ascii="Arial" w:hAnsi="Arial" w:cs="Arial"/>
          <w:b/>
          <w:bCs/>
          <w:color w:val="000000"/>
          <w:sz w:val="22"/>
          <w:szCs w:val="22"/>
          <w:lang w:val="en-US" w:eastAsia="en-AU"/>
        </w:rPr>
        <w:t>67</w:t>
      </w:r>
      <w:r w:rsidRPr="00087BF8">
        <w:rPr>
          <w:rFonts w:ascii="Arial" w:hAnsi="Arial" w:cs="Arial"/>
          <w:color w:val="000000"/>
          <w:sz w:val="22"/>
          <w:szCs w:val="22"/>
          <w:lang w:val="en-US" w:eastAsia="en-AU"/>
        </w:rPr>
        <w:t>, 76–81.</w:t>
      </w:r>
      <w:bookmarkEnd w:id="222"/>
    </w:p>
    <w:p w14:paraId="1B6C0522" w14:textId="2378A289" w:rsidR="00491210" w:rsidRPr="00087BF8" w:rsidRDefault="00EE200C" w:rsidP="00456B46">
      <w:pPr>
        <w:pStyle w:val="References1"/>
        <w:rPr>
          <w:rFonts w:ascii="Arial" w:hAnsi="Arial" w:cs="Arial"/>
          <w:color w:val="000000"/>
          <w:sz w:val="22"/>
          <w:szCs w:val="22"/>
          <w:lang w:eastAsia="en-AU"/>
        </w:rPr>
      </w:pPr>
      <w:r w:rsidRPr="00087BF8">
        <w:rPr>
          <w:rFonts w:ascii="Arial" w:hAnsi="Arial" w:cs="Arial"/>
          <w:color w:val="000000"/>
          <w:sz w:val="22"/>
          <w:szCs w:val="22"/>
          <w:lang w:eastAsia="en-AU"/>
        </w:rPr>
        <w:t xml:space="preserve">McCarthy, M.A., Possingham, H.P., Day, J.R. and Tyre A.J. (2001). </w:t>
      </w:r>
      <w:r w:rsidRPr="00087BF8">
        <w:rPr>
          <w:rFonts w:ascii="Arial" w:hAnsi="Arial" w:cs="Arial"/>
          <w:iCs/>
          <w:color w:val="000000"/>
          <w:sz w:val="22"/>
          <w:szCs w:val="22"/>
          <w:lang w:eastAsia="en-AU"/>
        </w:rPr>
        <w:t>Testing the accuracy of population viability analysis</w:t>
      </w:r>
      <w:r w:rsidRPr="00087BF8">
        <w:rPr>
          <w:rFonts w:ascii="Arial" w:hAnsi="Arial" w:cs="Arial"/>
          <w:color w:val="000000"/>
          <w:sz w:val="22"/>
          <w:szCs w:val="22"/>
          <w:lang w:eastAsia="en-AU"/>
        </w:rPr>
        <w:t xml:space="preserve">. </w:t>
      </w:r>
      <w:r w:rsidRPr="00087BF8">
        <w:rPr>
          <w:rFonts w:ascii="Arial" w:hAnsi="Arial" w:cs="Arial"/>
          <w:i/>
          <w:color w:val="000000"/>
          <w:sz w:val="22"/>
          <w:szCs w:val="22"/>
          <w:lang w:eastAsia="en-AU"/>
        </w:rPr>
        <w:t>Conservation Biology</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15</w:t>
      </w:r>
      <w:r w:rsidRPr="00087BF8">
        <w:rPr>
          <w:rFonts w:ascii="Arial" w:hAnsi="Arial" w:cs="Arial"/>
          <w:color w:val="000000"/>
          <w:sz w:val="22"/>
          <w:szCs w:val="22"/>
          <w:lang w:eastAsia="en-AU"/>
        </w:rPr>
        <w:t>, 1030–1038.</w:t>
      </w:r>
    </w:p>
    <w:p w14:paraId="1A0D9809" w14:textId="4203BA3E" w:rsidR="00491210" w:rsidRPr="00087BF8" w:rsidRDefault="00EE200C" w:rsidP="00456B46">
      <w:pPr>
        <w:pStyle w:val="References1"/>
        <w:rPr>
          <w:rFonts w:ascii="Arial" w:hAnsi="Arial" w:cs="Arial"/>
          <w:color w:val="000000"/>
          <w:sz w:val="22"/>
          <w:szCs w:val="22"/>
          <w:lang w:eastAsia="en-AU"/>
        </w:rPr>
      </w:pPr>
      <w:r w:rsidRPr="00087BF8">
        <w:rPr>
          <w:rFonts w:ascii="Arial" w:hAnsi="Arial" w:cs="Arial"/>
          <w:color w:val="000000"/>
          <w:sz w:val="22"/>
          <w:szCs w:val="22"/>
          <w:lang w:eastAsia="en-AU"/>
        </w:rPr>
        <w:t xml:space="preserve">Michie, L.E., Thiem, J.D., Boys, C.A. and Mitrovic, S.M. (2020). The effects of cold shock on freshwater fish larvae and early-stage juveniles: implications for river management. </w:t>
      </w:r>
      <w:r w:rsidRPr="00087BF8">
        <w:rPr>
          <w:rFonts w:ascii="Arial" w:hAnsi="Arial" w:cs="Arial"/>
          <w:i/>
          <w:iCs/>
          <w:color w:val="000000"/>
          <w:sz w:val="22"/>
          <w:szCs w:val="22"/>
          <w:lang w:eastAsia="en-AU"/>
        </w:rPr>
        <w:t>Conservation Physiology</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8</w:t>
      </w:r>
      <w:r w:rsidRPr="00087BF8">
        <w:rPr>
          <w:rFonts w:ascii="Arial" w:hAnsi="Arial" w:cs="Arial"/>
          <w:color w:val="000000"/>
          <w:sz w:val="22"/>
          <w:szCs w:val="22"/>
          <w:lang w:eastAsia="en-AU"/>
        </w:rPr>
        <w:t>, coaa092. doi:10.1093/conphys/coaa092</w:t>
      </w:r>
    </w:p>
    <w:p w14:paraId="168E4AF8" w14:textId="5BF9AECD" w:rsidR="00491210" w:rsidRDefault="00EE200C" w:rsidP="006460CC">
      <w:pPr>
        <w:pStyle w:val="References1"/>
        <w:ind w:left="720" w:hanging="720"/>
        <w:rPr>
          <w:rFonts w:ascii="Arial" w:hAnsi="Arial" w:cs="Arial"/>
          <w:color w:val="000000"/>
          <w:sz w:val="22"/>
          <w:szCs w:val="22"/>
          <w:lang w:eastAsia="en-AU"/>
        </w:rPr>
      </w:pPr>
      <w:r w:rsidRPr="00087BF8">
        <w:rPr>
          <w:rFonts w:ascii="Arial" w:hAnsi="Arial" w:cs="Arial"/>
          <w:color w:val="000000"/>
          <w:sz w:val="22"/>
          <w:szCs w:val="22"/>
          <w:lang w:eastAsia="en-AU"/>
        </w:rPr>
        <w:t xml:space="preserve">O’Connor, J.P., O’Mahony, D.J. and O’Mahony, J.M. (2005). Movements of </w:t>
      </w:r>
      <w:r w:rsidRPr="00087BF8">
        <w:rPr>
          <w:rFonts w:ascii="Arial" w:hAnsi="Arial" w:cs="Arial"/>
          <w:i/>
          <w:iCs/>
          <w:color w:val="000000"/>
          <w:sz w:val="22"/>
          <w:szCs w:val="22"/>
          <w:lang w:eastAsia="en-AU"/>
        </w:rPr>
        <w:t>Macquaria ambigua</w:t>
      </w:r>
      <w:r w:rsidRPr="00087BF8">
        <w:rPr>
          <w:rFonts w:ascii="Arial" w:hAnsi="Arial" w:cs="Arial"/>
          <w:color w:val="000000"/>
          <w:sz w:val="22"/>
          <w:szCs w:val="22"/>
          <w:lang w:eastAsia="en-AU"/>
        </w:rPr>
        <w:t xml:space="preserve">, in the Murray River, south-eastern Australia. </w:t>
      </w:r>
      <w:r w:rsidRPr="00087BF8">
        <w:rPr>
          <w:rFonts w:ascii="Arial" w:hAnsi="Arial" w:cs="Arial"/>
          <w:i/>
          <w:iCs/>
          <w:color w:val="000000"/>
          <w:sz w:val="22"/>
          <w:szCs w:val="22"/>
          <w:lang w:eastAsia="en-AU"/>
        </w:rPr>
        <w:t>Journal of Fish Biology</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66</w:t>
      </w:r>
      <w:r w:rsidRPr="00087BF8">
        <w:rPr>
          <w:rFonts w:ascii="Arial" w:hAnsi="Arial" w:cs="Arial"/>
          <w:color w:val="000000"/>
          <w:sz w:val="22"/>
          <w:szCs w:val="22"/>
          <w:lang w:eastAsia="en-AU"/>
        </w:rPr>
        <w:t>, 392–403. doi:10.1111/j.0022-1112.2005.00604.x</w:t>
      </w:r>
    </w:p>
    <w:p w14:paraId="14B3CFE2" w14:textId="228FC5AC" w:rsidR="00491210" w:rsidRDefault="00EE200C" w:rsidP="006460CC">
      <w:pPr>
        <w:ind w:left="720" w:hanging="720"/>
        <w:rPr>
          <w:sz w:val="22"/>
          <w:szCs w:val="28"/>
        </w:rPr>
      </w:pPr>
      <w:r w:rsidRPr="00261480">
        <w:rPr>
          <w:sz w:val="22"/>
          <w:szCs w:val="28"/>
        </w:rPr>
        <w:t>Plummer</w:t>
      </w:r>
      <w:r>
        <w:rPr>
          <w:sz w:val="22"/>
          <w:szCs w:val="28"/>
        </w:rPr>
        <w:t>,</w:t>
      </w:r>
      <w:r w:rsidRPr="00261480">
        <w:rPr>
          <w:sz w:val="22"/>
          <w:szCs w:val="28"/>
        </w:rPr>
        <w:t xml:space="preserve"> M</w:t>
      </w:r>
      <w:r>
        <w:rPr>
          <w:sz w:val="22"/>
          <w:szCs w:val="28"/>
        </w:rPr>
        <w:t>.</w:t>
      </w:r>
      <w:r w:rsidRPr="00261480">
        <w:rPr>
          <w:sz w:val="22"/>
          <w:szCs w:val="28"/>
        </w:rPr>
        <w:t xml:space="preserve"> (2004). JAGS: Just another gibbs sampler.</w:t>
      </w:r>
    </w:p>
    <w:p w14:paraId="009F25CA" w14:textId="480D40AC" w:rsidR="00491210" w:rsidRDefault="00EE200C" w:rsidP="006460CC">
      <w:pPr>
        <w:ind w:left="720" w:hanging="720"/>
        <w:rPr>
          <w:sz w:val="22"/>
          <w:szCs w:val="28"/>
        </w:rPr>
      </w:pPr>
      <w:bookmarkStart w:id="223" w:name="ref-rcore"/>
      <w:r w:rsidRPr="00261480">
        <w:rPr>
          <w:sz w:val="22"/>
          <w:szCs w:val="28"/>
        </w:rPr>
        <w:t xml:space="preserve">R Core Team (2019). ‘R: A language and environment for statistical computing’. (R Foundation for Statistical Computing: Vienna, Austria) Available at: </w:t>
      </w:r>
      <w:hyperlink r:id="rId54">
        <w:r w:rsidRPr="00261480">
          <w:rPr>
            <w:sz w:val="22"/>
            <w:szCs w:val="28"/>
          </w:rPr>
          <w:t>https://www.R-project.org/</w:t>
        </w:r>
      </w:hyperlink>
      <w:bookmarkEnd w:id="223"/>
    </w:p>
    <w:p w14:paraId="3F76F11C" w14:textId="6198303D" w:rsidR="00491210" w:rsidRPr="00BD2B22" w:rsidRDefault="00EE200C" w:rsidP="006460CC">
      <w:pPr>
        <w:ind w:left="720" w:hanging="720"/>
        <w:rPr>
          <w:sz w:val="22"/>
          <w:szCs w:val="28"/>
        </w:rPr>
      </w:pPr>
      <w:r w:rsidRPr="00BD2B22">
        <w:rPr>
          <w:sz w:val="22"/>
          <w:szCs w:val="28"/>
        </w:rPr>
        <w:t>Rees</w:t>
      </w:r>
      <w:r>
        <w:rPr>
          <w:sz w:val="22"/>
          <w:szCs w:val="28"/>
        </w:rPr>
        <w:t>,</w:t>
      </w:r>
      <w:r w:rsidRPr="00BD2B22">
        <w:rPr>
          <w:sz w:val="22"/>
          <w:szCs w:val="28"/>
        </w:rPr>
        <w:t xml:space="preserve"> G</w:t>
      </w:r>
      <w:r>
        <w:rPr>
          <w:sz w:val="22"/>
          <w:szCs w:val="28"/>
        </w:rPr>
        <w:t>.</w:t>
      </w:r>
      <w:r w:rsidRPr="00BD2B22">
        <w:rPr>
          <w:sz w:val="22"/>
          <w:szCs w:val="28"/>
        </w:rPr>
        <w:t>N</w:t>
      </w:r>
      <w:r>
        <w:rPr>
          <w:sz w:val="22"/>
          <w:szCs w:val="28"/>
        </w:rPr>
        <w:t>.</w:t>
      </w:r>
      <w:r w:rsidRPr="00BD2B22">
        <w:rPr>
          <w:sz w:val="22"/>
          <w:szCs w:val="28"/>
        </w:rPr>
        <w:t xml:space="preserve"> (2017) </w:t>
      </w:r>
      <w:r w:rsidRPr="00423707">
        <w:rPr>
          <w:i/>
          <w:iCs/>
          <w:sz w:val="22"/>
          <w:szCs w:val="28"/>
        </w:rPr>
        <w:t>Factors contributing to the 2016 hypoxic blackwater event.</w:t>
      </w:r>
      <w:r w:rsidRPr="00BD2B22">
        <w:rPr>
          <w:sz w:val="22"/>
          <w:szCs w:val="28"/>
        </w:rPr>
        <w:t xml:space="preserve"> Report</w:t>
      </w:r>
      <w:r w:rsidRPr="00BD2B22">
        <w:rPr>
          <w:sz w:val="22"/>
          <w:szCs w:val="28"/>
        </w:rPr>
        <w:br/>
        <w:t>prepared for the Murray–Darling Basin Authority by The Murray–Darling Freshwater Research Centre, MDFRC Publication 158/2017, Sept, 14pp.</w:t>
      </w:r>
    </w:p>
    <w:p w14:paraId="6BDEBA52" w14:textId="6DCE4E29" w:rsidR="00491210" w:rsidRPr="00087BF8" w:rsidRDefault="00EE200C" w:rsidP="006460CC">
      <w:pPr>
        <w:pStyle w:val="References1"/>
        <w:ind w:left="720" w:hanging="720"/>
        <w:rPr>
          <w:rFonts w:ascii="Arial" w:hAnsi="Arial" w:cs="Arial"/>
          <w:sz w:val="22"/>
          <w:szCs w:val="22"/>
          <w:lang w:eastAsia="en-AU"/>
        </w:rPr>
      </w:pPr>
      <w:r w:rsidRPr="00087BF8">
        <w:rPr>
          <w:rFonts w:ascii="Arial" w:hAnsi="Arial" w:cs="Arial"/>
          <w:sz w:val="22"/>
          <w:szCs w:val="22"/>
          <w:shd w:val="clear" w:color="auto" w:fill="FFFFFF"/>
          <w:lang w:eastAsia="en-AU"/>
        </w:rPr>
        <w:t xml:space="preserve">Reid, D.D., Harris, J.H. and Chapman, D.J. (1997). </w:t>
      </w:r>
      <w:r w:rsidRPr="00087BF8">
        <w:rPr>
          <w:rFonts w:ascii="Arial" w:hAnsi="Arial" w:cs="Arial"/>
          <w:i/>
          <w:sz w:val="22"/>
          <w:szCs w:val="22"/>
          <w:shd w:val="clear" w:color="auto" w:fill="FFFFFF"/>
          <w:lang w:eastAsia="en-AU"/>
        </w:rPr>
        <w:t>NSW inland commercial fishery data analysis</w:t>
      </w:r>
      <w:r w:rsidRPr="00087BF8">
        <w:rPr>
          <w:rFonts w:ascii="Arial" w:hAnsi="Arial" w:cs="Arial"/>
          <w:sz w:val="22"/>
          <w:szCs w:val="22"/>
          <w:shd w:val="clear" w:color="auto" w:fill="FFFFFF"/>
          <w:lang w:eastAsia="en-AU"/>
        </w:rPr>
        <w:t>. FRDC Project No. 94/027 Report. New South Wales Fisheries, Sydney, NSW.</w:t>
      </w:r>
    </w:p>
    <w:p w14:paraId="5A9EDEC3" w14:textId="19FB060D" w:rsidR="00491210" w:rsidRPr="00087BF8" w:rsidDel="00004B87" w:rsidRDefault="00EE200C" w:rsidP="006460CC">
      <w:pPr>
        <w:pStyle w:val="References1"/>
        <w:ind w:left="720" w:hanging="720"/>
        <w:rPr>
          <w:rFonts w:ascii="Arial" w:hAnsi="Arial" w:cs="Arial"/>
          <w:sz w:val="22"/>
          <w:szCs w:val="22"/>
          <w:lang w:eastAsia="en-AU"/>
        </w:rPr>
      </w:pPr>
      <w:r w:rsidRPr="00087BF8">
        <w:rPr>
          <w:rFonts w:ascii="Arial" w:hAnsi="Arial" w:cs="Arial"/>
          <w:sz w:val="22"/>
          <w:szCs w:val="22"/>
          <w:shd w:val="clear" w:color="auto" w:fill="FFFFFF"/>
          <w:lang w:eastAsia="en-AU"/>
        </w:rPr>
        <w:t xml:space="preserve">Reynolds, L.F. (1976a). Inland fisheries. </w:t>
      </w:r>
      <w:r w:rsidRPr="00087BF8">
        <w:rPr>
          <w:rFonts w:ascii="Arial" w:hAnsi="Arial" w:cs="Arial"/>
          <w:i/>
          <w:sz w:val="22"/>
          <w:szCs w:val="22"/>
          <w:shd w:val="clear" w:color="auto" w:fill="FFFFFF"/>
          <w:lang w:eastAsia="en-AU"/>
        </w:rPr>
        <w:t>SAFIC</w:t>
      </w:r>
      <w:r w:rsidRPr="00087BF8">
        <w:rPr>
          <w:rFonts w:ascii="Arial" w:hAnsi="Arial" w:cs="Arial"/>
          <w:sz w:val="22"/>
          <w:szCs w:val="22"/>
          <w:shd w:val="clear" w:color="auto" w:fill="FFFFFF"/>
          <w:lang w:eastAsia="en-AU"/>
        </w:rPr>
        <w:t xml:space="preserve"> </w:t>
      </w:r>
      <w:r w:rsidRPr="00087BF8">
        <w:rPr>
          <w:rFonts w:ascii="Arial" w:hAnsi="Arial" w:cs="Arial"/>
          <w:b/>
          <w:bCs/>
          <w:sz w:val="22"/>
          <w:szCs w:val="22"/>
          <w:shd w:val="clear" w:color="auto" w:fill="FFFFFF"/>
          <w:lang w:eastAsia="en-AU"/>
        </w:rPr>
        <w:t>8,</w:t>
      </w:r>
      <w:r w:rsidRPr="00087BF8">
        <w:rPr>
          <w:rFonts w:ascii="Arial" w:hAnsi="Arial" w:cs="Arial"/>
          <w:sz w:val="22"/>
          <w:szCs w:val="22"/>
          <w:shd w:val="clear" w:color="auto" w:fill="FFFFFF"/>
          <w:lang w:eastAsia="en-AU"/>
        </w:rPr>
        <w:t xml:space="preserve"> 3–6. (South Australian Department of Agriculture and Fisheries)</w:t>
      </w:r>
    </w:p>
    <w:p w14:paraId="1BD4CC2A" w14:textId="0C77D993" w:rsidR="00491210" w:rsidRPr="00087BF8" w:rsidDel="00004B87" w:rsidRDefault="00EE200C" w:rsidP="00261480">
      <w:pPr>
        <w:pStyle w:val="References1"/>
        <w:rPr>
          <w:rFonts w:ascii="Arial" w:hAnsi="Arial" w:cs="Arial"/>
          <w:sz w:val="22"/>
          <w:szCs w:val="22"/>
          <w:lang w:eastAsia="en-AU"/>
        </w:rPr>
      </w:pPr>
      <w:r w:rsidRPr="00087BF8">
        <w:rPr>
          <w:rFonts w:ascii="Arial" w:hAnsi="Arial" w:cs="Arial"/>
          <w:sz w:val="22"/>
          <w:szCs w:val="22"/>
          <w:shd w:val="clear" w:color="auto" w:fill="FFFFFF"/>
          <w:lang w:eastAsia="en-AU"/>
        </w:rPr>
        <w:t xml:space="preserve">Reynolds, L.F. (1976b). Decline of native fish species in the River Murray. SAFIC (SA Department of Agriculture and Fisheries) </w:t>
      </w:r>
      <w:r w:rsidRPr="00087BF8">
        <w:rPr>
          <w:rFonts w:ascii="Arial" w:hAnsi="Arial" w:cs="Arial"/>
          <w:b/>
          <w:bCs/>
          <w:sz w:val="22"/>
          <w:szCs w:val="22"/>
          <w:shd w:val="clear" w:color="auto" w:fill="FFFFFF"/>
          <w:lang w:eastAsia="en-AU"/>
        </w:rPr>
        <w:t>8,</w:t>
      </w:r>
      <w:r w:rsidRPr="00087BF8">
        <w:rPr>
          <w:rFonts w:ascii="Arial" w:hAnsi="Arial" w:cs="Arial"/>
          <w:sz w:val="22"/>
          <w:szCs w:val="22"/>
          <w:shd w:val="clear" w:color="auto" w:fill="FFFFFF"/>
          <w:lang w:eastAsia="en-AU"/>
        </w:rPr>
        <w:t xml:space="preserve"> 19–24.</w:t>
      </w:r>
    </w:p>
    <w:p w14:paraId="4DA91B42" w14:textId="48E5B88D" w:rsidR="00491210" w:rsidRPr="00087BF8" w:rsidRDefault="00EE200C" w:rsidP="00261480">
      <w:pPr>
        <w:pStyle w:val="References1"/>
        <w:rPr>
          <w:rFonts w:ascii="Arial" w:hAnsi="Arial" w:cs="Arial"/>
          <w:sz w:val="22"/>
          <w:szCs w:val="22"/>
          <w:shd w:val="clear" w:color="auto" w:fill="FFFFFF"/>
          <w:lang w:eastAsia="en-AU"/>
        </w:rPr>
      </w:pPr>
      <w:r w:rsidRPr="00087BF8">
        <w:rPr>
          <w:rFonts w:ascii="Arial" w:hAnsi="Arial" w:cs="Arial"/>
          <w:sz w:val="22"/>
          <w:szCs w:val="22"/>
          <w:shd w:val="clear" w:color="auto" w:fill="FFFFFF"/>
          <w:lang w:eastAsia="en-AU"/>
        </w:rPr>
        <w:t xml:space="preserve">Reynolds, L.F. (1983). Migration patterns of five fish species in the Murray–Darling River system. </w:t>
      </w:r>
      <w:r w:rsidRPr="00087BF8">
        <w:rPr>
          <w:rFonts w:ascii="Arial" w:hAnsi="Arial" w:cs="Arial"/>
          <w:i/>
          <w:iCs/>
          <w:sz w:val="22"/>
          <w:szCs w:val="22"/>
          <w:shd w:val="clear" w:color="auto" w:fill="FFFFFF"/>
          <w:lang w:eastAsia="en-AU"/>
        </w:rPr>
        <w:t>Marine and Freshwater Research</w:t>
      </w:r>
      <w:r w:rsidRPr="00087BF8">
        <w:rPr>
          <w:rFonts w:ascii="Arial" w:hAnsi="Arial" w:cs="Arial"/>
          <w:sz w:val="22"/>
          <w:szCs w:val="22"/>
          <w:shd w:val="clear" w:color="auto" w:fill="FFFFFF"/>
          <w:lang w:eastAsia="en-AU"/>
        </w:rPr>
        <w:t xml:space="preserve"> </w:t>
      </w:r>
      <w:r w:rsidRPr="00087BF8">
        <w:rPr>
          <w:rFonts w:ascii="Arial" w:hAnsi="Arial" w:cs="Arial"/>
          <w:b/>
          <w:bCs/>
          <w:sz w:val="22"/>
          <w:szCs w:val="22"/>
          <w:shd w:val="clear" w:color="auto" w:fill="FFFFFF"/>
          <w:lang w:eastAsia="en-AU"/>
        </w:rPr>
        <w:t xml:space="preserve">34, </w:t>
      </w:r>
      <w:r w:rsidRPr="00087BF8">
        <w:rPr>
          <w:rFonts w:ascii="Arial" w:hAnsi="Arial" w:cs="Arial"/>
          <w:sz w:val="22"/>
          <w:szCs w:val="22"/>
          <w:shd w:val="clear" w:color="auto" w:fill="FFFFFF"/>
          <w:lang w:eastAsia="en-AU"/>
        </w:rPr>
        <w:t>857–871.</w:t>
      </w:r>
    </w:p>
    <w:p w14:paraId="6B878F10" w14:textId="5EAA3C94" w:rsidR="00491210" w:rsidRPr="00087BF8" w:rsidRDefault="00EE200C" w:rsidP="003472C9">
      <w:pPr>
        <w:pStyle w:val="References1"/>
        <w:rPr>
          <w:rFonts w:ascii="Arial" w:hAnsi="Arial" w:cs="Arial"/>
          <w:sz w:val="22"/>
          <w:szCs w:val="22"/>
        </w:rPr>
      </w:pPr>
      <w:r w:rsidRPr="00087BF8">
        <w:rPr>
          <w:rFonts w:ascii="Arial" w:hAnsi="Arial" w:cs="Arial"/>
          <w:sz w:val="22"/>
          <w:szCs w:val="22"/>
        </w:rPr>
        <w:lastRenderedPageBreak/>
        <w:t xml:space="preserve">Ricker, W.E. (1975). Computation and interpretation of biological statisti of fish populations. </w:t>
      </w:r>
      <w:r w:rsidRPr="00087BF8">
        <w:rPr>
          <w:rFonts w:ascii="Arial" w:hAnsi="Arial" w:cs="Arial"/>
          <w:i/>
          <w:iCs/>
          <w:sz w:val="22"/>
          <w:szCs w:val="22"/>
        </w:rPr>
        <w:t>Bulletin of the Fisheries Research Board of Canada</w:t>
      </w:r>
      <w:r w:rsidRPr="00087BF8">
        <w:rPr>
          <w:rFonts w:ascii="Arial" w:hAnsi="Arial" w:cs="Arial"/>
          <w:sz w:val="22"/>
          <w:szCs w:val="22"/>
        </w:rPr>
        <w:t xml:space="preserve"> </w:t>
      </w:r>
      <w:r w:rsidRPr="00087BF8">
        <w:rPr>
          <w:rFonts w:ascii="Arial" w:hAnsi="Arial" w:cs="Arial"/>
          <w:b/>
          <w:bCs/>
          <w:sz w:val="22"/>
          <w:szCs w:val="22"/>
        </w:rPr>
        <w:t>191</w:t>
      </w:r>
      <w:r w:rsidRPr="00087BF8">
        <w:rPr>
          <w:rFonts w:ascii="Arial" w:hAnsi="Arial" w:cs="Arial"/>
          <w:bCs/>
          <w:sz w:val="22"/>
          <w:szCs w:val="22"/>
        </w:rPr>
        <w:t>. Department of the Environment:</w:t>
      </w:r>
      <w:r w:rsidRPr="00087BF8">
        <w:rPr>
          <w:rFonts w:ascii="Arial" w:hAnsi="Arial" w:cs="Arial"/>
          <w:b/>
          <w:bCs/>
          <w:sz w:val="22"/>
          <w:szCs w:val="22"/>
        </w:rPr>
        <w:t xml:space="preserve"> </w:t>
      </w:r>
      <w:r w:rsidRPr="00087BF8">
        <w:rPr>
          <w:rFonts w:ascii="Arial" w:hAnsi="Arial" w:cs="Arial"/>
          <w:bCs/>
          <w:sz w:val="22"/>
          <w:szCs w:val="22"/>
        </w:rPr>
        <w:t>Fisheries and Marine Service,</w:t>
      </w:r>
      <w:r w:rsidRPr="00087BF8">
        <w:rPr>
          <w:rFonts w:ascii="Arial" w:hAnsi="Arial" w:cs="Arial"/>
          <w:sz w:val="22"/>
          <w:szCs w:val="22"/>
        </w:rPr>
        <w:t xml:space="preserve"> Ottawa, Canada.</w:t>
      </w:r>
    </w:p>
    <w:p w14:paraId="4A883BB8" w14:textId="43E2E536" w:rsidR="00491210" w:rsidRPr="00087BF8" w:rsidRDefault="00EE200C" w:rsidP="003472C9">
      <w:pPr>
        <w:pStyle w:val="References1"/>
        <w:rPr>
          <w:rFonts w:ascii="Arial" w:hAnsi="Arial" w:cs="Arial"/>
          <w:color w:val="000000"/>
          <w:sz w:val="22"/>
          <w:szCs w:val="22"/>
          <w:lang w:eastAsia="en-AU"/>
        </w:rPr>
      </w:pPr>
      <w:r w:rsidRPr="00087BF8">
        <w:rPr>
          <w:rFonts w:ascii="Arial" w:hAnsi="Arial" w:cs="Arial"/>
          <w:color w:val="000000"/>
          <w:sz w:val="22"/>
          <w:szCs w:val="22"/>
          <w:lang w:eastAsia="en-AU"/>
        </w:rPr>
        <w:t xml:space="preserve">Rogosch, J.S., Tonkin, J.D., Lytle, D.A., Merritt, D.M., Reynolds, L.V. and Olden, J.D. (2019). Increasing drought favors nonnative fishes in a dryland river: evidence from a multispecies demographic model. </w:t>
      </w:r>
      <w:r w:rsidRPr="00087BF8">
        <w:rPr>
          <w:rFonts w:ascii="Arial" w:hAnsi="Arial" w:cs="Arial"/>
          <w:i/>
          <w:iCs/>
          <w:color w:val="000000"/>
          <w:sz w:val="22"/>
          <w:szCs w:val="22"/>
          <w:lang w:eastAsia="en-AU"/>
        </w:rPr>
        <w:t>Ecosphere</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10,</w:t>
      </w:r>
      <w:r w:rsidRPr="00087BF8">
        <w:rPr>
          <w:rFonts w:ascii="Arial" w:hAnsi="Arial" w:cs="Arial"/>
          <w:color w:val="000000"/>
          <w:sz w:val="22"/>
          <w:szCs w:val="22"/>
          <w:lang w:eastAsia="en-AU"/>
        </w:rPr>
        <w:t xml:space="preserve"> e02681. doi:10.1002/e2.2681</w:t>
      </w:r>
    </w:p>
    <w:p w14:paraId="6767D2B0" w14:textId="64092632" w:rsidR="00491210" w:rsidRPr="00087BF8" w:rsidRDefault="00EE200C" w:rsidP="003472C9">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Rowland, S.J. (1996). Development of techniques for the large-scale rearing of the larvae of the Australian freshwater fish golden perch, </w:t>
      </w:r>
      <w:r w:rsidRPr="00087BF8">
        <w:rPr>
          <w:rFonts w:ascii="Arial" w:hAnsi="Arial" w:cs="Arial"/>
          <w:i/>
          <w:iCs/>
          <w:color w:val="000000"/>
          <w:sz w:val="22"/>
          <w:szCs w:val="22"/>
          <w:lang w:eastAsia="en-AU"/>
        </w:rPr>
        <w:t>Macquaria ambigua</w:t>
      </w:r>
      <w:r w:rsidRPr="00087BF8">
        <w:rPr>
          <w:rFonts w:ascii="Arial" w:hAnsi="Arial" w:cs="Arial"/>
          <w:color w:val="000000"/>
          <w:sz w:val="22"/>
          <w:szCs w:val="22"/>
          <w:lang w:eastAsia="en-AU"/>
        </w:rPr>
        <w:t xml:space="preserve"> (Richardson, 1845). </w:t>
      </w:r>
      <w:r w:rsidRPr="00087BF8">
        <w:rPr>
          <w:rFonts w:ascii="Arial" w:hAnsi="Arial" w:cs="Arial"/>
          <w:i/>
          <w:iCs/>
          <w:color w:val="000000"/>
          <w:sz w:val="22"/>
          <w:szCs w:val="22"/>
          <w:lang w:eastAsia="en-AU"/>
        </w:rPr>
        <w:t>Marine and Freshwater Research</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47,</w:t>
      </w:r>
      <w:r w:rsidRPr="00087BF8">
        <w:rPr>
          <w:rFonts w:ascii="Arial" w:hAnsi="Arial" w:cs="Arial"/>
          <w:color w:val="000000"/>
          <w:sz w:val="22"/>
          <w:szCs w:val="22"/>
          <w:lang w:eastAsia="en-AU"/>
        </w:rPr>
        <w:t xml:space="preserve"> 233–242.</w:t>
      </w:r>
    </w:p>
    <w:p w14:paraId="150AA9C5" w14:textId="5B5AE2FD" w:rsidR="00491210" w:rsidRPr="00087BF8" w:rsidRDefault="00EE200C" w:rsidP="003472C9">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Rowland, S.J. (1998a). Age and growth of the Australian freshwater fish Murray cod, </w:t>
      </w:r>
      <w:r w:rsidRPr="00087BF8">
        <w:rPr>
          <w:rFonts w:ascii="Arial" w:hAnsi="Arial" w:cs="Arial"/>
          <w:i/>
          <w:iCs/>
          <w:color w:val="000000"/>
          <w:sz w:val="22"/>
          <w:szCs w:val="22"/>
          <w:lang w:eastAsia="en-AU"/>
        </w:rPr>
        <w:t>Maccullochella peelii peelii</w:t>
      </w:r>
      <w:r w:rsidRPr="00087BF8">
        <w:rPr>
          <w:rFonts w:ascii="Arial" w:hAnsi="Arial" w:cs="Arial"/>
          <w:color w:val="000000"/>
          <w:sz w:val="22"/>
          <w:szCs w:val="22"/>
          <w:lang w:eastAsia="en-AU"/>
        </w:rPr>
        <w:t xml:space="preserve">. </w:t>
      </w:r>
      <w:r w:rsidRPr="00087BF8">
        <w:rPr>
          <w:rFonts w:ascii="Arial" w:hAnsi="Arial" w:cs="Arial"/>
          <w:i/>
          <w:iCs/>
          <w:color w:val="000000"/>
          <w:sz w:val="22"/>
          <w:szCs w:val="22"/>
          <w:lang w:eastAsia="en-AU"/>
        </w:rPr>
        <w:t>Proceedings of the Linnean Society of New South Wales</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120</w:t>
      </w:r>
      <w:r w:rsidRPr="00087BF8">
        <w:rPr>
          <w:rFonts w:ascii="Arial" w:hAnsi="Arial" w:cs="Arial"/>
          <w:color w:val="000000"/>
          <w:sz w:val="22"/>
          <w:szCs w:val="22"/>
          <w:lang w:eastAsia="en-AU"/>
        </w:rPr>
        <w:t>, 163–180.</w:t>
      </w:r>
    </w:p>
    <w:p w14:paraId="551F9965" w14:textId="45FC5D5E" w:rsidR="00491210" w:rsidRPr="00087BF8" w:rsidRDefault="00EE200C" w:rsidP="003472C9">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Rowland, S.J. (1998b). Aspects of the reproductive biology of Murray cod </w:t>
      </w:r>
      <w:r w:rsidRPr="00087BF8">
        <w:rPr>
          <w:rFonts w:ascii="Arial" w:hAnsi="Arial" w:cs="Arial"/>
          <w:i/>
          <w:iCs/>
          <w:color w:val="000000"/>
          <w:sz w:val="22"/>
          <w:szCs w:val="22"/>
          <w:lang w:eastAsia="en-AU"/>
        </w:rPr>
        <w:t>Maccullochella peelii peelii</w:t>
      </w:r>
      <w:r w:rsidRPr="00087BF8">
        <w:rPr>
          <w:rFonts w:ascii="Arial" w:hAnsi="Arial" w:cs="Arial"/>
          <w:color w:val="000000"/>
          <w:sz w:val="22"/>
          <w:szCs w:val="22"/>
          <w:lang w:eastAsia="en-AU"/>
        </w:rPr>
        <w:t xml:space="preserve">. </w:t>
      </w:r>
      <w:r w:rsidRPr="00087BF8">
        <w:rPr>
          <w:rFonts w:ascii="Arial" w:hAnsi="Arial" w:cs="Arial"/>
          <w:i/>
          <w:iCs/>
          <w:color w:val="000000"/>
          <w:sz w:val="22"/>
          <w:szCs w:val="22"/>
          <w:lang w:eastAsia="en-AU"/>
        </w:rPr>
        <w:t>Proceedings of the Linnean Society of New South Wales</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120</w:t>
      </w:r>
      <w:r w:rsidRPr="00087BF8">
        <w:rPr>
          <w:rFonts w:ascii="Arial" w:hAnsi="Arial" w:cs="Arial"/>
          <w:color w:val="000000"/>
          <w:sz w:val="22"/>
          <w:szCs w:val="22"/>
          <w:lang w:eastAsia="en-AU"/>
        </w:rPr>
        <w:t>, 147–162. doi:10.1080/18324460.1912.10439228</w:t>
      </w:r>
    </w:p>
    <w:p w14:paraId="384CA5B0" w14:textId="2A92CD10" w:rsidR="00491210" w:rsidRPr="00087BF8" w:rsidRDefault="00EE200C" w:rsidP="003472C9">
      <w:pPr>
        <w:pStyle w:val="References1"/>
        <w:rPr>
          <w:rFonts w:ascii="Arial" w:hAnsi="Arial" w:cs="Arial"/>
          <w:color w:val="000000"/>
          <w:sz w:val="22"/>
          <w:szCs w:val="22"/>
          <w:lang w:eastAsia="en-AU"/>
        </w:rPr>
      </w:pPr>
      <w:r w:rsidRPr="00087BF8">
        <w:rPr>
          <w:rFonts w:ascii="Arial" w:hAnsi="Arial" w:cs="Arial"/>
          <w:color w:val="000000"/>
          <w:sz w:val="22"/>
          <w:szCs w:val="22"/>
          <w:lang w:eastAsia="en-AU"/>
        </w:rPr>
        <w:t>Rowland, S.J. (2005). Overview of the history, fishery, biology and aquaculture of Murray cod (</w:t>
      </w:r>
      <w:r w:rsidRPr="00087BF8">
        <w:rPr>
          <w:rFonts w:ascii="Arial" w:hAnsi="Arial" w:cs="Arial"/>
          <w:i/>
          <w:iCs/>
          <w:color w:val="000000"/>
          <w:sz w:val="22"/>
          <w:szCs w:val="22"/>
          <w:lang w:eastAsia="en-AU"/>
        </w:rPr>
        <w:t>Maccullochella peelii peelii</w:t>
      </w:r>
      <w:r w:rsidRPr="00087BF8">
        <w:rPr>
          <w:rFonts w:ascii="Arial" w:hAnsi="Arial" w:cs="Arial"/>
          <w:color w:val="000000"/>
          <w:sz w:val="22"/>
          <w:szCs w:val="22"/>
          <w:lang w:eastAsia="en-AU"/>
        </w:rPr>
        <w:t xml:space="preserve">). In: Lintermans, M. and Phillips, B. (Ed.) </w:t>
      </w:r>
      <w:r w:rsidRPr="00087BF8">
        <w:rPr>
          <w:rFonts w:ascii="Arial" w:hAnsi="Arial" w:cs="Arial"/>
          <w:i/>
          <w:color w:val="000000"/>
          <w:sz w:val="22"/>
          <w:szCs w:val="22"/>
          <w:lang w:eastAsia="en-AU"/>
        </w:rPr>
        <w:t>Management of Murray Cod in the Murray–Darling Basin: Statement, Recommendations and Supporting Papers</w:t>
      </w:r>
      <w:r w:rsidRPr="00087BF8">
        <w:rPr>
          <w:rFonts w:ascii="Arial" w:hAnsi="Arial" w:cs="Arial"/>
          <w:color w:val="000000"/>
          <w:sz w:val="22"/>
          <w:szCs w:val="22"/>
          <w:lang w:eastAsia="en-AU"/>
        </w:rPr>
        <w:t>. Proceedings of a workshop held in Canberra ACT, 3–4 June 2004. Murray–Darling Basin Commission, Canberra, ACT.</w:t>
      </w:r>
    </w:p>
    <w:p w14:paraId="2DD97D3F" w14:textId="57752F93" w:rsidR="00491210" w:rsidRDefault="00EE200C" w:rsidP="003472C9">
      <w:pPr>
        <w:pStyle w:val="References1"/>
        <w:rPr>
          <w:rFonts w:ascii="Arial" w:hAnsi="Arial" w:cs="Arial"/>
          <w:color w:val="000000"/>
          <w:sz w:val="22"/>
          <w:szCs w:val="22"/>
          <w:lang w:eastAsia="en-AU"/>
        </w:rPr>
      </w:pPr>
      <w:bookmarkStart w:id="224" w:name="_Hlk37947777"/>
      <w:r w:rsidRPr="00087BF8">
        <w:rPr>
          <w:rFonts w:ascii="Arial" w:hAnsi="Arial" w:cs="Arial"/>
          <w:color w:val="000000"/>
          <w:sz w:val="22"/>
          <w:szCs w:val="22"/>
          <w:lang w:eastAsia="en-AU"/>
        </w:rPr>
        <w:t xml:space="preserve">Ryan, T., Todd, C.R. and Nicol, S.J. (2002). Implications of cold water releases for freshwater fish populations. In: Parsons A (Ed.) </w:t>
      </w:r>
      <w:r w:rsidRPr="00087BF8">
        <w:rPr>
          <w:rFonts w:ascii="Arial" w:hAnsi="Arial" w:cs="Arial"/>
          <w:i/>
          <w:color w:val="000000"/>
          <w:sz w:val="22"/>
          <w:szCs w:val="22"/>
          <w:lang w:eastAsia="en-AU"/>
        </w:rPr>
        <w:t>Dams: Dams-Future Directions in Demanding Environments</w:t>
      </w:r>
      <w:r w:rsidRPr="00087BF8">
        <w:rPr>
          <w:rFonts w:ascii="Arial" w:hAnsi="Arial" w:cs="Arial"/>
          <w:color w:val="000000"/>
          <w:sz w:val="22"/>
          <w:szCs w:val="22"/>
          <w:lang w:eastAsia="en-AU"/>
        </w:rPr>
        <w:t>, pp. 97–107. Proceedings of the 42nd ANCOLD Conference. ANCOLD, Adelaide, South Australia.</w:t>
      </w:r>
    </w:p>
    <w:p w14:paraId="45AEFBF5" w14:textId="08D93048" w:rsidR="00491210" w:rsidRPr="003859A0" w:rsidDel="00004B87" w:rsidRDefault="00EE200C" w:rsidP="003472C9">
      <w:pPr>
        <w:pStyle w:val="References1"/>
        <w:rPr>
          <w:rFonts w:ascii="Arial" w:hAnsi="Arial" w:cs="Arial"/>
          <w:color w:val="000000"/>
          <w:sz w:val="22"/>
          <w:szCs w:val="22"/>
          <w:lang w:eastAsia="en-AU"/>
        </w:rPr>
      </w:pPr>
      <w:r w:rsidRPr="003859A0">
        <w:rPr>
          <w:rFonts w:ascii="Arial" w:hAnsi="Arial" w:cs="Arial"/>
          <w:color w:val="201F1E"/>
          <w:sz w:val="22"/>
          <w:szCs w:val="22"/>
          <w:shd w:val="clear" w:color="auto" w:fill="FFFFFF"/>
        </w:rPr>
        <w:t xml:space="preserve">Rykiel Jr, E. </w:t>
      </w:r>
      <w:r>
        <w:rPr>
          <w:rFonts w:ascii="Arial" w:hAnsi="Arial" w:cs="Arial"/>
          <w:color w:val="201F1E"/>
          <w:sz w:val="22"/>
          <w:szCs w:val="22"/>
          <w:shd w:val="clear" w:color="auto" w:fill="FFFFFF"/>
        </w:rPr>
        <w:t>(</w:t>
      </w:r>
      <w:r w:rsidRPr="003859A0">
        <w:rPr>
          <w:rFonts w:ascii="Arial" w:hAnsi="Arial" w:cs="Arial"/>
          <w:color w:val="201F1E"/>
          <w:sz w:val="22"/>
          <w:szCs w:val="22"/>
          <w:shd w:val="clear" w:color="auto" w:fill="FFFFFF"/>
        </w:rPr>
        <w:t>1996</w:t>
      </w:r>
      <w:r>
        <w:rPr>
          <w:rFonts w:ascii="Arial" w:hAnsi="Arial" w:cs="Arial"/>
          <w:color w:val="201F1E"/>
          <w:sz w:val="22"/>
          <w:szCs w:val="22"/>
          <w:shd w:val="clear" w:color="auto" w:fill="FFFFFF"/>
        </w:rPr>
        <w:t>)</w:t>
      </w:r>
      <w:r w:rsidRPr="003859A0">
        <w:rPr>
          <w:rFonts w:ascii="Arial" w:hAnsi="Arial" w:cs="Arial"/>
          <w:color w:val="201F1E"/>
          <w:sz w:val="22"/>
          <w:szCs w:val="22"/>
          <w:shd w:val="clear" w:color="auto" w:fill="FFFFFF"/>
        </w:rPr>
        <w:t xml:space="preserve"> Testing ecological models: the meaning of validation. </w:t>
      </w:r>
      <w:r w:rsidRPr="003859A0">
        <w:rPr>
          <w:rFonts w:ascii="Arial" w:hAnsi="Arial" w:cs="Arial"/>
          <w:i/>
          <w:iCs/>
          <w:color w:val="201F1E"/>
          <w:sz w:val="22"/>
          <w:szCs w:val="22"/>
          <w:shd w:val="clear" w:color="auto" w:fill="FFFFFF"/>
        </w:rPr>
        <w:t>Ecological Modelling</w:t>
      </w:r>
      <w:r w:rsidRPr="003859A0">
        <w:rPr>
          <w:rFonts w:ascii="Arial" w:hAnsi="Arial" w:cs="Arial"/>
          <w:color w:val="201F1E"/>
          <w:sz w:val="22"/>
          <w:szCs w:val="22"/>
          <w:shd w:val="clear" w:color="auto" w:fill="FFFFFF"/>
        </w:rPr>
        <w:t> </w:t>
      </w:r>
      <w:r w:rsidRPr="003859A0">
        <w:rPr>
          <w:rFonts w:ascii="Arial" w:hAnsi="Arial" w:cs="Arial"/>
          <w:b/>
          <w:bCs/>
          <w:color w:val="201F1E"/>
          <w:sz w:val="22"/>
          <w:szCs w:val="22"/>
          <w:shd w:val="clear" w:color="auto" w:fill="FFFFFF"/>
        </w:rPr>
        <w:t>90</w:t>
      </w:r>
      <w:r>
        <w:rPr>
          <w:rFonts w:ascii="Arial" w:hAnsi="Arial" w:cs="Arial"/>
          <w:color w:val="201F1E"/>
          <w:sz w:val="22"/>
          <w:szCs w:val="22"/>
          <w:shd w:val="clear" w:color="auto" w:fill="FFFFFF"/>
        </w:rPr>
        <w:t xml:space="preserve">, </w:t>
      </w:r>
      <w:r w:rsidRPr="003859A0">
        <w:rPr>
          <w:rFonts w:ascii="Arial" w:hAnsi="Arial" w:cs="Arial"/>
          <w:color w:val="201F1E"/>
          <w:sz w:val="22"/>
          <w:szCs w:val="22"/>
          <w:shd w:val="clear" w:color="auto" w:fill="FFFFFF"/>
        </w:rPr>
        <w:t>229</w:t>
      </w:r>
      <w:r w:rsidRPr="00087BF8">
        <w:rPr>
          <w:rFonts w:ascii="Arial" w:hAnsi="Arial" w:cs="Arial"/>
          <w:color w:val="000000"/>
          <w:sz w:val="22"/>
          <w:szCs w:val="22"/>
          <w:lang w:eastAsia="en-AU"/>
        </w:rPr>
        <w:t>–</w:t>
      </w:r>
      <w:r w:rsidRPr="003859A0">
        <w:rPr>
          <w:rFonts w:ascii="Arial" w:hAnsi="Arial" w:cs="Arial"/>
          <w:color w:val="201F1E"/>
          <w:sz w:val="22"/>
          <w:szCs w:val="22"/>
          <w:shd w:val="clear" w:color="auto" w:fill="FFFFFF"/>
        </w:rPr>
        <w:t>244.</w:t>
      </w:r>
    </w:p>
    <w:bookmarkEnd w:id="224"/>
    <w:p w14:paraId="7C7BFF0F" w14:textId="64EB51B2" w:rsidR="00491210" w:rsidRDefault="00EE200C" w:rsidP="00E619C1">
      <w:pPr>
        <w:pStyle w:val="References1"/>
        <w:rPr>
          <w:rFonts w:ascii="Arial" w:hAnsi="Arial" w:cs="Arial"/>
          <w:color w:val="000000"/>
          <w:sz w:val="22"/>
          <w:szCs w:val="22"/>
          <w:lang w:eastAsia="en-AU"/>
        </w:rPr>
      </w:pPr>
      <w:r w:rsidRPr="00A96705">
        <w:rPr>
          <w:rFonts w:ascii="Arial" w:hAnsi="Arial" w:cs="Arial"/>
          <w:color w:val="000000"/>
          <w:sz w:val="22"/>
          <w:szCs w:val="22"/>
          <w:lang w:eastAsia="en-AU"/>
        </w:rPr>
        <w:t xml:space="preserve">Siebers, A., Crook, D., Silvester, E., Bond, N. (2022) </w:t>
      </w:r>
      <w:r w:rsidRPr="001C7279">
        <w:rPr>
          <w:rFonts w:ascii="Arial" w:hAnsi="Arial" w:cs="Arial"/>
          <w:i/>
          <w:iCs/>
          <w:color w:val="000000"/>
          <w:sz w:val="22"/>
          <w:szCs w:val="22"/>
          <w:lang w:eastAsia="en-AU"/>
        </w:rPr>
        <w:t>Production Condition Predictive Modelling – Part 1: Murray River</w:t>
      </w:r>
      <w:r w:rsidRPr="00A96705">
        <w:rPr>
          <w:rFonts w:ascii="Arial" w:hAnsi="Arial" w:cs="Arial"/>
          <w:color w:val="000000"/>
          <w:sz w:val="22"/>
          <w:szCs w:val="22"/>
          <w:lang w:eastAsia="en-AU"/>
        </w:rPr>
        <w:t>. Report prepared by the Centre of freshwater Ecosystems, School of Life Sciences, La Trobe University (in collaboration with the NSW Department of Planning and Environment)</w:t>
      </w:r>
      <w:r>
        <w:rPr>
          <w:rFonts w:ascii="Arial" w:hAnsi="Arial" w:cs="Arial"/>
          <w:color w:val="000000"/>
          <w:sz w:val="22"/>
          <w:szCs w:val="22"/>
          <w:lang w:eastAsia="en-AU"/>
        </w:rPr>
        <w:t>, Wodonga, Victoria</w:t>
      </w:r>
      <w:r w:rsidRPr="00A96705">
        <w:rPr>
          <w:rFonts w:ascii="Arial" w:hAnsi="Arial" w:cs="Arial"/>
          <w:color w:val="000000"/>
          <w:sz w:val="22"/>
          <w:szCs w:val="22"/>
          <w:lang w:eastAsia="en-AU"/>
        </w:rPr>
        <w:t>.</w:t>
      </w:r>
    </w:p>
    <w:p w14:paraId="3D964547" w14:textId="56AE6C42" w:rsidR="00491210" w:rsidRPr="00087BF8" w:rsidRDefault="00EE200C" w:rsidP="00E619C1">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Sharpe, C.P. (2011). </w:t>
      </w:r>
      <w:r w:rsidRPr="00087BF8">
        <w:rPr>
          <w:rFonts w:ascii="Arial" w:hAnsi="Arial" w:cs="Arial"/>
          <w:i/>
          <w:color w:val="000000"/>
          <w:sz w:val="22"/>
          <w:szCs w:val="22"/>
          <w:lang w:eastAsia="en-AU"/>
        </w:rPr>
        <w:t>Spawning and recruitment ecology of golden perch (</w:t>
      </w:r>
      <w:r w:rsidRPr="00087BF8">
        <w:rPr>
          <w:rFonts w:ascii="Arial" w:hAnsi="Arial" w:cs="Arial"/>
          <w:i/>
          <w:iCs/>
          <w:color w:val="000000"/>
          <w:sz w:val="22"/>
          <w:szCs w:val="22"/>
          <w:lang w:eastAsia="en-AU"/>
        </w:rPr>
        <w:t>Macquaria ambigua</w:t>
      </w:r>
      <w:r w:rsidRPr="00087BF8">
        <w:rPr>
          <w:rFonts w:ascii="Arial" w:hAnsi="Arial" w:cs="Arial"/>
          <w:i/>
          <w:color w:val="000000"/>
          <w:sz w:val="22"/>
          <w:szCs w:val="22"/>
          <w:lang w:eastAsia="en-AU"/>
        </w:rPr>
        <w:t xml:space="preserve"> Richardson 1845) in the Murray and Darling Rivers</w:t>
      </w:r>
      <w:r w:rsidRPr="00087BF8">
        <w:rPr>
          <w:rFonts w:ascii="Arial" w:hAnsi="Arial" w:cs="Arial"/>
          <w:color w:val="000000"/>
          <w:sz w:val="22"/>
          <w:szCs w:val="22"/>
          <w:lang w:eastAsia="en-AU"/>
        </w:rPr>
        <w:t>. Doctoral dissertation, Griffith University, NSW.</w:t>
      </w:r>
    </w:p>
    <w:p w14:paraId="0BA699F4" w14:textId="7960C88B" w:rsidR="00491210" w:rsidRPr="00087BF8" w:rsidRDefault="00EE200C" w:rsidP="003472C9">
      <w:pPr>
        <w:pStyle w:val="References1"/>
        <w:rPr>
          <w:rFonts w:ascii="Arial" w:hAnsi="Arial" w:cs="Arial"/>
          <w:color w:val="000000"/>
          <w:sz w:val="22"/>
          <w:szCs w:val="22"/>
          <w:lang w:eastAsia="en-AU"/>
        </w:rPr>
      </w:pPr>
      <w:r w:rsidRPr="00087BF8">
        <w:rPr>
          <w:rFonts w:ascii="Arial" w:hAnsi="Arial" w:cs="Arial"/>
          <w:color w:val="000000"/>
          <w:sz w:val="22"/>
          <w:szCs w:val="22"/>
          <w:lang w:eastAsia="en-AU"/>
        </w:rPr>
        <w:t xml:space="preserve">Sharpe, C. and Stuart, I. (2018). </w:t>
      </w:r>
      <w:r w:rsidRPr="00087BF8">
        <w:rPr>
          <w:rFonts w:ascii="Arial" w:hAnsi="Arial" w:cs="Arial"/>
          <w:i/>
          <w:color w:val="000000"/>
          <w:sz w:val="22"/>
          <w:szCs w:val="22"/>
          <w:lang w:eastAsia="en-AU"/>
        </w:rPr>
        <w:t>Assessment of Murray cod recruitment in the lower Darling River in response to environmental flows 2016–18</w:t>
      </w:r>
      <w:r w:rsidRPr="00087BF8">
        <w:rPr>
          <w:rFonts w:ascii="Arial" w:hAnsi="Arial" w:cs="Arial"/>
          <w:color w:val="000000"/>
          <w:sz w:val="22"/>
          <w:szCs w:val="22"/>
          <w:lang w:eastAsia="en-AU"/>
        </w:rPr>
        <w:t>. CPS Enviro Technical Report to The Commonwealth Environmental Water Office, Canberra, ACT.</w:t>
      </w:r>
    </w:p>
    <w:p w14:paraId="198FB187" w14:textId="36CB9829" w:rsidR="00491210" w:rsidRPr="00087BF8" w:rsidRDefault="00EE200C" w:rsidP="003472C9">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Sherman, B., Todd, C.R., Koehn, J.D. and Ryan, T. (2007). Modelling the impact and potential mitigation of cold water pollution on Murray cod populations downstream of Hume Dam, Australia. </w:t>
      </w:r>
      <w:r w:rsidRPr="00087BF8">
        <w:rPr>
          <w:rFonts w:ascii="Arial" w:hAnsi="Arial" w:cs="Arial"/>
          <w:i/>
          <w:iCs/>
          <w:color w:val="000000"/>
          <w:sz w:val="22"/>
          <w:szCs w:val="22"/>
          <w:lang w:eastAsia="en-AU"/>
        </w:rPr>
        <w:t>River Research and Applications</w:t>
      </w:r>
      <w:r w:rsidRPr="00087BF8">
        <w:rPr>
          <w:rFonts w:ascii="Arial" w:hAnsi="Arial" w:cs="Arial"/>
          <w:color w:val="000000"/>
          <w:sz w:val="22"/>
          <w:szCs w:val="22"/>
          <w:lang w:eastAsia="en-AU"/>
        </w:rPr>
        <w:t xml:space="preserve"> </w:t>
      </w:r>
      <w:r w:rsidRPr="00087BF8">
        <w:rPr>
          <w:rFonts w:ascii="Arial" w:hAnsi="Arial" w:cs="Arial"/>
          <w:b/>
          <w:bCs/>
          <w:color w:val="000000"/>
          <w:sz w:val="22"/>
          <w:szCs w:val="22"/>
          <w:lang w:eastAsia="en-AU"/>
        </w:rPr>
        <w:t>23</w:t>
      </w:r>
      <w:r w:rsidRPr="00087BF8">
        <w:rPr>
          <w:rFonts w:ascii="Arial" w:hAnsi="Arial" w:cs="Arial"/>
          <w:color w:val="000000"/>
          <w:sz w:val="22"/>
          <w:szCs w:val="22"/>
          <w:lang w:eastAsia="en-AU"/>
        </w:rPr>
        <w:t>, 377–389.</w:t>
      </w:r>
    </w:p>
    <w:p w14:paraId="2BAF0863" w14:textId="1902E2F2" w:rsidR="00491210" w:rsidRPr="00087BF8" w:rsidRDefault="00EE200C" w:rsidP="003472C9">
      <w:pPr>
        <w:pStyle w:val="References1"/>
        <w:rPr>
          <w:rFonts w:ascii="Arial" w:hAnsi="Arial" w:cs="Arial"/>
          <w:sz w:val="22"/>
          <w:szCs w:val="22"/>
          <w:lang w:eastAsia="en-AU"/>
        </w:rPr>
      </w:pPr>
      <w:r w:rsidRPr="00087BF8">
        <w:rPr>
          <w:rFonts w:ascii="Arial" w:hAnsi="Arial" w:cs="Arial"/>
          <w:sz w:val="22"/>
          <w:szCs w:val="22"/>
          <w:shd w:val="clear" w:color="auto" w:fill="FFFFFF"/>
          <w:lang w:eastAsia="en-AU"/>
        </w:rPr>
        <w:t>Stuart, I.G. and Sharpe, C.P. (2020). Riverine spawning, long distance larval drift, and floodplain recruitment of a pelagophilic fish: A case study of golden perch (</w:t>
      </w:r>
      <w:r w:rsidRPr="00087BF8">
        <w:rPr>
          <w:rFonts w:ascii="Arial" w:hAnsi="Arial" w:cs="Arial"/>
          <w:i/>
          <w:iCs/>
          <w:sz w:val="22"/>
          <w:szCs w:val="22"/>
          <w:shd w:val="clear" w:color="auto" w:fill="FFFFFF"/>
          <w:lang w:eastAsia="en-AU"/>
        </w:rPr>
        <w:t>Macquaria ambigua</w:t>
      </w:r>
      <w:r w:rsidRPr="00087BF8">
        <w:rPr>
          <w:rFonts w:ascii="Arial" w:hAnsi="Arial" w:cs="Arial"/>
          <w:sz w:val="22"/>
          <w:szCs w:val="22"/>
          <w:shd w:val="clear" w:color="auto" w:fill="FFFFFF"/>
          <w:lang w:eastAsia="en-AU"/>
        </w:rPr>
        <w:t xml:space="preserve">) in the arid Darling River, Australia. </w:t>
      </w:r>
      <w:r w:rsidRPr="00087BF8">
        <w:rPr>
          <w:rFonts w:ascii="Arial" w:hAnsi="Arial" w:cs="Arial"/>
          <w:i/>
          <w:iCs/>
          <w:sz w:val="22"/>
          <w:szCs w:val="22"/>
          <w:shd w:val="clear" w:color="auto" w:fill="FFFFFF"/>
          <w:lang w:eastAsia="en-AU"/>
        </w:rPr>
        <w:t>Aquatic Conservation: Marine and Freshwater Ecosystems</w:t>
      </w:r>
      <w:r w:rsidRPr="00087BF8">
        <w:rPr>
          <w:rFonts w:ascii="Arial" w:hAnsi="Arial" w:cs="Arial"/>
          <w:sz w:val="22"/>
          <w:szCs w:val="22"/>
          <w:shd w:val="clear" w:color="auto" w:fill="FFFFFF"/>
          <w:lang w:eastAsia="en-AU"/>
        </w:rPr>
        <w:t xml:space="preserve"> </w:t>
      </w:r>
      <w:r w:rsidRPr="00087BF8">
        <w:rPr>
          <w:rFonts w:ascii="Arial" w:hAnsi="Arial" w:cs="Arial"/>
          <w:b/>
          <w:bCs/>
          <w:sz w:val="22"/>
          <w:szCs w:val="22"/>
          <w:shd w:val="clear" w:color="auto" w:fill="FFFFFF"/>
          <w:lang w:eastAsia="en-AU"/>
        </w:rPr>
        <w:t>30</w:t>
      </w:r>
      <w:r w:rsidRPr="00087BF8">
        <w:rPr>
          <w:rFonts w:ascii="Arial" w:hAnsi="Arial" w:cs="Arial"/>
          <w:sz w:val="22"/>
          <w:szCs w:val="22"/>
          <w:shd w:val="clear" w:color="auto" w:fill="FFFFFF"/>
          <w:lang w:eastAsia="en-AU"/>
        </w:rPr>
        <w:t>, 675–690.</w:t>
      </w:r>
    </w:p>
    <w:p w14:paraId="74E18046" w14:textId="59049F9B" w:rsidR="00491210" w:rsidRPr="00087BF8" w:rsidRDefault="00EE200C" w:rsidP="00261480">
      <w:pPr>
        <w:pStyle w:val="References1"/>
        <w:rPr>
          <w:rFonts w:ascii="Arial" w:hAnsi="Arial" w:cs="Arial"/>
          <w:sz w:val="22"/>
          <w:szCs w:val="22"/>
          <w:lang w:eastAsia="en-AU"/>
        </w:rPr>
      </w:pPr>
      <w:r w:rsidRPr="00087BF8">
        <w:rPr>
          <w:rFonts w:ascii="Arial" w:hAnsi="Arial" w:cs="Arial"/>
          <w:sz w:val="22"/>
          <w:szCs w:val="22"/>
          <w:lang w:eastAsia="en-AU"/>
        </w:rPr>
        <w:t>Stuart, I.G. and Sharpe, C.P. (2021). Ecohydraulic model for designing environmental flows supports recovery of imperilled Murray cod (</w:t>
      </w:r>
      <w:r w:rsidRPr="00087BF8">
        <w:rPr>
          <w:rFonts w:ascii="Arial" w:hAnsi="Arial" w:cs="Arial"/>
          <w:i/>
          <w:iCs/>
          <w:sz w:val="22"/>
          <w:szCs w:val="22"/>
          <w:lang w:eastAsia="en-AU"/>
        </w:rPr>
        <w:t>Maccullochella peelii</w:t>
      </w:r>
      <w:r w:rsidRPr="00087BF8">
        <w:rPr>
          <w:rFonts w:ascii="Arial" w:hAnsi="Arial" w:cs="Arial"/>
          <w:sz w:val="22"/>
          <w:szCs w:val="22"/>
          <w:lang w:eastAsia="en-AU"/>
        </w:rPr>
        <w:t>) in the Lower Darling–</w:t>
      </w:r>
      <w:r w:rsidRPr="00087BF8">
        <w:rPr>
          <w:rFonts w:ascii="Arial" w:hAnsi="Arial" w:cs="Arial"/>
          <w:i/>
          <w:sz w:val="22"/>
          <w:szCs w:val="22"/>
          <w:lang w:eastAsia="en-AU"/>
        </w:rPr>
        <w:t>Baaka</w:t>
      </w:r>
      <w:r w:rsidRPr="00087BF8">
        <w:rPr>
          <w:rFonts w:ascii="Arial" w:hAnsi="Arial" w:cs="Arial"/>
          <w:sz w:val="22"/>
          <w:szCs w:val="22"/>
          <w:lang w:eastAsia="en-AU"/>
        </w:rPr>
        <w:t xml:space="preserve"> River following catastrophic fish kills. </w:t>
      </w:r>
      <w:r w:rsidRPr="00087BF8">
        <w:rPr>
          <w:rFonts w:ascii="Arial" w:hAnsi="Arial" w:cs="Arial"/>
          <w:i/>
          <w:iCs/>
          <w:sz w:val="22"/>
          <w:szCs w:val="22"/>
          <w:lang w:eastAsia="en-AU"/>
        </w:rPr>
        <w:t>Marine and Freshwater Research</w:t>
      </w:r>
      <w:r w:rsidRPr="00087BF8">
        <w:rPr>
          <w:rFonts w:ascii="Arial" w:hAnsi="Arial" w:cs="Arial"/>
          <w:sz w:val="22"/>
          <w:szCs w:val="22"/>
          <w:lang w:eastAsia="en-AU"/>
        </w:rPr>
        <w:t xml:space="preserve"> </w:t>
      </w:r>
      <w:r w:rsidRPr="00087BF8">
        <w:rPr>
          <w:rFonts w:ascii="Arial" w:hAnsi="Arial" w:cs="Arial"/>
          <w:b/>
          <w:sz w:val="22"/>
          <w:szCs w:val="22"/>
          <w:lang w:eastAsia="en-AU"/>
        </w:rPr>
        <w:t>73</w:t>
      </w:r>
      <w:r w:rsidRPr="00087BF8">
        <w:rPr>
          <w:rFonts w:ascii="Arial" w:hAnsi="Arial" w:cs="Arial"/>
          <w:sz w:val="22"/>
          <w:szCs w:val="22"/>
          <w:lang w:eastAsia="en-AU"/>
        </w:rPr>
        <w:t>, 247–258.</w:t>
      </w:r>
    </w:p>
    <w:p w14:paraId="575C2F28" w14:textId="32ED6499" w:rsidR="00491210" w:rsidRPr="00087BF8" w:rsidDel="00004B87" w:rsidRDefault="00EE200C" w:rsidP="00261480">
      <w:pPr>
        <w:pStyle w:val="References1"/>
        <w:rPr>
          <w:rFonts w:ascii="Arial" w:hAnsi="Arial" w:cs="Arial"/>
          <w:sz w:val="22"/>
          <w:szCs w:val="22"/>
          <w:lang w:eastAsia="en-AU"/>
        </w:rPr>
      </w:pPr>
      <w:r w:rsidRPr="00087BF8">
        <w:rPr>
          <w:rFonts w:ascii="Arial" w:hAnsi="Arial" w:cs="Arial"/>
          <w:sz w:val="22"/>
          <w:szCs w:val="22"/>
          <w:shd w:val="clear" w:color="auto" w:fill="FFFFFF"/>
          <w:lang w:eastAsia="en-AU"/>
        </w:rPr>
        <w:t xml:space="preserve">Stuart, I., D’Santos, P., Rourke, M., Ellis, I., Harrisson, K., Michie, L., Sharpe, C. and Thiem, J. (2021b). </w:t>
      </w:r>
      <w:r w:rsidRPr="00087BF8">
        <w:rPr>
          <w:rFonts w:ascii="Arial" w:hAnsi="Arial" w:cs="Arial"/>
          <w:i/>
          <w:sz w:val="22"/>
          <w:szCs w:val="22"/>
          <w:shd w:val="clear" w:color="auto" w:fill="FFFFFF"/>
          <w:lang w:eastAsia="en-AU"/>
        </w:rPr>
        <w:t>Monitoring native fish response to environmental water delivery in the lower Darling River 2020–2021</w:t>
      </w:r>
      <w:r w:rsidRPr="00087BF8">
        <w:rPr>
          <w:rFonts w:ascii="Arial" w:hAnsi="Arial" w:cs="Arial"/>
          <w:sz w:val="22"/>
          <w:szCs w:val="22"/>
          <w:shd w:val="clear" w:color="auto" w:fill="FFFFFF"/>
          <w:lang w:eastAsia="en-AU"/>
        </w:rPr>
        <w:t>. State of New South Wales and Department of Planning, Industry and Environment, New South Wales, Australia.</w:t>
      </w:r>
    </w:p>
    <w:p w14:paraId="0A02F41F" w14:textId="21D5673D" w:rsidR="00491210" w:rsidRPr="00087BF8" w:rsidRDefault="00EE200C" w:rsidP="00261480">
      <w:pPr>
        <w:pStyle w:val="References1"/>
        <w:rPr>
          <w:rFonts w:ascii="Arial" w:hAnsi="Arial" w:cs="Arial"/>
          <w:sz w:val="22"/>
          <w:szCs w:val="22"/>
          <w:lang w:eastAsia="en-AU"/>
        </w:rPr>
      </w:pPr>
      <w:r w:rsidRPr="00087BF8">
        <w:rPr>
          <w:rFonts w:ascii="Arial" w:hAnsi="Arial" w:cs="Arial"/>
          <w:sz w:val="22"/>
          <w:szCs w:val="22"/>
          <w:shd w:val="clear" w:color="auto" w:fill="FFFFFF"/>
          <w:lang w:eastAsia="en-AU"/>
        </w:rPr>
        <w:lastRenderedPageBreak/>
        <w:t>Stuart, I.G., Fanson, B.G., Lyon, J.P., Stocks, J., Brooks, S., Norris, A., Thwaites, L., Beitzel, M., Hutchison, M., Ye, Q. and Koehn, J.D. (2021a). Continental threat: how many common carp (</w:t>
      </w:r>
      <w:r w:rsidRPr="00087BF8">
        <w:rPr>
          <w:rFonts w:ascii="Arial" w:hAnsi="Arial" w:cs="Arial"/>
          <w:i/>
          <w:iCs/>
          <w:sz w:val="22"/>
          <w:szCs w:val="22"/>
          <w:shd w:val="clear" w:color="auto" w:fill="FFFFFF"/>
          <w:lang w:eastAsia="en-AU"/>
        </w:rPr>
        <w:t>Cyprinus carpio</w:t>
      </w:r>
      <w:r w:rsidRPr="00087BF8">
        <w:rPr>
          <w:rFonts w:ascii="Arial" w:hAnsi="Arial" w:cs="Arial"/>
          <w:sz w:val="22"/>
          <w:szCs w:val="22"/>
          <w:shd w:val="clear" w:color="auto" w:fill="FFFFFF"/>
          <w:lang w:eastAsia="en-AU"/>
        </w:rPr>
        <w:t xml:space="preserve">) are there in Australia? </w:t>
      </w:r>
      <w:r w:rsidRPr="00087BF8">
        <w:rPr>
          <w:rFonts w:ascii="Arial" w:hAnsi="Arial" w:cs="Arial"/>
          <w:i/>
          <w:iCs/>
          <w:sz w:val="22"/>
          <w:szCs w:val="22"/>
          <w:shd w:val="clear" w:color="auto" w:fill="FFFFFF"/>
          <w:lang w:eastAsia="en-AU"/>
        </w:rPr>
        <w:t>Biological Conservation</w:t>
      </w:r>
      <w:r w:rsidRPr="00087BF8">
        <w:rPr>
          <w:rFonts w:ascii="Arial" w:hAnsi="Arial" w:cs="Arial"/>
          <w:sz w:val="22"/>
          <w:szCs w:val="22"/>
          <w:shd w:val="clear" w:color="auto" w:fill="FFFFFF"/>
          <w:lang w:eastAsia="en-AU"/>
        </w:rPr>
        <w:t xml:space="preserve"> </w:t>
      </w:r>
      <w:r w:rsidRPr="00087BF8">
        <w:rPr>
          <w:rFonts w:ascii="Arial" w:hAnsi="Arial" w:cs="Arial"/>
          <w:b/>
          <w:bCs/>
          <w:sz w:val="22"/>
          <w:szCs w:val="22"/>
          <w:shd w:val="clear" w:color="auto" w:fill="FFFFFF"/>
          <w:lang w:eastAsia="en-AU"/>
        </w:rPr>
        <w:t>254</w:t>
      </w:r>
      <w:r w:rsidRPr="00087BF8">
        <w:rPr>
          <w:rFonts w:ascii="Arial" w:hAnsi="Arial" w:cs="Arial"/>
          <w:sz w:val="22"/>
          <w:szCs w:val="22"/>
          <w:shd w:val="clear" w:color="auto" w:fill="FFFFFF"/>
          <w:lang w:eastAsia="en-AU"/>
        </w:rPr>
        <w:t>, 108942.</w:t>
      </w:r>
    </w:p>
    <w:p w14:paraId="4FADA445" w14:textId="4B96E3A4" w:rsidR="00491210" w:rsidRDefault="00EE200C" w:rsidP="00261480">
      <w:pPr>
        <w:pStyle w:val="References1"/>
        <w:rPr>
          <w:rFonts w:ascii="Arial" w:hAnsi="Arial" w:cs="Arial"/>
          <w:sz w:val="22"/>
          <w:szCs w:val="22"/>
          <w:shd w:val="clear" w:color="auto" w:fill="FFFFFF"/>
          <w:lang w:eastAsia="en-AU"/>
        </w:rPr>
      </w:pPr>
      <w:r w:rsidRPr="00087BF8">
        <w:rPr>
          <w:rFonts w:ascii="Arial" w:hAnsi="Arial" w:cs="Arial"/>
          <w:sz w:val="22"/>
          <w:szCs w:val="22"/>
          <w:shd w:val="clear" w:color="auto" w:fill="FFFFFF"/>
          <w:lang w:eastAsia="en-AU"/>
        </w:rPr>
        <w:t xml:space="preserve">Stuart, I., Sharpe, C., Stanislawski, K., Parker, A. and Mallen-Cooper, M. (2019). From an irrigation system to an ecological asset: adding environmental flows establishes recovery of a threatened fish species. </w:t>
      </w:r>
      <w:r w:rsidRPr="00087BF8">
        <w:rPr>
          <w:rFonts w:ascii="Arial" w:hAnsi="Arial" w:cs="Arial"/>
          <w:i/>
          <w:iCs/>
          <w:sz w:val="22"/>
          <w:szCs w:val="22"/>
          <w:shd w:val="clear" w:color="auto" w:fill="FFFFFF"/>
          <w:lang w:eastAsia="en-AU"/>
        </w:rPr>
        <w:t>Marine and Freshwater Research</w:t>
      </w:r>
      <w:r w:rsidRPr="00087BF8">
        <w:rPr>
          <w:rFonts w:ascii="Arial" w:hAnsi="Arial" w:cs="Arial"/>
          <w:sz w:val="22"/>
          <w:szCs w:val="22"/>
          <w:shd w:val="clear" w:color="auto" w:fill="FFFFFF"/>
          <w:lang w:eastAsia="en-AU"/>
        </w:rPr>
        <w:t xml:space="preserve"> </w:t>
      </w:r>
      <w:r w:rsidRPr="00087BF8">
        <w:rPr>
          <w:rFonts w:ascii="Arial" w:hAnsi="Arial" w:cs="Arial"/>
          <w:b/>
          <w:bCs/>
          <w:sz w:val="22"/>
          <w:szCs w:val="22"/>
          <w:shd w:val="clear" w:color="auto" w:fill="FFFFFF"/>
          <w:lang w:eastAsia="en-AU"/>
        </w:rPr>
        <w:t>70,</w:t>
      </w:r>
      <w:r w:rsidRPr="00087BF8">
        <w:rPr>
          <w:rFonts w:ascii="Arial" w:hAnsi="Arial" w:cs="Arial"/>
          <w:sz w:val="22"/>
          <w:szCs w:val="22"/>
          <w:shd w:val="clear" w:color="auto" w:fill="FFFFFF"/>
          <w:lang w:eastAsia="en-AU"/>
        </w:rPr>
        <w:t xml:space="preserve"> 1295–1306.</w:t>
      </w:r>
    </w:p>
    <w:p w14:paraId="76A7E371" w14:textId="7417BA4B" w:rsidR="00491210" w:rsidRPr="00261480" w:rsidRDefault="00EE200C" w:rsidP="00261480">
      <w:pPr>
        <w:ind w:left="709" w:hanging="709"/>
        <w:rPr>
          <w:sz w:val="22"/>
          <w:szCs w:val="28"/>
        </w:rPr>
      </w:pPr>
      <w:r w:rsidRPr="00261480">
        <w:rPr>
          <w:sz w:val="22"/>
          <w:szCs w:val="28"/>
        </w:rPr>
        <w:t>Su</w:t>
      </w:r>
      <w:r>
        <w:rPr>
          <w:sz w:val="22"/>
          <w:szCs w:val="28"/>
        </w:rPr>
        <w:t>,</w:t>
      </w:r>
      <w:r w:rsidRPr="00261480">
        <w:rPr>
          <w:sz w:val="22"/>
          <w:szCs w:val="28"/>
        </w:rPr>
        <w:t xml:space="preserve"> Y</w:t>
      </w:r>
      <w:r>
        <w:rPr>
          <w:sz w:val="22"/>
          <w:szCs w:val="28"/>
        </w:rPr>
        <w:t>-</w:t>
      </w:r>
      <w:r w:rsidRPr="00261480">
        <w:rPr>
          <w:sz w:val="22"/>
          <w:szCs w:val="28"/>
        </w:rPr>
        <w:t>S</w:t>
      </w:r>
      <w:r>
        <w:rPr>
          <w:sz w:val="22"/>
          <w:szCs w:val="28"/>
        </w:rPr>
        <w:t>. and</w:t>
      </w:r>
      <w:r w:rsidRPr="00261480">
        <w:rPr>
          <w:sz w:val="22"/>
          <w:szCs w:val="28"/>
        </w:rPr>
        <w:t xml:space="preserve"> Yajima</w:t>
      </w:r>
      <w:r>
        <w:rPr>
          <w:sz w:val="22"/>
          <w:szCs w:val="28"/>
        </w:rPr>
        <w:t>, M.</w:t>
      </w:r>
      <w:r w:rsidRPr="00261480">
        <w:rPr>
          <w:sz w:val="22"/>
          <w:szCs w:val="28"/>
        </w:rPr>
        <w:t xml:space="preserve"> (2020). ‘R2jags: Using r to run ’JAGS’’ Available at: </w:t>
      </w:r>
      <w:hyperlink r:id="rId55">
        <w:r w:rsidRPr="00261480">
          <w:rPr>
            <w:sz w:val="22"/>
            <w:szCs w:val="28"/>
          </w:rPr>
          <w:t>https://CRAN.R-project.org/package=R2jags</w:t>
        </w:r>
      </w:hyperlink>
    </w:p>
    <w:p w14:paraId="5B87D804" w14:textId="26037C04" w:rsidR="00491210" w:rsidRPr="00087BF8" w:rsidDel="00004B87" w:rsidRDefault="00EE200C" w:rsidP="00261480">
      <w:pPr>
        <w:pStyle w:val="References1"/>
        <w:rPr>
          <w:rFonts w:ascii="Arial" w:hAnsi="Arial" w:cs="Arial"/>
          <w:sz w:val="22"/>
          <w:szCs w:val="22"/>
          <w:lang w:eastAsia="en-AU"/>
        </w:rPr>
      </w:pPr>
      <w:r w:rsidRPr="00087BF8">
        <w:rPr>
          <w:rFonts w:ascii="Arial" w:hAnsi="Arial" w:cs="Arial"/>
          <w:sz w:val="22"/>
          <w:szCs w:val="22"/>
          <w:lang w:eastAsia="en-AU"/>
        </w:rPr>
        <w:t xml:space="preserve">Thiem, J.D., Baumgartner, L.J., Fanson, B., Sadekov, A., Tonkin, Z. and Zampatti, B.P. (2021). Contrasting natal origin and movement history informs recovery pathways for three lowland river species following a mass fish kill. </w:t>
      </w:r>
      <w:r w:rsidRPr="00087BF8">
        <w:rPr>
          <w:rFonts w:ascii="Arial" w:hAnsi="Arial" w:cs="Arial"/>
          <w:i/>
          <w:iCs/>
          <w:sz w:val="22"/>
          <w:szCs w:val="22"/>
          <w:lang w:eastAsia="en-AU"/>
        </w:rPr>
        <w:t>Marine and Freshwater Research</w:t>
      </w:r>
      <w:r w:rsidRPr="00087BF8">
        <w:rPr>
          <w:rFonts w:ascii="Arial" w:hAnsi="Arial" w:cs="Arial"/>
          <w:sz w:val="22"/>
          <w:szCs w:val="22"/>
          <w:lang w:eastAsia="en-AU"/>
        </w:rPr>
        <w:t xml:space="preserve"> </w:t>
      </w:r>
      <w:r w:rsidRPr="00087BF8">
        <w:rPr>
          <w:rFonts w:ascii="Arial" w:hAnsi="Arial" w:cs="Arial"/>
          <w:b/>
          <w:sz w:val="22"/>
          <w:szCs w:val="22"/>
          <w:lang w:eastAsia="en-AU"/>
        </w:rPr>
        <w:t>73</w:t>
      </w:r>
      <w:r w:rsidRPr="00087BF8">
        <w:rPr>
          <w:rFonts w:ascii="Arial" w:hAnsi="Arial" w:cs="Arial"/>
          <w:sz w:val="22"/>
          <w:szCs w:val="22"/>
          <w:lang w:eastAsia="en-AU"/>
        </w:rPr>
        <w:t>, 237–246.</w:t>
      </w:r>
    </w:p>
    <w:p w14:paraId="2E5BF1F3" w14:textId="4F2CC5F6" w:rsidR="00491210" w:rsidRPr="00087BF8" w:rsidDel="00004B87" w:rsidRDefault="00EE200C" w:rsidP="00261480">
      <w:pPr>
        <w:pStyle w:val="References1"/>
        <w:rPr>
          <w:rFonts w:ascii="Arial" w:hAnsi="Arial" w:cs="Arial"/>
          <w:sz w:val="22"/>
          <w:szCs w:val="22"/>
          <w:lang w:eastAsia="en-AU"/>
        </w:rPr>
      </w:pPr>
      <w:r w:rsidRPr="00087BF8">
        <w:rPr>
          <w:rFonts w:ascii="Arial" w:hAnsi="Arial" w:cs="Arial"/>
          <w:sz w:val="22"/>
          <w:szCs w:val="22"/>
          <w:lang w:eastAsia="en-AU"/>
        </w:rPr>
        <w:t>Thiem, J., Wooden, I.J., Baumgartner, L.J., Butler, G.L., Forbes, J., Conallin, J. and Zampatti, B. (2019). Can stocking play a role in recovering fish populations after fish kills? Lessons following blackwater events in the Edward–Wakool river system. In: Annual Conference of the Australian Society for Fish Biology, Canberra, ACT.</w:t>
      </w:r>
    </w:p>
    <w:p w14:paraId="600CF603" w14:textId="3CC5476B" w:rsidR="00491210" w:rsidRPr="00087BF8" w:rsidDel="00004B87" w:rsidRDefault="00EE200C" w:rsidP="00261480">
      <w:pPr>
        <w:pStyle w:val="References1"/>
        <w:rPr>
          <w:rFonts w:ascii="Arial" w:hAnsi="Arial" w:cs="Arial"/>
          <w:sz w:val="22"/>
          <w:szCs w:val="22"/>
          <w:lang w:eastAsia="en-AU"/>
        </w:rPr>
      </w:pPr>
      <w:r w:rsidRPr="00087BF8">
        <w:rPr>
          <w:rFonts w:ascii="Arial" w:hAnsi="Arial" w:cs="Arial"/>
          <w:sz w:val="22"/>
          <w:szCs w:val="22"/>
          <w:lang w:eastAsia="en-AU"/>
        </w:rPr>
        <w:t>Thiem, J.D., Wooden, I.J., Baumgartner, L.J., Butler, G.L., Taylor, M.D. and Watts, R.J. (2020). Hypoxic conditions interrupt flood</w:t>
      </w:r>
      <w:r w:rsidRPr="00087BF8">
        <w:rPr>
          <w:rFonts w:ascii="Cambria Math" w:hAnsi="Cambria Math" w:cs="Cambria Math"/>
          <w:sz w:val="22"/>
          <w:szCs w:val="22"/>
          <w:lang w:eastAsia="en-AU"/>
        </w:rPr>
        <w:t>‐</w:t>
      </w:r>
      <w:r w:rsidRPr="00087BF8">
        <w:rPr>
          <w:rFonts w:ascii="Arial" w:hAnsi="Arial" w:cs="Arial"/>
          <w:sz w:val="22"/>
          <w:szCs w:val="22"/>
          <w:lang w:eastAsia="en-AU"/>
        </w:rPr>
        <w:t xml:space="preserve">response movements of three lowland river fish species: implications for flow restoration in modified landscapes. </w:t>
      </w:r>
      <w:r w:rsidRPr="00087BF8">
        <w:rPr>
          <w:rFonts w:ascii="Arial" w:hAnsi="Arial" w:cs="Arial"/>
          <w:i/>
          <w:iCs/>
          <w:sz w:val="22"/>
          <w:szCs w:val="22"/>
          <w:lang w:eastAsia="en-AU"/>
        </w:rPr>
        <w:t>Ecohydrology</w:t>
      </w:r>
      <w:r w:rsidRPr="00087BF8">
        <w:rPr>
          <w:rFonts w:ascii="Arial" w:hAnsi="Arial" w:cs="Arial"/>
          <w:sz w:val="22"/>
          <w:szCs w:val="22"/>
          <w:lang w:eastAsia="en-AU"/>
        </w:rPr>
        <w:t xml:space="preserve"> </w:t>
      </w:r>
      <w:r w:rsidRPr="00087BF8">
        <w:rPr>
          <w:rFonts w:ascii="Arial" w:hAnsi="Arial" w:cs="Arial"/>
          <w:b/>
          <w:bCs/>
          <w:sz w:val="22"/>
          <w:szCs w:val="22"/>
          <w:lang w:eastAsia="en-AU"/>
        </w:rPr>
        <w:t>13</w:t>
      </w:r>
      <w:r w:rsidRPr="00087BF8">
        <w:rPr>
          <w:rFonts w:ascii="Arial" w:hAnsi="Arial" w:cs="Arial"/>
          <w:sz w:val="22"/>
          <w:szCs w:val="22"/>
          <w:lang w:eastAsia="en-AU"/>
        </w:rPr>
        <w:t>, p.e2197.</w:t>
      </w:r>
    </w:p>
    <w:p w14:paraId="6C46B617" w14:textId="1C01A14D" w:rsidR="00491210" w:rsidRPr="00087BF8" w:rsidRDefault="00EE200C" w:rsidP="00261480">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Todd, C. and Koehn, J. (2007). </w:t>
      </w:r>
      <w:r w:rsidRPr="00423707">
        <w:rPr>
          <w:rFonts w:ascii="Arial" w:hAnsi="Arial" w:cs="Arial"/>
          <w:i/>
          <w:iCs/>
          <w:color w:val="000000"/>
          <w:sz w:val="22"/>
          <w:szCs w:val="22"/>
          <w:lang w:eastAsia="en-AU"/>
        </w:rPr>
        <w:t>Modelling management scenarios for Murray cod populations in the Mullaroo Creek.</w:t>
      </w:r>
      <w:r w:rsidRPr="00087BF8">
        <w:rPr>
          <w:rFonts w:ascii="Arial" w:hAnsi="Arial" w:cs="Arial"/>
          <w:color w:val="000000"/>
          <w:sz w:val="22"/>
          <w:szCs w:val="22"/>
          <w:lang w:eastAsia="en-AU"/>
        </w:rPr>
        <w:t xml:space="preserve"> Unpublished Client Report for the Mallee Catchment Management Authority, Irymple, Victoria.</w:t>
      </w:r>
    </w:p>
    <w:p w14:paraId="25D97668" w14:textId="045C6ABB" w:rsidR="00491210" w:rsidRDefault="00EE200C" w:rsidP="00DE1983">
      <w:pPr>
        <w:pStyle w:val="References1"/>
        <w:rPr>
          <w:rFonts w:ascii="Arial" w:hAnsi="Arial" w:cs="Arial"/>
          <w:sz w:val="22"/>
          <w:szCs w:val="22"/>
          <w:shd w:val="clear" w:color="auto" w:fill="FFFFFF"/>
          <w:lang w:eastAsia="en-AU"/>
        </w:rPr>
      </w:pPr>
      <w:r w:rsidRPr="00423707">
        <w:rPr>
          <w:rFonts w:ascii="Arial" w:hAnsi="Arial" w:cs="Arial"/>
          <w:sz w:val="22"/>
          <w:szCs w:val="22"/>
          <w:shd w:val="clear" w:color="auto" w:fill="FFFFFF"/>
          <w:lang w:eastAsia="en-AU"/>
        </w:rPr>
        <w:t>Todd, C.R.</w:t>
      </w:r>
      <w:r>
        <w:rPr>
          <w:rFonts w:ascii="Arial" w:hAnsi="Arial" w:cs="Arial"/>
          <w:sz w:val="22"/>
          <w:szCs w:val="22"/>
          <w:shd w:val="clear" w:color="auto" w:fill="FFFFFF"/>
          <w:lang w:eastAsia="en-AU"/>
        </w:rPr>
        <w:t xml:space="preserve"> and</w:t>
      </w:r>
      <w:r w:rsidRPr="00423707">
        <w:rPr>
          <w:rFonts w:ascii="Arial" w:hAnsi="Arial" w:cs="Arial"/>
          <w:sz w:val="22"/>
          <w:szCs w:val="22"/>
          <w:shd w:val="clear" w:color="auto" w:fill="FFFFFF"/>
          <w:lang w:eastAsia="en-AU"/>
        </w:rPr>
        <w:t xml:space="preserve"> Koehn, J.D. </w:t>
      </w:r>
      <w:r>
        <w:rPr>
          <w:rFonts w:ascii="Arial" w:hAnsi="Arial" w:cs="Arial"/>
          <w:sz w:val="22"/>
          <w:szCs w:val="22"/>
          <w:shd w:val="clear" w:color="auto" w:fill="FFFFFF"/>
          <w:lang w:eastAsia="en-AU"/>
        </w:rPr>
        <w:t>(</w:t>
      </w:r>
      <w:r w:rsidRPr="00423707">
        <w:rPr>
          <w:rFonts w:ascii="Arial" w:hAnsi="Arial" w:cs="Arial"/>
          <w:sz w:val="22"/>
          <w:szCs w:val="22"/>
          <w:shd w:val="clear" w:color="auto" w:fill="FFFFFF"/>
          <w:lang w:eastAsia="en-AU"/>
        </w:rPr>
        <w:t>2009</w:t>
      </w:r>
      <w:r>
        <w:rPr>
          <w:rFonts w:ascii="Arial" w:hAnsi="Arial" w:cs="Arial"/>
          <w:sz w:val="22"/>
          <w:szCs w:val="22"/>
          <w:shd w:val="clear" w:color="auto" w:fill="FFFFFF"/>
          <w:lang w:eastAsia="en-AU"/>
        </w:rPr>
        <w:t>)</w:t>
      </w:r>
      <w:r w:rsidRPr="00423707">
        <w:rPr>
          <w:rFonts w:ascii="Arial" w:hAnsi="Arial" w:cs="Arial"/>
          <w:sz w:val="22"/>
          <w:szCs w:val="22"/>
          <w:shd w:val="clear" w:color="auto" w:fill="FFFFFF"/>
          <w:lang w:eastAsia="en-AU"/>
        </w:rPr>
        <w:t xml:space="preserve">. </w:t>
      </w:r>
      <w:r w:rsidRPr="00423707">
        <w:rPr>
          <w:rFonts w:ascii="Arial" w:hAnsi="Arial" w:cs="Arial"/>
          <w:i/>
          <w:iCs/>
          <w:sz w:val="22"/>
          <w:szCs w:val="22"/>
          <w:shd w:val="clear" w:color="auto" w:fill="FFFFFF"/>
          <w:lang w:eastAsia="en-AU"/>
        </w:rPr>
        <w:t>Murray cod modelling to address key management actions: final report for project MD745.</w:t>
      </w:r>
      <w:r w:rsidRPr="00423707">
        <w:rPr>
          <w:rFonts w:ascii="Arial" w:hAnsi="Arial" w:cs="Arial"/>
          <w:sz w:val="22"/>
          <w:szCs w:val="22"/>
          <w:shd w:val="clear" w:color="auto" w:fill="FFFFFF"/>
          <w:lang w:eastAsia="en-AU"/>
        </w:rPr>
        <w:t xml:space="preserve"> Arthur Rylah Institute for Environmental Research Report to the Murray-Darling Basin Commission (now Murray-Darling Basin Authority). Arthur Rylah Institute for Environmental Research Report, Department of Sustainability and Environment.</w:t>
      </w:r>
    </w:p>
    <w:p w14:paraId="63A52C62" w14:textId="09809B7B" w:rsidR="00491210" w:rsidRPr="00087BF8" w:rsidRDefault="00EE200C" w:rsidP="00DE1983">
      <w:pPr>
        <w:pStyle w:val="References1"/>
        <w:rPr>
          <w:rFonts w:ascii="Arial" w:hAnsi="Arial" w:cs="Arial"/>
          <w:sz w:val="22"/>
          <w:szCs w:val="22"/>
          <w:shd w:val="clear" w:color="auto" w:fill="FFFFFF"/>
          <w:lang w:eastAsia="en-AU"/>
        </w:rPr>
      </w:pPr>
      <w:r w:rsidRPr="00087BF8">
        <w:rPr>
          <w:rFonts w:ascii="Arial" w:hAnsi="Arial" w:cs="Arial"/>
          <w:sz w:val="22"/>
          <w:szCs w:val="22"/>
          <w:shd w:val="clear" w:color="auto" w:fill="FFFFFF"/>
          <w:lang w:eastAsia="en-AU"/>
        </w:rPr>
        <w:t xml:space="preserve">Todd, C.R. and Lintermans, M. (2015). Who do you move? A stochastic population model to guide translocation strategies for an endangered freshwater fish in south-eastern Australia. </w:t>
      </w:r>
      <w:r w:rsidRPr="00087BF8">
        <w:rPr>
          <w:rFonts w:ascii="Arial" w:hAnsi="Arial" w:cs="Arial"/>
          <w:i/>
          <w:iCs/>
          <w:sz w:val="22"/>
          <w:szCs w:val="22"/>
          <w:shd w:val="clear" w:color="auto" w:fill="FFFFFF"/>
          <w:lang w:eastAsia="en-AU"/>
        </w:rPr>
        <w:t>Ecological Modelling</w:t>
      </w:r>
      <w:r w:rsidRPr="00087BF8">
        <w:rPr>
          <w:rFonts w:ascii="Arial" w:hAnsi="Arial" w:cs="Arial"/>
          <w:sz w:val="22"/>
          <w:szCs w:val="22"/>
          <w:shd w:val="clear" w:color="auto" w:fill="FFFFFF"/>
          <w:lang w:eastAsia="en-AU"/>
        </w:rPr>
        <w:t xml:space="preserve"> </w:t>
      </w:r>
      <w:r w:rsidRPr="00087BF8">
        <w:rPr>
          <w:rFonts w:ascii="Arial" w:hAnsi="Arial" w:cs="Arial"/>
          <w:b/>
          <w:bCs/>
          <w:sz w:val="22"/>
          <w:szCs w:val="22"/>
          <w:shd w:val="clear" w:color="auto" w:fill="FFFFFF"/>
          <w:lang w:eastAsia="en-AU"/>
        </w:rPr>
        <w:t>311</w:t>
      </w:r>
      <w:r w:rsidRPr="00087BF8">
        <w:rPr>
          <w:rFonts w:ascii="Arial" w:hAnsi="Arial" w:cs="Arial"/>
          <w:sz w:val="22"/>
          <w:szCs w:val="22"/>
          <w:shd w:val="clear" w:color="auto" w:fill="FFFFFF"/>
          <w:lang w:eastAsia="en-AU"/>
        </w:rPr>
        <w:t>, 63–72. doi:10.1016/j.ecolmodel.2015.05.001</w:t>
      </w:r>
    </w:p>
    <w:p w14:paraId="52A4A390" w14:textId="528F442D" w:rsidR="00491210" w:rsidRPr="00087BF8" w:rsidDel="00004B87" w:rsidRDefault="00EE200C" w:rsidP="00DE1983">
      <w:pPr>
        <w:pStyle w:val="References1"/>
        <w:rPr>
          <w:rFonts w:ascii="Arial" w:hAnsi="Arial" w:cs="Arial"/>
          <w:sz w:val="22"/>
          <w:szCs w:val="22"/>
        </w:rPr>
      </w:pPr>
      <w:r w:rsidRPr="00087BF8">
        <w:rPr>
          <w:rFonts w:ascii="Arial" w:hAnsi="Arial" w:cs="Arial"/>
          <w:sz w:val="22"/>
          <w:szCs w:val="22"/>
        </w:rPr>
        <w:t xml:space="preserve">Todd, C.R. and Lovelace, P.R. (2019). Essential version 2.21. Retrieved from </w:t>
      </w:r>
      <w:hyperlink r:id="rId56" w:history="1">
        <w:r w:rsidRPr="0024398B">
          <w:rPr>
            <w:rStyle w:val="Hyperlink"/>
            <w:rFonts w:cs="Arial"/>
            <w:sz w:val="22"/>
            <w:szCs w:val="22"/>
          </w:rPr>
          <w:t>https://www.ari.vic.gov.au/__data/assets/file/0035/589562/Essential-Population-Modelling-Software.zip</w:t>
        </w:r>
      </w:hyperlink>
    </w:p>
    <w:p w14:paraId="6FC48ADC" w14:textId="77777777" w:rsidR="00491210" w:rsidRPr="00087BF8" w:rsidRDefault="00EE200C" w:rsidP="003472C9">
      <w:pPr>
        <w:pStyle w:val="References1"/>
        <w:rPr>
          <w:rFonts w:ascii="Arial" w:hAnsi="Arial" w:cs="Arial"/>
          <w:sz w:val="22"/>
          <w:szCs w:val="22"/>
          <w:shd w:val="clear" w:color="auto" w:fill="FFFFFF"/>
          <w:lang w:eastAsia="en-AU"/>
        </w:rPr>
      </w:pPr>
      <w:r w:rsidRPr="00087BF8">
        <w:rPr>
          <w:rFonts w:ascii="Arial" w:hAnsi="Arial" w:cs="Arial"/>
          <w:sz w:val="22"/>
          <w:szCs w:val="22"/>
          <w:shd w:val="clear" w:color="auto" w:fill="FFFFFF"/>
          <w:lang w:eastAsia="en-AU"/>
        </w:rPr>
        <w:t xml:space="preserve">Todd, C.R. and Ng, M.P. (2001). Generating unbiased correlated random survival rates for stochastic population models. </w:t>
      </w:r>
      <w:r w:rsidRPr="00087BF8">
        <w:rPr>
          <w:rFonts w:ascii="Arial" w:hAnsi="Arial" w:cs="Arial"/>
          <w:i/>
          <w:sz w:val="22"/>
          <w:szCs w:val="22"/>
          <w:shd w:val="clear" w:color="auto" w:fill="FFFFFF"/>
          <w:lang w:eastAsia="en-AU"/>
        </w:rPr>
        <w:t>Ecological Modelling</w:t>
      </w:r>
      <w:r w:rsidRPr="00087BF8">
        <w:rPr>
          <w:rFonts w:ascii="Arial" w:hAnsi="Arial" w:cs="Arial"/>
          <w:sz w:val="22"/>
          <w:szCs w:val="22"/>
          <w:shd w:val="clear" w:color="auto" w:fill="FFFFFF"/>
          <w:lang w:eastAsia="en-AU"/>
        </w:rPr>
        <w:t xml:space="preserve"> </w:t>
      </w:r>
      <w:r w:rsidRPr="00087BF8">
        <w:rPr>
          <w:rFonts w:ascii="Arial" w:hAnsi="Arial" w:cs="Arial"/>
          <w:b/>
          <w:sz w:val="22"/>
          <w:szCs w:val="22"/>
          <w:shd w:val="clear" w:color="auto" w:fill="FFFFFF"/>
          <w:lang w:eastAsia="en-AU"/>
        </w:rPr>
        <w:t>144</w:t>
      </w:r>
      <w:r w:rsidRPr="00087BF8">
        <w:rPr>
          <w:rFonts w:ascii="Arial" w:hAnsi="Arial" w:cs="Arial"/>
          <w:sz w:val="22"/>
          <w:szCs w:val="22"/>
          <w:shd w:val="clear" w:color="auto" w:fill="FFFFFF"/>
          <w:lang w:eastAsia="en-AU"/>
        </w:rPr>
        <w:t>, 1–11.</w:t>
      </w:r>
    </w:p>
    <w:p w14:paraId="637240BE" w14:textId="44FAB850" w:rsidR="00491210" w:rsidRPr="00087BF8" w:rsidRDefault="00EE200C" w:rsidP="003472C9">
      <w:pPr>
        <w:pStyle w:val="References1"/>
        <w:rPr>
          <w:rFonts w:ascii="Arial" w:hAnsi="Arial" w:cs="Arial"/>
          <w:sz w:val="22"/>
          <w:szCs w:val="22"/>
        </w:rPr>
      </w:pPr>
      <w:r w:rsidRPr="00087BF8">
        <w:rPr>
          <w:rFonts w:ascii="Arial" w:hAnsi="Arial" w:cs="Arial"/>
          <w:sz w:val="22"/>
          <w:szCs w:val="22"/>
        </w:rPr>
        <w:t xml:space="preserve">Todd, C.R., Brown, T. and Koehn, J.D. (2019). </w:t>
      </w:r>
      <w:bookmarkStart w:id="225" w:name="_Hlk17274572"/>
      <w:r w:rsidRPr="00423707">
        <w:rPr>
          <w:rFonts w:ascii="Arial" w:hAnsi="Arial" w:cs="Arial"/>
          <w:i/>
          <w:iCs/>
          <w:sz w:val="22"/>
          <w:szCs w:val="22"/>
        </w:rPr>
        <w:t>Stocking Silver perch in the Namoi River—a population modelling case study.</w:t>
      </w:r>
      <w:r w:rsidRPr="00087BF8">
        <w:rPr>
          <w:rFonts w:ascii="Arial" w:hAnsi="Arial" w:cs="Arial"/>
          <w:sz w:val="22"/>
          <w:szCs w:val="22"/>
        </w:rPr>
        <w:t xml:space="preserve"> </w:t>
      </w:r>
      <w:bookmarkEnd w:id="225"/>
      <w:r w:rsidRPr="00087BF8">
        <w:rPr>
          <w:rFonts w:ascii="Arial" w:hAnsi="Arial" w:cs="Arial"/>
          <w:sz w:val="22"/>
          <w:szCs w:val="22"/>
        </w:rPr>
        <w:t>Arthur Rylah Institute for Environmental Research Unpublished Client Report for the Murray–Darling Basin Authority. Department of Environment, Land, Water and Planning, Heidelberg, Victoria.</w:t>
      </w:r>
    </w:p>
    <w:p w14:paraId="312AA67F" w14:textId="72803496" w:rsidR="00491210" w:rsidRPr="00087BF8" w:rsidRDefault="00EE200C" w:rsidP="003472C9">
      <w:pPr>
        <w:pStyle w:val="References1"/>
        <w:rPr>
          <w:rFonts w:ascii="Arial" w:hAnsi="Arial" w:cs="Arial"/>
          <w:sz w:val="22"/>
          <w:szCs w:val="22"/>
          <w:shd w:val="clear" w:color="auto" w:fill="FFFFFF"/>
          <w:lang w:eastAsia="en-AU"/>
        </w:rPr>
      </w:pPr>
      <w:r w:rsidRPr="00087BF8">
        <w:rPr>
          <w:rFonts w:ascii="Arial" w:hAnsi="Arial" w:cs="Arial"/>
          <w:sz w:val="22"/>
          <w:szCs w:val="22"/>
          <w:shd w:val="clear" w:color="auto" w:fill="FFFFFF"/>
          <w:lang w:eastAsia="en-AU"/>
        </w:rPr>
        <w:t xml:space="preserve">Todd, C.R., Forsyth, D.M. and Choquenot, D. (2008). Modelling the effects of fertility control on koala–forest dynami. </w:t>
      </w:r>
      <w:r w:rsidRPr="00087BF8">
        <w:rPr>
          <w:rFonts w:ascii="Arial" w:hAnsi="Arial" w:cs="Arial"/>
          <w:i/>
          <w:iCs/>
          <w:sz w:val="22"/>
          <w:szCs w:val="22"/>
          <w:shd w:val="clear" w:color="auto" w:fill="FFFFFF"/>
          <w:lang w:eastAsia="en-AU"/>
        </w:rPr>
        <w:t>Journal of Applied Ecology</w:t>
      </w:r>
      <w:r w:rsidRPr="00087BF8">
        <w:rPr>
          <w:rFonts w:ascii="Arial" w:hAnsi="Arial" w:cs="Arial"/>
          <w:sz w:val="22"/>
          <w:szCs w:val="22"/>
          <w:shd w:val="clear" w:color="auto" w:fill="FFFFFF"/>
          <w:lang w:eastAsia="en-AU"/>
        </w:rPr>
        <w:t xml:space="preserve"> </w:t>
      </w:r>
      <w:r w:rsidRPr="00087BF8">
        <w:rPr>
          <w:rFonts w:ascii="Arial" w:hAnsi="Arial" w:cs="Arial"/>
          <w:b/>
          <w:bCs/>
          <w:sz w:val="22"/>
          <w:szCs w:val="22"/>
          <w:shd w:val="clear" w:color="auto" w:fill="FFFFFF"/>
          <w:lang w:eastAsia="en-AU"/>
        </w:rPr>
        <w:t>45</w:t>
      </w:r>
      <w:r w:rsidRPr="00087BF8">
        <w:rPr>
          <w:rFonts w:ascii="Arial" w:hAnsi="Arial" w:cs="Arial"/>
          <w:sz w:val="22"/>
          <w:szCs w:val="22"/>
          <w:shd w:val="clear" w:color="auto" w:fill="FFFFFF"/>
          <w:lang w:eastAsia="en-AU"/>
        </w:rPr>
        <w:t>, 568–578.</w:t>
      </w:r>
    </w:p>
    <w:p w14:paraId="1EA264C0" w14:textId="77777777" w:rsidR="00491210" w:rsidRPr="00087BF8" w:rsidRDefault="00EE200C" w:rsidP="003472C9">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Todd, C.R., Koehn, J.D., Yen, J.D.L., Koster, W.M., Tonkin, Z., Wootton, H. and Barrow, J. (2020). </w:t>
      </w:r>
      <w:r w:rsidRPr="00423707">
        <w:rPr>
          <w:rFonts w:ascii="Arial" w:hAnsi="Arial" w:cs="Arial"/>
          <w:i/>
          <w:iCs/>
          <w:color w:val="000000"/>
          <w:sz w:val="22"/>
          <w:szCs w:val="22"/>
          <w:lang w:eastAsia="en-AU"/>
        </w:rPr>
        <w:t>Predicting long-term population responses by Murray Cod and Silver Perch to flow management in the Goulburn and Campaspe rivers: a stochastic population modelling approach.</w:t>
      </w:r>
      <w:r w:rsidRPr="00087BF8">
        <w:rPr>
          <w:rFonts w:ascii="Arial" w:hAnsi="Arial" w:cs="Arial"/>
          <w:color w:val="000000"/>
          <w:sz w:val="22"/>
          <w:szCs w:val="22"/>
          <w:lang w:eastAsia="en-AU"/>
        </w:rPr>
        <w:t xml:space="preserve"> Unpublished Client Report for Water and Catchments, Department of Environment, Land, Water and Planning. Arthur Rylah Institute for Environmental Research, Department of Environment, Land, Water and Planning, Heidelberg, Victoria.</w:t>
      </w:r>
    </w:p>
    <w:p w14:paraId="56FFD70A" w14:textId="0DB1E04D" w:rsidR="00491210" w:rsidRPr="00087BF8" w:rsidRDefault="00EE200C" w:rsidP="003472C9">
      <w:pPr>
        <w:pStyle w:val="References1"/>
        <w:rPr>
          <w:rFonts w:ascii="Arial" w:hAnsi="Arial" w:cs="Arial"/>
          <w:sz w:val="22"/>
          <w:szCs w:val="22"/>
          <w:lang w:eastAsia="en-AU"/>
        </w:rPr>
      </w:pPr>
      <w:r w:rsidRPr="00087BF8">
        <w:rPr>
          <w:rFonts w:ascii="Arial" w:hAnsi="Arial" w:cs="Arial"/>
          <w:sz w:val="22"/>
          <w:szCs w:val="22"/>
          <w:shd w:val="clear" w:color="auto" w:fill="FFFFFF"/>
          <w:lang w:eastAsia="en-AU"/>
        </w:rPr>
        <w:t xml:space="preserve">Todd, C.R., Lintermans, M., Raymond, S. and Ryall, J. (2017). Assessing the impacts of reservoir expansion using a population model for a threatened riverine fish. </w:t>
      </w:r>
      <w:r w:rsidRPr="00087BF8">
        <w:rPr>
          <w:rFonts w:ascii="Arial" w:hAnsi="Arial" w:cs="Arial"/>
          <w:i/>
          <w:iCs/>
          <w:sz w:val="22"/>
          <w:szCs w:val="22"/>
          <w:shd w:val="clear" w:color="auto" w:fill="FFFFFF"/>
          <w:lang w:eastAsia="en-AU"/>
        </w:rPr>
        <w:t>Ecological Indicators</w:t>
      </w:r>
      <w:r w:rsidRPr="00087BF8">
        <w:rPr>
          <w:rFonts w:ascii="Arial" w:hAnsi="Arial" w:cs="Arial"/>
          <w:sz w:val="22"/>
          <w:szCs w:val="22"/>
          <w:shd w:val="clear" w:color="auto" w:fill="FFFFFF"/>
          <w:lang w:eastAsia="en-AU"/>
        </w:rPr>
        <w:t xml:space="preserve"> </w:t>
      </w:r>
      <w:r w:rsidRPr="00087BF8">
        <w:rPr>
          <w:rFonts w:ascii="Arial" w:hAnsi="Arial" w:cs="Arial"/>
          <w:b/>
          <w:bCs/>
          <w:sz w:val="22"/>
          <w:szCs w:val="22"/>
          <w:shd w:val="clear" w:color="auto" w:fill="FFFFFF"/>
          <w:lang w:eastAsia="en-AU"/>
        </w:rPr>
        <w:t>80</w:t>
      </w:r>
      <w:r w:rsidRPr="00087BF8">
        <w:rPr>
          <w:rFonts w:ascii="Arial" w:hAnsi="Arial" w:cs="Arial"/>
          <w:sz w:val="22"/>
          <w:szCs w:val="22"/>
          <w:shd w:val="clear" w:color="auto" w:fill="FFFFFF"/>
          <w:lang w:eastAsia="en-AU"/>
        </w:rPr>
        <w:t>, 204–214.</w:t>
      </w:r>
    </w:p>
    <w:p w14:paraId="2FE98ACD" w14:textId="77777777" w:rsidR="00491210" w:rsidRPr="00087BF8" w:rsidRDefault="00EE200C" w:rsidP="003472C9">
      <w:pPr>
        <w:pStyle w:val="References1"/>
        <w:rPr>
          <w:rFonts w:ascii="Arial" w:hAnsi="Arial" w:cs="Arial"/>
          <w:sz w:val="22"/>
          <w:szCs w:val="22"/>
          <w:shd w:val="clear" w:color="auto" w:fill="FFFFFF"/>
          <w:lang w:eastAsia="en-AU"/>
        </w:rPr>
      </w:pPr>
      <w:r w:rsidRPr="00087BF8">
        <w:rPr>
          <w:rFonts w:ascii="Arial" w:hAnsi="Arial" w:cs="Arial"/>
          <w:sz w:val="22"/>
          <w:szCs w:val="22"/>
          <w:shd w:val="clear" w:color="auto" w:fill="FFFFFF"/>
          <w:lang w:eastAsia="en-AU"/>
        </w:rPr>
        <w:lastRenderedPageBreak/>
        <w:t xml:space="preserve">Todd, C.R., Nicol, S.J. and Koehn, J.D. (2004). Density-dependence uncertainty in population models for the conservation management of trout cod, </w:t>
      </w:r>
      <w:r w:rsidRPr="00087BF8">
        <w:rPr>
          <w:rFonts w:ascii="Arial" w:hAnsi="Arial" w:cs="Arial"/>
          <w:i/>
          <w:iCs/>
          <w:sz w:val="22"/>
          <w:szCs w:val="22"/>
          <w:shd w:val="clear" w:color="auto" w:fill="FFFFFF"/>
          <w:lang w:eastAsia="en-AU"/>
        </w:rPr>
        <w:t>Maccullochella macquariensis</w:t>
      </w:r>
      <w:r w:rsidRPr="00087BF8">
        <w:rPr>
          <w:rFonts w:ascii="Arial" w:hAnsi="Arial" w:cs="Arial"/>
          <w:sz w:val="22"/>
          <w:szCs w:val="22"/>
          <w:shd w:val="clear" w:color="auto" w:fill="FFFFFF"/>
          <w:lang w:eastAsia="en-AU"/>
        </w:rPr>
        <w:t xml:space="preserve">. </w:t>
      </w:r>
      <w:r w:rsidRPr="00087BF8">
        <w:rPr>
          <w:rFonts w:ascii="Arial" w:hAnsi="Arial" w:cs="Arial"/>
          <w:i/>
          <w:iCs/>
          <w:sz w:val="22"/>
          <w:szCs w:val="22"/>
          <w:shd w:val="clear" w:color="auto" w:fill="FFFFFF"/>
          <w:lang w:eastAsia="en-AU"/>
        </w:rPr>
        <w:t>Ecological Modelling</w:t>
      </w:r>
      <w:r w:rsidRPr="00087BF8">
        <w:rPr>
          <w:rFonts w:ascii="Arial" w:hAnsi="Arial" w:cs="Arial"/>
          <w:sz w:val="22"/>
          <w:szCs w:val="22"/>
          <w:shd w:val="clear" w:color="auto" w:fill="FFFFFF"/>
          <w:lang w:eastAsia="en-AU"/>
        </w:rPr>
        <w:t xml:space="preserve"> </w:t>
      </w:r>
      <w:r w:rsidRPr="00087BF8">
        <w:rPr>
          <w:rFonts w:ascii="Arial" w:hAnsi="Arial" w:cs="Arial"/>
          <w:b/>
          <w:bCs/>
          <w:sz w:val="22"/>
          <w:szCs w:val="22"/>
          <w:shd w:val="clear" w:color="auto" w:fill="FFFFFF"/>
          <w:lang w:eastAsia="en-AU"/>
        </w:rPr>
        <w:t>171</w:t>
      </w:r>
      <w:r w:rsidRPr="00087BF8">
        <w:rPr>
          <w:rFonts w:ascii="Arial" w:hAnsi="Arial" w:cs="Arial"/>
          <w:sz w:val="22"/>
          <w:szCs w:val="22"/>
          <w:shd w:val="clear" w:color="auto" w:fill="FFFFFF"/>
          <w:lang w:eastAsia="en-AU"/>
        </w:rPr>
        <w:t>, 359–380. doi:10.1016/j.ecolmodel.2003.06.002</w:t>
      </w:r>
    </w:p>
    <w:p w14:paraId="2D7EB117" w14:textId="3DAC6978" w:rsidR="00491210" w:rsidRPr="00087BF8" w:rsidRDefault="00EE200C" w:rsidP="003472C9">
      <w:pPr>
        <w:pStyle w:val="References1"/>
        <w:rPr>
          <w:rFonts w:ascii="Arial" w:hAnsi="Arial" w:cs="Arial"/>
          <w:sz w:val="22"/>
          <w:szCs w:val="22"/>
          <w:shd w:val="clear" w:color="auto" w:fill="FFFFFF"/>
          <w:lang w:eastAsia="en-AU"/>
        </w:rPr>
      </w:pPr>
      <w:r w:rsidRPr="00087BF8">
        <w:rPr>
          <w:rFonts w:ascii="Arial" w:hAnsi="Arial" w:cs="Arial"/>
          <w:sz w:val="22"/>
          <w:szCs w:val="22"/>
          <w:shd w:val="clear" w:color="auto" w:fill="FFFFFF"/>
          <w:lang w:eastAsia="en-AU"/>
        </w:rPr>
        <w:t>Todd, C.R., Ryan, T., Nicol, S.J. and Bearlin, A.R. (2005). The impact of cold water releases on the critical period of post</w:t>
      </w:r>
      <w:r w:rsidRPr="00087BF8">
        <w:rPr>
          <w:rFonts w:ascii="Cambria Math" w:hAnsi="Cambria Math" w:cs="Cambria Math"/>
          <w:sz w:val="22"/>
          <w:szCs w:val="22"/>
          <w:shd w:val="clear" w:color="auto" w:fill="FFFFFF"/>
          <w:lang w:eastAsia="en-AU"/>
        </w:rPr>
        <w:t>‐</w:t>
      </w:r>
      <w:r w:rsidRPr="00087BF8">
        <w:rPr>
          <w:rFonts w:ascii="Arial" w:hAnsi="Arial" w:cs="Arial"/>
          <w:sz w:val="22"/>
          <w:szCs w:val="22"/>
          <w:shd w:val="clear" w:color="auto" w:fill="FFFFFF"/>
          <w:lang w:eastAsia="en-AU"/>
        </w:rPr>
        <w:t>spawning survival and its implications for Murray cod (</w:t>
      </w:r>
      <w:r w:rsidRPr="00087BF8">
        <w:rPr>
          <w:rFonts w:ascii="Arial" w:hAnsi="Arial" w:cs="Arial"/>
          <w:i/>
          <w:iCs/>
          <w:sz w:val="22"/>
          <w:szCs w:val="22"/>
          <w:shd w:val="clear" w:color="auto" w:fill="FFFFFF"/>
          <w:lang w:eastAsia="en-AU"/>
        </w:rPr>
        <w:t>Maccullochella peelii peelii</w:t>
      </w:r>
      <w:r w:rsidRPr="00087BF8">
        <w:rPr>
          <w:rFonts w:ascii="Arial" w:hAnsi="Arial" w:cs="Arial"/>
          <w:sz w:val="22"/>
          <w:szCs w:val="22"/>
          <w:shd w:val="clear" w:color="auto" w:fill="FFFFFF"/>
          <w:lang w:eastAsia="en-AU"/>
        </w:rPr>
        <w:t xml:space="preserve">): a case study of the Mitta Mitta River, southeastern Australia. </w:t>
      </w:r>
      <w:r w:rsidRPr="00087BF8">
        <w:rPr>
          <w:rFonts w:ascii="Arial" w:hAnsi="Arial" w:cs="Arial"/>
          <w:i/>
          <w:iCs/>
          <w:sz w:val="22"/>
          <w:szCs w:val="22"/>
          <w:shd w:val="clear" w:color="auto" w:fill="FFFFFF"/>
          <w:lang w:eastAsia="en-AU"/>
        </w:rPr>
        <w:t>River Research and Applications</w:t>
      </w:r>
      <w:r w:rsidRPr="00087BF8">
        <w:rPr>
          <w:rFonts w:ascii="Arial" w:hAnsi="Arial" w:cs="Arial"/>
          <w:sz w:val="22"/>
          <w:szCs w:val="22"/>
          <w:shd w:val="clear" w:color="auto" w:fill="FFFFFF"/>
          <w:lang w:eastAsia="en-AU"/>
        </w:rPr>
        <w:t xml:space="preserve"> </w:t>
      </w:r>
      <w:r w:rsidRPr="00087BF8">
        <w:rPr>
          <w:rFonts w:ascii="Arial" w:hAnsi="Arial" w:cs="Arial"/>
          <w:b/>
          <w:bCs/>
          <w:sz w:val="22"/>
          <w:szCs w:val="22"/>
          <w:shd w:val="clear" w:color="auto" w:fill="FFFFFF"/>
          <w:lang w:eastAsia="en-AU"/>
        </w:rPr>
        <w:t>21</w:t>
      </w:r>
      <w:r w:rsidRPr="00087BF8">
        <w:rPr>
          <w:rFonts w:ascii="Arial" w:hAnsi="Arial" w:cs="Arial"/>
          <w:sz w:val="22"/>
          <w:szCs w:val="22"/>
          <w:shd w:val="clear" w:color="auto" w:fill="FFFFFF"/>
          <w:lang w:eastAsia="en-AU"/>
        </w:rPr>
        <w:t>, 1035–1052.</w:t>
      </w:r>
    </w:p>
    <w:p w14:paraId="705C984B" w14:textId="29D20697" w:rsidR="00491210" w:rsidRPr="00087BF8" w:rsidRDefault="00EE200C" w:rsidP="003472C9">
      <w:pPr>
        <w:pStyle w:val="References1"/>
        <w:rPr>
          <w:rFonts w:ascii="Arial" w:hAnsi="Arial" w:cs="Arial"/>
          <w:sz w:val="22"/>
          <w:szCs w:val="22"/>
          <w:shd w:val="clear" w:color="auto" w:fill="FFFFFF"/>
          <w:lang w:eastAsia="en-AU"/>
        </w:rPr>
      </w:pPr>
      <w:r w:rsidRPr="00087BF8">
        <w:rPr>
          <w:rFonts w:ascii="Arial" w:hAnsi="Arial" w:cs="Arial"/>
          <w:sz w:val="22"/>
          <w:szCs w:val="22"/>
          <w:shd w:val="clear" w:color="auto" w:fill="FFFFFF"/>
          <w:lang w:eastAsia="en-AU"/>
        </w:rPr>
        <w:t xml:space="preserve">Todd, C.R., Whiterod, N., Raymond, S.M., Zukowski, S., Asmus, M. and Todd, M.J. (2018). Integrating fishing and conservation in a risk framework: a stochastic population model to guide the proactive management of a threatened freshwater crayfish. </w:t>
      </w:r>
      <w:r w:rsidRPr="00087BF8">
        <w:rPr>
          <w:rFonts w:ascii="Arial" w:hAnsi="Arial" w:cs="Arial"/>
          <w:i/>
          <w:iCs/>
          <w:sz w:val="22"/>
          <w:szCs w:val="22"/>
          <w:shd w:val="clear" w:color="auto" w:fill="FFFFFF"/>
          <w:lang w:eastAsia="en-AU"/>
        </w:rPr>
        <w:t>Aquatic Conservation: Marine and Freshwater Ecosystems</w:t>
      </w:r>
      <w:r w:rsidRPr="00087BF8">
        <w:rPr>
          <w:rFonts w:ascii="Arial" w:hAnsi="Arial" w:cs="Arial"/>
          <w:sz w:val="22"/>
          <w:szCs w:val="22"/>
          <w:shd w:val="clear" w:color="auto" w:fill="FFFFFF"/>
          <w:lang w:eastAsia="en-AU"/>
        </w:rPr>
        <w:t xml:space="preserve"> </w:t>
      </w:r>
      <w:r w:rsidRPr="00087BF8">
        <w:rPr>
          <w:rFonts w:ascii="Arial" w:hAnsi="Arial" w:cs="Arial"/>
          <w:b/>
          <w:bCs/>
          <w:sz w:val="22"/>
          <w:szCs w:val="22"/>
          <w:shd w:val="clear" w:color="auto" w:fill="FFFFFF"/>
          <w:lang w:eastAsia="en-AU"/>
        </w:rPr>
        <w:t>28</w:t>
      </w:r>
      <w:r w:rsidRPr="00087BF8">
        <w:rPr>
          <w:rFonts w:ascii="Arial" w:hAnsi="Arial" w:cs="Arial"/>
          <w:sz w:val="22"/>
          <w:szCs w:val="22"/>
          <w:shd w:val="clear" w:color="auto" w:fill="FFFFFF"/>
          <w:lang w:eastAsia="en-AU"/>
        </w:rPr>
        <w:t>, 954–968.</w:t>
      </w:r>
    </w:p>
    <w:p w14:paraId="73D8A8E9" w14:textId="4041F7F4" w:rsidR="00491210" w:rsidRDefault="00EE200C" w:rsidP="003472C9">
      <w:pPr>
        <w:pStyle w:val="References1"/>
        <w:rPr>
          <w:rFonts w:ascii="Arial" w:hAnsi="Arial" w:cs="Arial"/>
          <w:color w:val="000000"/>
          <w:sz w:val="22"/>
          <w:szCs w:val="22"/>
          <w:lang w:eastAsia="en-AU"/>
        </w:rPr>
      </w:pPr>
      <w:r w:rsidRPr="008B28D6">
        <w:rPr>
          <w:rFonts w:ascii="Arial" w:hAnsi="Arial" w:cs="Arial"/>
          <w:color w:val="000000"/>
          <w:sz w:val="22"/>
          <w:szCs w:val="22"/>
          <w:lang w:eastAsia="en-AU"/>
        </w:rPr>
        <w:t xml:space="preserve">Tonkin, Z., Kitchingman, A., Ingram, B., Lieschke, J., Koster, W., Lyon, J., Lutz, M. and Pavlova, A. (2019). </w:t>
      </w:r>
      <w:r w:rsidRPr="008B28D6">
        <w:rPr>
          <w:rFonts w:ascii="Arial" w:hAnsi="Arial" w:cs="Arial"/>
          <w:i/>
          <w:iCs/>
          <w:color w:val="000000"/>
          <w:sz w:val="22"/>
          <w:szCs w:val="22"/>
          <w:lang w:eastAsia="en-AU"/>
        </w:rPr>
        <w:t>Smarter stocking: a synthesis of existing data to assess native fish stocking success in Victorian rivers.</w:t>
      </w:r>
      <w:r w:rsidRPr="008B28D6">
        <w:rPr>
          <w:rFonts w:ascii="Arial" w:hAnsi="Arial" w:cs="Arial"/>
          <w:color w:val="000000"/>
          <w:sz w:val="22"/>
          <w:szCs w:val="22"/>
          <w:lang w:eastAsia="en-AU"/>
        </w:rPr>
        <w:t xml:space="preserve"> Unpublished Client Report for the Victorian Fisheries Authority. Arthur Rylah Institute for Environmental Research, Department of Environment, Land, Water and Planning, Heidelberg, Victoria.</w:t>
      </w:r>
    </w:p>
    <w:p w14:paraId="2B4B6664" w14:textId="5A7C7671" w:rsidR="00491210" w:rsidRPr="00087BF8" w:rsidRDefault="00EE200C" w:rsidP="003472C9">
      <w:pPr>
        <w:pStyle w:val="References1"/>
        <w:rPr>
          <w:rFonts w:ascii="Arial" w:hAnsi="Arial" w:cs="Arial"/>
          <w:color w:val="000000"/>
          <w:sz w:val="22"/>
          <w:szCs w:val="22"/>
          <w:lang w:eastAsia="en-AU"/>
        </w:rPr>
      </w:pPr>
      <w:r w:rsidRPr="00087BF8">
        <w:rPr>
          <w:rFonts w:ascii="Arial" w:hAnsi="Arial" w:cs="Arial"/>
          <w:color w:val="000000"/>
          <w:sz w:val="22"/>
          <w:szCs w:val="22"/>
          <w:lang w:eastAsia="en-AU"/>
        </w:rPr>
        <w:t xml:space="preserve">Tonkin, Z., Lyon, J. and Hackett, G. (2009). </w:t>
      </w:r>
      <w:r w:rsidRPr="006B62CD">
        <w:rPr>
          <w:rFonts w:ascii="Arial" w:hAnsi="Arial" w:cs="Arial"/>
          <w:i/>
          <w:iCs/>
          <w:color w:val="000000"/>
          <w:sz w:val="22"/>
          <w:szCs w:val="22"/>
          <w:lang w:eastAsia="en-AU"/>
        </w:rPr>
        <w:t>Native fish spawning in the Lake Hume – Yarrawonga restoration reach of the Murray River: 2009 milestone report.</w:t>
      </w:r>
      <w:r w:rsidRPr="00087BF8">
        <w:rPr>
          <w:rFonts w:ascii="Arial" w:hAnsi="Arial" w:cs="Arial"/>
          <w:color w:val="000000"/>
          <w:sz w:val="22"/>
          <w:szCs w:val="22"/>
          <w:lang w:eastAsia="en-AU"/>
        </w:rPr>
        <w:t xml:space="preserve"> Arthur Rylah Institute for Environmental Research. Unpublished milestone report submitted to the Murray–Darling Basin Authority. Department of Sustainability and Environment, Heidelberg, Victoria.</w:t>
      </w:r>
    </w:p>
    <w:p w14:paraId="06A3C899" w14:textId="34336864" w:rsidR="00491210" w:rsidRPr="00087BF8" w:rsidRDefault="00EE200C" w:rsidP="003472C9">
      <w:pPr>
        <w:pStyle w:val="References1"/>
        <w:rPr>
          <w:rFonts w:ascii="Arial" w:hAnsi="Arial" w:cs="Arial"/>
          <w:bCs/>
          <w:color w:val="000000"/>
          <w:sz w:val="22"/>
          <w:szCs w:val="22"/>
          <w:lang w:eastAsia="en-AU"/>
        </w:rPr>
      </w:pPr>
      <w:r w:rsidRPr="00087BF8">
        <w:rPr>
          <w:rFonts w:ascii="Arial" w:hAnsi="Arial" w:cs="Arial"/>
          <w:color w:val="000000"/>
          <w:sz w:val="22"/>
          <w:szCs w:val="22"/>
          <w:lang w:eastAsia="en-AU"/>
        </w:rPr>
        <w:t xml:space="preserve">Tonkin, Z., Yen, J., Lyon, J., Kitchingman, A., Koehn, J.D., Koster, W.M., Lieschke, J., Raymond, S., Sharley, J., Stuart, I. and Todd, C. (2021). Linking flow attributes to recruitment to inform water management for an Australian freshwater fish with an equilibrium life-history strategy. </w:t>
      </w:r>
      <w:r w:rsidRPr="00087BF8">
        <w:rPr>
          <w:rFonts w:ascii="Arial" w:hAnsi="Arial" w:cs="Arial"/>
          <w:i/>
          <w:iCs/>
          <w:color w:val="000000"/>
          <w:sz w:val="22"/>
          <w:szCs w:val="22"/>
          <w:lang w:eastAsia="en-AU"/>
        </w:rPr>
        <w:t>Science of the Total Environmen</w:t>
      </w:r>
      <w:r w:rsidRPr="00087BF8">
        <w:rPr>
          <w:rFonts w:ascii="Arial" w:hAnsi="Arial" w:cs="Arial"/>
          <w:color w:val="000000"/>
          <w:sz w:val="22"/>
          <w:szCs w:val="22"/>
          <w:lang w:eastAsia="en-AU"/>
        </w:rPr>
        <w:t xml:space="preserve">t </w:t>
      </w:r>
      <w:r w:rsidRPr="00087BF8">
        <w:rPr>
          <w:rFonts w:ascii="Arial" w:hAnsi="Arial" w:cs="Arial"/>
          <w:b/>
          <w:bCs/>
          <w:color w:val="000000"/>
          <w:sz w:val="22"/>
          <w:szCs w:val="22"/>
          <w:lang w:eastAsia="en-AU"/>
        </w:rPr>
        <w:t>752</w:t>
      </w:r>
      <w:r w:rsidRPr="00087BF8">
        <w:rPr>
          <w:rFonts w:ascii="Arial" w:hAnsi="Arial" w:cs="Arial"/>
          <w:bCs/>
          <w:color w:val="000000"/>
          <w:sz w:val="22"/>
          <w:szCs w:val="22"/>
          <w:lang w:eastAsia="en-AU"/>
        </w:rPr>
        <w:t xml:space="preserve">, 141863. </w:t>
      </w:r>
      <w:hyperlink r:id="rId57" w:history="1">
        <w:r w:rsidRPr="00087BF8">
          <w:rPr>
            <w:rFonts w:ascii="Arial" w:hAnsi="Arial" w:cs="Arial"/>
            <w:bCs/>
            <w:color w:val="000000"/>
            <w:sz w:val="22"/>
            <w:szCs w:val="22"/>
          </w:rPr>
          <w:t>doi</w:t>
        </w:r>
        <w:r w:rsidRPr="00087BF8">
          <w:rPr>
            <w:rFonts w:ascii="Arial" w:hAnsi="Arial" w:cs="Arial"/>
            <w:bCs/>
            <w:color w:val="000000"/>
            <w:sz w:val="22"/>
            <w:szCs w:val="22"/>
            <w:lang w:eastAsia="en-AU"/>
          </w:rPr>
          <w:t>:</w:t>
        </w:r>
        <w:r w:rsidRPr="00087BF8">
          <w:rPr>
            <w:rFonts w:ascii="Arial" w:hAnsi="Arial" w:cs="Arial"/>
            <w:bCs/>
            <w:color w:val="000000"/>
            <w:sz w:val="22"/>
            <w:szCs w:val="22"/>
          </w:rPr>
          <w:t>10.1016/j.scitotenv.2020.141863</w:t>
        </w:r>
      </w:hyperlink>
    </w:p>
    <w:p w14:paraId="545346E2" w14:textId="3A490D12" w:rsidR="00491210" w:rsidRPr="00087BF8" w:rsidRDefault="00EE200C" w:rsidP="003472C9">
      <w:pPr>
        <w:pStyle w:val="References1"/>
        <w:rPr>
          <w:rFonts w:ascii="Arial" w:hAnsi="Arial" w:cs="Arial"/>
          <w:bCs/>
          <w:color w:val="000000"/>
          <w:sz w:val="22"/>
          <w:szCs w:val="22"/>
          <w:lang w:eastAsia="en-AU"/>
        </w:rPr>
      </w:pPr>
      <w:r w:rsidRPr="00087BF8">
        <w:rPr>
          <w:rFonts w:ascii="Arial" w:hAnsi="Arial" w:cs="Arial"/>
          <w:sz w:val="22"/>
          <w:szCs w:val="22"/>
          <w:lang w:eastAsia="en-AU"/>
        </w:rPr>
        <w:t xml:space="preserve">Verdon-Kidd, D.C. and Kiem, A.S. (2009). Nature and causes of protracted droughts in southeast Australia: comparison between the Federation, WWII, and big dry droughts. </w:t>
      </w:r>
      <w:r w:rsidRPr="00087BF8">
        <w:rPr>
          <w:rFonts w:ascii="Arial" w:hAnsi="Arial" w:cs="Arial"/>
          <w:i/>
          <w:iCs/>
          <w:sz w:val="22"/>
          <w:szCs w:val="22"/>
          <w:lang w:eastAsia="en-AU"/>
        </w:rPr>
        <w:t>Geophysical Research Letter</w:t>
      </w:r>
      <w:r w:rsidRPr="00087BF8">
        <w:rPr>
          <w:rFonts w:ascii="Arial" w:hAnsi="Arial" w:cs="Arial"/>
          <w:sz w:val="22"/>
          <w:szCs w:val="22"/>
          <w:lang w:eastAsia="en-AU"/>
        </w:rPr>
        <w:t xml:space="preserve"> </w:t>
      </w:r>
      <w:r w:rsidRPr="00087BF8">
        <w:rPr>
          <w:rFonts w:ascii="Arial" w:hAnsi="Arial" w:cs="Arial"/>
          <w:b/>
          <w:bCs/>
          <w:sz w:val="22"/>
          <w:szCs w:val="22"/>
          <w:lang w:eastAsia="en-AU"/>
        </w:rPr>
        <w:t>36</w:t>
      </w:r>
      <w:r w:rsidRPr="00087BF8">
        <w:rPr>
          <w:rFonts w:ascii="Arial" w:hAnsi="Arial" w:cs="Arial"/>
          <w:sz w:val="22"/>
          <w:szCs w:val="22"/>
          <w:lang w:eastAsia="en-AU"/>
        </w:rPr>
        <w:t>(22), L</w:t>
      </w:r>
      <w:r w:rsidRPr="00087BF8">
        <w:rPr>
          <w:rFonts w:ascii="Arial" w:hAnsi="Arial" w:cs="Arial"/>
          <w:color w:val="000000"/>
          <w:sz w:val="22"/>
          <w:szCs w:val="22"/>
          <w:lang w:eastAsia="en-AU"/>
        </w:rPr>
        <w:t>22707</w:t>
      </w:r>
      <w:r w:rsidRPr="00087BF8">
        <w:rPr>
          <w:rFonts w:ascii="Arial" w:hAnsi="Arial" w:cs="Arial"/>
          <w:bCs/>
          <w:color w:val="000000"/>
          <w:sz w:val="22"/>
          <w:szCs w:val="22"/>
          <w:lang w:eastAsia="en-AU"/>
        </w:rPr>
        <w:t>. doi:</w:t>
      </w:r>
      <w:hyperlink r:id="rId58" w:tgtFrame="_blank" w:tooltip="Link to external resource: 10.1029/2009GL041067" w:history="1">
        <w:r w:rsidRPr="00087BF8">
          <w:rPr>
            <w:rFonts w:ascii="Arial" w:hAnsi="Arial" w:cs="Arial"/>
            <w:bCs/>
            <w:color w:val="000000"/>
            <w:sz w:val="22"/>
            <w:szCs w:val="22"/>
          </w:rPr>
          <w:t>10.1029/2009GL041067</w:t>
        </w:r>
      </w:hyperlink>
    </w:p>
    <w:p w14:paraId="19D339E0" w14:textId="199AC95E" w:rsidR="00491210" w:rsidRPr="00963A02" w:rsidRDefault="00EE200C" w:rsidP="00963A02">
      <w:pPr>
        <w:pStyle w:val="References1"/>
        <w:rPr>
          <w:rFonts w:ascii="Arial" w:hAnsi="Arial" w:cs="Arial"/>
          <w:color w:val="000000"/>
          <w:sz w:val="22"/>
          <w:szCs w:val="22"/>
          <w:lang w:eastAsia="en-AU"/>
        </w:rPr>
      </w:pPr>
      <w:r w:rsidRPr="00087BF8">
        <w:rPr>
          <w:rFonts w:ascii="Arial" w:hAnsi="Arial" w:cs="Arial"/>
          <w:color w:val="000000"/>
          <w:sz w:val="22"/>
          <w:szCs w:val="22"/>
          <w:lang w:eastAsia="en-AU"/>
        </w:rPr>
        <w:t xml:space="preserve">Vörösmarty, C.J., McIntyre, P.B., Gessner, M.O., Dudgeon, D., Prusevich, A., Green, P., Glidden, S., Bunn, S.E., Sullivan, C.A., Liermann, C.R. and Davies, P.M. (2010). Global threats </w:t>
      </w:r>
      <w:r w:rsidRPr="00963A02">
        <w:rPr>
          <w:rFonts w:ascii="Arial" w:hAnsi="Arial" w:cs="Arial"/>
          <w:color w:val="000000"/>
          <w:sz w:val="22"/>
          <w:szCs w:val="22"/>
          <w:lang w:eastAsia="en-AU"/>
        </w:rPr>
        <w:t xml:space="preserve">to human water security and river biodiversity. </w:t>
      </w:r>
      <w:r w:rsidRPr="00963A02">
        <w:rPr>
          <w:rFonts w:ascii="Arial" w:hAnsi="Arial" w:cs="Arial"/>
          <w:i/>
          <w:color w:val="000000"/>
          <w:sz w:val="22"/>
          <w:szCs w:val="22"/>
          <w:lang w:eastAsia="en-AU"/>
        </w:rPr>
        <w:t>Nature</w:t>
      </w:r>
      <w:r w:rsidRPr="00963A02">
        <w:rPr>
          <w:rFonts w:ascii="Arial" w:hAnsi="Arial" w:cs="Arial"/>
          <w:color w:val="000000"/>
          <w:sz w:val="22"/>
          <w:szCs w:val="22"/>
          <w:lang w:eastAsia="en-AU"/>
        </w:rPr>
        <w:t xml:space="preserve"> </w:t>
      </w:r>
      <w:r w:rsidRPr="00963A02">
        <w:rPr>
          <w:rFonts w:ascii="Arial" w:hAnsi="Arial" w:cs="Arial"/>
          <w:b/>
          <w:bCs/>
          <w:color w:val="000000"/>
          <w:sz w:val="22"/>
          <w:szCs w:val="22"/>
          <w:lang w:eastAsia="en-AU"/>
        </w:rPr>
        <w:t>467</w:t>
      </w:r>
      <w:r w:rsidRPr="00963A02">
        <w:rPr>
          <w:rFonts w:ascii="Arial" w:hAnsi="Arial" w:cs="Arial"/>
          <w:color w:val="000000"/>
          <w:sz w:val="22"/>
          <w:szCs w:val="22"/>
          <w:lang w:eastAsia="en-AU"/>
        </w:rPr>
        <w:t>,</w:t>
      </w:r>
      <w:r w:rsidRPr="00963A02">
        <w:rPr>
          <w:rFonts w:ascii="Arial" w:hAnsi="Arial" w:cs="Arial"/>
          <w:b/>
          <w:bCs/>
          <w:color w:val="000000"/>
          <w:sz w:val="22"/>
          <w:szCs w:val="22"/>
          <w:lang w:eastAsia="en-AU"/>
        </w:rPr>
        <w:t xml:space="preserve"> </w:t>
      </w:r>
      <w:r w:rsidRPr="00963A02">
        <w:rPr>
          <w:rFonts w:ascii="Arial" w:hAnsi="Arial" w:cs="Arial"/>
          <w:color w:val="000000"/>
          <w:sz w:val="22"/>
          <w:szCs w:val="22"/>
          <w:lang w:eastAsia="en-AU"/>
        </w:rPr>
        <w:t xml:space="preserve">555–561. doi:10.1038/nature09440. Erratum in: </w:t>
      </w:r>
      <w:r w:rsidRPr="00963A02">
        <w:rPr>
          <w:rFonts w:ascii="Arial" w:hAnsi="Arial" w:cs="Arial"/>
          <w:i/>
          <w:color w:val="000000"/>
          <w:sz w:val="22"/>
          <w:szCs w:val="22"/>
          <w:lang w:eastAsia="en-AU"/>
        </w:rPr>
        <w:t>Nature</w:t>
      </w:r>
      <w:r w:rsidRPr="00963A02">
        <w:rPr>
          <w:rFonts w:ascii="Arial" w:hAnsi="Arial" w:cs="Arial"/>
          <w:color w:val="000000"/>
          <w:sz w:val="22"/>
          <w:szCs w:val="22"/>
          <w:lang w:eastAsia="en-AU"/>
        </w:rPr>
        <w:t xml:space="preserve"> 2010 Nov 11;</w:t>
      </w:r>
      <w:r w:rsidRPr="00963A02">
        <w:rPr>
          <w:rFonts w:ascii="Arial" w:hAnsi="Arial" w:cs="Arial"/>
          <w:b/>
          <w:color w:val="000000"/>
          <w:sz w:val="22"/>
          <w:szCs w:val="22"/>
          <w:lang w:eastAsia="en-AU"/>
        </w:rPr>
        <w:t>468</w:t>
      </w:r>
      <w:r w:rsidRPr="00963A02">
        <w:rPr>
          <w:rFonts w:ascii="Arial" w:hAnsi="Arial" w:cs="Arial"/>
          <w:color w:val="000000"/>
          <w:sz w:val="22"/>
          <w:szCs w:val="22"/>
          <w:lang w:eastAsia="en-AU"/>
        </w:rPr>
        <w:t>(7321), 334.</w:t>
      </w:r>
    </w:p>
    <w:p w14:paraId="622BC854" w14:textId="4524A623" w:rsidR="00491210" w:rsidRPr="00963A02" w:rsidRDefault="00EE200C" w:rsidP="00963A02">
      <w:pPr>
        <w:pStyle w:val="References1"/>
        <w:rPr>
          <w:rFonts w:ascii="Arial" w:hAnsi="Arial" w:cs="Arial"/>
          <w:color w:val="000000"/>
          <w:sz w:val="22"/>
          <w:szCs w:val="22"/>
          <w:lang w:eastAsia="en-AU"/>
        </w:rPr>
      </w:pPr>
      <w:r w:rsidRPr="00963A02">
        <w:rPr>
          <w:rFonts w:ascii="Arial" w:hAnsi="Arial" w:cs="Arial"/>
          <w:sz w:val="22"/>
          <w:szCs w:val="22"/>
        </w:rPr>
        <w:t>Whitworth</w:t>
      </w:r>
      <w:r>
        <w:rPr>
          <w:rFonts w:ascii="Arial" w:hAnsi="Arial" w:cs="Arial"/>
          <w:sz w:val="22"/>
          <w:szCs w:val="22"/>
        </w:rPr>
        <w:t>,</w:t>
      </w:r>
      <w:r w:rsidRPr="00963A02">
        <w:rPr>
          <w:rFonts w:ascii="Arial" w:hAnsi="Arial" w:cs="Arial"/>
          <w:sz w:val="22"/>
          <w:szCs w:val="22"/>
        </w:rPr>
        <w:t xml:space="preserve"> K</w:t>
      </w:r>
      <w:r>
        <w:rPr>
          <w:rFonts w:ascii="Arial" w:hAnsi="Arial" w:cs="Arial"/>
          <w:sz w:val="22"/>
          <w:szCs w:val="22"/>
        </w:rPr>
        <w:t>.</w:t>
      </w:r>
      <w:r w:rsidRPr="00963A02">
        <w:rPr>
          <w:rFonts w:ascii="Arial" w:hAnsi="Arial" w:cs="Arial"/>
          <w:sz w:val="22"/>
          <w:szCs w:val="22"/>
        </w:rPr>
        <w:t>L</w:t>
      </w:r>
      <w:r>
        <w:rPr>
          <w:rFonts w:ascii="Arial" w:hAnsi="Arial" w:cs="Arial"/>
          <w:sz w:val="22"/>
          <w:szCs w:val="22"/>
        </w:rPr>
        <w:t>.</w:t>
      </w:r>
      <w:r w:rsidRPr="00963A02">
        <w:rPr>
          <w:rFonts w:ascii="Arial" w:hAnsi="Arial" w:cs="Arial"/>
          <w:sz w:val="22"/>
          <w:szCs w:val="22"/>
        </w:rPr>
        <w:t>, Baldwin</w:t>
      </w:r>
      <w:r>
        <w:rPr>
          <w:rFonts w:ascii="Arial" w:hAnsi="Arial" w:cs="Arial"/>
          <w:sz w:val="22"/>
          <w:szCs w:val="22"/>
        </w:rPr>
        <w:t>,</w:t>
      </w:r>
      <w:r w:rsidRPr="00963A02">
        <w:rPr>
          <w:rFonts w:ascii="Arial" w:hAnsi="Arial" w:cs="Arial"/>
          <w:sz w:val="22"/>
          <w:szCs w:val="22"/>
        </w:rPr>
        <w:t xml:space="preserve"> D</w:t>
      </w:r>
      <w:r>
        <w:rPr>
          <w:rFonts w:ascii="Arial" w:hAnsi="Arial" w:cs="Arial"/>
          <w:sz w:val="22"/>
          <w:szCs w:val="22"/>
        </w:rPr>
        <w:t>.</w:t>
      </w:r>
      <w:r w:rsidRPr="00963A02">
        <w:rPr>
          <w:rFonts w:ascii="Arial" w:hAnsi="Arial" w:cs="Arial"/>
          <w:sz w:val="22"/>
          <w:szCs w:val="22"/>
        </w:rPr>
        <w:t>S</w:t>
      </w:r>
      <w:r>
        <w:rPr>
          <w:rFonts w:ascii="Arial" w:hAnsi="Arial" w:cs="Arial"/>
          <w:sz w:val="22"/>
          <w:szCs w:val="22"/>
        </w:rPr>
        <w:t>. and</w:t>
      </w:r>
      <w:r w:rsidRPr="00963A02">
        <w:rPr>
          <w:rFonts w:ascii="Arial" w:hAnsi="Arial" w:cs="Arial"/>
          <w:sz w:val="22"/>
          <w:szCs w:val="22"/>
        </w:rPr>
        <w:t xml:space="preserve"> Kerr</w:t>
      </w:r>
      <w:r>
        <w:rPr>
          <w:rFonts w:ascii="Arial" w:hAnsi="Arial" w:cs="Arial"/>
          <w:sz w:val="22"/>
          <w:szCs w:val="22"/>
        </w:rPr>
        <w:t>,</w:t>
      </w:r>
      <w:r w:rsidRPr="00963A02">
        <w:rPr>
          <w:rFonts w:ascii="Arial" w:hAnsi="Arial" w:cs="Arial"/>
          <w:sz w:val="22"/>
          <w:szCs w:val="22"/>
        </w:rPr>
        <w:t xml:space="preserve"> J</w:t>
      </w:r>
      <w:r>
        <w:rPr>
          <w:rFonts w:ascii="Arial" w:hAnsi="Arial" w:cs="Arial"/>
          <w:sz w:val="22"/>
          <w:szCs w:val="22"/>
        </w:rPr>
        <w:t>.</w:t>
      </w:r>
      <w:r w:rsidRPr="00963A02">
        <w:rPr>
          <w:rFonts w:ascii="Arial" w:hAnsi="Arial" w:cs="Arial"/>
          <w:sz w:val="22"/>
          <w:szCs w:val="22"/>
        </w:rPr>
        <w:t>L</w:t>
      </w:r>
      <w:r>
        <w:rPr>
          <w:rFonts w:ascii="Arial" w:hAnsi="Arial" w:cs="Arial"/>
          <w:sz w:val="22"/>
          <w:szCs w:val="22"/>
        </w:rPr>
        <w:t>.</w:t>
      </w:r>
      <w:r w:rsidRPr="00963A02">
        <w:rPr>
          <w:rFonts w:ascii="Arial" w:hAnsi="Arial" w:cs="Arial"/>
          <w:sz w:val="22"/>
          <w:szCs w:val="22"/>
        </w:rPr>
        <w:t xml:space="preserve"> (2012) Drought, floods and water quality: drivers of a severe hypoxic blackwater event in a major river system (the southern Murray–Darling Basin, Australia). </w:t>
      </w:r>
      <w:r w:rsidRPr="00963A02">
        <w:rPr>
          <w:rFonts w:ascii="Arial" w:hAnsi="Arial" w:cs="Arial"/>
          <w:i/>
          <w:iCs/>
          <w:sz w:val="22"/>
          <w:szCs w:val="22"/>
        </w:rPr>
        <w:t>Journal of Hydrology</w:t>
      </w:r>
      <w:r w:rsidRPr="00963A02">
        <w:rPr>
          <w:rFonts w:ascii="Arial" w:hAnsi="Arial" w:cs="Arial"/>
          <w:sz w:val="22"/>
          <w:szCs w:val="22"/>
        </w:rPr>
        <w:t xml:space="preserve"> </w:t>
      </w:r>
      <w:r w:rsidRPr="00963A02">
        <w:rPr>
          <w:rFonts w:ascii="Arial" w:hAnsi="Arial" w:cs="Arial"/>
          <w:b/>
          <w:bCs/>
          <w:sz w:val="22"/>
          <w:szCs w:val="22"/>
        </w:rPr>
        <w:t>450</w:t>
      </w:r>
      <w:r w:rsidRPr="00963A02">
        <w:rPr>
          <w:rFonts w:ascii="Arial" w:hAnsi="Arial" w:cs="Arial"/>
          <w:sz w:val="22"/>
          <w:szCs w:val="22"/>
        </w:rPr>
        <w:t>, 190–198</w:t>
      </w:r>
      <w:r>
        <w:rPr>
          <w:rFonts w:ascii="Arial" w:hAnsi="Arial" w:cs="Arial"/>
          <w:sz w:val="22"/>
          <w:szCs w:val="22"/>
        </w:rPr>
        <w:t>.</w:t>
      </w:r>
    </w:p>
    <w:p w14:paraId="575FFDD2" w14:textId="7DEB9010" w:rsidR="00491210" w:rsidRPr="00E74475" w:rsidRDefault="00EE200C" w:rsidP="00E74475">
      <w:pPr>
        <w:pStyle w:val="References1"/>
        <w:ind w:left="720" w:hanging="720"/>
        <w:rPr>
          <w:rFonts w:ascii="Arial" w:hAnsi="Arial" w:cs="Arial"/>
          <w:color w:val="000000"/>
          <w:sz w:val="22"/>
          <w:szCs w:val="22"/>
          <w:lang w:eastAsia="en-AU"/>
        </w:rPr>
      </w:pPr>
      <w:r w:rsidRPr="00963A02">
        <w:rPr>
          <w:rFonts w:ascii="Arial" w:hAnsi="Arial" w:cs="Arial"/>
          <w:color w:val="000000"/>
          <w:sz w:val="22"/>
          <w:szCs w:val="22"/>
          <w:lang w:eastAsia="en-AU"/>
        </w:rPr>
        <w:t xml:space="preserve">Wootton, H., Todd, C., Koehn, J. and Stuart, I. (2022). </w:t>
      </w:r>
      <w:r w:rsidRPr="00963A02">
        <w:rPr>
          <w:rFonts w:ascii="Arial" w:hAnsi="Arial" w:cs="Arial"/>
          <w:i/>
          <w:color w:val="000000"/>
          <w:sz w:val="22"/>
          <w:szCs w:val="22"/>
          <w:lang w:eastAsia="en-AU"/>
        </w:rPr>
        <w:t xml:space="preserve">Fish Population Modelling: Report for the NSW </w:t>
      </w:r>
      <w:r w:rsidRPr="00E74475">
        <w:rPr>
          <w:rFonts w:ascii="Arial" w:hAnsi="Arial" w:cs="Arial"/>
          <w:i/>
          <w:color w:val="000000"/>
          <w:sz w:val="22"/>
          <w:szCs w:val="22"/>
          <w:lang w:eastAsia="en-AU"/>
        </w:rPr>
        <w:t>Department of Planning, Industry and Environment, Reconnecting River Country Program</w:t>
      </w:r>
      <w:r w:rsidRPr="00E74475">
        <w:rPr>
          <w:rFonts w:ascii="Arial" w:hAnsi="Arial" w:cs="Arial"/>
          <w:color w:val="000000"/>
          <w:sz w:val="22"/>
          <w:szCs w:val="22"/>
          <w:lang w:eastAsia="en-AU"/>
        </w:rPr>
        <w:t>. Arthur Rylah Institute for Environmental Research Unpublished Client Report, Department of Environment, Land, Water and Planning, Heidelberg, Victoria.</w:t>
      </w:r>
    </w:p>
    <w:p w14:paraId="5102A442" w14:textId="15DD62D6" w:rsidR="00491210" w:rsidRPr="00E74475" w:rsidRDefault="00EE200C" w:rsidP="00E74475">
      <w:pPr>
        <w:ind w:left="720" w:hanging="720"/>
        <w:rPr>
          <w:sz w:val="22"/>
          <w:szCs w:val="22"/>
        </w:rPr>
      </w:pPr>
      <w:r w:rsidRPr="00E74475">
        <w:rPr>
          <w:sz w:val="22"/>
          <w:szCs w:val="22"/>
        </w:rPr>
        <w:t>Wright</w:t>
      </w:r>
      <w:r>
        <w:rPr>
          <w:sz w:val="22"/>
          <w:szCs w:val="22"/>
        </w:rPr>
        <w:t>,</w:t>
      </w:r>
      <w:r w:rsidRPr="00E74475">
        <w:rPr>
          <w:sz w:val="22"/>
          <w:szCs w:val="22"/>
        </w:rPr>
        <w:t xml:space="preserve"> D</w:t>
      </w:r>
      <w:r>
        <w:rPr>
          <w:sz w:val="22"/>
          <w:szCs w:val="22"/>
        </w:rPr>
        <w:t>.</w:t>
      </w:r>
      <w:r w:rsidRPr="00E74475">
        <w:rPr>
          <w:sz w:val="22"/>
          <w:szCs w:val="22"/>
        </w:rPr>
        <w:t>W</w:t>
      </w:r>
      <w:r>
        <w:rPr>
          <w:sz w:val="22"/>
          <w:szCs w:val="22"/>
        </w:rPr>
        <w:t>.</w:t>
      </w:r>
      <w:r w:rsidRPr="00E74475">
        <w:rPr>
          <w:sz w:val="22"/>
          <w:szCs w:val="22"/>
        </w:rPr>
        <w:t>, Zampatti</w:t>
      </w:r>
      <w:r>
        <w:rPr>
          <w:sz w:val="22"/>
          <w:szCs w:val="22"/>
        </w:rPr>
        <w:t>,</w:t>
      </w:r>
      <w:r w:rsidRPr="00E74475">
        <w:rPr>
          <w:sz w:val="22"/>
          <w:szCs w:val="22"/>
        </w:rPr>
        <w:t xml:space="preserve"> B</w:t>
      </w:r>
      <w:r>
        <w:rPr>
          <w:sz w:val="22"/>
          <w:szCs w:val="22"/>
        </w:rPr>
        <w:t>.</w:t>
      </w:r>
      <w:r w:rsidRPr="00E74475">
        <w:rPr>
          <w:sz w:val="22"/>
          <w:szCs w:val="22"/>
        </w:rPr>
        <w:t>P</w:t>
      </w:r>
      <w:r>
        <w:rPr>
          <w:sz w:val="22"/>
          <w:szCs w:val="22"/>
        </w:rPr>
        <w:t>.</w:t>
      </w:r>
      <w:r w:rsidRPr="00E74475">
        <w:rPr>
          <w:sz w:val="22"/>
          <w:szCs w:val="22"/>
        </w:rPr>
        <w:t>, Baumgartner</w:t>
      </w:r>
      <w:r>
        <w:rPr>
          <w:sz w:val="22"/>
          <w:szCs w:val="22"/>
        </w:rPr>
        <w:t>,</w:t>
      </w:r>
      <w:r w:rsidRPr="00E74475">
        <w:rPr>
          <w:sz w:val="22"/>
          <w:szCs w:val="22"/>
        </w:rPr>
        <w:t xml:space="preserve"> L</w:t>
      </w:r>
      <w:r>
        <w:rPr>
          <w:sz w:val="22"/>
          <w:szCs w:val="22"/>
        </w:rPr>
        <w:t>.</w:t>
      </w:r>
      <w:r w:rsidRPr="00E74475">
        <w:rPr>
          <w:sz w:val="22"/>
          <w:szCs w:val="22"/>
        </w:rPr>
        <w:t>J</w:t>
      </w:r>
      <w:r>
        <w:rPr>
          <w:sz w:val="22"/>
          <w:szCs w:val="22"/>
        </w:rPr>
        <w:t>.</w:t>
      </w:r>
      <w:r w:rsidRPr="00E74475">
        <w:rPr>
          <w:sz w:val="22"/>
          <w:szCs w:val="22"/>
        </w:rPr>
        <w:t>, Brooks</w:t>
      </w:r>
      <w:r>
        <w:rPr>
          <w:sz w:val="22"/>
          <w:szCs w:val="22"/>
        </w:rPr>
        <w:t>,</w:t>
      </w:r>
      <w:r w:rsidRPr="00E74475">
        <w:rPr>
          <w:sz w:val="22"/>
          <w:szCs w:val="22"/>
        </w:rPr>
        <w:t xml:space="preserve"> S</w:t>
      </w:r>
      <w:r>
        <w:rPr>
          <w:sz w:val="22"/>
          <w:szCs w:val="22"/>
        </w:rPr>
        <w:t>.</w:t>
      </w:r>
      <w:r w:rsidRPr="00E74475">
        <w:rPr>
          <w:sz w:val="22"/>
          <w:szCs w:val="22"/>
        </w:rPr>
        <w:t>, Butler</w:t>
      </w:r>
      <w:r>
        <w:rPr>
          <w:sz w:val="22"/>
          <w:szCs w:val="22"/>
        </w:rPr>
        <w:t>,</w:t>
      </w:r>
      <w:r w:rsidRPr="00E74475">
        <w:rPr>
          <w:sz w:val="22"/>
          <w:szCs w:val="22"/>
        </w:rPr>
        <w:t xml:space="preserve"> G</w:t>
      </w:r>
      <w:r>
        <w:rPr>
          <w:sz w:val="22"/>
          <w:szCs w:val="22"/>
        </w:rPr>
        <w:t>.</w:t>
      </w:r>
      <w:r w:rsidRPr="00E74475">
        <w:rPr>
          <w:sz w:val="22"/>
          <w:szCs w:val="22"/>
        </w:rPr>
        <w:t>L</w:t>
      </w:r>
      <w:r>
        <w:rPr>
          <w:sz w:val="22"/>
          <w:szCs w:val="22"/>
        </w:rPr>
        <w:t>.</w:t>
      </w:r>
      <w:r w:rsidRPr="00E74475">
        <w:rPr>
          <w:sz w:val="22"/>
          <w:szCs w:val="22"/>
        </w:rPr>
        <w:t>, Crook</w:t>
      </w:r>
      <w:r>
        <w:rPr>
          <w:sz w:val="22"/>
          <w:szCs w:val="22"/>
        </w:rPr>
        <w:t>,</w:t>
      </w:r>
      <w:r w:rsidRPr="00E74475">
        <w:rPr>
          <w:sz w:val="22"/>
          <w:szCs w:val="22"/>
        </w:rPr>
        <w:t xml:space="preserve"> D</w:t>
      </w:r>
      <w:r>
        <w:rPr>
          <w:sz w:val="22"/>
          <w:szCs w:val="22"/>
        </w:rPr>
        <w:t>.</w:t>
      </w:r>
      <w:r w:rsidRPr="00E74475">
        <w:rPr>
          <w:sz w:val="22"/>
          <w:szCs w:val="22"/>
        </w:rPr>
        <w:t>A</w:t>
      </w:r>
      <w:r>
        <w:rPr>
          <w:sz w:val="22"/>
          <w:szCs w:val="22"/>
        </w:rPr>
        <w:t>.</w:t>
      </w:r>
      <w:r w:rsidRPr="00E74475">
        <w:rPr>
          <w:sz w:val="22"/>
          <w:szCs w:val="22"/>
        </w:rPr>
        <w:t>, Fanson</w:t>
      </w:r>
      <w:r>
        <w:rPr>
          <w:sz w:val="22"/>
          <w:szCs w:val="22"/>
        </w:rPr>
        <w:t>,</w:t>
      </w:r>
      <w:r w:rsidRPr="00E74475">
        <w:rPr>
          <w:sz w:val="22"/>
          <w:szCs w:val="22"/>
        </w:rPr>
        <w:t xml:space="preserve"> B</w:t>
      </w:r>
      <w:r>
        <w:rPr>
          <w:sz w:val="22"/>
          <w:szCs w:val="22"/>
        </w:rPr>
        <w:t>.</w:t>
      </w:r>
      <w:r w:rsidRPr="00E74475">
        <w:rPr>
          <w:sz w:val="22"/>
          <w:szCs w:val="22"/>
        </w:rPr>
        <w:t>G</w:t>
      </w:r>
      <w:r>
        <w:rPr>
          <w:sz w:val="22"/>
          <w:szCs w:val="22"/>
        </w:rPr>
        <w:t>.</w:t>
      </w:r>
      <w:r w:rsidRPr="00E74475">
        <w:rPr>
          <w:sz w:val="22"/>
          <w:szCs w:val="22"/>
        </w:rPr>
        <w:t>, Koster</w:t>
      </w:r>
      <w:r>
        <w:rPr>
          <w:sz w:val="22"/>
          <w:szCs w:val="22"/>
        </w:rPr>
        <w:t>,</w:t>
      </w:r>
      <w:r w:rsidRPr="00E74475">
        <w:rPr>
          <w:sz w:val="22"/>
          <w:szCs w:val="22"/>
        </w:rPr>
        <w:t xml:space="preserve"> W</w:t>
      </w:r>
      <w:r>
        <w:rPr>
          <w:sz w:val="22"/>
          <w:szCs w:val="22"/>
        </w:rPr>
        <w:t>.</w:t>
      </w:r>
      <w:r w:rsidRPr="00E74475">
        <w:rPr>
          <w:sz w:val="22"/>
          <w:szCs w:val="22"/>
        </w:rPr>
        <w:t>, Lyon</w:t>
      </w:r>
      <w:r>
        <w:rPr>
          <w:sz w:val="22"/>
          <w:szCs w:val="22"/>
        </w:rPr>
        <w:t>,</w:t>
      </w:r>
      <w:r w:rsidRPr="00E74475">
        <w:rPr>
          <w:sz w:val="22"/>
          <w:szCs w:val="22"/>
        </w:rPr>
        <w:t xml:space="preserve"> J</w:t>
      </w:r>
      <w:r>
        <w:rPr>
          <w:sz w:val="22"/>
          <w:szCs w:val="22"/>
        </w:rPr>
        <w:t>.</w:t>
      </w:r>
      <w:r w:rsidRPr="00E74475">
        <w:rPr>
          <w:sz w:val="22"/>
          <w:szCs w:val="22"/>
        </w:rPr>
        <w:t>, Strawbridge</w:t>
      </w:r>
      <w:r>
        <w:rPr>
          <w:sz w:val="22"/>
          <w:szCs w:val="22"/>
        </w:rPr>
        <w:t>,</w:t>
      </w:r>
      <w:r w:rsidRPr="00E74475">
        <w:rPr>
          <w:sz w:val="22"/>
          <w:szCs w:val="22"/>
        </w:rPr>
        <w:t xml:space="preserve"> A</w:t>
      </w:r>
      <w:r>
        <w:rPr>
          <w:sz w:val="22"/>
          <w:szCs w:val="22"/>
        </w:rPr>
        <w:t>.</w:t>
      </w:r>
      <w:r w:rsidRPr="00E74475">
        <w:rPr>
          <w:sz w:val="22"/>
          <w:szCs w:val="22"/>
        </w:rPr>
        <w:t xml:space="preserve">, </w:t>
      </w:r>
      <w:r>
        <w:rPr>
          <w:sz w:val="22"/>
          <w:szCs w:val="22"/>
        </w:rPr>
        <w:t>et al.</w:t>
      </w:r>
      <w:r w:rsidRPr="00E74475">
        <w:rPr>
          <w:sz w:val="22"/>
          <w:szCs w:val="22"/>
        </w:rPr>
        <w:t xml:space="preserve"> (2020). Size, growth and mortality of riverine Golden Perch (</w:t>
      </w:r>
      <w:r w:rsidRPr="00E74475">
        <w:rPr>
          <w:i/>
          <w:iCs/>
          <w:sz w:val="22"/>
          <w:szCs w:val="22"/>
        </w:rPr>
        <w:t>Macquaria ambigua</w:t>
      </w:r>
      <w:r w:rsidRPr="00E74475">
        <w:rPr>
          <w:sz w:val="22"/>
          <w:szCs w:val="22"/>
        </w:rPr>
        <w:t xml:space="preserve">) across a latitudinal gradient. </w:t>
      </w:r>
      <w:r w:rsidRPr="00E74475">
        <w:rPr>
          <w:i/>
          <w:iCs/>
          <w:sz w:val="22"/>
          <w:szCs w:val="22"/>
        </w:rPr>
        <w:t>Marine and Freshwater Research</w:t>
      </w:r>
      <w:r w:rsidRPr="00E74475">
        <w:rPr>
          <w:sz w:val="22"/>
          <w:szCs w:val="22"/>
        </w:rPr>
        <w:t xml:space="preserve"> </w:t>
      </w:r>
      <w:r w:rsidRPr="00E74475">
        <w:rPr>
          <w:b/>
          <w:bCs/>
          <w:sz w:val="22"/>
          <w:szCs w:val="22"/>
        </w:rPr>
        <w:t>71</w:t>
      </w:r>
      <w:r w:rsidRPr="00E74475">
        <w:rPr>
          <w:sz w:val="22"/>
          <w:szCs w:val="22"/>
        </w:rPr>
        <w:t>, 1651–1661.</w:t>
      </w:r>
    </w:p>
    <w:p w14:paraId="272E4FCC" w14:textId="3B6E54E1" w:rsidR="00491210" w:rsidRPr="00087BF8" w:rsidRDefault="00EE200C" w:rsidP="00E74475">
      <w:pPr>
        <w:pStyle w:val="References1"/>
        <w:ind w:left="720" w:hanging="720"/>
        <w:rPr>
          <w:rFonts w:ascii="Arial" w:hAnsi="Arial" w:cs="Arial"/>
          <w:sz w:val="22"/>
          <w:szCs w:val="22"/>
          <w:lang w:eastAsia="en-AU"/>
        </w:rPr>
      </w:pPr>
      <w:r w:rsidRPr="00E74475">
        <w:rPr>
          <w:rFonts w:ascii="Arial" w:hAnsi="Arial" w:cs="Arial"/>
          <w:color w:val="000000"/>
          <w:sz w:val="22"/>
          <w:szCs w:val="22"/>
          <w:lang w:eastAsia="en-AU"/>
        </w:rPr>
        <w:t>Zampatti, B.P., Fanson, B.G., Baumgartner, L.J., Butler, G.L., Brooks, S.G., Crook, D.A., Doyle, K., King, A.J., Koster, W.M., Maas, R. and Sadekov, A. (2021). Population demographi of golden perch (</w:t>
      </w:r>
      <w:r w:rsidRPr="00E74475">
        <w:rPr>
          <w:rFonts w:ascii="Arial" w:hAnsi="Arial" w:cs="Arial"/>
          <w:i/>
          <w:iCs/>
          <w:color w:val="000000"/>
          <w:sz w:val="22"/>
          <w:szCs w:val="22"/>
          <w:lang w:eastAsia="en-AU"/>
        </w:rPr>
        <w:t>Macquaria</w:t>
      </w:r>
      <w:r w:rsidRPr="00087BF8">
        <w:rPr>
          <w:rFonts w:ascii="Arial" w:hAnsi="Arial" w:cs="Arial"/>
          <w:i/>
          <w:iCs/>
          <w:color w:val="000000"/>
          <w:sz w:val="22"/>
          <w:szCs w:val="22"/>
          <w:lang w:eastAsia="en-AU"/>
        </w:rPr>
        <w:t xml:space="preserve"> ambigua</w:t>
      </w:r>
      <w:r w:rsidRPr="00087BF8">
        <w:rPr>
          <w:rFonts w:ascii="Arial" w:hAnsi="Arial" w:cs="Arial"/>
          <w:color w:val="000000"/>
          <w:sz w:val="22"/>
          <w:szCs w:val="22"/>
          <w:lang w:eastAsia="en-AU"/>
        </w:rPr>
        <w:t xml:space="preserve">) in the Darling River prior to a major fish kill: a guide for rehabilitation. </w:t>
      </w:r>
      <w:r w:rsidRPr="00087BF8">
        <w:rPr>
          <w:rFonts w:ascii="Arial" w:hAnsi="Arial" w:cs="Arial"/>
          <w:i/>
          <w:iCs/>
          <w:color w:val="000000"/>
          <w:sz w:val="22"/>
          <w:szCs w:val="22"/>
          <w:lang w:eastAsia="en-AU"/>
        </w:rPr>
        <w:t>Marine and Freshwater Research</w:t>
      </w:r>
      <w:r w:rsidRPr="00087BF8">
        <w:rPr>
          <w:rFonts w:ascii="Arial" w:hAnsi="Arial" w:cs="Arial"/>
          <w:color w:val="000000"/>
          <w:sz w:val="22"/>
          <w:szCs w:val="22"/>
          <w:lang w:eastAsia="en-AU"/>
        </w:rPr>
        <w:t>.</w:t>
      </w:r>
    </w:p>
    <w:p w14:paraId="18994B04" w14:textId="12BB1548" w:rsidR="00491210" w:rsidRPr="00087BF8" w:rsidDel="00004B87" w:rsidRDefault="00EE200C" w:rsidP="003472C9">
      <w:pPr>
        <w:pStyle w:val="References1"/>
        <w:rPr>
          <w:rFonts w:ascii="Arial" w:hAnsi="Arial" w:cs="Arial"/>
          <w:sz w:val="22"/>
          <w:szCs w:val="22"/>
          <w:lang w:eastAsia="en-AU"/>
        </w:rPr>
      </w:pPr>
      <w:r w:rsidRPr="00087BF8">
        <w:rPr>
          <w:rFonts w:ascii="Arial" w:hAnsi="Arial" w:cs="Arial"/>
          <w:color w:val="000000"/>
          <w:sz w:val="22"/>
          <w:szCs w:val="22"/>
          <w:lang w:eastAsia="en-AU"/>
        </w:rPr>
        <w:t xml:space="preserve">Zampatti, B.P., Strawbridge, A., Thiem, J., Tonkin, Z., Mass, R., Woodhead, J. and Fredberg, J. (2018). </w:t>
      </w:r>
      <w:r w:rsidRPr="006B62CD">
        <w:rPr>
          <w:rFonts w:ascii="Arial" w:hAnsi="Arial" w:cs="Arial"/>
          <w:i/>
          <w:iCs/>
          <w:color w:val="000000"/>
          <w:sz w:val="22"/>
          <w:szCs w:val="22"/>
          <w:lang w:eastAsia="en-AU"/>
        </w:rPr>
        <w:t>Golden Perch (</w:t>
      </w:r>
      <w:r w:rsidRPr="006B62CD">
        <w:rPr>
          <w:rFonts w:ascii="Arial" w:hAnsi="Arial" w:cs="Arial"/>
          <w:color w:val="000000"/>
          <w:sz w:val="22"/>
          <w:szCs w:val="22"/>
          <w:lang w:eastAsia="en-AU"/>
        </w:rPr>
        <w:t>Macquaria ambigua</w:t>
      </w:r>
      <w:r w:rsidRPr="006B62CD">
        <w:rPr>
          <w:rFonts w:ascii="Arial" w:hAnsi="Arial" w:cs="Arial"/>
          <w:i/>
          <w:iCs/>
          <w:color w:val="000000"/>
          <w:sz w:val="22"/>
          <w:szCs w:val="22"/>
          <w:lang w:eastAsia="en-AU"/>
        </w:rPr>
        <w:t>) and silver perch (</w:t>
      </w:r>
      <w:r w:rsidRPr="006B62CD">
        <w:rPr>
          <w:rFonts w:ascii="Arial" w:hAnsi="Arial" w:cs="Arial"/>
          <w:color w:val="000000"/>
          <w:sz w:val="22"/>
          <w:szCs w:val="22"/>
          <w:lang w:eastAsia="en-AU"/>
        </w:rPr>
        <w:t>Bidyanus bidyanus</w:t>
      </w:r>
      <w:r w:rsidRPr="006B62CD">
        <w:rPr>
          <w:rFonts w:ascii="Arial" w:hAnsi="Arial" w:cs="Arial"/>
          <w:i/>
          <w:iCs/>
          <w:color w:val="000000"/>
          <w:sz w:val="22"/>
          <w:szCs w:val="22"/>
          <w:lang w:eastAsia="en-AU"/>
        </w:rPr>
        <w:t>) age demographi, natal origin and migration history in the River Murray, Australia.</w:t>
      </w:r>
      <w:r w:rsidRPr="00087BF8">
        <w:rPr>
          <w:rFonts w:ascii="Arial" w:hAnsi="Arial" w:cs="Arial"/>
          <w:color w:val="000000"/>
          <w:sz w:val="22"/>
          <w:szCs w:val="22"/>
          <w:lang w:eastAsia="en-AU"/>
        </w:rPr>
        <w:t xml:space="preserve"> SARDI </w:t>
      </w:r>
      <w:r w:rsidRPr="00087BF8">
        <w:rPr>
          <w:rFonts w:ascii="Arial" w:hAnsi="Arial" w:cs="Arial"/>
          <w:color w:val="000000"/>
          <w:sz w:val="22"/>
          <w:szCs w:val="22"/>
          <w:lang w:eastAsia="en-AU"/>
        </w:rPr>
        <w:lastRenderedPageBreak/>
        <w:t>Publication No. F2018/000116-1, SARDI Research Report Series No. 993. South Australian Research and Development Institute (Aquatic Sciences), Adelaide, SA.</w:t>
      </w:r>
    </w:p>
    <w:p w14:paraId="4BDF973E" w14:textId="2E2C20F5" w:rsidR="00491210" w:rsidRPr="00087BF8" w:rsidRDefault="00EE200C" w:rsidP="003472C9">
      <w:pPr>
        <w:pStyle w:val="References1"/>
        <w:rPr>
          <w:rFonts w:ascii="Arial" w:hAnsi="Arial" w:cs="Arial"/>
          <w:color w:val="000000"/>
          <w:sz w:val="22"/>
          <w:szCs w:val="22"/>
          <w:lang w:eastAsia="en-AU"/>
        </w:rPr>
      </w:pPr>
      <w:r w:rsidRPr="00087BF8">
        <w:rPr>
          <w:rFonts w:ascii="Arial" w:hAnsi="Arial" w:cs="Arial"/>
          <w:color w:val="000000"/>
          <w:sz w:val="22"/>
          <w:szCs w:val="22"/>
          <w:lang w:eastAsia="en-AU"/>
        </w:rPr>
        <w:t xml:space="preserve">Zampatti, B.P., Fanson, B.G, Strawbridge, A., Tonkin, Z., Thiem, J., Butler, G.L., Balcombe, S., Koster, W., King, A., Crook, D., Woods, R., Brooks, S., Lyon, J., Baumgartner, L.J. and Doyle, K. (2019). Basin-scale population dynami of Golden Perch and Murray Cod: relating flow to provenance, movement and recruitment in the Murray–Darling Basin. In: Price, A., Balcombe, S., Humphries, P., King, A. and Zampatti, B. (Eds) </w:t>
      </w:r>
      <w:r w:rsidRPr="006B62CD">
        <w:rPr>
          <w:rFonts w:ascii="Arial" w:hAnsi="Arial" w:cs="Arial"/>
          <w:i/>
          <w:iCs/>
          <w:color w:val="000000"/>
          <w:sz w:val="22"/>
          <w:szCs w:val="22"/>
          <w:lang w:eastAsia="en-AU"/>
        </w:rPr>
        <w:t>Murray‒Darling Basin Environmental Water Knowledge and Research Project — Fish Theme Research Report.</w:t>
      </w:r>
      <w:r w:rsidRPr="00087BF8">
        <w:rPr>
          <w:rFonts w:ascii="Arial" w:hAnsi="Arial" w:cs="Arial"/>
          <w:color w:val="000000"/>
          <w:sz w:val="22"/>
          <w:szCs w:val="22"/>
          <w:lang w:eastAsia="en-AU"/>
        </w:rPr>
        <w:t xml:space="preserve"> Centre for Freshwater Ecology, La Trobe University, Wodonga, Victoria.</w:t>
      </w:r>
    </w:p>
    <w:p w14:paraId="644FC182" w14:textId="5D2DC0D7" w:rsidR="00491210" w:rsidRDefault="00EE200C">
      <w:pPr>
        <w:spacing w:after="0"/>
        <w:rPr>
          <w:noProof/>
          <w:color w:val="000000"/>
          <w:sz w:val="22"/>
          <w:szCs w:val="22"/>
          <w:lang w:eastAsia="en-AU"/>
        </w:rPr>
      </w:pPr>
      <w:r>
        <w:rPr>
          <w:color w:val="000000"/>
          <w:sz w:val="22"/>
          <w:szCs w:val="22"/>
          <w:lang w:eastAsia="en-AU"/>
        </w:rPr>
        <w:br w:type="page"/>
      </w:r>
    </w:p>
    <w:p w14:paraId="52D6074D" w14:textId="517C609A" w:rsidR="00491210" w:rsidRPr="005D2BF3" w:rsidRDefault="00EE200C" w:rsidP="005D2BF3">
      <w:pPr>
        <w:pStyle w:val="Heading1-Numbered"/>
      </w:pPr>
      <w:bookmarkStart w:id="226" w:name="_Toc110837329"/>
      <w:bookmarkStart w:id="227" w:name="_Toc110837330"/>
      <w:bookmarkStart w:id="228" w:name="_Toc110837331"/>
      <w:bookmarkStart w:id="229" w:name="_Toc110837332"/>
      <w:bookmarkStart w:id="230" w:name="_Toc110837333"/>
      <w:bookmarkStart w:id="231" w:name="_Toc110837334"/>
      <w:bookmarkStart w:id="232" w:name="_Toc110837335"/>
      <w:bookmarkStart w:id="233" w:name="_Toc110837336"/>
      <w:bookmarkStart w:id="234" w:name="_Toc110837337"/>
      <w:bookmarkStart w:id="235" w:name="_Toc110837338"/>
      <w:bookmarkStart w:id="236" w:name="_Toc110837339"/>
      <w:bookmarkStart w:id="237" w:name="_Toc110837340"/>
      <w:bookmarkStart w:id="238" w:name="_Toc110837341"/>
      <w:bookmarkStart w:id="239" w:name="_Toc110837342"/>
      <w:bookmarkStart w:id="240" w:name="_Toc110837343"/>
      <w:bookmarkStart w:id="241" w:name="_Toc110837344"/>
      <w:bookmarkStart w:id="242" w:name="_Toc110837345"/>
      <w:bookmarkStart w:id="243" w:name="_Toc110837346"/>
      <w:bookmarkStart w:id="244" w:name="_Toc110837347"/>
      <w:bookmarkStart w:id="245" w:name="_Toc110837348"/>
      <w:bookmarkStart w:id="246" w:name="_Toc110837349"/>
      <w:bookmarkStart w:id="247" w:name="_Toc110837350"/>
      <w:bookmarkStart w:id="248" w:name="_Toc110837351"/>
      <w:bookmarkStart w:id="249" w:name="_Toc110837352"/>
      <w:bookmarkStart w:id="250" w:name="_Toc110837353"/>
      <w:bookmarkStart w:id="251" w:name="_Toc110837354"/>
      <w:bookmarkStart w:id="252" w:name="_Toc110837355"/>
      <w:bookmarkStart w:id="253" w:name="_Toc110837356"/>
      <w:bookmarkStart w:id="254" w:name="_Toc110837357"/>
      <w:bookmarkStart w:id="255" w:name="_Toc110837358"/>
      <w:bookmarkStart w:id="256" w:name="_Toc110837359"/>
      <w:bookmarkStart w:id="257" w:name="_Toc110837360"/>
      <w:bookmarkStart w:id="258" w:name="_Toc110837361"/>
      <w:bookmarkStart w:id="259" w:name="_Toc110837362"/>
      <w:bookmarkStart w:id="260" w:name="_Toc110837363"/>
      <w:bookmarkStart w:id="261" w:name="_Toc110837364"/>
      <w:bookmarkStart w:id="262" w:name="_Toc110837365"/>
      <w:bookmarkStart w:id="263" w:name="_Toc110837366"/>
      <w:bookmarkStart w:id="264" w:name="_Toc110837367"/>
      <w:bookmarkStart w:id="265" w:name="_Toc110837368"/>
      <w:bookmarkStart w:id="266" w:name="_Toc110837369"/>
      <w:bookmarkStart w:id="267" w:name="_Toc110837370"/>
      <w:bookmarkStart w:id="268" w:name="_Toc110837371"/>
      <w:bookmarkStart w:id="269" w:name="_Toc110837372"/>
      <w:bookmarkStart w:id="270" w:name="_Toc110837373"/>
      <w:bookmarkStart w:id="271" w:name="_Toc110837374"/>
      <w:bookmarkStart w:id="272" w:name="_Toc110837375"/>
      <w:bookmarkStart w:id="273" w:name="_Toc110837376"/>
      <w:bookmarkStart w:id="274" w:name="_Toc110837377"/>
      <w:bookmarkStart w:id="275" w:name="_Toc110837378"/>
      <w:bookmarkStart w:id="276" w:name="_Toc110837379"/>
      <w:bookmarkStart w:id="277" w:name="_Toc110837380"/>
      <w:bookmarkStart w:id="278" w:name="_Toc110837381"/>
      <w:bookmarkStart w:id="279" w:name="_Toc110837382"/>
      <w:bookmarkStart w:id="280" w:name="_Toc110837383"/>
      <w:bookmarkStart w:id="281" w:name="_Toc110837384"/>
      <w:bookmarkStart w:id="282" w:name="_Toc110837385"/>
      <w:bookmarkStart w:id="283" w:name="_Toc110837386"/>
      <w:bookmarkStart w:id="284" w:name="_Toc110837387"/>
      <w:bookmarkStart w:id="285" w:name="_Toc110837388"/>
      <w:bookmarkStart w:id="286" w:name="_Toc110837389"/>
      <w:bookmarkStart w:id="287" w:name="_Toc110837390"/>
      <w:bookmarkStart w:id="288" w:name="_Toc110837391"/>
      <w:bookmarkStart w:id="289" w:name="_Toc110837392"/>
      <w:bookmarkStart w:id="290" w:name="_Toc110837393"/>
      <w:bookmarkStart w:id="291" w:name="_Toc110837394"/>
      <w:bookmarkStart w:id="292" w:name="_Toc110837395"/>
      <w:bookmarkStart w:id="293" w:name="_Toc110837396"/>
      <w:bookmarkStart w:id="294" w:name="_Toc110837397"/>
      <w:bookmarkStart w:id="295" w:name="_Toc110837398"/>
      <w:bookmarkStart w:id="296" w:name="_Toc110837399"/>
      <w:bookmarkStart w:id="297" w:name="_Toc110837400"/>
      <w:bookmarkStart w:id="298" w:name="_Toc110837401"/>
      <w:bookmarkStart w:id="299" w:name="_Toc110837402"/>
      <w:bookmarkStart w:id="300" w:name="_Toc110837403"/>
      <w:bookmarkStart w:id="301" w:name="_Toc110837404"/>
      <w:bookmarkStart w:id="302" w:name="_Toc110837405"/>
      <w:bookmarkStart w:id="303" w:name="_Toc110837406"/>
      <w:bookmarkStart w:id="304" w:name="_Toc110837407"/>
      <w:bookmarkStart w:id="305" w:name="_Toc110837408"/>
      <w:bookmarkStart w:id="306" w:name="_Toc110837409"/>
      <w:bookmarkStart w:id="307" w:name="_Toc110837410"/>
      <w:bookmarkStart w:id="308" w:name="_Toc110837411"/>
      <w:bookmarkStart w:id="309" w:name="_Toc110837412"/>
      <w:bookmarkStart w:id="310" w:name="_Toc110837413"/>
      <w:bookmarkStart w:id="311" w:name="_Toc110837414"/>
      <w:bookmarkStart w:id="312" w:name="_Toc110837415"/>
      <w:bookmarkStart w:id="313" w:name="_Toc110837416"/>
      <w:bookmarkStart w:id="314" w:name="_Toc110837417"/>
      <w:bookmarkStart w:id="315" w:name="_Toc110837418"/>
      <w:bookmarkStart w:id="316" w:name="_Toc110837419"/>
      <w:bookmarkStart w:id="317" w:name="_Toc110837420"/>
      <w:bookmarkStart w:id="318" w:name="_Toc110837421"/>
      <w:bookmarkStart w:id="319" w:name="_Toc110837422"/>
      <w:bookmarkStart w:id="320" w:name="_Toc110837423"/>
      <w:bookmarkStart w:id="321" w:name="_Toc110837424"/>
      <w:bookmarkStart w:id="322" w:name="_Toc110837425"/>
      <w:bookmarkStart w:id="323" w:name="_Toc110837426"/>
      <w:bookmarkStart w:id="324" w:name="_Toc110837427"/>
      <w:bookmarkStart w:id="325" w:name="_Toc110837428"/>
      <w:bookmarkStart w:id="326" w:name="_Toc110837429"/>
      <w:bookmarkStart w:id="327" w:name="_Toc110837430"/>
      <w:bookmarkStart w:id="328" w:name="_Toc110837431"/>
      <w:bookmarkStart w:id="329" w:name="_Toc110837432"/>
      <w:bookmarkStart w:id="330" w:name="_Toc110837433"/>
      <w:bookmarkStart w:id="331" w:name="_Toc110837434"/>
      <w:bookmarkStart w:id="332" w:name="_Toc110837435"/>
      <w:bookmarkStart w:id="333" w:name="_Toc110837436"/>
      <w:bookmarkStart w:id="334" w:name="_Toc110837437"/>
      <w:bookmarkStart w:id="335" w:name="_Toc110837438"/>
      <w:bookmarkStart w:id="336" w:name="_Toc110837439"/>
      <w:bookmarkStart w:id="337" w:name="_Toc110837440"/>
      <w:bookmarkStart w:id="338" w:name="_Toc110837441"/>
      <w:bookmarkStart w:id="339" w:name="_Toc110837442"/>
      <w:bookmarkStart w:id="340" w:name="_Toc110837443"/>
      <w:bookmarkStart w:id="341" w:name="_Toc110837444"/>
      <w:bookmarkStart w:id="342" w:name="_Toc110837445"/>
      <w:bookmarkStart w:id="343" w:name="_Toc110837446"/>
      <w:bookmarkStart w:id="344" w:name="_Toc110837447"/>
      <w:bookmarkStart w:id="345" w:name="_Toc110837448"/>
      <w:bookmarkStart w:id="346" w:name="_Toc110837449"/>
      <w:bookmarkStart w:id="347" w:name="_Toc110837450"/>
      <w:bookmarkStart w:id="348" w:name="_Toc110837451"/>
      <w:bookmarkStart w:id="349" w:name="_Toc110837452"/>
      <w:bookmarkStart w:id="350" w:name="_Toc110837453"/>
      <w:bookmarkStart w:id="351" w:name="_Toc110837454"/>
      <w:bookmarkStart w:id="352" w:name="_Toc110837455"/>
      <w:bookmarkStart w:id="353" w:name="_Toc110837456"/>
      <w:bookmarkStart w:id="354" w:name="_Toc110837457"/>
      <w:bookmarkStart w:id="355" w:name="_Toc110837458"/>
      <w:bookmarkStart w:id="356" w:name="_Toc110837459"/>
      <w:bookmarkStart w:id="357" w:name="_Toc110837460"/>
      <w:bookmarkStart w:id="358" w:name="_Toc110837461"/>
      <w:bookmarkStart w:id="359" w:name="_Toc110837462"/>
      <w:bookmarkStart w:id="360" w:name="_Toc90388574"/>
      <w:bookmarkStart w:id="361" w:name="_Toc116994912"/>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sidRPr="002A3633">
        <w:lastRenderedPageBreak/>
        <w:t>Appendices</w:t>
      </w:r>
      <w:bookmarkEnd w:id="360"/>
      <w:bookmarkEnd w:id="361"/>
    </w:p>
    <w:p w14:paraId="096E28CD" w14:textId="08E887B0" w:rsidR="00491210" w:rsidRPr="007C54A1" w:rsidRDefault="00EE200C" w:rsidP="00825899">
      <w:pPr>
        <w:pStyle w:val="Heading2"/>
        <w:rPr>
          <w:rFonts w:ascii="Times New Roman" w:hAnsi="Times New Roman" w:cs="Times New Roman"/>
          <w:sz w:val="24"/>
          <w:lang w:eastAsia="en-AU"/>
        </w:rPr>
      </w:pPr>
      <w:bookmarkStart w:id="362" w:name="_Toc116994913"/>
      <w:r w:rsidRPr="358D0A8B">
        <w:rPr>
          <w:lang w:eastAsia="en-AU"/>
        </w:rPr>
        <w:t>Appendix 1.</w:t>
      </w:r>
      <w:r>
        <w:rPr>
          <w:lang w:eastAsia="en-AU"/>
        </w:rPr>
        <w:t xml:space="preserve"> ARI Project Team</w:t>
      </w:r>
      <w:bookmarkEnd w:id="362"/>
    </w:p>
    <w:p w14:paraId="621FE45D" w14:textId="042E9D5D" w:rsidR="00491210" w:rsidRPr="007C54A1" w:rsidRDefault="00EE200C" w:rsidP="002B591F">
      <w:pPr>
        <w:spacing w:before="240" w:after="240"/>
        <w:rPr>
          <w:rFonts w:ascii="Times New Roman" w:hAnsi="Times New Roman" w:cs="Times New Roman"/>
          <w:sz w:val="24"/>
          <w:lang w:eastAsia="en-AU"/>
        </w:rPr>
      </w:pPr>
      <w:r w:rsidRPr="007C54A1">
        <w:rPr>
          <w:color w:val="000000"/>
          <w:sz w:val="22"/>
          <w:szCs w:val="22"/>
          <w:lang w:eastAsia="en-AU"/>
        </w:rPr>
        <w:t>Key ARI personnel and their roles in this project are:</w:t>
      </w:r>
    </w:p>
    <w:p w14:paraId="7C889DD8" w14:textId="685870B8" w:rsidR="00491210" w:rsidRPr="00E2785E" w:rsidRDefault="00EE200C" w:rsidP="00F17A70">
      <w:pPr>
        <w:pStyle w:val="ListParagraph"/>
        <w:numPr>
          <w:ilvl w:val="0"/>
          <w:numId w:val="48"/>
        </w:numPr>
        <w:spacing w:before="240" w:after="240"/>
        <w:rPr>
          <w:sz w:val="24"/>
        </w:rPr>
      </w:pPr>
      <w:r w:rsidRPr="00F17A70">
        <w:rPr>
          <w:rFonts w:ascii="Arial" w:hAnsi="Arial"/>
          <w:color w:val="000000"/>
          <w:sz w:val="22"/>
          <w:szCs w:val="22"/>
        </w:rPr>
        <w:t xml:space="preserve">Dr Ivor Stuart, Program </w:t>
      </w:r>
      <w:r>
        <w:rPr>
          <w:rFonts w:ascii="Arial" w:hAnsi="Arial"/>
          <w:color w:val="000000"/>
          <w:sz w:val="22"/>
          <w:szCs w:val="22"/>
        </w:rPr>
        <w:t>L</w:t>
      </w:r>
      <w:r w:rsidRPr="00F17A70">
        <w:rPr>
          <w:rFonts w:ascii="Arial" w:hAnsi="Arial"/>
          <w:color w:val="000000"/>
          <w:sz w:val="22"/>
          <w:szCs w:val="22"/>
        </w:rPr>
        <w:t xml:space="preserve">eader and </w:t>
      </w:r>
      <w:r>
        <w:rPr>
          <w:rFonts w:ascii="Arial" w:hAnsi="Arial"/>
          <w:color w:val="000000"/>
          <w:sz w:val="22"/>
          <w:szCs w:val="22"/>
        </w:rPr>
        <w:t>C</w:t>
      </w:r>
      <w:r w:rsidRPr="00F17A70">
        <w:rPr>
          <w:rFonts w:ascii="Arial" w:hAnsi="Arial"/>
          <w:color w:val="000000"/>
          <w:sz w:val="22"/>
          <w:szCs w:val="22"/>
        </w:rPr>
        <w:t xml:space="preserve">ontact </w:t>
      </w:r>
      <w:r>
        <w:rPr>
          <w:rFonts w:ascii="Arial" w:hAnsi="Arial"/>
          <w:color w:val="000000"/>
          <w:sz w:val="22"/>
          <w:szCs w:val="22"/>
        </w:rPr>
        <w:t>O</w:t>
      </w:r>
      <w:r w:rsidRPr="00F17A70">
        <w:rPr>
          <w:rFonts w:ascii="Arial" w:hAnsi="Arial"/>
          <w:color w:val="000000"/>
          <w:sz w:val="22"/>
          <w:szCs w:val="22"/>
        </w:rPr>
        <w:t>fficer</w:t>
      </w:r>
    </w:p>
    <w:p w14:paraId="2B5E48B5" w14:textId="057CECF9" w:rsidR="00491210" w:rsidRPr="00F17A70" w:rsidRDefault="00EE200C" w:rsidP="00F17A70">
      <w:pPr>
        <w:pStyle w:val="ListParagraph"/>
        <w:numPr>
          <w:ilvl w:val="0"/>
          <w:numId w:val="48"/>
        </w:numPr>
        <w:spacing w:before="240" w:after="240"/>
        <w:rPr>
          <w:color w:val="000000"/>
          <w:sz w:val="22"/>
          <w:szCs w:val="22"/>
        </w:rPr>
      </w:pPr>
      <w:r w:rsidRPr="00F17A70">
        <w:rPr>
          <w:rFonts w:ascii="Arial" w:hAnsi="Arial"/>
          <w:color w:val="000000"/>
          <w:sz w:val="22"/>
          <w:szCs w:val="22"/>
        </w:rPr>
        <w:t xml:space="preserve">Dr Charles Todd, Senior Scientist and </w:t>
      </w:r>
      <w:r>
        <w:rPr>
          <w:rFonts w:ascii="Arial" w:hAnsi="Arial"/>
          <w:color w:val="000000"/>
          <w:sz w:val="22"/>
          <w:szCs w:val="22"/>
        </w:rPr>
        <w:t>P</w:t>
      </w:r>
      <w:r w:rsidRPr="00F17A70">
        <w:rPr>
          <w:rFonts w:ascii="Arial" w:hAnsi="Arial"/>
          <w:color w:val="000000"/>
          <w:sz w:val="22"/>
          <w:szCs w:val="22"/>
        </w:rPr>
        <w:t xml:space="preserve">opulation </w:t>
      </w:r>
      <w:r>
        <w:rPr>
          <w:rFonts w:ascii="Arial" w:hAnsi="Arial"/>
          <w:color w:val="000000"/>
          <w:sz w:val="22"/>
          <w:szCs w:val="22"/>
        </w:rPr>
        <w:t>M</w:t>
      </w:r>
      <w:r w:rsidRPr="00F17A70">
        <w:rPr>
          <w:rFonts w:ascii="Arial" w:hAnsi="Arial"/>
          <w:color w:val="000000"/>
          <w:sz w:val="22"/>
          <w:szCs w:val="22"/>
        </w:rPr>
        <w:t>odeller</w:t>
      </w:r>
    </w:p>
    <w:p w14:paraId="0971990C" w14:textId="700BE1E6" w:rsidR="00491210" w:rsidRPr="00F17A70" w:rsidRDefault="00EE200C" w:rsidP="00F17A70">
      <w:pPr>
        <w:pStyle w:val="ListParagraph"/>
        <w:numPr>
          <w:ilvl w:val="0"/>
          <w:numId w:val="48"/>
        </w:numPr>
        <w:spacing w:before="240" w:after="240"/>
        <w:rPr>
          <w:color w:val="000000"/>
          <w:sz w:val="22"/>
          <w:szCs w:val="22"/>
        </w:rPr>
      </w:pPr>
      <w:r w:rsidRPr="00F17A70">
        <w:rPr>
          <w:rFonts w:ascii="Arial" w:hAnsi="Arial"/>
          <w:color w:val="000000"/>
          <w:sz w:val="22"/>
          <w:szCs w:val="22"/>
        </w:rPr>
        <w:t xml:space="preserve">Dr Henry Wootton, Scientist and </w:t>
      </w:r>
      <w:r>
        <w:rPr>
          <w:rFonts w:ascii="Arial" w:hAnsi="Arial"/>
          <w:color w:val="000000"/>
          <w:sz w:val="22"/>
          <w:szCs w:val="22"/>
        </w:rPr>
        <w:t>P</w:t>
      </w:r>
      <w:r w:rsidRPr="00F17A70">
        <w:rPr>
          <w:rFonts w:ascii="Arial" w:hAnsi="Arial"/>
          <w:color w:val="000000"/>
          <w:sz w:val="22"/>
          <w:szCs w:val="22"/>
        </w:rPr>
        <w:t xml:space="preserve">opulation </w:t>
      </w:r>
      <w:r>
        <w:rPr>
          <w:rFonts w:ascii="Arial" w:hAnsi="Arial"/>
          <w:color w:val="000000"/>
          <w:sz w:val="22"/>
          <w:szCs w:val="22"/>
        </w:rPr>
        <w:t>M</w:t>
      </w:r>
      <w:r w:rsidRPr="00F17A70">
        <w:rPr>
          <w:rFonts w:ascii="Arial" w:hAnsi="Arial"/>
          <w:color w:val="000000"/>
          <w:sz w:val="22"/>
          <w:szCs w:val="22"/>
        </w:rPr>
        <w:t>odeller</w:t>
      </w:r>
    </w:p>
    <w:p w14:paraId="3F8AEEB8" w14:textId="3C4C12EF" w:rsidR="00491210" w:rsidRPr="00F17A70" w:rsidRDefault="00EE200C" w:rsidP="00F17A70">
      <w:pPr>
        <w:pStyle w:val="ListParagraph"/>
        <w:numPr>
          <w:ilvl w:val="0"/>
          <w:numId w:val="48"/>
        </w:numPr>
        <w:spacing w:before="240" w:after="240"/>
        <w:rPr>
          <w:color w:val="000000"/>
          <w:sz w:val="22"/>
          <w:szCs w:val="22"/>
        </w:rPr>
      </w:pPr>
      <w:r w:rsidRPr="00F17A70">
        <w:rPr>
          <w:rFonts w:ascii="Arial" w:hAnsi="Arial"/>
          <w:color w:val="000000"/>
          <w:sz w:val="22"/>
          <w:szCs w:val="22"/>
        </w:rPr>
        <w:t xml:space="preserve">Dr John Koehn, Senior Scientist and </w:t>
      </w:r>
      <w:r>
        <w:rPr>
          <w:rFonts w:ascii="Arial" w:hAnsi="Arial"/>
          <w:color w:val="000000"/>
          <w:sz w:val="22"/>
          <w:szCs w:val="22"/>
        </w:rPr>
        <w:t>E</w:t>
      </w:r>
      <w:r w:rsidRPr="00F17A70">
        <w:rPr>
          <w:rFonts w:ascii="Arial" w:hAnsi="Arial"/>
          <w:color w:val="000000"/>
          <w:sz w:val="22"/>
          <w:szCs w:val="22"/>
        </w:rPr>
        <w:t>cologist</w:t>
      </w:r>
    </w:p>
    <w:p w14:paraId="36B252C2" w14:textId="556BA013" w:rsidR="00491210" w:rsidRPr="00F17A70" w:rsidRDefault="00EE200C" w:rsidP="00F17A70">
      <w:pPr>
        <w:pStyle w:val="ListParagraph"/>
        <w:numPr>
          <w:ilvl w:val="0"/>
          <w:numId w:val="48"/>
        </w:numPr>
        <w:spacing w:before="240" w:after="240"/>
        <w:rPr>
          <w:color w:val="000000"/>
          <w:sz w:val="22"/>
          <w:szCs w:val="22"/>
        </w:rPr>
      </w:pPr>
      <w:r w:rsidRPr="00F17A70">
        <w:rPr>
          <w:rFonts w:ascii="Arial" w:hAnsi="Arial"/>
          <w:color w:val="000000"/>
          <w:sz w:val="22"/>
          <w:szCs w:val="22"/>
        </w:rPr>
        <w:t xml:space="preserve">Dr Robin Hale, Senior Scientist and </w:t>
      </w:r>
      <w:r>
        <w:rPr>
          <w:rFonts w:ascii="Arial" w:hAnsi="Arial"/>
          <w:color w:val="000000"/>
          <w:sz w:val="22"/>
          <w:szCs w:val="22"/>
        </w:rPr>
        <w:t>V</w:t>
      </w:r>
      <w:r w:rsidRPr="00F17A70">
        <w:rPr>
          <w:rFonts w:ascii="Arial" w:hAnsi="Arial"/>
          <w:color w:val="000000"/>
          <w:sz w:val="22"/>
          <w:szCs w:val="22"/>
        </w:rPr>
        <w:t xml:space="preserve">alidation </w:t>
      </w:r>
      <w:r>
        <w:rPr>
          <w:rFonts w:ascii="Arial" w:hAnsi="Arial"/>
          <w:color w:val="000000"/>
          <w:sz w:val="22"/>
          <w:szCs w:val="22"/>
        </w:rPr>
        <w:t>M</w:t>
      </w:r>
      <w:r w:rsidRPr="00F17A70">
        <w:rPr>
          <w:rFonts w:ascii="Arial" w:hAnsi="Arial"/>
          <w:color w:val="000000"/>
          <w:sz w:val="22"/>
          <w:szCs w:val="22"/>
        </w:rPr>
        <w:t>odule</w:t>
      </w:r>
    </w:p>
    <w:p w14:paraId="226BDEB8" w14:textId="04A7BE58" w:rsidR="00491210" w:rsidRPr="00F17A70" w:rsidRDefault="00EE200C" w:rsidP="00F17A70">
      <w:pPr>
        <w:pStyle w:val="ListParagraph"/>
        <w:numPr>
          <w:ilvl w:val="0"/>
          <w:numId w:val="48"/>
        </w:numPr>
        <w:spacing w:before="240" w:after="240"/>
        <w:rPr>
          <w:color w:val="000000"/>
          <w:sz w:val="22"/>
          <w:szCs w:val="22"/>
        </w:rPr>
      </w:pPr>
      <w:r w:rsidRPr="00F17A70">
        <w:rPr>
          <w:rFonts w:ascii="Arial" w:hAnsi="Arial"/>
          <w:color w:val="000000"/>
          <w:sz w:val="22"/>
          <w:szCs w:val="22"/>
        </w:rPr>
        <w:t xml:space="preserve">Dr Ben Fanson, Senior Scientist and </w:t>
      </w:r>
      <w:r>
        <w:rPr>
          <w:rFonts w:ascii="Arial" w:hAnsi="Arial"/>
          <w:color w:val="000000"/>
          <w:sz w:val="22"/>
          <w:szCs w:val="22"/>
        </w:rPr>
        <w:t>B</w:t>
      </w:r>
      <w:r w:rsidRPr="00F17A70">
        <w:rPr>
          <w:rFonts w:ascii="Arial" w:hAnsi="Arial"/>
          <w:color w:val="000000"/>
          <w:sz w:val="22"/>
          <w:szCs w:val="22"/>
        </w:rPr>
        <w:t>iometrician</w:t>
      </w:r>
    </w:p>
    <w:p w14:paraId="1C5F7B64" w14:textId="64D73238" w:rsidR="00491210" w:rsidRDefault="00EE200C" w:rsidP="002B591F">
      <w:pPr>
        <w:spacing w:before="240" w:after="240"/>
        <w:rPr>
          <w:color w:val="000000"/>
          <w:sz w:val="22"/>
          <w:szCs w:val="22"/>
          <w:lang w:eastAsia="en-AU"/>
        </w:rPr>
      </w:pPr>
      <w:r w:rsidRPr="13609C11">
        <w:rPr>
          <w:color w:val="000000"/>
          <w:sz w:val="22"/>
          <w:szCs w:val="22"/>
          <w:lang w:eastAsia="en-AU"/>
        </w:rPr>
        <w:t>Additional scientific support will variously be provided by other ARI staff, including Drs Scott Raymond,</w:t>
      </w:r>
      <w:r>
        <w:rPr>
          <w:color w:val="000000"/>
          <w:sz w:val="22"/>
          <w:szCs w:val="22"/>
          <w:lang w:eastAsia="en-AU"/>
        </w:rPr>
        <w:t xml:space="preserve"> </w:t>
      </w:r>
      <w:r w:rsidRPr="13609C11">
        <w:rPr>
          <w:color w:val="000000"/>
          <w:sz w:val="22"/>
          <w:szCs w:val="22"/>
          <w:lang w:eastAsia="en-AU"/>
        </w:rPr>
        <w:t>Jarod Lyon, Zeb Tonkin and Jian Yen. The project will also be supported by a range of other B appointed staff and experts, especially Dr Jason Thiem (NNSW DPI Fisheries) and Dr Clayton Sharpe (NSW Parks and Wildlife Service).</w:t>
      </w:r>
    </w:p>
    <w:p w14:paraId="7DDD2B53" w14:textId="1D2D2A5C" w:rsidR="00491210" w:rsidRPr="00F17A70" w:rsidRDefault="00EE200C" w:rsidP="00F17A70">
      <w:pPr>
        <w:pStyle w:val="PopModProjectTeam"/>
        <w:rPr>
          <w:b w:val="0"/>
          <w:bCs w:val="0"/>
        </w:rPr>
      </w:pPr>
      <w:r w:rsidRPr="00F17A70">
        <w:t>Dr Ivor Stuart</w:t>
      </w:r>
    </w:p>
    <w:p w14:paraId="3D439668" w14:textId="1F92D721" w:rsidR="00491210" w:rsidRPr="00F17A70" w:rsidRDefault="00EE200C" w:rsidP="00F17A70">
      <w:pPr>
        <w:pStyle w:val="PopModCVheading"/>
        <w:rPr>
          <w:b w:val="0"/>
          <w:bCs w:val="0"/>
        </w:rPr>
      </w:pPr>
      <w:r w:rsidRPr="00F17A70">
        <w:t>Senior Scientist, Applied Aquatic Ecology;</w:t>
      </w:r>
      <w:r w:rsidRPr="00F17A70" w:rsidDel="00F53DC6">
        <w:t xml:space="preserve"> </w:t>
      </w:r>
      <w:r w:rsidRPr="00F17A70">
        <w:t>Population Processes Program Leader</w:t>
      </w:r>
    </w:p>
    <w:p w14:paraId="34D39F6F" w14:textId="605DF3DB" w:rsidR="00491210" w:rsidRPr="00F17A70" w:rsidRDefault="00EE200C" w:rsidP="00F17A70">
      <w:pPr>
        <w:pStyle w:val="PopModCVheading"/>
        <w:rPr>
          <w:b w:val="0"/>
          <w:bCs w:val="0"/>
        </w:rPr>
      </w:pPr>
      <w:r w:rsidRPr="00F17A70">
        <w:t>Qualifications</w:t>
      </w:r>
    </w:p>
    <w:p w14:paraId="35983A12" w14:textId="77777777" w:rsidR="00491210" w:rsidRPr="00061450" w:rsidRDefault="00EE200C" w:rsidP="00F17A70">
      <w:pPr>
        <w:spacing w:after="240"/>
        <w:rPr>
          <w:color w:val="000000"/>
          <w:sz w:val="22"/>
          <w:szCs w:val="22"/>
          <w:lang w:eastAsia="en-AU"/>
        </w:rPr>
      </w:pPr>
      <w:r w:rsidRPr="00061450">
        <w:rPr>
          <w:color w:val="000000"/>
          <w:sz w:val="22"/>
          <w:szCs w:val="22"/>
          <w:lang w:eastAsia="en-AU"/>
        </w:rPr>
        <w:t>Dip. App. Sci., Grad. Dip. App. Sci., MSc, PhD</w:t>
      </w:r>
    </w:p>
    <w:p w14:paraId="58F73398" w14:textId="77777777" w:rsidR="00491210" w:rsidRPr="00F17A70" w:rsidRDefault="00EE200C" w:rsidP="00F17A70">
      <w:pPr>
        <w:pStyle w:val="PopModCVheading"/>
        <w:rPr>
          <w:b w:val="0"/>
          <w:bCs w:val="0"/>
        </w:rPr>
      </w:pPr>
      <w:r w:rsidRPr="00F17A70">
        <w:t>Awards</w:t>
      </w:r>
    </w:p>
    <w:p w14:paraId="1E8341C3" w14:textId="77777777" w:rsidR="00491210" w:rsidRPr="00061450" w:rsidRDefault="00EE200C" w:rsidP="00BC5D96">
      <w:pPr>
        <w:spacing w:after="0"/>
        <w:rPr>
          <w:color w:val="000000"/>
          <w:sz w:val="22"/>
          <w:szCs w:val="22"/>
          <w:lang w:eastAsia="en-AU"/>
        </w:rPr>
      </w:pPr>
      <w:r w:rsidRPr="358D0A8B">
        <w:rPr>
          <w:color w:val="000000"/>
          <w:sz w:val="22"/>
          <w:szCs w:val="22"/>
          <w:lang w:eastAsia="en-AU"/>
        </w:rPr>
        <w:t>Eureka Prize (2004)</w:t>
      </w:r>
    </w:p>
    <w:p w14:paraId="2C7E8CC4" w14:textId="77777777" w:rsidR="00491210" w:rsidRPr="00061450" w:rsidRDefault="00EE200C" w:rsidP="00BC5D96">
      <w:pPr>
        <w:spacing w:after="0"/>
        <w:rPr>
          <w:color w:val="000000"/>
          <w:sz w:val="22"/>
          <w:szCs w:val="22"/>
          <w:lang w:eastAsia="en-AU"/>
        </w:rPr>
      </w:pPr>
      <w:r w:rsidRPr="358D0A8B">
        <w:rPr>
          <w:color w:val="000000"/>
          <w:sz w:val="22"/>
          <w:szCs w:val="22"/>
          <w:lang w:eastAsia="en-AU"/>
        </w:rPr>
        <w:t>David Ashton Award (2004)</w:t>
      </w:r>
    </w:p>
    <w:p w14:paraId="0DEAF427" w14:textId="77777777" w:rsidR="00491210" w:rsidRPr="00061450" w:rsidRDefault="00EE200C" w:rsidP="00BC5D96">
      <w:pPr>
        <w:spacing w:after="0"/>
        <w:rPr>
          <w:color w:val="000000"/>
          <w:sz w:val="22"/>
          <w:szCs w:val="22"/>
          <w:lang w:eastAsia="en-AU"/>
        </w:rPr>
      </w:pPr>
      <w:r w:rsidRPr="358D0A8B">
        <w:rPr>
          <w:color w:val="000000"/>
          <w:sz w:val="22"/>
          <w:szCs w:val="22"/>
          <w:lang w:eastAsia="en-AU"/>
        </w:rPr>
        <w:t>Victorian Engineering Excellence Highly Commended Award (2014)</w:t>
      </w:r>
    </w:p>
    <w:p w14:paraId="09A53172" w14:textId="77777777" w:rsidR="00491210" w:rsidRPr="00061450" w:rsidRDefault="00EE200C" w:rsidP="00BC5D96">
      <w:pPr>
        <w:spacing w:after="0"/>
        <w:rPr>
          <w:color w:val="000000"/>
          <w:sz w:val="22"/>
          <w:szCs w:val="22"/>
          <w:lang w:eastAsia="en-AU"/>
        </w:rPr>
      </w:pPr>
      <w:r w:rsidRPr="358D0A8B">
        <w:rPr>
          <w:color w:val="000000"/>
          <w:sz w:val="22"/>
          <w:szCs w:val="22"/>
          <w:lang w:eastAsia="en-AU"/>
        </w:rPr>
        <w:t>International Distinguished Project Award for Laos fishways (2015)</w:t>
      </w:r>
    </w:p>
    <w:p w14:paraId="21669B83" w14:textId="77777777" w:rsidR="00491210" w:rsidRPr="00061450" w:rsidRDefault="00EE200C" w:rsidP="00BC5D96">
      <w:pPr>
        <w:spacing w:after="0"/>
        <w:rPr>
          <w:color w:val="000000"/>
          <w:sz w:val="22"/>
          <w:szCs w:val="22"/>
          <w:lang w:eastAsia="en-AU"/>
        </w:rPr>
      </w:pPr>
      <w:r w:rsidRPr="358D0A8B">
        <w:rPr>
          <w:color w:val="000000"/>
          <w:sz w:val="22"/>
          <w:szCs w:val="22"/>
          <w:lang w:eastAsia="en-AU"/>
        </w:rPr>
        <w:t>Team member, International Distinguished</w:t>
      </w:r>
      <w:r>
        <w:rPr>
          <w:color w:val="000000"/>
          <w:sz w:val="22"/>
          <w:szCs w:val="22"/>
          <w:lang w:eastAsia="en-AU"/>
        </w:rPr>
        <w:t xml:space="preserve"> </w:t>
      </w:r>
      <w:r w:rsidRPr="358D0A8B">
        <w:rPr>
          <w:color w:val="000000"/>
          <w:sz w:val="22"/>
          <w:szCs w:val="22"/>
          <w:lang w:eastAsia="en-AU"/>
        </w:rPr>
        <w:t>Project Award (2018) for Laos fishways</w:t>
      </w:r>
    </w:p>
    <w:p w14:paraId="7868B3CC" w14:textId="77777777" w:rsidR="00491210" w:rsidRPr="00061450" w:rsidRDefault="00EE200C" w:rsidP="00BC5D96">
      <w:pPr>
        <w:spacing w:after="0"/>
        <w:rPr>
          <w:color w:val="000000"/>
          <w:sz w:val="22"/>
          <w:szCs w:val="22"/>
          <w:lang w:eastAsia="en-AU"/>
        </w:rPr>
      </w:pPr>
      <w:r w:rsidRPr="358D0A8B">
        <w:rPr>
          <w:color w:val="000000"/>
          <w:sz w:val="22"/>
          <w:szCs w:val="22"/>
          <w:lang w:eastAsia="en-AU"/>
        </w:rPr>
        <w:t>C</w:t>
      </w:r>
      <w:r>
        <w:rPr>
          <w:color w:val="000000"/>
          <w:sz w:val="22"/>
          <w:szCs w:val="22"/>
          <w:lang w:eastAsia="en-AU"/>
        </w:rPr>
        <w:t>ardinia Creek Fishways</w:t>
      </w:r>
      <w:r w:rsidRPr="358D0A8B">
        <w:rPr>
          <w:color w:val="000000"/>
          <w:sz w:val="22"/>
          <w:szCs w:val="22"/>
          <w:lang w:eastAsia="en-AU"/>
        </w:rPr>
        <w:t xml:space="preserve"> Vic</w:t>
      </w:r>
      <w:r>
        <w:rPr>
          <w:color w:val="000000"/>
          <w:sz w:val="22"/>
          <w:szCs w:val="22"/>
          <w:lang w:eastAsia="en-AU"/>
        </w:rPr>
        <w:t>toria</w:t>
      </w:r>
      <w:r w:rsidRPr="358D0A8B">
        <w:rPr>
          <w:color w:val="000000"/>
          <w:sz w:val="22"/>
          <w:szCs w:val="22"/>
          <w:lang w:eastAsia="en-AU"/>
        </w:rPr>
        <w:t xml:space="preserve"> Earth Award (2018)</w:t>
      </w:r>
    </w:p>
    <w:p w14:paraId="7EA57A99" w14:textId="48FF7311" w:rsidR="00491210" w:rsidRPr="00F17A70" w:rsidRDefault="00EE200C" w:rsidP="00F17A70">
      <w:pPr>
        <w:pStyle w:val="PopModCVheading"/>
        <w:rPr>
          <w:b w:val="0"/>
          <w:bCs w:val="0"/>
        </w:rPr>
      </w:pPr>
      <w:r w:rsidRPr="00F17A70">
        <w:t>Relevant expertise</w:t>
      </w:r>
    </w:p>
    <w:p w14:paraId="2D5D4B7A" w14:textId="6EE67C10" w:rsidR="00491210" w:rsidRPr="00617E0C" w:rsidRDefault="00EE200C" w:rsidP="00F17A70">
      <w:pPr>
        <w:pStyle w:val="ListParagraph"/>
        <w:numPr>
          <w:ilvl w:val="0"/>
          <w:numId w:val="48"/>
        </w:numPr>
        <w:spacing w:after="240"/>
        <w:ind w:left="714" w:hanging="357"/>
        <w:rPr>
          <w:color w:val="000000"/>
          <w:sz w:val="22"/>
          <w:szCs w:val="22"/>
        </w:rPr>
      </w:pPr>
      <w:r w:rsidRPr="00617E0C">
        <w:rPr>
          <w:rFonts w:ascii="Arial" w:hAnsi="Arial"/>
          <w:color w:val="000000"/>
          <w:sz w:val="22"/>
          <w:szCs w:val="22"/>
        </w:rPr>
        <w:t>Fishway design</w:t>
      </w:r>
    </w:p>
    <w:p w14:paraId="6F253F97" w14:textId="0663EF26" w:rsidR="00491210" w:rsidRPr="00617E0C" w:rsidRDefault="00EE200C" w:rsidP="00F17A70">
      <w:pPr>
        <w:pStyle w:val="ListParagraph"/>
        <w:numPr>
          <w:ilvl w:val="0"/>
          <w:numId w:val="48"/>
        </w:numPr>
        <w:spacing w:before="240" w:after="240"/>
        <w:rPr>
          <w:color w:val="000000"/>
          <w:sz w:val="22"/>
          <w:szCs w:val="22"/>
        </w:rPr>
      </w:pPr>
      <w:r w:rsidRPr="00617E0C">
        <w:rPr>
          <w:rFonts w:ascii="Arial" w:hAnsi="Arial"/>
          <w:color w:val="000000"/>
          <w:sz w:val="22"/>
          <w:szCs w:val="22"/>
        </w:rPr>
        <w:t>Fish movement</w:t>
      </w:r>
    </w:p>
    <w:p w14:paraId="03056D82" w14:textId="3EB11213" w:rsidR="00491210" w:rsidRPr="00617E0C" w:rsidRDefault="00EE200C" w:rsidP="00F17A70">
      <w:pPr>
        <w:pStyle w:val="ListParagraph"/>
        <w:numPr>
          <w:ilvl w:val="0"/>
          <w:numId w:val="48"/>
        </w:numPr>
        <w:spacing w:before="240" w:after="240"/>
        <w:rPr>
          <w:color w:val="000000"/>
          <w:sz w:val="22"/>
          <w:szCs w:val="22"/>
        </w:rPr>
      </w:pPr>
      <w:r w:rsidRPr="00617E0C">
        <w:rPr>
          <w:rFonts w:ascii="Arial" w:hAnsi="Arial"/>
          <w:color w:val="000000"/>
          <w:sz w:val="22"/>
          <w:szCs w:val="22"/>
        </w:rPr>
        <w:t>Environmental flows</w:t>
      </w:r>
    </w:p>
    <w:p w14:paraId="0246CC34" w14:textId="26AE2767" w:rsidR="00491210" w:rsidRPr="00617E0C" w:rsidRDefault="00EE200C" w:rsidP="00F17A70">
      <w:pPr>
        <w:pStyle w:val="ListParagraph"/>
        <w:numPr>
          <w:ilvl w:val="0"/>
          <w:numId w:val="48"/>
        </w:numPr>
        <w:spacing w:before="240" w:after="240"/>
        <w:rPr>
          <w:color w:val="000000"/>
          <w:sz w:val="22"/>
          <w:szCs w:val="22"/>
        </w:rPr>
      </w:pPr>
      <w:r w:rsidRPr="00617E0C">
        <w:rPr>
          <w:rFonts w:ascii="Arial" w:hAnsi="Arial"/>
          <w:color w:val="000000"/>
          <w:sz w:val="22"/>
          <w:szCs w:val="22"/>
        </w:rPr>
        <w:t>Fish population ecology</w:t>
      </w:r>
    </w:p>
    <w:p w14:paraId="71148E4D" w14:textId="05421FA4" w:rsidR="00491210" w:rsidRPr="00617E0C" w:rsidRDefault="00EE200C" w:rsidP="00F17A70">
      <w:pPr>
        <w:pStyle w:val="ListParagraph"/>
        <w:numPr>
          <w:ilvl w:val="0"/>
          <w:numId w:val="48"/>
        </w:numPr>
        <w:spacing w:before="240" w:after="240"/>
        <w:rPr>
          <w:color w:val="000000"/>
          <w:sz w:val="22"/>
          <w:szCs w:val="22"/>
        </w:rPr>
      </w:pPr>
      <w:r w:rsidRPr="00617E0C">
        <w:rPr>
          <w:rFonts w:ascii="Arial" w:hAnsi="Arial"/>
          <w:color w:val="000000"/>
          <w:sz w:val="22"/>
          <w:szCs w:val="22"/>
        </w:rPr>
        <w:t>Fisheries</w:t>
      </w:r>
    </w:p>
    <w:p w14:paraId="3CA425A4" w14:textId="423476A1" w:rsidR="00491210" w:rsidRPr="00617E0C" w:rsidRDefault="00EE200C" w:rsidP="00F17A70">
      <w:pPr>
        <w:pStyle w:val="ListParagraph"/>
        <w:numPr>
          <w:ilvl w:val="0"/>
          <w:numId w:val="48"/>
        </w:numPr>
        <w:spacing w:before="240" w:after="240"/>
        <w:rPr>
          <w:color w:val="000000"/>
          <w:sz w:val="22"/>
          <w:szCs w:val="22"/>
        </w:rPr>
      </w:pPr>
      <w:r w:rsidRPr="00617E0C">
        <w:rPr>
          <w:rFonts w:ascii="Arial" w:hAnsi="Arial"/>
          <w:color w:val="000000"/>
          <w:sz w:val="22"/>
          <w:szCs w:val="22"/>
        </w:rPr>
        <w:t>Native fish recovery and management</w:t>
      </w:r>
    </w:p>
    <w:p w14:paraId="49BE64F5" w14:textId="7EE6B13B" w:rsidR="00491210" w:rsidRPr="00617E0C" w:rsidRDefault="00EE200C" w:rsidP="00F17A70">
      <w:pPr>
        <w:pStyle w:val="ListParagraph"/>
        <w:numPr>
          <w:ilvl w:val="0"/>
          <w:numId w:val="48"/>
        </w:numPr>
        <w:spacing w:before="240" w:after="240"/>
        <w:rPr>
          <w:color w:val="000000"/>
          <w:sz w:val="22"/>
          <w:szCs w:val="22"/>
        </w:rPr>
      </w:pPr>
      <w:r w:rsidRPr="00617E0C">
        <w:rPr>
          <w:rFonts w:ascii="Arial" w:hAnsi="Arial"/>
          <w:color w:val="000000"/>
          <w:sz w:val="22"/>
          <w:szCs w:val="22"/>
        </w:rPr>
        <w:t>Invasive animal control</w:t>
      </w:r>
    </w:p>
    <w:p w14:paraId="17C0E7C0" w14:textId="3631BFBA" w:rsidR="00491210" w:rsidRPr="00F17A70" w:rsidRDefault="00EE200C" w:rsidP="00F17A70">
      <w:pPr>
        <w:pStyle w:val="PopModCVheading"/>
        <w:rPr>
          <w:b w:val="0"/>
          <w:bCs w:val="0"/>
        </w:rPr>
      </w:pPr>
      <w:r>
        <w:t>Summary of competencies</w:t>
      </w:r>
    </w:p>
    <w:p w14:paraId="557E7145" w14:textId="55348E15" w:rsidR="00491210" w:rsidRDefault="00EE200C" w:rsidP="00F17A70">
      <w:pPr>
        <w:spacing w:after="240"/>
        <w:rPr>
          <w:color w:val="000000"/>
          <w:sz w:val="22"/>
          <w:szCs w:val="22"/>
          <w:lang w:eastAsia="en-AU"/>
        </w:rPr>
      </w:pPr>
      <w:r w:rsidRPr="00C93287">
        <w:rPr>
          <w:color w:val="000000"/>
          <w:sz w:val="22"/>
          <w:szCs w:val="22"/>
          <w:lang w:eastAsia="en-AU"/>
        </w:rPr>
        <w:t>Ivor is a freshwater fisheries biologist, with 30</w:t>
      </w:r>
      <w:r>
        <w:rPr>
          <w:color w:val="000000"/>
          <w:sz w:val="22"/>
          <w:szCs w:val="22"/>
          <w:lang w:eastAsia="en-AU"/>
        </w:rPr>
        <w:t> </w:t>
      </w:r>
      <w:r w:rsidRPr="00C93287">
        <w:rPr>
          <w:color w:val="000000"/>
          <w:sz w:val="22"/>
          <w:szCs w:val="22"/>
          <w:lang w:eastAsia="en-AU"/>
        </w:rPr>
        <w:t>years industry experience in flow planning, river management</w:t>
      </w:r>
      <w:r>
        <w:rPr>
          <w:color w:val="000000"/>
          <w:sz w:val="22"/>
          <w:szCs w:val="22"/>
          <w:lang w:eastAsia="en-AU"/>
        </w:rPr>
        <w:t>,</w:t>
      </w:r>
      <w:r w:rsidRPr="00C93287">
        <w:rPr>
          <w:color w:val="000000"/>
          <w:sz w:val="22"/>
          <w:szCs w:val="22"/>
          <w:lang w:eastAsia="en-AU"/>
        </w:rPr>
        <w:t xml:space="preserve"> fish passage and fish ecology. Ivor has worked in the tropical rivers of northern Australia, the arid rivers of western Qld and NSW, and the southern temperate rivers of Victoria and NSW.</w:t>
      </w:r>
      <w:r>
        <w:rPr>
          <w:color w:val="000000"/>
          <w:sz w:val="22"/>
          <w:szCs w:val="22"/>
          <w:lang w:eastAsia="en-AU"/>
        </w:rPr>
        <w:t xml:space="preserve"> </w:t>
      </w:r>
      <w:r w:rsidRPr="00C93287">
        <w:rPr>
          <w:color w:val="000000"/>
          <w:sz w:val="22"/>
          <w:szCs w:val="22"/>
          <w:lang w:eastAsia="en-AU"/>
        </w:rPr>
        <w:t>He has also worked in south-east Asia, developing fish passage programs for enhancing fisheries.</w:t>
      </w:r>
    </w:p>
    <w:p w14:paraId="744A486A" w14:textId="3CAD2D0D" w:rsidR="00491210" w:rsidRDefault="00EE200C" w:rsidP="00C93287">
      <w:pPr>
        <w:spacing w:before="240" w:after="240"/>
        <w:rPr>
          <w:color w:val="000000"/>
          <w:sz w:val="22"/>
          <w:szCs w:val="22"/>
          <w:lang w:eastAsia="en-AU"/>
        </w:rPr>
      </w:pPr>
      <w:r w:rsidRPr="00C93287">
        <w:rPr>
          <w:color w:val="000000"/>
          <w:sz w:val="22"/>
          <w:szCs w:val="22"/>
          <w:lang w:eastAsia="en-AU"/>
        </w:rPr>
        <w:lastRenderedPageBreak/>
        <w:t>Ivor has received the Eureka Prize (2004), the David Ashton Award (2004) for applied fisheries research and the 2014 Victorian Engineering Excellence Highly Commended Award.</w:t>
      </w:r>
      <w:r>
        <w:rPr>
          <w:color w:val="000000"/>
          <w:sz w:val="22"/>
          <w:szCs w:val="22"/>
          <w:lang w:eastAsia="en-AU"/>
        </w:rPr>
        <w:t xml:space="preserve"> </w:t>
      </w:r>
      <w:r w:rsidRPr="00C93287">
        <w:rPr>
          <w:color w:val="000000"/>
          <w:sz w:val="22"/>
          <w:szCs w:val="22"/>
          <w:lang w:eastAsia="en-AU"/>
        </w:rPr>
        <w:t>In 2015, Laos PDR fishway team won the prestigious Distinguished Project Award.</w:t>
      </w:r>
      <w:r>
        <w:rPr>
          <w:color w:val="000000"/>
          <w:sz w:val="22"/>
          <w:szCs w:val="22"/>
          <w:lang w:eastAsia="en-AU"/>
        </w:rPr>
        <w:t xml:space="preserve"> </w:t>
      </w:r>
      <w:r w:rsidRPr="00C93287">
        <w:rPr>
          <w:color w:val="000000"/>
          <w:sz w:val="22"/>
          <w:szCs w:val="22"/>
          <w:lang w:eastAsia="en-AU"/>
        </w:rPr>
        <w:t xml:space="preserve">Ivor has published over 60 scientific journal articles and is on the editorial board of the international open access journal </w:t>
      </w:r>
      <w:r w:rsidRPr="00F17A70">
        <w:rPr>
          <w:i/>
          <w:color w:val="000000"/>
          <w:sz w:val="22"/>
          <w:szCs w:val="22"/>
          <w:lang w:eastAsia="en-AU"/>
        </w:rPr>
        <w:t>Water</w:t>
      </w:r>
      <w:r>
        <w:rPr>
          <w:color w:val="000000"/>
          <w:sz w:val="22"/>
          <w:szCs w:val="22"/>
          <w:lang w:eastAsia="en-AU"/>
        </w:rPr>
        <w:t xml:space="preserve">, </w:t>
      </w:r>
      <w:r w:rsidRPr="00C93287">
        <w:rPr>
          <w:color w:val="000000"/>
          <w:sz w:val="22"/>
          <w:szCs w:val="22"/>
          <w:lang w:eastAsia="en-AU"/>
        </w:rPr>
        <w:t>which specialises in the ecology and management of water resources.</w:t>
      </w:r>
    </w:p>
    <w:p w14:paraId="4AA7A9B6" w14:textId="73B639B7" w:rsidR="00491210" w:rsidRPr="00F17A70" w:rsidRDefault="00EE200C" w:rsidP="00F17A70">
      <w:pPr>
        <w:pStyle w:val="PopModCVheading"/>
      </w:pPr>
      <w:r w:rsidRPr="00F17A70">
        <w:t>Relevant experience</w:t>
      </w:r>
    </w:p>
    <w:p w14:paraId="543E1F78" w14:textId="63554668" w:rsidR="00491210" w:rsidRPr="00C93287" w:rsidRDefault="00EE200C" w:rsidP="00C93287">
      <w:pPr>
        <w:spacing w:before="240" w:after="240"/>
        <w:rPr>
          <w:color w:val="000000"/>
          <w:sz w:val="22"/>
          <w:szCs w:val="22"/>
          <w:lang w:eastAsia="en-AU"/>
        </w:rPr>
      </w:pPr>
      <w:r w:rsidRPr="00C93287">
        <w:rPr>
          <w:color w:val="000000"/>
          <w:sz w:val="22"/>
          <w:szCs w:val="22"/>
          <w:lang w:eastAsia="en-AU"/>
        </w:rPr>
        <w:t>Ivor has worked on &gt;150 fish passage projects and brings a practical and transparent approach to fishway design with a strong emphasis on integration of local hydrology and fish ecology to improve outcomes.</w:t>
      </w:r>
      <w:r>
        <w:rPr>
          <w:color w:val="000000"/>
          <w:sz w:val="22"/>
          <w:szCs w:val="22"/>
          <w:lang w:eastAsia="en-AU"/>
        </w:rPr>
        <w:t xml:space="preserve"> </w:t>
      </w:r>
      <w:r w:rsidRPr="00C93287">
        <w:rPr>
          <w:color w:val="000000"/>
          <w:sz w:val="22"/>
          <w:szCs w:val="22"/>
          <w:lang w:eastAsia="en-AU"/>
        </w:rPr>
        <w:t>During river infrastructure projects, Ivor helps conceptualise fish ecology to identify important parts of a river</w:t>
      </w:r>
      <w:r>
        <w:rPr>
          <w:color w:val="000000"/>
          <w:sz w:val="22"/>
          <w:szCs w:val="22"/>
          <w:lang w:eastAsia="en-AU"/>
        </w:rPr>
        <w:t>’</w:t>
      </w:r>
      <w:r w:rsidRPr="00C93287">
        <w:rPr>
          <w:color w:val="000000"/>
          <w:sz w:val="22"/>
          <w:szCs w:val="22"/>
          <w:lang w:eastAsia="en-AU"/>
        </w:rPr>
        <w:t>s flow regime for managers to maintain fish populations.</w:t>
      </w:r>
      <w:r>
        <w:rPr>
          <w:color w:val="000000"/>
          <w:sz w:val="22"/>
          <w:szCs w:val="22"/>
          <w:lang w:eastAsia="en-AU"/>
        </w:rPr>
        <w:t xml:space="preserve"> </w:t>
      </w:r>
      <w:r w:rsidRPr="00C93287">
        <w:rPr>
          <w:color w:val="000000"/>
          <w:sz w:val="22"/>
          <w:szCs w:val="22"/>
          <w:lang w:eastAsia="en-AU"/>
        </w:rPr>
        <w:t xml:space="preserve">He has worked extensively in the Murray River, especially on the mainstem </w:t>
      </w:r>
      <w:r>
        <w:rPr>
          <w:color w:val="000000"/>
          <w:sz w:val="22"/>
          <w:szCs w:val="22"/>
          <w:lang w:eastAsia="en-AU"/>
        </w:rPr>
        <w:t>l</w:t>
      </w:r>
      <w:r w:rsidRPr="00C93287">
        <w:rPr>
          <w:color w:val="000000"/>
          <w:sz w:val="22"/>
          <w:szCs w:val="22"/>
          <w:lang w:eastAsia="en-AU"/>
        </w:rPr>
        <w:t>ocks and adjacent floodplains and anabranches</w:t>
      </w:r>
      <w:r>
        <w:rPr>
          <w:color w:val="000000"/>
          <w:sz w:val="22"/>
          <w:szCs w:val="22"/>
          <w:lang w:eastAsia="en-AU"/>
        </w:rPr>
        <w:t>,</w:t>
      </w:r>
      <w:r w:rsidRPr="00C93287">
        <w:rPr>
          <w:color w:val="000000"/>
          <w:sz w:val="22"/>
          <w:szCs w:val="22"/>
          <w:lang w:eastAsia="en-AU"/>
        </w:rPr>
        <w:t xml:space="preserve"> where he helps conceptualise fish ecology to identify important parts of a river</w:t>
      </w:r>
      <w:r>
        <w:rPr>
          <w:color w:val="000000"/>
          <w:sz w:val="22"/>
          <w:szCs w:val="22"/>
          <w:lang w:eastAsia="en-AU"/>
        </w:rPr>
        <w:t>’</w:t>
      </w:r>
      <w:r w:rsidRPr="00C93287">
        <w:rPr>
          <w:color w:val="000000"/>
          <w:sz w:val="22"/>
          <w:szCs w:val="22"/>
          <w:lang w:eastAsia="en-AU"/>
        </w:rPr>
        <w:t xml:space="preserve">s flow regime </w:t>
      </w:r>
      <w:r>
        <w:rPr>
          <w:color w:val="000000"/>
          <w:sz w:val="22"/>
          <w:szCs w:val="22"/>
          <w:lang w:eastAsia="en-AU"/>
        </w:rPr>
        <w:t>to assist</w:t>
      </w:r>
      <w:r w:rsidRPr="00C93287">
        <w:rPr>
          <w:color w:val="000000"/>
          <w:sz w:val="22"/>
          <w:szCs w:val="22"/>
          <w:lang w:eastAsia="en-AU"/>
        </w:rPr>
        <w:t xml:space="preserve"> managers </w:t>
      </w:r>
      <w:r>
        <w:rPr>
          <w:color w:val="000000"/>
          <w:sz w:val="22"/>
          <w:szCs w:val="22"/>
          <w:lang w:eastAsia="en-AU"/>
        </w:rPr>
        <w:t>in</w:t>
      </w:r>
      <w:r w:rsidRPr="00C93287">
        <w:rPr>
          <w:color w:val="000000"/>
          <w:sz w:val="22"/>
          <w:szCs w:val="22"/>
          <w:lang w:eastAsia="en-AU"/>
        </w:rPr>
        <w:t xml:space="preserve"> maintain</w:t>
      </w:r>
      <w:r>
        <w:rPr>
          <w:color w:val="000000"/>
          <w:sz w:val="22"/>
          <w:szCs w:val="22"/>
          <w:lang w:eastAsia="en-AU"/>
        </w:rPr>
        <w:t>ing</w:t>
      </w:r>
      <w:r w:rsidRPr="00C93287">
        <w:rPr>
          <w:color w:val="000000"/>
          <w:sz w:val="22"/>
          <w:szCs w:val="22"/>
          <w:lang w:eastAsia="en-AU"/>
        </w:rPr>
        <w:t xml:space="preserve"> fish populations.</w:t>
      </w:r>
    </w:p>
    <w:p w14:paraId="30D96ECF" w14:textId="62D124DA" w:rsidR="00491210" w:rsidRPr="00F17A70" w:rsidRDefault="00EE200C" w:rsidP="00F17A70">
      <w:pPr>
        <w:pStyle w:val="PopModCVheading"/>
        <w:rPr>
          <w:b w:val="0"/>
          <w:bCs w:val="0"/>
        </w:rPr>
      </w:pPr>
      <w:r w:rsidRPr="00F17A70">
        <w:t>Selected publications</w:t>
      </w:r>
    </w:p>
    <w:p w14:paraId="1D267B5E" w14:textId="613DB6E8" w:rsidR="00491210" w:rsidRDefault="00EE200C" w:rsidP="00F17A70">
      <w:pPr>
        <w:spacing w:after="240"/>
        <w:ind w:left="567" w:hanging="567"/>
        <w:rPr>
          <w:color w:val="000000"/>
          <w:sz w:val="22"/>
          <w:szCs w:val="22"/>
          <w:lang w:eastAsia="en-AU"/>
        </w:rPr>
      </w:pPr>
      <w:r w:rsidRPr="00F17A70">
        <w:rPr>
          <w:b/>
          <w:color w:val="000000"/>
          <w:sz w:val="22"/>
          <w:szCs w:val="22"/>
          <w:lang w:eastAsia="en-AU"/>
        </w:rPr>
        <w:t>Stuart, I.</w:t>
      </w:r>
      <w:r w:rsidRPr="00C93287">
        <w:rPr>
          <w:color w:val="000000"/>
          <w:sz w:val="22"/>
          <w:szCs w:val="22"/>
          <w:lang w:eastAsia="en-AU"/>
        </w:rPr>
        <w:t>, D</w:t>
      </w:r>
      <w:r>
        <w:rPr>
          <w:color w:val="000000"/>
          <w:sz w:val="22"/>
          <w:szCs w:val="22"/>
          <w:lang w:eastAsia="en-AU"/>
        </w:rPr>
        <w:t>’</w:t>
      </w:r>
      <w:r w:rsidRPr="00C93287">
        <w:rPr>
          <w:color w:val="000000"/>
          <w:sz w:val="22"/>
          <w:szCs w:val="22"/>
          <w:lang w:eastAsia="en-AU"/>
        </w:rPr>
        <w:t>Santos, P., Rourke, M., Ellis, I., Harrisson, K., Michie, L., Sharpe, C. and Thiem, J. (2021). Monitoring native fish response to environmental water delivery in the lower Darling River 2020</w:t>
      </w:r>
      <w:r>
        <w:rPr>
          <w:color w:val="000000"/>
          <w:sz w:val="22"/>
          <w:szCs w:val="22"/>
          <w:lang w:eastAsia="en-AU"/>
        </w:rPr>
        <w:t>–</w:t>
      </w:r>
      <w:r w:rsidRPr="00C93287">
        <w:rPr>
          <w:color w:val="000000"/>
          <w:sz w:val="22"/>
          <w:szCs w:val="22"/>
          <w:lang w:eastAsia="en-AU"/>
        </w:rPr>
        <w:t>2021. State of New South Wales and Department of Planning, Industry and Environment, New South Wales, Australia.</w:t>
      </w:r>
    </w:p>
    <w:p w14:paraId="315CE36E" w14:textId="4E8D62E1" w:rsidR="00491210" w:rsidRPr="00C93287" w:rsidRDefault="00EE200C" w:rsidP="00A94F87">
      <w:pPr>
        <w:spacing w:before="240" w:after="240"/>
        <w:ind w:left="567" w:hanging="567"/>
        <w:rPr>
          <w:color w:val="000000"/>
          <w:sz w:val="22"/>
          <w:szCs w:val="22"/>
          <w:lang w:eastAsia="en-AU"/>
        </w:rPr>
      </w:pPr>
      <w:r w:rsidRPr="00F17A70">
        <w:rPr>
          <w:b/>
          <w:color w:val="000000"/>
          <w:sz w:val="22"/>
          <w:szCs w:val="22"/>
          <w:lang w:eastAsia="en-AU"/>
        </w:rPr>
        <w:t>Stuart, I.G.</w:t>
      </w:r>
      <w:r w:rsidRPr="00C93287">
        <w:rPr>
          <w:color w:val="000000"/>
          <w:sz w:val="22"/>
          <w:szCs w:val="22"/>
          <w:lang w:eastAsia="en-AU"/>
        </w:rPr>
        <w:t xml:space="preserve">, Fanson, B.G., Lyon, J.P., Stocks, J., Brooks, S., Norris, A., Thwaites, L., Beitzel, M., Hutchison, M., Ye, Q. and Koehn, J.D. (2021). Continental threat: </w:t>
      </w:r>
      <w:r>
        <w:rPr>
          <w:color w:val="000000"/>
          <w:sz w:val="22"/>
          <w:szCs w:val="22"/>
          <w:lang w:eastAsia="en-AU"/>
        </w:rPr>
        <w:t>h</w:t>
      </w:r>
      <w:r w:rsidRPr="00C93287">
        <w:rPr>
          <w:color w:val="000000"/>
          <w:sz w:val="22"/>
          <w:szCs w:val="22"/>
          <w:lang w:eastAsia="en-AU"/>
        </w:rPr>
        <w:t>ow many common carp (</w:t>
      </w:r>
      <w:r w:rsidRPr="003B4838">
        <w:rPr>
          <w:i/>
          <w:iCs/>
          <w:color w:val="000000"/>
          <w:sz w:val="22"/>
          <w:szCs w:val="22"/>
          <w:lang w:eastAsia="en-AU"/>
        </w:rPr>
        <w:t>Cyprinus</w:t>
      </w:r>
      <w:r w:rsidRPr="00C93287">
        <w:rPr>
          <w:color w:val="000000"/>
          <w:sz w:val="22"/>
          <w:szCs w:val="22"/>
          <w:lang w:eastAsia="en-AU"/>
        </w:rPr>
        <w:t xml:space="preserve"> </w:t>
      </w:r>
      <w:r w:rsidRPr="003B4838">
        <w:rPr>
          <w:i/>
          <w:iCs/>
          <w:color w:val="000000"/>
          <w:sz w:val="22"/>
          <w:szCs w:val="22"/>
          <w:lang w:eastAsia="en-AU"/>
        </w:rPr>
        <w:t>carpio</w:t>
      </w:r>
      <w:r w:rsidRPr="00C93287">
        <w:rPr>
          <w:color w:val="000000"/>
          <w:sz w:val="22"/>
          <w:szCs w:val="22"/>
          <w:lang w:eastAsia="en-AU"/>
        </w:rPr>
        <w:t xml:space="preserve">) are there in Australia? </w:t>
      </w:r>
      <w:r w:rsidRPr="003B4838">
        <w:rPr>
          <w:i/>
          <w:iCs/>
          <w:color w:val="000000"/>
          <w:sz w:val="22"/>
          <w:szCs w:val="22"/>
          <w:lang w:eastAsia="en-AU"/>
        </w:rPr>
        <w:t>Biological Conservation</w:t>
      </w:r>
      <w:r w:rsidRPr="00C93287">
        <w:rPr>
          <w:color w:val="000000"/>
          <w:sz w:val="22"/>
          <w:szCs w:val="22"/>
          <w:lang w:eastAsia="en-AU"/>
        </w:rPr>
        <w:t xml:space="preserve"> </w:t>
      </w:r>
      <w:r w:rsidRPr="00F17A70">
        <w:rPr>
          <w:b/>
          <w:color w:val="000000"/>
          <w:sz w:val="22"/>
          <w:szCs w:val="22"/>
          <w:lang w:eastAsia="en-AU"/>
        </w:rPr>
        <w:t>254</w:t>
      </w:r>
      <w:r w:rsidRPr="00C93287">
        <w:rPr>
          <w:color w:val="000000"/>
          <w:sz w:val="22"/>
          <w:szCs w:val="22"/>
          <w:lang w:eastAsia="en-AU"/>
        </w:rPr>
        <w:t>, 108942.</w:t>
      </w:r>
    </w:p>
    <w:p w14:paraId="016CAC5B" w14:textId="17302E88" w:rsidR="00491210" w:rsidRPr="000B510D" w:rsidRDefault="00EE200C" w:rsidP="00A94F87">
      <w:pPr>
        <w:spacing w:before="240" w:after="240"/>
        <w:ind w:left="567" w:hanging="567"/>
        <w:rPr>
          <w:color w:val="000000"/>
          <w:sz w:val="22"/>
          <w:szCs w:val="22"/>
          <w:lang w:eastAsia="en-AU"/>
        </w:rPr>
      </w:pPr>
      <w:r w:rsidRPr="00F17A70">
        <w:rPr>
          <w:b/>
          <w:color w:val="000000"/>
          <w:sz w:val="22"/>
          <w:szCs w:val="22"/>
          <w:lang w:eastAsia="en-AU"/>
        </w:rPr>
        <w:t>Stuart, I.G.</w:t>
      </w:r>
      <w:r w:rsidRPr="00C93287">
        <w:rPr>
          <w:color w:val="000000"/>
          <w:sz w:val="22"/>
          <w:szCs w:val="22"/>
          <w:lang w:eastAsia="en-AU"/>
        </w:rPr>
        <w:t xml:space="preserve"> and Sharpe, C.P. (202</w:t>
      </w:r>
      <w:r>
        <w:rPr>
          <w:color w:val="000000"/>
          <w:sz w:val="22"/>
          <w:szCs w:val="22"/>
          <w:lang w:eastAsia="en-AU"/>
        </w:rPr>
        <w:t>2</w:t>
      </w:r>
      <w:r w:rsidRPr="00C93287">
        <w:rPr>
          <w:color w:val="000000"/>
          <w:sz w:val="22"/>
          <w:szCs w:val="22"/>
          <w:lang w:eastAsia="en-AU"/>
        </w:rPr>
        <w:t>). Ecohydraulic model for designing environmental flows supports recovery of imperilled Murray cod (</w:t>
      </w:r>
      <w:r w:rsidRPr="003B4838">
        <w:rPr>
          <w:i/>
          <w:iCs/>
          <w:color w:val="000000"/>
          <w:sz w:val="22"/>
          <w:szCs w:val="22"/>
          <w:lang w:eastAsia="en-AU"/>
        </w:rPr>
        <w:t>Maccullochella</w:t>
      </w:r>
      <w:r w:rsidRPr="00C93287">
        <w:rPr>
          <w:color w:val="000000"/>
          <w:sz w:val="22"/>
          <w:szCs w:val="22"/>
          <w:lang w:eastAsia="en-AU"/>
        </w:rPr>
        <w:t xml:space="preserve"> </w:t>
      </w:r>
      <w:r w:rsidRPr="003B4838">
        <w:rPr>
          <w:i/>
          <w:iCs/>
          <w:color w:val="000000"/>
          <w:sz w:val="22"/>
          <w:szCs w:val="22"/>
          <w:lang w:eastAsia="en-AU"/>
        </w:rPr>
        <w:t>peelii</w:t>
      </w:r>
      <w:r w:rsidRPr="00C93287">
        <w:rPr>
          <w:color w:val="000000"/>
          <w:sz w:val="22"/>
          <w:szCs w:val="22"/>
          <w:lang w:eastAsia="en-AU"/>
        </w:rPr>
        <w:t>) in the Lower Darling–</w:t>
      </w:r>
      <w:r w:rsidRPr="00F17A70">
        <w:rPr>
          <w:i/>
          <w:color w:val="000000"/>
          <w:sz w:val="22"/>
          <w:szCs w:val="22"/>
          <w:lang w:eastAsia="en-AU"/>
        </w:rPr>
        <w:t>Baaka</w:t>
      </w:r>
      <w:r w:rsidRPr="00C93287">
        <w:rPr>
          <w:color w:val="000000"/>
          <w:sz w:val="22"/>
          <w:szCs w:val="22"/>
          <w:lang w:eastAsia="en-AU"/>
        </w:rPr>
        <w:t xml:space="preserve"> River following catastrophic fish kills. </w:t>
      </w:r>
      <w:r w:rsidRPr="003B4838">
        <w:rPr>
          <w:i/>
          <w:iCs/>
          <w:color w:val="000000"/>
          <w:sz w:val="22"/>
          <w:szCs w:val="22"/>
          <w:lang w:eastAsia="en-AU"/>
        </w:rPr>
        <w:t>Marine and Freshwater Research</w:t>
      </w:r>
      <w:r>
        <w:rPr>
          <w:i/>
          <w:color w:val="000000"/>
          <w:sz w:val="22"/>
          <w:szCs w:val="22"/>
          <w:lang w:eastAsia="en-AU"/>
        </w:rPr>
        <w:t xml:space="preserve"> </w:t>
      </w:r>
      <w:r w:rsidRPr="00F17A70">
        <w:rPr>
          <w:b/>
          <w:color w:val="000000"/>
          <w:sz w:val="22"/>
          <w:szCs w:val="22"/>
          <w:lang w:eastAsia="en-AU"/>
        </w:rPr>
        <w:t>73</w:t>
      </w:r>
      <w:r>
        <w:rPr>
          <w:color w:val="000000"/>
          <w:sz w:val="22"/>
          <w:szCs w:val="22"/>
          <w:lang w:eastAsia="en-AU"/>
        </w:rPr>
        <w:t>, 247–258.</w:t>
      </w:r>
    </w:p>
    <w:p w14:paraId="0A9A59E0" w14:textId="10EFA8F3" w:rsidR="00491210" w:rsidRPr="00C93287" w:rsidRDefault="00EE200C" w:rsidP="00A94F87">
      <w:pPr>
        <w:spacing w:before="240" w:after="240"/>
        <w:ind w:left="567" w:hanging="567"/>
        <w:rPr>
          <w:color w:val="000000"/>
          <w:sz w:val="22"/>
          <w:szCs w:val="22"/>
          <w:lang w:eastAsia="en-AU"/>
        </w:rPr>
      </w:pPr>
      <w:r w:rsidRPr="00C93287">
        <w:rPr>
          <w:color w:val="000000"/>
          <w:sz w:val="22"/>
          <w:szCs w:val="22"/>
          <w:lang w:eastAsia="en-AU"/>
        </w:rPr>
        <w:t xml:space="preserve">Koster, W.M., </w:t>
      </w:r>
      <w:r w:rsidRPr="00F17A70">
        <w:rPr>
          <w:b/>
          <w:color w:val="000000"/>
          <w:sz w:val="22"/>
          <w:szCs w:val="22"/>
          <w:lang w:eastAsia="en-AU"/>
        </w:rPr>
        <w:t>Stuart, I.</w:t>
      </w:r>
      <w:r w:rsidRPr="00C93287">
        <w:rPr>
          <w:color w:val="000000"/>
          <w:sz w:val="22"/>
          <w:szCs w:val="22"/>
          <w:lang w:eastAsia="en-AU"/>
        </w:rPr>
        <w:t xml:space="preserve">, Tonkin, Z., Dawson, D. and Fanson, B. (2021). Environmental influences on migration patterns and pathways of a threatened potamodromous fish in a regulated lowland river network. </w:t>
      </w:r>
      <w:r w:rsidRPr="003B4838">
        <w:rPr>
          <w:i/>
          <w:iCs/>
          <w:color w:val="000000"/>
          <w:sz w:val="22"/>
          <w:szCs w:val="22"/>
          <w:lang w:eastAsia="en-AU"/>
        </w:rPr>
        <w:t>Ecohydrology</w:t>
      </w:r>
      <w:r w:rsidRPr="00C93287">
        <w:rPr>
          <w:color w:val="000000"/>
          <w:sz w:val="22"/>
          <w:szCs w:val="22"/>
          <w:lang w:eastAsia="en-AU"/>
        </w:rPr>
        <w:t xml:space="preserve"> </w:t>
      </w:r>
      <w:r w:rsidRPr="00F17A70">
        <w:rPr>
          <w:b/>
          <w:color w:val="000000"/>
          <w:sz w:val="22"/>
          <w:szCs w:val="22"/>
          <w:lang w:eastAsia="en-AU"/>
        </w:rPr>
        <w:t>14</w:t>
      </w:r>
      <w:r w:rsidRPr="00C93287">
        <w:rPr>
          <w:color w:val="000000"/>
          <w:sz w:val="22"/>
          <w:szCs w:val="22"/>
          <w:lang w:eastAsia="en-AU"/>
        </w:rPr>
        <w:t>(2), e2260.</w:t>
      </w:r>
    </w:p>
    <w:p w14:paraId="0A002A84" w14:textId="192AB59B" w:rsidR="00491210" w:rsidRPr="00C93287" w:rsidRDefault="00EE200C" w:rsidP="00A94F87">
      <w:pPr>
        <w:spacing w:after="0"/>
        <w:ind w:left="567" w:hanging="567"/>
        <w:rPr>
          <w:color w:val="000000"/>
          <w:sz w:val="22"/>
          <w:szCs w:val="22"/>
          <w:lang w:eastAsia="en-AU"/>
        </w:rPr>
      </w:pPr>
      <w:r w:rsidRPr="00F17A70">
        <w:rPr>
          <w:b/>
          <w:color w:val="000000"/>
          <w:sz w:val="22"/>
          <w:szCs w:val="22"/>
          <w:lang w:eastAsia="en-AU"/>
        </w:rPr>
        <w:t>Stuart, I.G.</w:t>
      </w:r>
      <w:r w:rsidRPr="00C93287">
        <w:rPr>
          <w:color w:val="000000"/>
          <w:sz w:val="22"/>
          <w:szCs w:val="22"/>
          <w:lang w:eastAsia="en-AU"/>
        </w:rPr>
        <w:t xml:space="preserve"> and Sharpe, C.P. (2020). Riverine spawning, long distance larval drift, and</w:t>
      </w:r>
      <w:r>
        <w:rPr>
          <w:color w:val="000000"/>
          <w:sz w:val="22"/>
          <w:szCs w:val="22"/>
          <w:lang w:eastAsia="en-AU"/>
        </w:rPr>
        <w:t xml:space="preserve"> </w:t>
      </w:r>
      <w:r w:rsidRPr="00C93287">
        <w:rPr>
          <w:color w:val="000000"/>
          <w:sz w:val="22"/>
          <w:szCs w:val="22"/>
          <w:lang w:eastAsia="en-AU"/>
        </w:rPr>
        <w:t xml:space="preserve">floodplain recruitment of a pelagophilic fish: </w:t>
      </w:r>
      <w:r>
        <w:rPr>
          <w:color w:val="000000"/>
          <w:sz w:val="22"/>
          <w:szCs w:val="22"/>
          <w:lang w:eastAsia="en-AU"/>
        </w:rPr>
        <w:t>a</w:t>
      </w:r>
      <w:r w:rsidRPr="00C93287">
        <w:rPr>
          <w:color w:val="000000"/>
          <w:sz w:val="22"/>
          <w:szCs w:val="22"/>
          <w:lang w:eastAsia="en-AU"/>
        </w:rPr>
        <w:t xml:space="preserve"> case study of golden perch (</w:t>
      </w:r>
      <w:r w:rsidRPr="003B4838">
        <w:rPr>
          <w:i/>
          <w:iCs/>
          <w:color w:val="000000"/>
          <w:sz w:val="22"/>
          <w:szCs w:val="22"/>
          <w:lang w:eastAsia="en-AU"/>
        </w:rPr>
        <w:t>Macquaria</w:t>
      </w:r>
      <w:r>
        <w:rPr>
          <w:i/>
          <w:iCs/>
          <w:color w:val="000000"/>
          <w:sz w:val="22"/>
          <w:szCs w:val="22"/>
          <w:lang w:eastAsia="en-AU"/>
        </w:rPr>
        <w:t xml:space="preserve"> </w:t>
      </w:r>
      <w:r w:rsidRPr="003B4838">
        <w:rPr>
          <w:i/>
          <w:iCs/>
          <w:color w:val="000000"/>
          <w:sz w:val="22"/>
          <w:szCs w:val="22"/>
          <w:lang w:eastAsia="en-AU"/>
        </w:rPr>
        <w:t>ambigua</w:t>
      </w:r>
      <w:r w:rsidRPr="00C93287">
        <w:rPr>
          <w:color w:val="000000"/>
          <w:sz w:val="22"/>
          <w:szCs w:val="22"/>
          <w:lang w:eastAsia="en-AU"/>
        </w:rPr>
        <w:t xml:space="preserve">) in the arid Darling River, Australia. </w:t>
      </w:r>
      <w:r w:rsidRPr="003B4838">
        <w:rPr>
          <w:i/>
          <w:iCs/>
          <w:color w:val="000000"/>
          <w:sz w:val="22"/>
          <w:szCs w:val="22"/>
          <w:lang w:eastAsia="en-AU"/>
        </w:rPr>
        <w:t>Aquatic Conservation: Marine and Freshwater</w:t>
      </w:r>
      <w:r>
        <w:rPr>
          <w:i/>
          <w:iCs/>
          <w:color w:val="000000"/>
          <w:sz w:val="22"/>
          <w:szCs w:val="22"/>
          <w:lang w:eastAsia="en-AU"/>
        </w:rPr>
        <w:t xml:space="preserve"> </w:t>
      </w:r>
      <w:r w:rsidRPr="23216F23">
        <w:rPr>
          <w:i/>
          <w:iCs/>
          <w:color w:val="000000"/>
          <w:sz w:val="22"/>
          <w:szCs w:val="22"/>
          <w:lang w:eastAsia="en-AU"/>
        </w:rPr>
        <w:t>Ecosystems</w:t>
      </w:r>
      <w:r w:rsidRPr="23216F23">
        <w:rPr>
          <w:color w:val="000000"/>
          <w:sz w:val="22"/>
          <w:szCs w:val="22"/>
          <w:lang w:eastAsia="en-AU"/>
        </w:rPr>
        <w:t xml:space="preserve"> </w:t>
      </w:r>
      <w:r w:rsidRPr="00F17A70">
        <w:rPr>
          <w:b/>
          <w:color w:val="000000"/>
          <w:sz w:val="22"/>
          <w:szCs w:val="22"/>
          <w:lang w:eastAsia="en-AU"/>
        </w:rPr>
        <w:t>30</w:t>
      </w:r>
      <w:r w:rsidRPr="23216F23">
        <w:rPr>
          <w:color w:val="000000"/>
          <w:sz w:val="22"/>
          <w:szCs w:val="22"/>
          <w:lang w:eastAsia="en-AU"/>
        </w:rPr>
        <w:t>, 675</w:t>
      </w:r>
      <w:r>
        <w:rPr>
          <w:color w:val="000000"/>
          <w:sz w:val="22"/>
          <w:szCs w:val="22"/>
          <w:lang w:eastAsia="en-AU"/>
        </w:rPr>
        <w:t>–</w:t>
      </w:r>
      <w:r w:rsidRPr="23216F23">
        <w:rPr>
          <w:color w:val="000000"/>
          <w:sz w:val="22"/>
          <w:szCs w:val="22"/>
          <w:lang w:eastAsia="en-AU"/>
        </w:rPr>
        <w:t>690.</w:t>
      </w:r>
    </w:p>
    <w:p w14:paraId="15B10942" w14:textId="68D61D97" w:rsidR="00491210" w:rsidRPr="00C93287" w:rsidRDefault="00EE200C" w:rsidP="00A94F87">
      <w:pPr>
        <w:spacing w:before="240" w:after="240"/>
        <w:ind w:left="567" w:hanging="567"/>
        <w:rPr>
          <w:color w:val="000000"/>
          <w:sz w:val="22"/>
          <w:szCs w:val="22"/>
          <w:lang w:eastAsia="en-AU"/>
        </w:rPr>
      </w:pPr>
      <w:r w:rsidRPr="00F17A70">
        <w:rPr>
          <w:b/>
          <w:color w:val="000000"/>
          <w:sz w:val="22"/>
          <w:szCs w:val="22"/>
          <w:lang w:eastAsia="en-AU"/>
        </w:rPr>
        <w:t>Stuart, I.</w:t>
      </w:r>
      <w:r w:rsidRPr="00C93287">
        <w:rPr>
          <w:color w:val="000000"/>
          <w:sz w:val="22"/>
          <w:szCs w:val="22"/>
          <w:lang w:eastAsia="en-AU"/>
        </w:rPr>
        <w:t xml:space="preserve"> (2019). Northern Murray</w:t>
      </w:r>
      <w:r>
        <w:rPr>
          <w:color w:val="000000"/>
          <w:sz w:val="22"/>
          <w:szCs w:val="22"/>
          <w:lang w:eastAsia="en-AU"/>
        </w:rPr>
        <w:t>–</w:t>
      </w:r>
      <w:r w:rsidRPr="00C93287">
        <w:rPr>
          <w:color w:val="000000"/>
          <w:sz w:val="22"/>
          <w:szCs w:val="22"/>
          <w:lang w:eastAsia="en-AU"/>
        </w:rPr>
        <w:t>Darling Basin System scale connectivity requirements for Golden Perch: final report. Unpublished Client Report to the NSW Department of Primary Industries Fisheries. Arthur Rylah Institute for Environmental Research, Department of Environment, Land, Water and Planning, Heidelberg, Victoria.</w:t>
      </w:r>
    </w:p>
    <w:p w14:paraId="43BCEDFC" w14:textId="1BB7726E" w:rsidR="00491210" w:rsidRPr="00C93287" w:rsidRDefault="00EE200C" w:rsidP="00A94F87">
      <w:pPr>
        <w:spacing w:before="240" w:after="240"/>
        <w:ind w:left="567" w:hanging="567"/>
        <w:rPr>
          <w:color w:val="000000"/>
          <w:sz w:val="22"/>
          <w:szCs w:val="22"/>
          <w:lang w:eastAsia="en-AU"/>
        </w:rPr>
      </w:pPr>
      <w:r w:rsidRPr="00F17A70">
        <w:rPr>
          <w:b/>
          <w:color w:val="000000"/>
          <w:sz w:val="22"/>
          <w:szCs w:val="22"/>
          <w:lang w:eastAsia="en-AU"/>
        </w:rPr>
        <w:t>Stuart, I.</w:t>
      </w:r>
      <w:r w:rsidRPr="00C93287">
        <w:rPr>
          <w:color w:val="000000"/>
          <w:sz w:val="22"/>
          <w:szCs w:val="22"/>
          <w:lang w:eastAsia="en-AU"/>
        </w:rPr>
        <w:t xml:space="preserve"> and Sharpe, C. (2017). Towards a southern connected basin flow plan: connecting rivers to recover native fish communities. Kingfisher Research and CPS Enviro report to the Murray–Darling Basin Authority. Kingfisher Research, Melbourne, Vic</w:t>
      </w:r>
      <w:r>
        <w:rPr>
          <w:color w:val="000000"/>
          <w:sz w:val="22"/>
          <w:szCs w:val="22"/>
          <w:lang w:eastAsia="en-AU"/>
        </w:rPr>
        <w:t>toria.</w:t>
      </w:r>
    </w:p>
    <w:p w14:paraId="4202C18D" w14:textId="7B0CA739" w:rsidR="00491210" w:rsidRPr="00C93287" w:rsidRDefault="00EE200C" w:rsidP="00A94F87">
      <w:pPr>
        <w:spacing w:before="240" w:after="240"/>
        <w:ind w:left="567" w:hanging="567"/>
        <w:rPr>
          <w:color w:val="000000"/>
          <w:sz w:val="22"/>
          <w:szCs w:val="22"/>
          <w:lang w:eastAsia="en-AU"/>
        </w:rPr>
      </w:pPr>
      <w:r w:rsidRPr="00C93287">
        <w:rPr>
          <w:color w:val="000000"/>
          <w:sz w:val="22"/>
          <w:szCs w:val="22"/>
          <w:lang w:eastAsia="en-AU"/>
        </w:rPr>
        <w:t xml:space="preserve">Baumgartner, L.J., Marsden, T., Singhanouvong, D., Phonekhampheng, O., </w:t>
      </w:r>
      <w:r w:rsidRPr="00F17A70">
        <w:rPr>
          <w:b/>
          <w:color w:val="000000"/>
          <w:sz w:val="22"/>
          <w:szCs w:val="22"/>
          <w:lang w:eastAsia="en-AU"/>
        </w:rPr>
        <w:t>Stuart, I.G.</w:t>
      </w:r>
      <w:r w:rsidRPr="00C93287">
        <w:rPr>
          <w:color w:val="000000"/>
          <w:sz w:val="22"/>
          <w:szCs w:val="22"/>
          <w:lang w:eastAsia="en-AU"/>
        </w:rPr>
        <w:t xml:space="preserve"> and Thorncraft, G. (2012). Using an experimental in situ fishway to provide key design criteria for lateral fish passage in tropical rivers: a case study from the Mekong River, central Lao PDR. River </w:t>
      </w:r>
      <w:r w:rsidRPr="003B4838">
        <w:rPr>
          <w:i/>
          <w:iCs/>
          <w:color w:val="000000"/>
          <w:sz w:val="22"/>
          <w:szCs w:val="22"/>
          <w:lang w:eastAsia="en-AU"/>
        </w:rPr>
        <w:t>Research and Applications</w:t>
      </w:r>
      <w:r w:rsidRPr="00C93287">
        <w:rPr>
          <w:color w:val="000000"/>
          <w:sz w:val="22"/>
          <w:szCs w:val="22"/>
          <w:lang w:eastAsia="en-AU"/>
        </w:rPr>
        <w:t xml:space="preserve"> </w:t>
      </w:r>
      <w:r w:rsidRPr="00F17A70">
        <w:rPr>
          <w:b/>
          <w:color w:val="000000"/>
          <w:sz w:val="22"/>
          <w:szCs w:val="22"/>
          <w:lang w:eastAsia="en-AU"/>
        </w:rPr>
        <w:t>28</w:t>
      </w:r>
      <w:r w:rsidRPr="00C93287">
        <w:rPr>
          <w:color w:val="000000"/>
          <w:sz w:val="22"/>
          <w:szCs w:val="22"/>
          <w:lang w:eastAsia="en-AU"/>
        </w:rPr>
        <w:t>, 1217</w:t>
      </w:r>
      <w:r>
        <w:rPr>
          <w:color w:val="000000"/>
          <w:sz w:val="22"/>
          <w:szCs w:val="22"/>
          <w:lang w:eastAsia="en-AU"/>
        </w:rPr>
        <w:t>–</w:t>
      </w:r>
      <w:r w:rsidRPr="00C93287">
        <w:rPr>
          <w:color w:val="000000"/>
          <w:sz w:val="22"/>
          <w:szCs w:val="22"/>
          <w:lang w:eastAsia="en-AU"/>
        </w:rPr>
        <w:t>1229.</w:t>
      </w:r>
    </w:p>
    <w:p w14:paraId="7EC8125D" w14:textId="62C8CDDE" w:rsidR="00491210" w:rsidRPr="00C93287" w:rsidRDefault="00EE200C" w:rsidP="00A94F87">
      <w:pPr>
        <w:spacing w:before="240" w:after="240"/>
        <w:ind w:left="567" w:hanging="567"/>
        <w:rPr>
          <w:color w:val="000000"/>
          <w:sz w:val="22"/>
          <w:szCs w:val="22"/>
          <w:lang w:eastAsia="en-AU"/>
        </w:rPr>
      </w:pPr>
      <w:r w:rsidRPr="23216F23">
        <w:rPr>
          <w:color w:val="000000"/>
          <w:sz w:val="22"/>
          <w:szCs w:val="22"/>
          <w:lang w:eastAsia="en-AU"/>
        </w:rPr>
        <w:t xml:space="preserve">Roberts, D.T., Duivenvoorden, L.J. and </w:t>
      </w:r>
      <w:r w:rsidRPr="00F17A70">
        <w:rPr>
          <w:b/>
          <w:color w:val="000000"/>
          <w:sz w:val="22"/>
          <w:szCs w:val="22"/>
          <w:lang w:eastAsia="en-AU"/>
        </w:rPr>
        <w:t>Stuart, I.G.</w:t>
      </w:r>
      <w:r w:rsidRPr="23216F23">
        <w:rPr>
          <w:color w:val="000000"/>
          <w:sz w:val="22"/>
          <w:szCs w:val="22"/>
          <w:lang w:eastAsia="en-AU"/>
        </w:rPr>
        <w:t xml:space="preserve"> (2008). Factors influencing recruitment patterns of golden perch (</w:t>
      </w:r>
      <w:r w:rsidRPr="23216F23">
        <w:rPr>
          <w:i/>
          <w:iCs/>
          <w:color w:val="000000"/>
          <w:sz w:val="22"/>
          <w:szCs w:val="22"/>
          <w:lang w:eastAsia="en-AU"/>
        </w:rPr>
        <w:t>Macquaria ambigua oriens</w:t>
      </w:r>
      <w:r w:rsidRPr="23216F23">
        <w:rPr>
          <w:color w:val="000000"/>
          <w:sz w:val="22"/>
          <w:szCs w:val="22"/>
          <w:lang w:eastAsia="en-AU"/>
        </w:rPr>
        <w:t xml:space="preserve">) within a hydrologically variable and regulated Australian tropical river system. </w:t>
      </w:r>
      <w:r w:rsidRPr="23216F23">
        <w:rPr>
          <w:i/>
          <w:iCs/>
          <w:color w:val="000000"/>
          <w:sz w:val="22"/>
          <w:szCs w:val="22"/>
          <w:lang w:eastAsia="en-AU"/>
        </w:rPr>
        <w:t>Ecology of Freshwater Fish</w:t>
      </w:r>
      <w:r w:rsidRPr="23216F23">
        <w:rPr>
          <w:color w:val="000000"/>
          <w:sz w:val="22"/>
          <w:szCs w:val="22"/>
          <w:lang w:eastAsia="en-AU"/>
        </w:rPr>
        <w:t xml:space="preserve"> </w:t>
      </w:r>
      <w:r w:rsidRPr="00F17A70">
        <w:rPr>
          <w:b/>
          <w:color w:val="000000"/>
          <w:sz w:val="22"/>
          <w:szCs w:val="22"/>
          <w:lang w:eastAsia="en-AU"/>
        </w:rPr>
        <w:t>17</w:t>
      </w:r>
      <w:r w:rsidRPr="23216F23">
        <w:rPr>
          <w:color w:val="000000"/>
          <w:sz w:val="22"/>
          <w:szCs w:val="22"/>
          <w:lang w:eastAsia="en-AU"/>
        </w:rPr>
        <w:t>(4), 577</w:t>
      </w:r>
      <w:r>
        <w:rPr>
          <w:color w:val="000000"/>
          <w:sz w:val="22"/>
          <w:szCs w:val="22"/>
          <w:lang w:eastAsia="en-AU"/>
        </w:rPr>
        <w:t>–</w:t>
      </w:r>
      <w:r w:rsidRPr="23216F23">
        <w:rPr>
          <w:color w:val="000000"/>
          <w:sz w:val="22"/>
          <w:szCs w:val="22"/>
          <w:lang w:eastAsia="en-AU"/>
        </w:rPr>
        <w:t>589.</w:t>
      </w:r>
    </w:p>
    <w:p w14:paraId="5C757950" w14:textId="7F3EE037" w:rsidR="00491210" w:rsidRPr="00C93287" w:rsidRDefault="00EE200C" w:rsidP="00A94F87">
      <w:pPr>
        <w:spacing w:before="240" w:after="240"/>
        <w:ind w:left="567" w:hanging="567"/>
        <w:rPr>
          <w:color w:val="000000"/>
          <w:sz w:val="22"/>
          <w:szCs w:val="22"/>
          <w:lang w:eastAsia="en-AU"/>
        </w:rPr>
      </w:pPr>
      <w:r w:rsidRPr="00F17A70">
        <w:rPr>
          <w:b/>
          <w:color w:val="000000"/>
          <w:sz w:val="22"/>
          <w:szCs w:val="22"/>
          <w:lang w:eastAsia="en-AU"/>
        </w:rPr>
        <w:lastRenderedPageBreak/>
        <w:t>Stuart, I.G.</w:t>
      </w:r>
      <w:r w:rsidRPr="00C93287">
        <w:rPr>
          <w:color w:val="000000"/>
          <w:sz w:val="22"/>
          <w:szCs w:val="22"/>
          <w:lang w:eastAsia="en-AU"/>
        </w:rPr>
        <w:t xml:space="preserve"> and Mallen-Cooper, M. (1999).</w:t>
      </w:r>
      <w:r>
        <w:rPr>
          <w:color w:val="000000"/>
          <w:sz w:val="22"/>
          <w:szCs w:val="22"/>
          <w:lang w:eastAsia="en-AU"/>
        </w:rPr>
        <w:t xml:space="preserve"> </w:t>
      </w:r>
      <w:r w:rsidRPr="00C93287">
        <w:rPr>
          <w:color w:val="000000"/>
          <w:sz w:val="22"/>
          <w:szCs w:val="22"/>
          <w:lang w:eastAsia="en-AU"/>
        </w:rPr>
        <w:t>An assessment of the effectiveness of a vertical-slot fishway for non-salmonid fish at a tidal barrier on a large tropical/sub-tropical river.</w:t>
      </w:r>
      <w:r>
        <w:rPr>
          <w:color w:val="000000"/>
          <w:sz w:val="22"/>
          <w:szCs w:val="22"/>
          <w:lang w:eastAsia="en-AU"/>
        </w:rPr>
        <w:t xml:space="preserve"> </w:t>
      </w:r>
      <w:r w:rsidRPr="00C82C44">
        <w:rPr>
          <w:i/>
          <w:iCs/>
          <w:color w:val="000000"/>
          <w:sz w:val="22"/>
          <w:szCs w:val="22"/>
          <w:lang w:eastAsia="en-AU"/>
        </w:rPr>
        <w:t>Regulated</w:t>
      </w:r>
      <w:r>
        <w:rPr>
          <w:color w:val="000000"/>
          <w:sz w:val="22"/>
          <w:szCs w:val="22"/>
          <w:lang w:eastAsia="en-AU"/>
        </w:rPr>
        <w:t xml:space="preserve"> </w:t>
      </w:r>
      <w:r w:rsidRPr="00C82C44">
        <w:rPr>
          <w:i/>
          <w:iCs/>
          <w:color w:val="000000"/>
          <w:sz w:val="22"/>
          <w:szCs w:val="22"/>
          <w:lang w:eastAsia="en-AU"/>
        </w:rPr>
        <w:t>Rivers: Research and Management</w:t>
      </w:r>
      <w:r w:rsidRPr="00C93287">
        <w:rPr>
          <w:color w:val="000000"/>
          <w:sz w:val="22"/>
          <w:szCs w:val="22"/>
          <w:lang w:eastAsia="en-AU"/>
        </w:rPr>
        <w:t xml:space="preserve"> </w:t>
      </w:r>
      <w:r w:rsidRPr="00F17A70">
        <w:rPr>
          <w:b/>
          <w:color w:val="000000"/>
          <w:sz w:val="22"/>
          <w:szCs w:val="22"/>
          <w:lang w:eastAsia="en-AU"/>
        </w:rPr>
        <w:t>15</w:t>
      </w:r>
      <w:r w:rsidRPr="00C93287">
        <w:rPr>
          <w:color w:val="000000"/>
          <w:sz w:val="22"/>
          <w:szCs w:val="22"/>
          <w:lang w:eastAsia="en-AU"/>
        </w:rPr>
        <w:t>, 575</w:t>
      </w:r>
      <w:r>
        <w:rPr>
          <w:color w:val="000000"/>
          <w:sz w:val="22"/>
          <w:szCs w:val="22"/>
          <w:lang w:eastAsia="en-AU"/>
        </w:rPr>
        <w:t>–</w:t>
      </w:r>
      <w:r w:rsidRPr="00C93287">
        <w:rPr>
          <w:color w:val="000000"/>
          <w:sz w:val="22"/>
          <w:szCs w:val="22"/>
          <w:lang w:eastAsia="en-AU"/>
        </w:rPr>
        <w:t>590.</w:t>
      </w:r>
    </w:p>
    <w:p w14:paraId="6CF2A0B4" w14:textId="0DF953D1" w:rsidR="00491210" w:rsidRPr="00F17A70" w:rsidRDefault="00EE200C" w:rsidP="00F17A70">
      <w:pPr>
        <w:pStyle w:val="PopModProjectTeam"/>
        <w:rPr>
          <w:b w:val="0"/>
          <w:bCs w:val="0"/>
        </w:rPr>
      </w:pPr>
      <w:r w:rsidRPr="00F17A70">
        <w:t>Dr Charles Todd</w:t>
      </w:r>
    </w:p>
    <w:p w14:paraId="799816A8" w14:textId="077315C6" w:rsidR="00491210" w:rsidRPr="007F18D3" w:rsidRDefault="00EE200C" w:rsidP="00F17A70">
      <w:pPr>
        <w:pStyle w:val="PopModCVheading"/>
        <w:rPr>
          <w:b w:val="0"/>
          <w:bCs w:val="0"/>
        </w:rPr>
      </w:pPr>
      <w:r w:rsidRPr="00E2785E">
        <w:t>Senior Scientist, Population Processes</w:t>
      </w:r>
    </w:p>
    <w:p w14:paraId="7DC8830A" w14:textId="42039DD3" w:rsidR="00491210" w:rsidRPr="007F18D3" w:rsidRDefault="00EE200C" w:rsidP="00F17A70">
      <w:pPr>
        <w:pStyle w:val="PopModCVheading"/>
        <w:rPr>
          <w:b w:val="0"/>
          <w:bCs w:val="0"/>
        </w:rPr>
      </w:pPr>
      <w:r w:rsidRPr="00E2785E">
        <w:t>Qualifications</w:t>
      </w:r>
    </w:p>
    <w:p w14:paraId="1058127E" w14:textId="1D98C9D3" w:rsidR="00491210" w:rsidRPr="005D3A84" w:rsidRDefault="00EE200C" w:rsidP="005D3A84">
      <w:pPr>
        <w:rPr>
          <w:sz w:val="22"/>
          <w:szCs w:val="22"/>
          <w:lang w:val="en-GB"/>
        </w:rPr>
      </w:pPr>
      <w:r w:rsidRPr="005D3A84">
        <w:rPr>
          <w:sz w:val="22"/>
          <w:szCs w:val="22"/>
          <w:lang w:val="en-GB"/>
        </w:rPr>
        <w:t xml:space="preserve">PhD (2001) </w:t>
      </w:r>
      <w:r>
        <w:rPr>
          <w:sz w:val="22"/>
          <w:szCs w:val="22"/>
          <w:lang w:val="en-GB"/>
        </w:rPr>
        <w:t>The</w:t>
      </w:r>
      <w:r w:rsidRPr="005D3A84">
        <w:rPr>
          <w:sz w:val="22"/>
          <w:szCs w:val="22"/>
          <w:lang w:val="en-GB"/>
        </w:rPr>
        <w:t xml:space="preserve"> University</w:t>
      </w:r>
      <w:r>
        <w:rPr>
          <w:sz w:val="22"/>
          <w:szCs w:val="22"/>
          <w:lang w:val="en-GB"/>
        </w:rPr>
        <w:t xml:space="preserve"> of Melbourne</w:t>
      </w:r>
      <w:r w:rsidRPr="005D3A84">
        <w:rPr>
          <w:sz w:val="22"/>
          <w:szCs w:val="22"/>
          <w:lang w:val="en-GB"/>
        </w:rPr>
        <w:t>, Parkville, V</w:t>
      </w:r>
      <w:r>
        <w:rPr>
          <w:sz w:val="22"/>
          <w:szCs w:val="22"/>
          <w:lang w:val="en-GB"/>
        </w:rPr>
        <w:t>ictoria</w:t>
      </w:r>
      <w:r w:rsidRPr="005D3A84">
        <w:rPr>
          <w:sz w:val="22"/>
          <w:szCs w:val="22"/>
          <w:lang w:val="en-GB"/>
        </w:rPr>
        <w:t>.</w:t>
      </w:r>
      <w:r>
        <w:rPr>
          <w:sz w:val="22"/>
          <w:szCs w:val="22"/>
          <w:lang w:val="en-GB"/>
        </w:rPr>
        <w:t xml:space="preserve"> </w:t>
      </w:r>
      <w:r w:rsidRPr="007F18D3">
        <w:rPr>
          <w:i/>
          <w:sz w:val="22"/>
          <w:szCs w:val="22"/>
          <w:lang w:val="en-GB"/>
        </w:rPr>
        <w:t>Tools for the</w:t>
      </w:r>
      <w:r w:rsidRPr="00292E25">
        <w:rPr>
          <w:i/>
          <w:sz w:val="22"/>
          <w:szCs w:val="22"/>
          <w:lang w:val="en-GB"/>
        </w:rPr>
        <w:t xml:space="preserve"> conservation management of wildlife under uncertai</w:t>
      </w:r>
      <w:r w:rsidRPr="007F18D3">
        <w:rPr>
          <w:i/>
          <w:sz w:val="22"/>
          <w:szCs w:val="22"/>
          <w:lang w:val="en-GB"/>
        </w:rPr>
        <w:t>nty</w:t>
      </w:r>
    </w:p>
    <w:p w14:paraId="68578D3A" w14:textId="711D2BF4" w:rsidR="00491210" w:rsidRDefault="00EE200C" w:rsidP="005D3A84">
      <w:pPr>
        <w:rPr>
          <w:sz w:val="22"/>
          <w:szCs w:val="22"/>
          <w:lang w:val="en-GB"/>
        </w:rPr>
      </w:pPr>
      <w:r w:rsidRPr="005D3A84">
        <w:rPr>
          <w:sz w:val="22"/>
          <w:szCs w:val="22"/>
          <w:lang w:val="en-GB"/>
        </w:rPr>
        <w:t xml:space="preserve">M. For. Sci. (1995) </w:t>
      </w:r>
      <w:r>
        <w:rPr>
          <w:sz w:val="22"/>
          <w:szCs w:val="22"/>
          <w:lang w:val="en-GB"/>
        </w:rPr>
        <w:t xml:space="preserve">The University of </w:t>
      </w:r>
      <w:r w:rsidRPr="005D3A84">
        <w:rPr>
          <w:sz w:val="22"/>
          <w:szCs w:val="22"/>
          <w:lang w:val="en-GB"/>
        </w:rPr>
        <w:t>Melbourne, Parkville, V</w:t>
      </w:r>
      <w:r>
        <w:rPr>
          <w:sz w:val="22"/>
          <w:szCs w:val="22"/>
          <w:lang w:val="en-GB"/>
        </w:rPr>
        <w:t>ictoria</w:t>
      </w:r>
      <w:r w:rsidRPr="005D3A84">
        <w:rPr>
          <w:sz w:val="22"/>
          <w:szCs w:val="22"/>
          <w:lang w:val="en-GB"/>
        </w:rPr>
        <w:t>.</w:t>
      </w:r>
      <w:r>
        <w:rPr>
          <w:sz w:val="22"/>
          <w:szCs w:val="22"/>
          <w:lang w:val="en-GB"/>
        </w:rPr>
        <w:t xml:space="preserve"> </w:t>
      </w:r>
      <w:r w:rsidRPr="007F18D3">
        <w:rPr>
          <w:i/>
          <w:sz w:val="22"/>
          <w:szCs w:val="22"/>
          <w:lang w:val="en-GB"/>
        </w:rPr>
        <w:t>Potential impact of a farm forestry industry on the Goulburn regional economy</w:t>
      </w:r>
    </w:p>
    <w:p w14:paraId="6F935B1B" w14:textId="1F66E9B6" w:rsidR="00491210" w:rsidRPr="007F18D3" w:rsidRDefault="00EE200C" w:rsidP="007F18D3">
      <w:pPr>
        <w:spacing w:after="240"/>
        <w:rPr>
          <w:color w:val="000000"/>
          <w:sz w:val="22"/>
          <w:szCs w:val="22"/>
          <w:lang w:eastAsia="en-AU"/>
        </w:rPr>
      </w:pPr>
      <w:r w:rsidRPr="005D3A84">
        <w:rPr>
          <w:sz w:val="22"/>
          <w:szCs w:val="22"/>
          <w:lang w:val="en-GB"/>
        </w:rPr>
        <w:t xml:space="preserve">BSc (1992) (Hons </w:t>
      </w:r>
      <w:r>
        <w:rPr>
          <w:sz w:val="22"/>
          <w:szCs w:val="22"/>
          <w:lang w:val="en-GB"/>
        </w:rPr>
        <w:t>–</w:t>
      </w:r>
      <w:r w:rsidRPr="005D3A84">
        <w:rPr>
          <w:sz w:val="22"/>
          <w:szCs w:val="22"/>
          <w:lang w:val="en-GB"/>
        </w:rPr>
        <w:t xml:space="preserve"> Mathemati</w:t>
      </w:r>
      <w:r>
        <w:rPr>
          <w:sz w:val="22"/>
          <w:szCs w:val="22"/>
          <w:lang w:val="en-GB"/>
        </w:rPr>
        <w:t>cs</w:t>
      </w:r>
      <w:r w:rsidRPr="005D3A84">
        <w:rPr>
          <w:sz w:val="22"/>
          <w:szCs w:val="22"/>
          <w:lang w:val="en-GB"/>
        </w:rPr>
        <w:t>), La Trobe University, Bundoora, V</w:t>
      </w:r>
      <w:r>
        <w:rPr>
          <w:sz w:val="22"/>
          <w:szCs w:val="22"/>
          <w:lang w:val="en-GB"/>
        </w:rPr>
        <w:t>ictoria</w:t>
      </w:r>
    </w:p>
    <w:p w14:paraId="420A9249" w14:textId="22288284" w:rsidR="00491210" w:rsidRPr="001C00B2" w:rsidRDefault="00EE200C" w:rsidP="007F18D3">
      <w:pPr>
        <w:pStyle w:val="PopModCVheading"/>
      </w:pPr>
      <w:r w:rsidRPr="001C00B2">
        <w:t>Professional memberships and affiliations</w:t>
      </w:r>
    </w:p>
    <w:p w14:paraId="45ADE4EF" w14:textId="4A9D5F7E" w:rsidR="00491210" w:rsidRPr="00F17A70" w:rsidRDefault="00EE200C" w:rsidP="007F18D3">
      <w:pPr>
        <w:spacing w:after="240"/>
        <w:rPr>
          <w:color w:val="000000"/>
          <w:sz w:val="22"/>
          <w:szCs w:val="22"/>
          <w:lang w:eastAsia="en-AU"/>
        </w:rPr>
      </w:pPr>
      <w:r w:rsidRPr="005D3A84">
        <w:rPr>
          <w:sz w:val="22"/>
          <w:szCs w:val="22"/>
          <w:lang w:val="en-GB"/>
        </w:rPr>
        <w:t>Australian Society for Fish Biology</w:t>
      </w:r>
      <w:r>
        <w:rPr>
          <w:sz w:val="22"/>
          <w:szCs w:val="22"/>
          <w:lang w:val="en-GB"/>
        </w:rPr>
        <w:t xml:space="preserve">: </w:t>
      </w:r>
      <w:r w:rsidRPr="005D3A84">
        <w:rPr>
          <w:sz w:val="22"/>
          <w:szCs w:val="22"/>
          <w:lang w:val="en-GB"/>
        </w:rPr>
        <w:t>Secretary for the Australian Society for Fish Biology</w:t>
      </w:r>
      <w:r>
        <w:rPr>
          <w:sz w:val="22"/>
          <w:szCs w:val="22"/>
          <w:lang w:val="en-GB"/>
        </w:rPr>
        <w:t>—</w:t>
      </w:r>
      <w:r w:rsidRPr="005D3A84">
        <w:rPr>
          <w:sz w:val="22"/>
          <w:szCs w:val="22"/>
          <w:lang w:val="en-GB"/>
        </w:rPr>
        <w:t xml:space="preserve">Life Member </w:t>
      </w:r>
      <w:r>
        <w:rPr>
          <w:sz w:val="22"/>
          <w:szCs w:val="22"/>
          <w:lang w:val="en-GB"/>
        </w:rPr>
        <w:t>and</w:t>
      </w:r>
      <w:r w:rsidRPr="005D3A84">
        <w:rPr>
          <w:sz w:val="22"/>
          <w:szCs w:val="22"/>
          <w:lang w:val="en-GB"/>
        </w:rPr>
        <w:t xml:space="preserve"> Hall of Fame inductee</w:t>
      </w:r>
    </w:p>
    <w:p w14:paraId="6E312176" w14:textId="6942175E" w:rsidR="00491210" w:rsidRPr="001C00B2" w:rsidRDefault="00EE200C" w:rsidP="007F18D3">
      <w:pPr>
        <w:pStyle w:val="PopModCVheading"/>
      </w:pPr>
      <w:r w:rsidRPr="007F18D3">
        <w:t>Relevant e</w:t>
      </w:r>
      <w:r w:rsidRPr="001C00B2">
        <w:t>xpertise</w:t>
      </w:r>
    </w:p>
    <w:p w14:paraId="6DDD8E8C" w14:textId="082F2988" w:rsidR="00491210" w:rsidRPr="007F18D3" w:rsidRDefault="00EE200C" w:rsidP="007F18D3">
      <w:pPr>
        <w:pStyle w:val="ListParagraph"/>
        <w:numPr>
          <w:ilvl w:val="0"/>
          <w:numId w:val="48"/>
        </w:numPr>
        <w:spacing w:before="240" w:after="240"/>
        <w:rPr>
          <w:color w:val="000000"/>
          <w:sz w:val="22"/>
          <w:szCs w:val="22"/>
        </w:rPr>
      </w:pPr>
      <w:r w:rsidRPr="007F18D3">
        <w:rPr>
          <w:rFonts w:ascii="Arial" w:hAnsi="Arial"/>
          <w:color w:val="000000"/>
          <w:sz w:val="22"/>
          <w:szCs w:val="22"/>
        </w:rPr>
        <w:t>Mathematical modelling</w:t>
      </w:r>
    </w:p>
    <w:p w14:paraId="67B2733D" w14:textId="5C33F96D" w:rsidR="00491210" w:rsidRPr="007F18D3" w:rsidRDefault="00EE200C" w:rsidP="007F18D3">
      <w:pPr>
        <w:pStyle w:val="ListParagraph"/>
        <w:numPr>
          <w:ilvl w:val="0"/>
          <w:numId w:val="48"/>
        </w:numPr>
        <w:spacing w:before="240" w:after="240"/>
        <w:rPr>
          <w:color w:val="000000"/>
          <w:sz w:val="22"/>
          <w:szCs w:val="22"/>
        </w:rPr>
      </w:pPr>
      <w:r w:rsidRPr="007F18D3">
        <w:rPr>
          <w:rFonts w:ascii="Arial" w:hAnsi="Arial"/>
          <w:color w:val="000000"/>
          <w:sz w:val="22"/>
          <w:szCs w:val="22"/>
        </w:rPr>
        <w:t>Risk assessment</w:t>
      </w:r>
    </w:p>
    <w:p w14:paraId="43FBD808" w14:textId="69E38C59" w:rsidR="00491210" w:rsidRPr="007F18D3" w:rsidRDefault="00EE200C" w:rsidP="007F18D3">
      <w:pPr>
        <w:pStyle w:val="ListParagraph"/>
        <w:numPr>
          <w:ilvl w:val="0"/>
          <w:numId w:val="48"/>
        </w:numPr>
        <w:spacing w:before="240" w:after="240"/>
        <w:rPr>
          <w:color w:val="000000"/>
          <w:sz w:val="22"/>
          <w:szCs w:val="22"/>
        </w:rPr>
      </w:pPr>
      <w:r w:rsidRPr="007F18D3">
        <w:rPr>
          <w:rFonts w:ascii="Arial" w:hAnsi="Arial"/>
          <w:color w:val="000000"/>
          <w:sz w:val="22"/>
          <w:szCs w:val="22"/>
        </w:rPr>
        <w:t>Population model development</w:t>
      </w:r>
    </w:p>
    <w:p w14:paraId="2F9B81D3" w14:textId="04F43149" w:rsidR="00491210" w:rsidRPr="007F18D3" w:rsidRDefault="00EE200C" w:rsidP="007F18D3">
      <w:pPr>
        <w:pStyle w:val="ListParagraph"/>
        <w:numPr>
          <w:ilvl w:val="0"/>
          <w:numId w:val="48"/>
        </w:numPr>
        <w:spacing w:before="240" w:after="240"/>
        <w:rPr>
          <w:color w:val="000000"/>
          <w:sz w:val="22"/>
          <w:szCs w:val="22"/>
        </w:rPr>
      </w:pPr>
      <w:r w:rsidRPr="007F18D3">
        <w:rPr>
          <w:rFonts w:ascii="Arial" w:hAnsi="Arial"/>
          <w:color w:val="000000"/>
          <w:sz w:val="22"/>
          <w:szCs w:val="22"/>
        </w:rPr>
        <w:t>Uncertainty analysis</w:t>
      </w:r>
    </w:p>
    <w:p w14:paraId="7BD04A19" w14:textId="3099B500" w:rsidR="00491210" w:rsidRPr="007F18D3" w:rsidRDefault="00EE200C" w:rsidP="007F18D3">
      <w:pPr>
        <w:pStyle w:val="ListParagraph"/>
        <w:numPr>
          <w:ilvl w:val="0"/>
          <w:numId w:val="48"/>
        </w:numPr>
        <w:spacing w:before="240" w:after="240"/>
        <w:rPr>
          <w:color w:val="000000"/>
          <w:sz w:val="22"/>
          <w:szCs w:val="22"/>
        </w:rPr>
      </w:pPr>
      <w:r w:rsidRPr="007F18D3">
        <w:rPr>
          <w:rFonts w:ascii="Arial" w:hAnsi="Arial"/>
          <w:color w:val="000000"/>
          <w:sz w:val="22"/>
          <w:szCs w:val="22"/>
        </w:rPr>
        <w:t>Quantitative policy analysis</w:t>
      </w:r>
    </w:p>
    <w:p w14:paraId="00B7A81B" w14:textId="0E8C5FD6" w:rsidR="00491210" w:rsidRPr="007F18D3" w:rsidRDefault="00EE200C" w:rsidP="007F18D3">
      <w:pPr>
        <w:pStyle w:val="ListParagraph"/>
        <w:numPr>
          <w:ilvl w:val="0"/>
          <w:numId w:val="48"/>
        </w:numPr>
        <w:spacing w:before="240" w:after="240"/>
        <w:rPr>
          <w:color w:val="000000"/>
          <w:sz w:val="22"/>
          <w:szCs w:val="22"/>
        </w:rPr>
      </w:pPr>
      <w:r w:rsidRPr="007F18D3">
        <w:rPr>
          <w:rFonts w:ascii="Arial" w:hAnsi="Arial"/>
          <w:color w:val="000000"/>
          <w:sz w:val="22"/>
          <w:szCs w:val="22"/>
        </w:rPr>
        <w:t>Statistical modelling</w:t>
      </w:r>
    </w:p>
    <w:p w14:paraId="2A8DEC10" w14:textId="3A455914" w:rsidR="00491210" w:rsidRPr="00F17A70" w:rsidRDefault="00EE200C" w:rsidP="007F18D3">
      <w:pPr>
        <w:pStyle w:val="ListParagraph"/>
        <w:numPr>
          <w:ilvl w:val="0"/>
          <w:numId w:val="48"/>
        </w:numPr>
        <w:spacing w:before="240" w:after="240"/>
        <w:rPr>
          <w:color w:val="000000"/>
          <w:sz w:val="22"/>
          <w:szCs w:val="22"/>
        </w:rPr>
      </w:pPr>
      <w:r w:rsidRPr="007F18D3">
        <w:rPr>
          <w:rFonts w:ascii="Arial" w:hAnsi="Arial"/>
          <w:color w:val="000000"/>
          <w:sz w:val="22"/>
          <w:szCs w:val="22"/>
        </w:rPr>
        <w:t>Threatened species assessment</w:t>
      </w:r>
    </w:p>
    <w:p w14:paraId="5AAA18BA" w14:textId="3670D7CC" w:rsidR="00491210" w:rsidRPr="007F18D3" w:rsidRDefault="00EE200C" w:rsidP="007F18D3">
      <w:pPr>
        <w:pStyle w:val="PopModCVheading"/>
        <w:rPr>
          <w:b w:val="0"/>
          <w:bCs w:val="0"/>
        </w:rPr>
      </w:pPr>
      <w:r>
        <w:t>Summary of competencies</w:t>
      </w:r>
    </w:p>
    <w:p w14:paraId="70FC0BB4" w14:textId="00D38E12" w:rsidR="00491210" w:rsidRDefault="00EE200C" w:rsidP="007F18D3">
      <w:pPr>
        <w:spacing w:after="240"/>
        <w:rPr>
          <w:sz w:val="22"/>
          <w:szCs w:val="22"/>
        </w:rPr>
      </w:pPr>
      <w:r w:rsidRPr="23216F23">
        <w:rPr>
          <w:sz w:val="22"/>
          <w:szCs w:val="22"/>
        </w:rPr>
        <w:t>Charles has 20</w:t>
      </w:r>
      <w:r>
        <w:rPr>
          <w:sz w:val="22"/>
          <w:szCs w:val="22"/>
        </w:rPr>
        <w:t> </w:t>
      </w:r>
      <w:r w:rsidRPr="23216F23">
        <w:rPr>
          <w:sz w:val="22"/>
          <w:szCs w:val="22"/>
        </w:rPr>
        <w:t>years</w:t>
      </w:r>
      <w:r>
        <w:rPr>
          <w:sz w:val="22"/>
          <w:szCs w:val="22"/>
        </w:rPr>
        <w:t>’</w:t>
      </w:r>
      <w:r w:rsidRPr="23216F23">
        <w:rPr>
          <w:sz w:val="22"/>
          <w:szCs w:val="22"/>
        </w:rPr>
        <w:t xml:space="preserve"> experience as a Senior Scientist in the Applied Aquatic Ecology Section at the Arthur Rylah Institute for Environmental Research. </w:t>
      </w:r>
      <w:r>
        <w:rPr>
          <w:sz w:val="22"/>
          <w:szCs w:val="22"/>
        </w:rPr>
        <w:t>He</w:t>
      </w:r>
      <w:r w:rsidRPr="23216F23">
        <w:rPr>
          <w:sz w:val="22"/>
          <w:szCs w:val="22"/>
        </w:rPr>
        <w:t xml:space="preserve"> provides expertise across ARI on developing population models to address key management and research questions affecting a variety of terrestrial and aquatic biota. His work has covered a range of issues</w:t>
      </w:r>
      <w:r>
        <w:rPr>
          <w:sz w:val="22"/>
          <w:szCs w:val="22"/>
        </w:rPr>
        <w:t>,</w:t>
      </w:r>
      <w:r w:rsidRPr="23216F23">
        <w:rPr>
          <w:sz w:val="22"/>
          <w:szCs w:val="22"/>
        </w:rPr>
        <w:t xml:space="preserve"> from threatened species to invasive species, from developing population models for small</w:t>
      </w:r>
      <w:r>
        <w:rPr>
          <w:sz w:val="22"/>
          <w:szCs w:val="22"/>
        </w:rPr>
        <w:t>, localised</w:t>
      </w:r>
      <w:r w:rsidRPr="23216F23">
        <w:rPr>
          <w:sz w:val="22"/>
          <w:szCs w:val="22"/>
        </w:rPr>
        <w:t xml:space="preserve"> endemic species to population models addressing management questions at the scale of the Murray</w:t>
      </w:r>
      <w:r>
        <w:rPr>
          <w:sz w:val="22"/>
          <w:szCs w:val="22"/>
        </w:rPr>
        <w:t>–</w:t>
      </w:r>
      <w:r w:rsidRPr="23216F23">
        <w:rPr>
          <w:sz w:val="22"/>
          <w:szCs w:val="22"/>
        </w:rPr>
        <w:t>Darling Basin. Charles works closely with a variety of agencies</w:t>
      </w:r>
      <w:r>
        <w:rPr>
          <w:sz w:val="22"/>
          <w:szCs w:val="22"/>
        </w:rPr>
        <w:t>,</w:t>
      </w:r>
      <w:r w:rsidRPr="23216F23">
        <w:rPr>
          <w:sz w:val="22"/>
          <w:szCs w:val="22"/>
        </w:rPr>
        <w:t xml:space="preserve"> including local, interstate and international organisations. </w:t>
      </w:r>
      <w:r>
        <w:rPr>
          <w:sz w:val="22"/>
          <w:szCs w:val="22"/>
        </w:rPr>
        <w:t>His</w:t>
      </w:r>
      <w:r w:rsidRPr="23216F23">
        <w:rPr>
          <w:sz w:val="22"/>
          <w:szCs w:val="22"/>
        </w:rPr>
        <w:t xml:space="preserve"> </w:t>
      </w:r>
      <w:r>
        <w:rPr>
          <w:sz w:val="22"/>
          <w:szCs w:val="22"/>
        </w:rPr>
        <w:t xml:space="preserve">particular </w:t>
      </w:r>
      <w:r w:rsidRPr="23216F23">
        <w:rPr>
          <w:sz w:val="22"/>
          <w:szCs w:val="22"/>
        </w:rPr>
        <w:t>interest l</w:t>
      </w:r>
      <w:r>
        <w:rPr>
          <w:sz w:val="22"/>
          <w:szCs w:val="22"/>
        </w:rPr>
        <w:t>ie</w:t>
      </w:r>
      <w:r w:rsidRPr="23216F23">
        <w:rPr>
          <w:sz w:val="22"/>
          <w:szCs w:val="22"/>
        </w:rPr>
        <w:t xml:space="preserve">s in quantifying risk and uncertainty in management actions and providing advice on available management options to better manage the species of concern. </w:t>
      </w:r>
      <w:r>
        <w:rPr>
          <w:sz w:val="22"/>
          <w:szCs w:val="22"/>
        </w:rPr>
        <w:t>He</w:t>
      </w:r>
      <w:r w:rsidRPr="23216F23">
        <w:rPr>
          <w:sz w:val="22"/>
          <w:szCs w:val="22"/>
        </w:rPr>
        <w:t xml:space="preserve"> has developed population risk models for a number of </w:t>
      </w:r>
      <w:r>
        <w:rPr>
          <w:sz w:val="22"/>
          <w:szCs w:val="22"/>
        </w:rPr>
        <w:t xml:space="preserve">MDB </w:t>
      </w:r>
      <w:r w:rsidRPr="23216F23">
        <w:rPr>
          <w:sz w:val="22"/>
          <w:szCs w:val="22"/>
        </w:rPr>
        <w:t>fishes to address management concerns</w:t>
      </w:r>
      <w:r>
        <w:rPr>
          <w:sz w:val="22"/>
          <w:szCs w:val="22"/>
        </w:rPr>
        <w:t>,</w:t>
      </w:r>
      <w:r w:rsidRPr="23216F23">
        <w:rPr>
          <w:sz w:val="22"/>
          <w:szCs w:val="22"/>
        </w:rPr>
        <w:t xml:space="preserve"> including: coldwater pollution; recreational fishing; invasive species; barriers to movement; and impacts of flow.</w:t>
      </w:r>
    </w:p>
    <w:p w14:paraId="01D1E03D" w14:textId="6410CDAD" w:rsidR="00491210" w:rsidRPr="00E2785E" w:rsidRDefault="00EE200C" w:rsidP="007F18D3">
      <w:pPr>
        <w:pStyle w:val="PopModCVheading"/>
      </w:pPr>
      <w:r>
        <w:t>Relevant experience</w:t>
      </w:r>
    </w:p>
    <w:p w14:paraId="511991B0" w14:textId="7CA7E85A" w:rsidR="00491210" w:rsidRPr="00585A2C" w:rsidRDefault="00EE200C" w:rsidP="00836EC5">
      <w:pPr>
        <w:pStyle w:val="Bodynarrowbullet"/>
        <w:numPr>
          <w:ilvl w:val="0"/>
          <w:numId w:val="11"/>
        </w:numPr>
        <w:rPr>
          <w:rFonts w:ascii="Arial" w:eastAsia="Arial" w:hAnsi="Arial" w:cs="Arial"/>
          <w:sz w:val="22"/>
          <w:szCs w:val="22"/>
        </w:rPr>
      </w:pPr>
      <w:r w:rsidRPr="358D0A8B">
        <w:rPr>
          <w:rFonts w:ascii="Arial" w:hAnsi="Arial" w:cs="Arial"/>
          <w:sz w:val="22"/>
          <w:szCs w:val="22"/>
        </w:rPr>
        <w:t>Lead</w:t>
      </w:r>
      <w:r>
        <w:rPr>
          <w:rFonts w:ascii="Arial" w:hAnsi="Arial" w:cs="Arial"/>
          <w:sz w:val="22"/>
          <w:szCs w:val="22"/>
        </w:rPr>
        <w:t>—</w:t>
      </w:r>
      <w:r w:rsidRPr="358D0A8B">
        <w:rPr>
          <w:rFonts w:ascii="Arial" w:hAnsi="Arial" w:cs="Arial"/>
          <w:sz w:val="22"/>
          <w:szCs w:val="22"/>
        </w:rPr>
        <w:t>Lungfish Population Viability Analysis (PVA) Model</w:t>
      </w:r>
    </w:p>
    <w:p w14:paraId="5CF6F28A" w14:textId="0B21A23E" w:rsidR="00491210" w:rsidRPr="00585A2C" w:rsidRDefault="00EE200C" w:rsidP="00836EC5">
      <w:pPr>
        <w:pStyle w:val="Bodynarrowbullet"/>
        <w:numPr>
          <w:ilvl w:val="0"/>
          <w:numId w:val="11"/>
        </w:numPr>
        <w:rPr>
          <w:rFonts w:ascii="Arial" w:eastAsia="Arial" w:hAnsi="Arial" w:cs="Arial"/>
          <w:sz w:val="22"/>
          <w:szCs w:val="22"/>
        </w:rPr>
      </w:pPr>
      <w:r w:rsidRPr="358D0A8B">
        <w:rPr>
          <w:rFonts w:ascii="Arial" w:hAnsi="Arial" w:cs="Arial"/>
          <w:sz w:val="22"/>
          <w:szCs w:val="22"/>
        </w:rPr>
        <w:t>Scientist</w:t>
      </w:r>
      <w:r>
        <w:rPr>
          <w:rFonts w:ascii="Arial" w:hAnsi="Arial" w:cs="Arial"/>
          <w:sz w:val="22"/>
          <w:szCs w:val="22"/>
        </w:rPr>
        <w:t>—Murray–Darling Basin Authority</w:t>
      </w:r>
      <w:r w:rsidRPr="358D0A8B">
        <w:rPr>
          <w:rFonts w:ascii="Arial" w:hAnsi="Arial" w:cs="Arial"/>
          <w:sz w:val="22"/>
          <w:szCs w:val="22"/>
        </w:rPr>
        <w:t xml:space="preserve"> Native Fish Models</w:t>
      </w:r>
    </w:p>
    <w:p w14:paraId="08C37DAA" w14:textId="44EC131D" w:rsidR="00491210" w:rsidRPr="00585A2C" w:rsidRDefault="00EE200C" w:rsidP="00836EC5">
      <w:pPr>
        <w:pStyle w:val="Bodynarrowbullet"/>
        <w:numPr>
          <w:ilvl w:val="0"/>
          <w:numId w:val="11"/>
        </w:numPr>
        <w:rPr>
          <w:rFonts w:ascii="Arial" w:eastAsia="Arial" w:hAnsi="Arial" w:cs="Arial"/>
          <w:sz w:val="22"/>
          <w:szCs w:val="22"/>
        </w:rPr>
      </w:pPr>
      <w:r w:rsidRPr="358D0A8B">
        <w:rPr>
          <w:rFonts w:ascii="Arial" w:hAnsi="Arial" w:cs="Arial"/>
          <w:sz w:val="22"/>
          <w:szCs w:val="22"/>
        </w:rPr>
        <w:t>Scientist</w:t>
      </w:r>
      <w:r>
        <w:rPr>
          <w:rFonts w:ascii="Arial" w:hAnsi="Arial" w:cs="Arial"/>
          <w:sz w:val="22"/>
          <w:szCs w:val="22"/>
        </w:rPr>
        <w:t>—</w:t>
      </w:r>
      <w:r w:rsidRPr="358D0A8B">
        <w:rPr>
          <w:rFonts w:ascii="Arial" w:hAnsi="Arial" w:cs="Arial"/>
          <w:sz w:val="22"/>
          <w:szCs w:val="22"/>
        </w:rPr>
        <w:t>Carp Biomass Project – National Carp Control Program</w:t>
      </w:r>
    </w:p>
    <w:p w14:paraId="4EB89AF4" w14:textId="4AEBE02A" w:rsidR="00491210" w:rsidRPr="00585A2C" w:rsidRDefault="00EE200C" w:rsidP="00836EC5">
      <w:pPr>
        <w:pStyle w:val="Bodynarrowbullet"/>
        <w:numPr>
          <w:ilvl w:val="0"/>
          <w:numId w:val="11"/>
        </w:numPr>
        <w:spacing w:after="480"/>
        <w:rPr>
          <w:rFonts w:ascii="Arial" w:eastAsia="Arial" w:hAnsi="Arial" w:cs="Arial"/>
          <w:sz w:val="22"/>
          <w:szCs w:val="22"/>
        </w:rPr>
      </w:pPr>
      <w:r w:rsidRPr="358D0A8B">
        <w:rPr>
          <w:rFonts w:ascii="Arial" w:hAnsi="Arial" w:cs="Arial"/>
          <w:sz w:val="22"/>
          <w:szCs w:val="22"/>
        </w:rPr>
        <w:t>Member</w:t>
      </w:r>
      <w:r>
        <w:rPr>
          <w:rFonts w:ascii="Arial" w:hAnsi="Arial" w:cs="Arial"/>
          <w:sz w:val="22"/>
          <w:szCs w:val="22"/>
        </w:rPr>
        <w:t>—</w:t>
      </w:r>
      <w:r w:rsidRPr="358D0A8B">
        <w:rPr>
          <w:rFonts w:ascii="Arial" w:hAnsi="Arial" w:cs="Arial"/>
          <w:sz w:val="22"/>
          <w:szCs w:val="22"/>
        </w:rPr>
        <w:t xml:space="preserve">MER Basin Scale </w:t>
      </w:r>
      <w:r>
        <w:rPr>
          <w:rFonts w:ascii="Arial" w:hAnsi="Arial" w:cs="Arial"/>
          <w:sz w:val="22"/>
          <w:szCs w:val="22"/>
        </w:rPr>
        <w:t>F</w:t>
      </w:r>
      <w:r w:rsidRPr="358D0A8B">
        <w:rPr>
          <w:rFonts w:ascii="Arial" w:hAnsi="Arial" w:cs="Arial"/>
          <w:sz w:val="22"/>
          <w:szCs w:val="22"/>
        </w:rPr>
        <w:t>ish Team</w:t>
      </w:r>
    </w:p>
    <w:p w14:paraId="1B1D6553" w14:textId="5038C4F2" w:rsidR="00491210" w:rsidRPr="007F18D3" w:rsidRDefault="00EE200C" w:rsidP="007F18D3">
      <w:pPr>
        <w:pStyle w:val="PopModCVheading"/>
        <w:rPr>
          <w:b w:val="0"/>
          <w:bCs w:val="0"/>
        </w:rPr>
      </w:pPr>
      <w:r w:rsidRPr="00E2785E">
        <w:lastRenderedPageBreak/>
        <w:t>Selected publications</w:t>
      </w:r>
    </w:p>
    <w:p w14:paraId="6B94226E" w14:textId="0A29097E" w:rsidR="00491210" w:rsidRDefault="00EE200C" w:rsidP="00A94F87">
      <w:pPr>
        <w:spacing w:before="240" w:after="240"/>
        <w:ind w:left="567" w:hanging="567"/>
        <w:rPr>
          <w:color w:val="000000"/>
          <w:sz w:val="22"/>
          <w:szCs w:val="22"/>
          <w:lang w:eastAsia="en-AU"/>
        </w:rPr>
      </w:pPr>
      <w:r w:rsidRPr="23216F23">
        <w:rPr>
          <w:color w:val="000000"/>
          <w:sz w:val="22"/>
          <w:szCs w:val="22"/>
          <w:lang w:eastAsia="en-AU"/>
        </w:rPr>
        <w:t>Tonkin, Z., Yen, J., Lyon, J., Kitchingman, A., Koehn, J.D., Koster, W.M., Lieschke, J., Raymond,</w:t>
      </w:r>
      <w:r>
        <w:rPr>
          <w:color w:val="000000"/>
          <w:sz w:val="22"/>
          <w:szCs w:val="22"/>
          <w:lang w:eastAsia="en-AU"/>
        </w:rPr>
        <w:t> </w:t>
      </w:r>
      <w:r w:rsidRPr="23216F23">
        <w:rPr>
          <w:color w:val="000000"/>
          <w:sz w:val="22"/>
          <w:szCs w:val="22"/>
          <w:lang w:eastAsia="en-AU"/>
        </w:rPr>
        <w:t xml:space="preserve">S., Sharley, J., Stuart, I. and </w:t>
      </w:r>
      <w:r w:rsidRPr="007F18D3">
        <w:rPr>
          <w:b/>
          <w:color w:val="000000"/>
          <w:sz w:val="22"/>
          <w:szCs w:val="22"/>
          <w:lang w:eastAsia="en-AU"/>
        </w:rPr>
        <w:t>Todd, C.</w:t>
      </w:r>
      <w:r w:rsidRPr="23216F23">
        <w:rPr>
          <w:color w:val="000000"/>
          <w:sz w:val="22"/>
          <w:szCs w:val="22"/>
          <w:lang w:eastAsia="en-AU"/>
        </w:rPr>
        <w:t xml:space="preserve"> </w:t>
      </w:r>
      <w:r>
        <w:rPr>
          <w:color w:val="000000"/>
          <w:sz w:val="22"/>
          <w:szCs w:val="22"/>
          <w:lang w:eastAsia="en-AU"/>
        </w:rPr>
        <w:t>(</w:t>
      </w:r>
      <w:r w:rsidRPr="23216F23">
        <w:rPr>
          <w:color w:val="000000"/>
          <w:sz w:val="22"/>
          <w:szCs w:val="22"/>
          <w:lang w:eastAsia="en-AU"/>
        </w:rPr>
        <w:t>2021</w:t>
      </w:r>
      <w:r>
        <w:rPr>
          <w:color w:val="000000"/>
          <w:sz w:val="22"/>
          <w:szCs w:val="22"/>
          <w:lang w:eastAsia="en-AU"/>
        </w:rPr>
        <w:t>)</w:t>
      </w:r>
      <w:r w:rsidRPr="23216F23">
        <w:rPr>
          <w:color w:val="000000"/>
          <w:sz w:val="22"/>
          <w:szCs w:val="22"/>
          <w:lang w:eastAsia="en-AU"/>
        </w:rPr>
        <w:t xml:space="preserve">. Linking flow attributes to recruitment to inform water management for an Australian freshwater fish with an equilibrium life-history strategy. </w:t>
      </w:r>
      <w:r w:rsidRPr="23216F23">
        <w:rPr>
          <w:i/>
          <w:iCs/>
          <w:color w:val="000000"/>
          <w:sz w:val="22"/>
          <w:szCs w:val="22"/>
          <w:lang w:eastAsia="en-AU"/>
        </w:rPr>
        <w:t>The</w:t>
      </w:r>
      <w:r w:rsidRPr="23216F23">
        <w:rPr>
          <w:color w:val="000000"/>
          <w:sz w:val="22"/>
          <w:szCs w:val="22"/>
          <w:lang w:eastAsia="en-AU"/>
        </w:rPr>
        <w:t xml:space="preserve"> </w:t>
      </w:r>
      <w:r w:rsidRPr="23216F23">
        <w:rPr>
          <w:i/>
          <w:iCs/>
          <w:color w:val="000000"/>
          <w:sz w:val="22"/>
          <w:szCs w:val="22"/>
          <w:lang w:eastAsia="en-AU"/>
        </w:rPr>
        <w:t>Science of the Total Environment</w:t>
      </w:r>
      <w:r w:rsidRPr="23216F23">
        <w:rPr>
          <w:color w:val="000000"/>
          <w:sz w:val="22"/>
          <w:szCs w:val="22"/>
          <w:lang w:eastAsia="en-AU"/>
        </w:rPr>
        <w:t xml:space="preserve"> </w:t>
      </w:r>
      <w:r w:rsidRPr="007F18D3">
        <w:rPr>
          <w:b/>
          <w:color w:val="000000"/>
          <w:sz w:val="22"/>
          <w:szCs w:val="22"/>
          <w:lang w:eastAsia="en-AU"/>
        </w:rPr>
        <w:t>752</w:t>
      </w:r>
      <w:r w:rsidRPr="23216F23">
        <w:rPr>
          <w:color w:val="000000"/>
          <w:sz w:val="22"/>
          <w:szCs w:val="22"/>
          <w:lang w:eastAsia="en-AU"/>
        </w:rPr>
        <w:t>, 141863.</w:t>
      </w:r>
    </w:p>
    <w:p w14:paraId="2CF9BE7D" w14:textId="0C0F961B" w:rsidR="00491210" w:rsidRDefault="00EE200C" w:rsidP="00A94F87">
      <w:pPr>
        <w:spacing w:before="240" w:after="240"/>
        <w:ind w:left="567" w:hanging="567"/>
        <w:rPr>
          <w:color w:val="000000"/>
          <w:sz w:val="22"/>
          <w:szCs w:val="22"/>
          <w:lang w:eastAsia="en-AU"/>
        </w:rPr>
      </w:pPr>
      <w:r w:rsidRPr="23216F23">
        <w:rPr>
          <w:color w:val="000000"/>
          <w:sz w:val="22"/>
          <w:szCs w:val="22"/>
          <w:lang w:eastAsia="en-AU"/>
        </w:rPr>
        <w:t xml:space="preserve">Koehn, J.D., Raymond, S.A., Stuart, I., </w:t>
      </w:r>
      <w:r w:rsidRPr="007F18D3">
        <w:rPr>
          <w:b/>
          <w:color w:val="000000"/>
          <w:sz w:val="22"/>
          <w:szCs w:val="22"/>
          <w:lang w:eastAsia="en-AU"/>
        </w:rPr>
        <w:t>Todd, C.R.</w:t>
      </w:r>
      <w:r w:rsidRPr="23216F23">
        <w:rPr>
          <w:color w:val="000000"/>
          <w:sz w:val="22"/>
          <w:szCs w:val="22"/>
          <w:lang w:eastAsia="en-AU"/>
        </w:rPr>
        <w:t xml:space="preserve">, et al. </w:t>
      </w:r>
      <w:r>
        <w:rPr>
          <w:color w:val="000000"/>
          <w:sz w:val="22"/>
          <w:szCs w:val="22"/>
          <w:lang w:eastAsia="en-AU"/>
        </w:rPr>
        <w:t>(</w:t>
      </w:r>
      <w:r w:rsidRPr="23216F23">
        <w:rPr>
          <w:color w:val="000000"/>
          <w:sz w:val="22"/>
          <w:szCs w:val="22"/>
          <w:lang w:eastAsia="en-AU"/>
        </w:rPr>
        <w:t>2020</w:t>
      </w:r>
      <w:r>
        <w:rPr>
          <w:color w:val="000000"/>
          <w:sz w:val="22"/>
          <w:szCs w:val="22"/>
          <w:lang w:eastAsia="en-AU"/>
        </w:rPr>
        <w:t>)</w:t>
      </w:r>
      <w:r w:rsidRPr="23216F23">
        <w:rPr>
          <w:color w:val="000000"/>
          <w:sz w:val="22"/>
          <w:szCs w:val="22"/>
          <w:lang w:eastAsia="en-AU"/>
        </w:rPr>
        <w:t xml:space="preserve">. A compendium of ecological knowledge for restoration of freshwater fishes in the Murray–Darling Basin. </w:t>
      </w:r>
      <w:r w:rsidRPr="23216F23">
        <w:rPr>
          <w:i/>
          <w:iCs/>
          <w:color w:val="000000"/>
          <w:sz w:val="22"/>
          <w:szCs w:val="22"/>
          <w:lang w:eastAsia="en-AU"/>
        </w:rPr>
        <w:t>Marine and Freshwater</w:t>
      </w:r>
      <w:r w:rsidRPr="23216F23">
        <w:rPr>
          <w:color w:val="000000"/>
          <w:sz w:val="22"/>
          <w:szCs w:val="22"/>
          <w:lang w:eastAsia="en-AU"/>
        </w:rPr>
        <w:t xml:space="preserve"> </w:t>
      </w:r>
      <w:r w:rsidRPr="23216F23">
        <w:rPr>
          <w:i/>
          <w:iCs/>
          <w:color w:val="000000"/>
          <w:sz w:val="22"/>
          <w:szCs w:val="22"/>
          <w:lang w:eastAsia="en-AU"/>
        </w:rPr>
        <w:t>Research</w:t>
      </w:r>
      <w:r w:rsidRPr="23216F23">
        <w:rPr>
          <w:color w:val="000000"/>
          <w:sz w:val="22"/>
          <w:szCs w:val="22"/>
          <w:lang w:eastAsia="en-AU"/>
        </w:rPr>
        <w:t xml:space="preserve"> </w:t>
      </w:r>
      <w:r w:rsidRPr="007F18D3">
        <w:rPr>
          <w:b/>
          <w:color w:val="000000"/>
          <w:sz w:val="22"/>
          <w:szCs w:val="22"/>
          <w:lang w:eastAsia="en-AU"/>
        </w:rPr>
        <w:t>71</w:t>
      </w:r>
      <w:r w:rsidRPr="23216F23">
        <w:rPr>
          <w:color w:val="000000"/>
          <w:sz w:val="22"/>
          <w:szCs w:val="22"/>
          <w:lang w:eastAsia="en-AU"/>
        </w:rPr>
        <w:t>, 1391–1463.</w:t>
      </w:r>
    </w:p>
    <w:p w14:paraId="508E19EE" w14:textId="6BF76C55" w:rsidR="00491210" w:rsidRPr="008F2D4D" w:rsidRDefault="00EE200C" w:rsidP="00A94F87">
      <w:pPr>
        <w:spacing w:before="240" w:after="240"/>
        <w:ind w:left="567" w:hanging="567"/>
        <w:rPr>
          <w:color w:val="000000"/>
          <w:sz w:val="22"/>
          <w:szCs w:val="22"/>
          <w:lang w:eastAsia="en-AU"/>
        </w:rPr>
      </w:pPr>
      <w:r w:rsidRPr="23216F23">
        <w:rPr>
          <w:color w:val="000000"/>
          <w:sz w:val="22"/>
          <w:szCs w:val="22"/>
          <w:lang w:eastAsia="en-AU"/>
        </w:rPr>
        <w:t>Raymond, S.M.C.</w:t>
      </w:r>
      <w:r>
        <w:rPr>
          <w:color w:val="000000"/>
          <w:sz w:val="22"/>
          <w:szCs w:val="22"/>
          <w:lang w:eastAsia="en-AU"/>
        </w:rPr>
        <w:t xml:space="preserve"> and</w:t>
      </w:r>
      <w:r w:rsidRPr="23216F23">
        <w:rPr>
          <w:color w:val="000000"/>
          <w:sz w:val="22"/>
          <w:szCs w:val="22"/>
          <w:lang w:eastAsia="en-AU"/>
        </w:rPr>
        <w:t xml:space="preserve"> </w:t>
      </w:r>
      <w:r w:rsidRPr="007F18D3">
        <w:rPr>
          <w:b/>
          <w:color w:val="000000"/>
          <w:sz w:val="22"/>
          <w:szCs w:val="22"/>
          <w:lang w:eastAsia="en-AU"/>
        </w:rPr>
        <w:t>Todd, C.R.</w:t>
      </w:r>
      <w:r>
        <w:rPr>
          <w:color w:val="000000"/>
          <w:sz w:val="22"/>
          <w:szCs w:val="22"/>
          <w:lang w:eastAsia="en-AU"/>
        </w:rPr>
        <w:t xml:space="preserve"> (</w:t>
      </w:r>
      <w:r w:rsidRPr="23216F23">
        <w:rPr>
          <w:color w:val="000000"/>
          <w:sz w:val="22"/>
          <w:szCs w:val="22"/>
          <w:lang w:eastAsia="en-AU"/>
        </w:rPr>
        <w:t>2020</w:t>
      </w:r>
      <w:r>
        <w:rPr>
          <w:color w:val="000000"/>
          <w:sz w:val="22"/>
          <w:szCs w:val="22"/>
          <w:lang w:eastAsia="en-AU"/>
        </w:rPr>
        <w:t>)</w:t>
      </w:r>
      <w:r w:rsidRPr="23216F23">
        <w:rPr>
          <w:color w:val="000000"/>
          <w:sz w:val="22"/>
          <w:szCs w:val="22"/>
          <w:lang w:eastAsia="en-AU"/>
        </w:rPr>
        <w:t xml:space="preserve">. Assessing risks to threatened crayfish populations from sex-based harvesting and differential encounter rates: </w:t>
      </w:r>
      <w:r>
        <w:rPr>
          <w:color w:val="000000"/>
          <w:sz w:val="22"/>
          <w:szCs w:val="22"/>
          <w:lang w:eastAsia="en-AU"/>
        </w:rPr>
        <w:t>a</w:t>
      </w:r>
      <w:r w:rsidRPr="23216F23">
        <w:rPr>
          <w:color w:val="000000"/>
          <w:sz w:val="22"/>
          <w:szCs w:val="22"/>
          <w:lang w:eastAsia="en-AU"/>
        </w:rPr>
        <w:t xml:space="preserve"> new indicator for reproductive state. </w:t>
      </w:r>
      <w:r w:rsidRPr="23216F23">
        <w:rPr>
          <w:i/>
          <w:iCs/>
          <w:color w:val="000000"/>
          <w:sz w:val="22"/>
          <w:szCs w:val="22"/>
          <w:lang w:eastAsia="en-AU"/>
        </w:rPr>
        <w:t>Ecological Indicators</w:t>
      </w:r>
      <w:r w:rsidRPr="23216F23">
        <w:rPr>
          <w:color w:val="000000"/>
          <w:sz w:val="22"/>
          <w:szCs w:val="22"/>
          <w:lang w:eastAsia="en-AU"/>
        </w:rPr>
        <w:t xml:space="preserve"> </w:t>
      </w:r>
      <w:r w:rsidRPr="007F18D3">
        <w:rPr>
          <w:b/>
          <w:color w:val="000000"/>
          <w:sz w:val="22"/>
          <w:szCs w:val="22"/>
          <w:lang w:eastAsia="en-AU"/>
        </w:rPr>
        <w:t>118</w:t>
      </w:r>
      <w:r w:rsidRPr="23216F23">
        <w:rPr>
          <w:color w:val="000000"/>
          <w:sz w:val="22"/>
          <w:szCs w:val="22"/>
          <w:lang w:eastAsia="en-AU"/>
        </w:rPr>
        <w:t>, 106661.</w:t>
      </w:r>
    </w:p>
    <w:p w14:paraId="040D9ACE" w14:textId="291AFF4B" w:rsidR="00491210" w:rsidRDefault="00EE200C" w:rsidP="00A94F87">
      <w:pPr>
        <w:spacing w:before="240" w:after="240"/>
        <w:ind w:left="567" w:hanging="567"/>
        <w:rPr>
          <w:color w:val="000000"/>
          <w:sz w:val="22"/>
          <w:szCs w:val="22"/>
          <w:lang w:eastAsia="en-AU"/>
        </w:rPr>
      </w:pPr>
      <w:r w:rsidRPr="008F2D4D">
        <w:rPr>
          <w:color w:val="000000"/>
          <w:sz w:val="22"/>
          <w:szCs w:val="22"/>
          <w:lang w:eastAsia="en-AU"/>
        </w:rPr>
        <w:t xml:space="preserve">Koehn, J.D., Balcombe, S.R., Baumgartner, L.J., Bice, C.M., Burndred, K., Ellis, I., Koster, W.M., Lintermans, M., Pearce, L., Sharpe, C., Stuart, I. and </w:t>
      </w:r>
      <w:r w:rsidRPr="007F18D3">
        <w:rPr>
          <w:b/>
          <w:color w:val="000000"/>
          <w:sz w:val="22"/>
          <w:szCs w:val="22"/>
          <w:lang w:eastAsia="en-AU"/>
        </w:rPr>
        <w:t>Todd, C.R.</w:t>
      </w:r>
      <w:r w:rsidRPr="008F2D4D">
        <w:rPr>
          <w:color w:val="000000"/>
          <w:sz w:val="22"/>
          <w:szCs w:val="22"/>
          <w:lang w:eastAsia="en-AU"/>
        </w:rPr>
        <w:t xml:space="preserve"> </w:t>
      </w:r>
      <w:r>
        <w:rPr>
          <w:color w:val="000000"/>
          <w:sz w:val="22"/>
          <w:szCs w:val="22"/>
          <w:lang w:eastAsia="en-AU"/>
        </w:rPr>
        <w:t>(</w:t>
      </w:r>
      <w:r w:rsidRPr="008F2D4D">
        <w:rPr>
          <w:color w:val="000000"/>
          <w:sz w:val="22"/>
          <w:szCs w:val="22"/>
          <w:lang w:eastAsia="en-AU"/>
        </w:rPr>
        <w:t>2020</w:t>
      </w:r>
      <w:r>
        <w:rPr>
          <w:color w:val="000000"/>
          <w:sz w:val="22"/>
          <w:szCs w:val="22"/>
          <w:lang w:eastAsia="en-AU"/>
        </w:rPr>
        <w:t>)</w:t>
      </w:r>
      <w:r w:rsidRPr="008F2D4D">
        <w:rPr>
          <w:color w:val="000000"/>
          <w:sz w:val="22"/>
          <w:szCs w:val="22"/>
          <w:lang w:eastAsia="en-AU"/>
        </w:rPr>
        <w:t xml:space="preserve">. What is needed to restore native fishes in the Murray–Darling Basin? </w:t>
      </w:r>
      <w:r w:rsidRPr="009321A0">
        <w:rPr>
          <w:i/>
          <w:iCs/>
          <w:color w:val="000000"/>
          <w:sz w:val="22"/>
          <w:szCs w:val="22"/>
          <w:lang w:eastAsia="en-AU"/>
        </w:rPr>
        <w:t>Marine and Freshwater Research</w:t>
      </w:r>
      <w:r w:rsidRPr="008F2D4D">
        <w:rPr>
          <w:color w:val="000000"/>
          <w:sz w:val="22"/>
          <w:szCs w:val="22"/>
          <w:lang w:eastAsia="en-AU"/>
        </w:rPr>
        <w:t xml:space="preserve"> </w:t>
      </w:r>
      <w:r w:rsidRPr="007F18D3">
        <w:rPr>
          <w:b/>
          <w:color w:val="000000"/>
          <w:sz w:val="22"/>
          <w:szCs w:val="22"/>
          <w:lang w:eastAsia="en-AU"/>
        </w:rPr>
        <w:t>71</w:t>
      </w:r>
      <w:r w:rsidRPr="008F2D4D">
        <w:rPr>
          <w:color w:val="000000"/>
          <w:sz w:val="22"/>
          <w:szCs w:val="22"/>
          <w:lang w:eastAsia="en-AU"/>
        </w:rPr>
        <w:t>, 1464–1468.</w:t>
      </w:r>
    </w:p>
    <w:p w14:paraId="7D31BDD5" w14:textId="34B36614" w:rsidR="00491210" w:rsidRPr="008F2D4D" w:rsidRDefault="00EE200C" w:rsidP="00A94F87">
      <w:pPr>
        <w:spacing w:before="240" w:after="240"/>
        <w:ind w:left="567" w:hanging="567"/>
        <w:rPr>
          <w:color w:val="000000"/>
          <w:sz w:val="22"/>
          <w:szCs w:val="22"/>
          <w:lang w:eastAsia="en-AU"/>
        </w:rPr>
      </w:pPr>
      <w:r w:rsidRPr="23216F23">
        <w:rPr>
          <w:color w:val="000000"/>
          <w:sz w:val="22"/>
          <w:szCs w:val="22"/>
          <w:lang w:eastAsia="en-AU"/>
        </w:rPr>
        <w:t>Whiterod, N.S., Todd, C.R., Zukowski, S., Raymond, S.M.C., Asmus, M.</w:t>
      </w:r>
      <w:r>
        <w:rPr>
          <w:color w:val="000000"/>
          <w:sz w:val="22"/>
          <w:szCs w:val="22"/>
          <w:lang w:eastAsia="en-AU"/>
        </w:rPr>
        <w:t xml:space="preserve"> and</w:t>
      </w:r>
      <w:r w:rsidRPr="23216F23">
        <w:rPr>
          <w:color w:val="000000"/>
          <w:sz w:val="22"/>
          <w:szCs w:val="22"/>
          <w:lang w:eastAsia="en-AU"/>
        </w:rPr>
        <w:t xml:space="preserve"> </w:t>
      </w:r>
      <w:r w:rsidRPr="007F18D3">
        <w:rPr>
          <w:b/>
          <w:color w:val="000000"/>
          <w:sz w:val="22"/>
          <w:szCs w:val="22"/>
          <w:lang w:eastAsia="en-AU"/>
        </w:rPr>
        <w:t>Todd, M.J</w:t>
      </w:r>
      <w:r w:rsidRPr="23216F23">
        <w:rPr>
          <w:color w:val="000000"/>
          <w:sz w:val="22"/>
          <w:szCs w:val="22"/>
          <w:lang w:eastAsia="en-AU"/>
        </w:rPr>
        <w:t xml:space="preserve">. </w:t>
      </w:r>
      <w:r>
        <w:rPr>
          <w:color w:val="000000"/>
          <w:sz w:val="22"/>
          <w:szCs w:val="22"/>
          <w:lang w:eastAsia="en-AU"/>
        </w:rPr>
        <w:t>(</w:t>
      </w:r>
      <w:r w:rsidRPr="23216F23">
        <w:rPr>
          <w:color w:val="000000"/>
          <w:sz w:val="22"/>
          <w:szCs w:val="22"/>
          <w:lang w:eastAsia="en-AU"/>
        </w:rPr>
        <w:t>2020</w:t>
      </w:r>
      <w:r>
        <w:rPr>
          <w:color w:val="000000"/>
          <w:sz w:val="22"/>
          <w:szCs w:val="22"/>
          <w:lang w:eastAsia="en-AU"/>
        </w:rPr>
        <w:t>)</w:t>
      </w:r>
      <w:r w:rsidRPr="23216F23">
        <w:rPr>
          <w:color w:val="000000"/>
          <w:sz w:val="22"/>
          <w:szCs w:val="22"/>
          <w:lang w:eastAsia="en-AU"/>
        </w:rPr>
        <w:t xml:space="preserve">. A population model provides support for management decisions, enables ongoing research and reinforces strong partnerships to manage a threatened freshwater crayfish. </w:t>
      </w:r>
      <w:r w:rsidRPr="23216F23">
        <w:rPr>
          <w:i/>
          <w:iCs/>
          <w:color w:val="000000"/>
          <w:sz w:val="22"/>
          <w:szCs w:val="22"/>
          <w:lang w:eastAsia="en-AU"/>
        </w:rPr>
        <w:t>Aquatic Conservation:</w:t>
      </w:r>
      <w:r w:rsidRPr="23216F23">
        <w:rPr>
          <w:color w:val="000000"/>
          <w:sz w:val="22"/>
          <w:szCs w:val="22"/>
          <w:lang w:eastAsia="en-AU"/>
        </w:rPr>
        <w:t xml:space="preserve"> </w:t>
      </w:r>
      <w:r w:rsidRPr="23216F23">
        <w:rPr>
          <w:i/>
          <w:iCs/>
          <w:color w:val="000000"/>
          <w:sz w:val="22"/>
          <w:szCs w:val="22"/>
          <w:lang w:eastAsia="en-AU"/>
        </w:rPr>
        <w:t>Marine and Freshwater Ecosystems</w:t>
      </w:r>
      <w:r w:rsidRPr="23216F23">
        <w:rPr>
          <w:color w:val="000000"/>
          <w:sz w:val="22"/>
          <w:szCs w:val="22"/>
          <w:lang w:eastAsia="en-AU"/>
        </w:rPr>
        <w:t xml:space="preserve"> </w:t>
      </w:r>
      <w:r w:rsidRPr="007F18D3">
        <w:rPr>
          <w:b/>
          <w:color w:val="000000"/>
          <w:sz w:val="22"/>
          <w:szCs w:val="22"/>
          <w:lang w:eastAsia="en-AU"/>
        </w:rPr>
        <w:t>30</w:t>
      </w:r>
      <w:r w:rsidRPr="23216F23">
        <w:rPr>
          <w:color w:val="000000"/>
          <w:sz w:val="22"/>
          <w:szCs w:val="22"/>
          <w:lang w:eastAsia="en-AU"/>
        </w:rPr>
        <w:t>(9), 1836</w:t>
      </w:r>
      <w:r>
        <w:rPr>
          <w:color w:val="000000"/>
          <w:sz w:val="22"/>
          <w:szCs w:val="22"/>
          <w:lang w:eastAsia="en-AU"/>
        </w:rPr>
        <w:t>–</w:t>
      </w:r>
      <w:r w:rsidRPr="23216F23">
        <w:rPr>
          <w:color w:val="000000"/>
          <w:sz w:val="22"/>
          <w:szCs w:val="22"/>
          <w:lang w:eastAsia="en-AU"/>
        </w:rPr>
        <w:t>1840.</w:t>
      </w:r>
    </w:p>
    <w:p w14:paraId="784C927B" w14:textId="4554F6F8" w:rsidR="00491210" w:rsidRPr="008F2D4D" w:rsidRDefault="00EE200C" w:rsidP="00A94F87">
      <w:pPr>
        <w:spacing w:before="240" w:after="240"/>
        <w:ind w:left="567" w:hanging="567"/>
        <w:rPr>
          <w:color w:val="000000"/>
          <w:sz w:val="22"/>
          <w:szCs w:val="22"/>
          <w:lang w:eastAsia="en-AU"/>
        </w:rPr>
      </w:pPr>
      <w:r w:rsidRPr="23216F23">
        <w:rPr>
          <w:color w:val="000000"/>
          <w:sz w:val="22"/>
          <w:szCs w:val="22"/>
          <w:lang w:eastAsia="en-AU"/>
        </w:rPr>
        <w:t xml:space="preserve">Brown, T.R., </w:t>
      </w:r>
      <w:r w:rsidRPr="007F18D3">
        <w:rPr>
          <w:b/>
          <w:color w:val="000000"/>
          <w:sz w:val="22"/>
          <w:szCs w:val="22"/>
          <w:lang w:eastAsia="en-AU"/>
        </w:rPr>
        <w:t>Todd, C.R.</w:t>
      </w:r>
      <w:r w:rsidRPr="23216F23">
        <w:rPr>
          <w:color w:val="000000"/>
          <w:sz w:val="22"/>
          <w:szCs w:val="22"/>
          <w:lang w:eastAsia="en-AU"/>
        </w:rPr>
        <w:t>, Hale, R., Swearer, S.E.</w:t>
      </w:r>
      <w:r>
        <w:rPr>
          <w:color w:val="000000"/>
          <w:sz w:val="22"/>
          <w:szCs w:val="22"/>
          <w:lang w:eastAsia="en-AU"/>
        </w:rPr>
        <w:t xml:space="preserve"> and</w:t>
      </w:r>
      <w:r w:rsidRPr="23216F23">
        <w:rPr>
          <w:color w:val="000000"/>
          <w:sz w:val="22"/>
          <w:szCs w:val="22"/>
          <w:lang w:eastAsia="en-AU"/>
        </w:rPr>
        <w:t xml:space="preserve"> Coleman, R.A.</w:t>
      </w:r>
      <w:r>
        <w:rPr>
          <w:color w:val="000000"/>
          <w:sz w:val="22"/>
          <w:szCs w:val="22"/>
          <w:lang w:eastAsia="en-AU"/>
        </w:rPr>
        <w:t xml:space="preserve"> (</w:t>
      </w:r>
      <w:r w:rsidRPr="23216F23">
        <w:rPr>
          <w:color w:val="000000"/>
          <w:sz w:val="22"/>
          <w:szCs w:val="22"/>
          <w:lang w:eastAsia="en-AU"/>
        </w:rPr>
        <w:t>2020</w:t>
      </w:r>
      <w:r>
        <w:rPr>
          <w:color w:val="000000"/>
          <w:sz w:val="22"/>
          <w:szCs w:val="22"/>
          <w:lang w:eastAsia="en-AU"/>
        </w:rPr>
        <w:t>)</w:t>
      </w:r>
      <w:r w:rsidRPr="23216F23">
        <w:rPr>
          <w:color w:val="000000"/>
          <w:sz w:val="22"/>
          <w:szCs w:val="22"/>
          <w:lang w:eastAsia="en-AU"/>
        </w:rPr>
        <w:t>.</w:t>
      </w:r>
      <w:r>
        <w:rPr>
          <w:color w:val="000000"/>
          <w:sz w:val="22"/>
          <w:szCs w:val="22"/>
          <w:lang w:eastAsia="en-AU"/>
        </w:rPr>
        <w:t xml:space="preserve"> </w:t>
      </w:r>
      <w:r w:rsidRPr="23216F23">
        <w:rPr>
          <w:color w:val="000000"/>
          <w:sz w:val="22"/>
          <w:szCs w:val="22"/>
          <w:lang w:eastAsia="en-AU"/>
        </w:rPr>
        <w:t xml:space="preserve">Testing the adaptive advantage of a threatened species over an invasive species using a stochastic population model. </w:t>
      </w:r>
      <w:r w:rsidRPr="23216F23">
        <w:rPr>
          <w:i/>
          <w:iCs/>
          <w:color w:val="000000"/>
          <w:sz w:val="22"/>
          <w:szCs w:val="22"/>
          <w:lang w:eastAsia="en-AU"/>
        </w:rPr>
        <w:t>Journal of Environmental Management</w:t>
      </w:r>
      <w:r w:rsidRPr="23216F23">
        <w:rPr>
          <w:color w:val="000000"/>
          <w:sz w:val="22"/>
          <w:szCs w:val="22"/>
          <w:lang w:eastAsia="en-AU"/>
        </w:rPr>
        <w:t xml:space="preserve"> </w:t>
      </w:r>
      <w:r w:rsidRPr="007F18D3">
        <w:rPr>
          <w:b/>
          <w:color w:val="000000"/>
          <w:sz w:val="22"/>
          <w:szCs w:val="22"/>
          <w:lang w:eastAsia="en-AU"/>
        </w:rPr>
        <w:t>264</w:t>
      </w:r>
      <w:r w:rsidRPr="23216F23">
        <w:rPr>
          <w:color w:val="000000"/>
          <w:sz w:val="22"/>
          <w:szCs w:val="22"/>
          <w:lang w:eastAsia="en-AU"/>
        </w:rPr>
        <w:t>, 110524.</w:t>
      </w:r>
    </w:p>
    <w:p w14:paraId="2C9C6D80" w14:textId="1F8D4508" w:rsidR="00491210" w:rsidRPr="008F2D4D" w:rsidRDefault="00EE200C" w:rsidP="00A94F87">
      <w:pPr>
        <w:spacing w:before="240" w:after="240"/>
        <w:ind w:left="567" w:hanging="567"/>
        <w:rPr>
          <w:color w:val="000000"/>
          <w:sz w:val="22"/>
          <w:szCs w:val="22"/>
          <w:lang w:eastAsia="en-AU"/>
        </w:rPr>
      </w:pPr>
      <w:r w:rsidRPr="008F2D4D">
        <w:rPr>
          <w:color w:val="000000"/>
          <w:sz w:val="22"/>
          <w:szCs w:val="22"/>
          <w:lang w:eastAsia="en-AU"/>
        </w:rPr>
        <w:t xml:space="preserve">West, M., </w:t>
      </w:r>
      <w:r w:rsidRPr="007F18D3">
        <w:rPr>
          <w:b/>
          <w:color w:val="000000"/>
          <w:sz w:val="22"/>
          <w:szCs w:val="22"/>
          <w:lang w:eastAsia="en-AU"/>
        </w:rPr>
        <w:t>Todd, C.R.</w:t>
      </w:r>
      <w:r w:rsidRPr="008F2D4D">
        <w:rPr>
          <w:color w:val="000000"/>
          <w:sz w:val="22"/>
          <w:szCs w:val="22"/>
          <w:lang w:eastAsia="en-AU"/>
        </w:rPr>
        <w:t>, Gillespie, G.R.</w:t>
      </w:r>
      <w:r>
        <w:rPr>
          <w:color w:val="000000"/>
          <w:sz w:val="22"/>
          <w:szCs w:val="22"/>
          <w:lang w:eastAsia="en-AU"/>
        </w:rPr>
        <w:t xml:space="preserve"> and</w:t>
      </w:r>
      <w:r w:rsidRPr="008F2D4D">
        <w:rPr>
          <w:color w:val="000000"/>
          <w:sz w:val="22"/>
          <w:szCs w:val="22"/>
          <w:lang w:eastAsia="en-AU"/>
        </w:rPr>
        <w:t xml:space="preserve"> McCarthy, M.</w:t>
      </w:r>
      <w:r>
        <w:rPr>
          <w:color w:val="000000"/>
          <w:sz w:val="22"/>
          <w:szCs w:val="22"/>
          <w:lang w:eastAsia="en-AU"/>
        </w:rPr>
        <w:t xml:space="preserve"> (</w:t>
      </w:r>
      <w:r w:rsidRPr="008F2D4D">
        <w:rPr>
          <w:color w:val="000000"/>
          <w:sz w:val="22"/>
          <w:szCs w:val="22"/>
          <w:lang w:eastAsia="en-AU"/>
        </w:rPr>
        <w:t>2020</w:t>
      </w:r>
      <w:r>
        <w:rPr>
          <w:color w:val="000000"/>
          <w:sz w:val="22"/>
          <w:szCs w:val="22"/>
          <w:lang w:eastAsia="en-AU"/>
        </w:rPr>
        <w:t>)</w:t>
      </w:r>
      <w:r w:rsidRPr="008F2D4D">
        <w:rPr>
          <w:color w:val="000000"/>
          <w:sz w:val="22"/>
          <w:szCs w:val="22"/>
          <w:lang w:eastAsia="en-AU"/>
        </w:rPr>
        <w:t>.</w:t>
      </w:r>
      <w:r>
        <w:rPr>
          <w:color w:val="000000"/>
          <w:sz w:val="22"/>
          <w:szCs w:val="22"/>
          <w:lang w:eastAsia="en-AU"/>
        </w:rPr>
        <w:t xml:space="preserve"> </w:t>
      </w:r>
      <w:r w:rsidRPr="008F2D4D">
        <w:rPr>
          <w:color w:val="000000"/>
          <w:sz w:val="22"/>
          <w:szCs w:val="22"/>
          <w:lang w:eastAsia="en-AU"/>
        </w:rPr>
        <w:t>Recruitment is key to understanding amphibian</w:t>
      </w:r>
      <w:r>
        <w:rPr>
          <w:color w:val="000000"/>
          <w:sz w:val="22"/>
          <w:szCs w:val="22"/>
          <w:lang w:eastAsia="en-AU"/>
        </w:rPr>
        <w:t>’</w:t>
      </w:r>
      <w:r w:rsidRPr="008F2D4D">
        <w:rPr>
          <w:color w:val="000000"/>
          <w:sz w:val="22"/>
          <w:szCs w:val="22"/>
          <w:lang w:eastAsia="en-AU"/>
        </w:rPr>
        <w:t xml:space="preserve">s different population-level responses to chytrid fungus infection. </w:t>
      </w:r>
      <w:r w:rsidRPr="00EA2402">
        <w:rPr>
          <w:i/>
          <w:iCs/>
          <w:color w:val="000000"/>
          <w:sz w:val="22"/>
          <w:szCs w:val="22"/>
          <w:lang w:eastAsia="en-AU"/>
        </w:rPr>
        <w:t>Biological</w:t>
      </w:r>
      <w:r w:rsidRPr="008F2D4D">
        <w:rPr>
          <w:color w:val="000000"/>
          <w:sz w:val="22"/>
          <w:szCs w:val="22"/>
          <w:lang w:eastAsia="en-AU"/>
        </w:rPr>
        <w:t xml:space="preserve"> </w:t>
      </w:r>
      <w:r w:rsidRPr="00EA2402">
        <w:rPr>
          <w:i/>
          <w:iCs/>
          <w:color w:val="000000"/>
          <w:sz w:val="22"/>
          <w:szCs w:val="22"/>
          <w:lang w:eastAsia="en-AU"/>
        </w:rPr>
        <w:t>Conservation</w:t>
      </w:r>
      <w:r w:rsidRPr="008F2D4D">
        <w:rPr>
          <w:color w:val="000000"/>
          <w:sz w:val="22"/>
          <w:szCs w:val="22"/>
          <w:lang w:eastAsia="en-AU"/>
        </w:rPr>
        <w:t xml:space="preserve"> </w:t>
      </w:r>
      <w:r w:rsidRPr="007F18D3">
        <w:rPr>
          <w:b/>
          <w:color w:val="000000"/>
          <w:sz w:val="22"/>
          <w:szCs w:val="22"/>
          <w:lang w:eastAsia="en-AU"/>
        </w:rPr>
        <w:t>241</w:t>
      </w:r>
      <w:r w:rsidRPr="008F2D4D">
        <w:rPr>
          <w:color w:val="000000"/>
          <w:sz w:val="22"/>
          <w:szCs w:val="22"/>
          <w:lang w:eastAsia="en-AU"/>
        </w:rPr>
        <w:t>, 108247</w:t>
      </w:r>
      <w:r>
        <w:rPr>
          <w:color w:val="000000"/>
          <w:sz w:val="22"/>
          <w:szCs w:val="22"/>
          <w:lang w:eastAsia="en-AU"/>
        </w:rPr>
        <w:t>.</w:t>
      </w:r>
    </w:p>
    <w:p w14:paraId="082181DF" w14:textId="4D86F257" w:rsidR="00491210" w:rsidRPr="008F2D4D" w:rsidRDefault="00EE200C" w:rsidP="00A94F87">
      <w:pPr>
        <w:spacing w:before="240" w:after="240"/>
        <w:ind w:left="567" w:hanging="567"/>
        <w:rPr>
          <w:color w:val="000000"/>
          <w:sz w:val="22"/>
          <w:szCs w:val="22"/>
          <w:lang w:eastAsia="en-AU"/>
        </w:rPr>
      </w:pPr>
      <w:r w:rsidRPr="23216F23">
        <w:rPr>
          <w:color w:val="000000"/>
          <w:sz w:val="22"/>
          <w:szCs w:val="22"/>
          <w:lang w:eastAsia="en-AU"/>
        </w:rPr>
        <w:t xml:space="preserve">Raymond, S. Koehn, J., Tonkin, Z., </w:t>
      </w:r>
      <w:r w:rsidRPr="007F18D3">
        <w:rPr>
          <w:b/>
          <w:color w:val="000000"/>
          <w:sz w:val="22"/>
          <w:szCs w:val="22"/>
          <w:lang w:eastAsia="en-AU"/>
        </w:rPr>
        <w:t>Todd, C.</w:t>
      </w:r>
      <w:r w:rsidRPr="23216F23">
        <w:rPr>
          <w:color w:val="000000"/>
          <w:sz w:val="22"/>
          <w:szCs w:val="22"/>
          <w:lang w:eastAsia="en-AU"/>
        </w:rPr>
        <w:t>, Stoessel, D., Hackett, G., O</w:t>
      </w:r>
      <w:r>
        <w:rPr>
          <w:color w:val="000000"/>
          <w:sz w:val="22"/>
          <w:szCs w:val="22"/>
          <w:lang w:eastAsia="en-AU"/>
        </w:rPr>
        <w:t>’</w:t>
      </w:r>
      <w:r w:rsidRPr="23216F23">
        <w:rPr>
          <w:color w:val="000000"/>
          <w:sz w:val="22"/>
          <w:szCs w:val="22"/>
          <w:lang w:eastAsia="en-AU"/>
        </w:rPr>
        <w:t>Mahony, J., Berry, K., Lyon, J., Sharley, J.</w:t>
      </w:r>
      <w:r>
        <w:rPr>
          <w:color w:val="000000"/>
          <w:sz w:val="22"/>
          <w:szCs w:val="22"/>
          <w:lang w:eastAsia="en-AU"/>
        </w:rPr>
        <w:t xml:space="preserve"> and</w:t>
      </w:r>
      <w:r w:rsidRPr="23216F23">
        <w:rPr>
          <w:color w:val="000000"/>
          <w:sz w:val="22"/>
          <w:szCs w:val="22"/>
          <w:lang w:eastAsia="en-AU"/>
        </w:rPr>
        <w:t xml:space="preserve"> Moloney, P.</w:t>
      </w:r>
      <w:r>
        <w:rPr>
          <w:color w:val="000000"/>
          <w:sz w:val="22"/>
          <w:szCs w:val="22"/>
          <w:lang w:eastAsia="en-AU"/>
        </w:rPr>
        <w:t xml:space="preserve"> (</w:t>
      </w:r>
      <w:r w:rsidRPr="23216F23">
        <w:rPr>
          <w:color w:val="000000"/>
          <w:sz w:val="22"/>
          <w:szCs w:val="22"/>
          <w:lang w:eastAsia="en-AU"/>
        </w:rPr>
        <w:t>2019</w:t>
      </w:r>
      <w:r>
        <w:rPr>
          <w:color w:val="000000"/>
          <w:sz w:val="22"/>
          <w:szCs w:val="22"/>
          <w:lang w:eastAsia="en-AU"/>
        </w:rPr>
        <w:t>)</w:t>
      </w:r>
      <w:r w:rsidRPr="23216F23">
        <w:rPr>
          <w:color w:val="000000"/>
          <w:sz w:val="22"/>
          <w:szCs w:val="22"/>
          <w:lang w:eastAsia="en-AU"/>
        </w:rPr>
        <w:t>.</w:t>
      </w:r>
      <w:r>
        <w:rPr>
          <w:color w:val="000000"/>
          <w:sz w:val="22"/>
          <w:szCs w:val="22"/>
          <w:lang w:eastAsia="en-AU"/>
        </w:rPr>
        <w:t xml:space="preserve"> </w:t>
      </w:r>
      <w:r w:rsidRPr="23216F23">
        <w:rPr>
          <w:color w:val="000000"/>
          <w:sz w:val="22"/>
          <w:szCs w:val="22"/>
          <w:lang w:eastAsia="en-AU"/>
        </w:rPr>
        <w:t xml:space="preserve">Differential responses by two closely related native fishes to restoration actions. </w:t>
      </w:r>
      <w:r w:rsidRPr="23216F23">
        <w:rPr>
          <w:i/>
          <w:iCs/>
          <w:color w:val="000000"/>
          <w:sz w:val="22"/>
          <w:szCs w:val="22"/>
          <w:lang w:eastAsia="en-AU"/>
        </w:rPr>
        <w:t>Restoration Ecology</w:t>
      </w:r>
      <w:r w:rsidRPr="23216F23">
        <w:rPr>
          <w:color w:val="000000"/>
          <w:sz w:val="22"/>
          <w:szCs w:val="22"/>
          <w:lang w:eastAsia="en-AU"/>
        </w:rPr>
        <w:t xml:space="preserve"> </w:t>
      </w:r>
      <w:r w:rsidRPr="007F18D3">
        <w:rPr>
          <w:b/>
          <w:color w:val="000000"/>
          <w:sz w:val="22"/>
          <w:szCs w:val="22"/>
          <w:lang w:eastAsia="en-AU"/>
        </w:rPr>
        <w:t>27</w:t>
      </w:r>
      <w:r w:rsidRPr="23216F23">
        <w:rPr>
          <w:color w:val="000000"/>
          <w:sz w:val="22"/>
          <w:szCs w:val="22"/>
          <w:lang w:eastAsia="en-AU"/>
        </w:rPr>
        <w:t>(6), 1463</w:t>
      </w:r>
      <w:r>
        <w:rPr>
          <w:color w:val="000000"/>
          <w:sz w:val="22"/>
          <w:szCs w:val="22"/>
          <w:lang w:eastAsia="en-AU"/>
        </w:rPr>
        <w:t>–</w:t>
      </w:r>
      <w:r w:rsidRPr="23216F23">
        <w:rPr>
          <w:color w:val="000000"/>
          <w:sz w:val="22"/>
          <w:szCs w:val="22"/>
          <w:lang w:eastAsia="en-AU"/>
        </w:rPr>
        <w:t>1472</w:t>
      </w:r>
      <w:r>
        <w:rPr>
          <w:color w:val="000000"/>
          <w:sz w:val="22"/>
          <w:szCs w:val="22"/>
          <w:lang w:eastAsia="en-AU"/>
        </w:rPr>
        <w:t>.</w:t>
      </w:r>
    </w:p>
    <w:p w14:paraId="08800E99" w14:textId="74DDB608" w:rsidR="00491210" w:rsidRPr="008F2D4D" w:rsidRDefault="00EE200C" w:rsidP="00A94F87">
      <w:pPr>
        <w:spacing w:before="240" w:after="240"/>
        <w:ind w:left="567" w:hanging="567"/>
        <w:rPr>
          <w:color w:val="000000"/>
          <w:sz w:val="22"/>
          <w:szCs w:val="22"/>
          <w:lang w:eastAsia="en-AU"/>
        </w:rPr>
      </w:pPr>
      <w:r w:rsidRPr="007F18D3">
        <w:rPr>
          <w:b/>
          <w:color w:val="000000"/>
          <w:sz w:val="22"/>
          <w:szCs w:val="22"/>
          <w:lang w:eastAsia="en-AU"/>
        </w:rPr>
        <w:t>Todd, C.R.</w:t>
      </w:r>
      <w:r w:rsidRPr="008F2D4D">
        <w:rPr>
          <w:color w:val="000000"/>
          <w:sz w:val="22"/>
          <w:szCs w:val="22"/>
          <w:lang w:eastAsia="en-AU"/>
        </w:rPr>
        <w:t>, Koehn, J.D., Brown, T.R., Fanson, B., Brooks, S.</w:t>
      </w:r>
      <w:r>
        <w:rPr>
          <w:color w:val="000000"/>
          <w:sz w:val="22"/>
          <w:szCs w:val="22"/>
          <w:lang w:eastAsia="en-AU"/>
        </w:rPr>
        <w:t xml:space="preserve"> and</w:t>
      </w:r>
      <w:r w:rsidRPr="008F2D4D">
        <w:rPr>
          <w:color w:val="000000"/>
          <w:sz w:val="22"/>
          <w:szCs w:val="22"/>
          <w:lang w:eastAsia="en-AU"/>
        </w:rPr>
        <w:t xml:space="preserve"> Stuart, I.</w:t>
      </w:r>
      <w:r>
        <w:rPr>
          <w:color w:val="000000"/>
          <w:sz w:val="22"/>
          <w:szCs w:val="22"/>
          <w:lang w:eastAsia="en-AU"/>
        </w:rPr>
        <w:t xml:space="preserve"> (</w:t>
      </w:r>
      <w:r w:rsidRPr="008F2D4D">
        <w:rPr>
          <w:color w:val="000000"/>
          <w:sz w:val="22"/>
          <w:szCs w:val="22"/>
          <w:lang w:eastAsia="en-AU"/>
        </w:rPr>
        <w:t>2019</w:t>
      </w:r>
      <w:r>
        <w:rPr>
          <w:color w:val="000000"/>
          <w:sz w:val="22"/>
          <w:szCs w:val="22"/>
          <w:lang w:eastAsia="en-AU"/>
        </w:rPr>
        <w:t>)</w:t>
      </w:r>
      <w:r w:rsidRPr="008F2D4D">
        <w:rPr>
          <w:color w:val="000000"/>
          <w:sz w:val="22"/>
          <w:szCs w:val="22"/>
          <w:lang w:eastAsia="en-AU"/>
        </w:rPr>
        <w:t>.</w:t>
      </w:r>
      <w:r>
        <w:rPr>
          <w:color w:val="000000"/>
          <w:sz w:val="22"/>
          <w:szCs w:val="22"/>
          <w:lang w:eastAsia="en-AU"/>
        </w:rPr>
        <w:t xml:space="preserve"> </w:t>
      </w:r>
      <w:r w:rsidRPr="007F18D3">
        <w:rPr>
          <w:i/>
          <w:color w:val="000000"/>
          <w:sz w:val="22"/>
          <w:szCs w:val="22"/>
          <w:lang w:eastAsia="en-AU"/>
        </w:rPr>
        <w:t>Modelling Carp biomass: estimates for the year 2023</w:t>
      </w:r>
      <w:r w:rsidRPr="008F2D4D">
        <w:rPr>
          <w:color w:val="000000"/>
          <w:sz w:val="22"/>
          <w:szCs w:val="22"/>
          <w:lang w:eastAsia="en-AU"/>
        </w:rPr>
        <w:t>. Unpublished Client Report. Arthur Rylah Institute for Environmental Management, Heidelberg, Victoria.</w:t>
      </w:r>
    </w:p>
    <w:p w14:paraId="33BCBB1B" w14:textId="7C75D7C5" w:rsidR="00491210" w:rsidRPr="008F2D4D" w:rsidRDefault="00EE200C" w:rsidP="00A94F87">
      <w:pPr>
        <w:spacing w:before="240" w:after="240"/>
        <w:ind w:left="567" w:hanging="567"/>
        <w:rPr>
          <w:color w:val="000000"/>
          <w:sz w:val="22"/>
          <w:szCs w:val="22"/>
          <w:lang w:eastAsia="en-AU"/>
        </w:rPr>
      </w:pPr>
      <w:r w:rsidRPr="008F2D4D">
        <w:rPr>
          <w:color w:val="000000"/>
          <w:sz w:val="22"/>
          <w:szCs w:val="22"/>
          <w:lang w:eastAsia="en-AU"/>
        </w:rPr>
        <w:t xml:space="preserve">Forbes, J.P., </w:t>
      </w:r>
      <w:r w:rsidRPr="007F18D3">
        <w:rPr>
          <w:b/>
          <w:color w:val="000000"/>
          <w:sz w:val="22"/>
          <w:szCs w:val="22"/>
          <w:lang w:eastAsia="en-AU"/>
        </w:rPr>
        <w:t>Todd, C.R.</w:t>
      </w:r>
      <w:r w:rsidRPr="008F2D4D">
        <w:rPr>
          <w:color w:val="000000"/>
          <w:sz w:val="22"/>
          <w:szCs w:val="22"/>
          <w:lang w:eastAsia="en-AU"/>
        </w:rPr>
        <w:t>, Baumgartner, L.J., Watts, R.J., Robinson, W.A., Steffe, A.S., Murphy,</w:t>
      </w:r>
      <w:r>
        <w:rPr>
          <w:color w:val="000000"/>
          <w:sz w:val="22"/>
          <w:szCs w:val="22"/>
          <w:lang w:eastAsia="en-AU"/>
        </w:rPr>
        <w:t> </w:t>
      </w:r>
      <w:r w:rsidRPr="008F2D4D">
        <w:rPr>
          <w:color w:val="000000"/>
          <w:sz w:val="22"/>
          <w:szCs w:val="22"/>
          <w:lang w:eastAsia="en-AU"/>
        </w:rPr>
        <w:t>J.J., Asmus, M.W.</w:t>
      </w:r>
      <w:r>
        <w:rPr>
          <w:color w:val="000000"/>
          <w:sz w:val="22"/>
          <w:szCs w:val="22"/>
          <w:lang w:eastAsia="en-AU"/>
        </w:rPr>
        <w:t xml:space="preserve"> and</w:t>
      </w:r>
      <w:r w:rsidRPr="008F2D4D">
        <w:rPr>
          <w:color w:val="000000"/>
          <w:sz w:val="22"/>
          <w:szCs w:val="22"/>
          <w:lang w:eastAsia="en-AU"/>
        </w:rPr>
        <w:t xml:space="preserve"> Thiem, J.D.</w:t>
      </w:r>
      <w:r>
        <w:rPr>
          <w:color w:val="000000"/>
          <w:sz w:val="22"/>
          <w:szCs w:val="22"/>
          <w:lang w:eastAsia="en-AU"/>
        </w:rPr>
        <w:t xml:space="preserve"> (</w:t>
      </w:r>
      <w:r w:rsidRPr="008F2D4D">
        <w:rPr>
          <w:color w:val="000000"/>
          <w:sz w:val="22"/>
          <w:szCs w:val="22"/>
          <w:lang w:eastAsia="en-AU"/>
        </w:rPr>
        <w:t>2019</w:t>
      </w:r>
      <w:r>
        <w:rPr>
          <w:color w:val="000000"/>
          <w:sz w:val="22"/>
          <w:szCs w:val="22"/>
          <w:lang w:eastAsia="en-AU"/>
        </w:rPr>
        <w:t>)</w:t>
      </w:r>
      <w:r w:rsidRPr="008F2D4D">
        <w:rPr>
          <w:color w:val="000000"/>
          <w:sz w:val="22"/>
          <w:szCs w:val="22"/>
          <w:lang w:eastAsia="en-AU"/>
        </w:rPr>
        <w:t>.</w:t>
      </w:r>
      <w:r>
        <w:rPr>
          <w:color w:val="000000"/>
          <w:sz w:val="22"/>
          <w:szCs w:val="22"/>
          <w:lang w:eastAsia="en-AU"/>
        </w:rPr>
        <w:t xml:space="preserve"> </w:t>
      </w:r>
      <w:r w:rsidRPr="008F2D4D">
        <w:rPr>
          <w:color w:val="000000"/>
          <w:sz w:val="22"/>
          <w:szCs w:val="22"/>
          <w:lang w:eastAsia="en-AU"/>
        </w:rPr>
        <w:t>Simulation of different fishery regulations to prevent population decline in a large freshwater invertebrate, the Murray crayfish (</w:t>
      </w:r>
      <w:r w:rsidRPr="00EA2402">
        <w:rPr>
          <w:i/>
          <w:iCs/>
          <w:color w:val="000000"/>
          <w:sz w:val="22"/>
          <w:szCs w:val="22"/>
          <w:lang w:eastAsia="en-AU"/>
        </w:rPr>
        <w:t>Euastacus</w:t>
      </w:r>
      <w:r w:rsidRPr="008F2D4D">
        <w:rPr>
          <w:color w:val="000000"/>
          <w:sz w:val="22"/>
          <w:szCs w:val="22"/>
          <w:lang w:eastAsia="en-AU"/>
        </w:rPr>
        <w:t xml:space="preserve"> </w:t>
      </w:r>
      <w:r w:rsidRPr="00EA2402">
        <w:rPr>
          <w:i/>
          <w:iCs/>
          <w:color w:val="000000"/>
          <w:sz w:val="22"/>
          <w:szCs w:val="22"/>
          <w:lang w:eastAsia="en-AU"/>
        </w:rPr>
        <w:t>armatus</w:t>
      </w:r>
      <w:r w:rsidRPr="008F2D4D">
        <w:rPr>
          <w:color w:val="000000"/>
          <w:sz w:val="22"/>
          <w:szCs w:val="22"/>
          <w:lang w:eastAsia="en-AU"/>
        </w:rPr>
        <w:t xml:space="preserve">). </w:t>
      </w:r>
      <w:r w:rsidRPr="00EA2402">
        <w:rPr>
          <w:i/>
          <w:iCs/>
          <w:color w:val="000000"/>
          <w:sz w:val="22"/>
          <w:szCs w:val="22"/>
          <w:lang w:eastAsia="en-AU"/>
        </w:rPr>
        <w:t>Marine and Freshwater Research</w:t>
      </w:r>
      <w:r w:rsidRPr="008F2D4D">
        <w:rPr>
          <w:color w:val="000000"/>
          <w:sz w:val="22"/>
          <w:szCs w:val="22"/>
          <w:lang w:eastAsia="en-AU"/>
        </w:rPr>
        <w:t xml:space="preserve"> </w:t>
      </w:r>
      <w:r w:rsidRPr="007F18D3">
        <w:rPr>
          <w:b/>
          <w:color w:val="000000"/>
          <w:sz w:val="22"/>
          <w:szCs w:val="22"/>
          <w:lang w:eastAsia="en-AU"/>
        </w:rPr>
        <w:t>71</w:t>
      </w:r>
      <w:r w:rsidRPr="008F2D4D">
        <w:rPr>
          <w:color w:val="000000"/>
          <w:sz w:val="22"/>
          <w:szCs w:val="22"/>
          <w:lang w:eastAsia="en-AU"/>
        </w:rPr>
        <w:t>, 962</w:t>
      </w:r>
      <w:r>
        <w:rPr>
          <w:color w:val="000000"/>
          <w:sz w:val="22"/>
          <w:szCs w:val="22"/>
          <w:lang w:eastAsia="en-AU"/>
        </w:rPr>
        <w:t>–</w:t>
      </w:r>
      <w:r w:rsidRPr="008F2D4D">
        <w:rPr>
          <w:color w:val="000000"/>
          <w:sz w:val="22"/>
          <w:szCs w:val="22"/>
          <w:lang w:eastAsia="en-AU"/>
        </w:rPr>
        <w:t>971.</w:t>
      </w:r>
    </w:p>
    <w:p w14:paraId="6A62C523" w14:textId="5A5C3C61" w:rsidR="00491210" w:rsidRPr="008F2D4D" w:rsidRDefault="00EE200C" w:rsidP="00A94F87">
      <w:pPr>
        <w:spacing w:before="240" w:after="240"/>
        <w:ind w:left="567" w:hanging="567"/>
        <w:rPr>
          <w:color w:val="000000"/>
          <w:sz w:val="22"/>
          <w:szCs w:val="22"/>
          <w:lang w:eastAsia="en-AU"/>
        </w:rPr>
      </w:pPr>
      <w:r w:rsidRPr="23216F23">
        <w:rPr>
          <w:color w:val="000000"/>
          <w:sz w:val="22"/>
          <w:szCs w:val="22"/>
          <w:lang w:eastAsia="en-AU"/>
        </w:rPr>
        <w:t xml:space="preserve">Lyon, J.P., Bird, T.J., Kearns, J., Nicol, S., Tonkin, Z., </w:t>
      </w:r>
      <w:r w:rsidRPr="007F18D3">
        <w:rPr>
          <w:b/>
          <w:color w:val="000000"/>
          <w:sz w:val="22"/>
          <w:szCs w:val="22"/>
          <w:lang w:eastAsia="en-AU"/>
        </w:rPr>
        <w:t>Todd, C.R.</w:t>
      </w:r>
      <w:r w:rsidRPr="23216F23">
        <w:rPr>
          <w:color w:val="000000"/>
          <w:sz w:val="22"/>
          <w:szCs w:val="22"/>
          <w:lang w:eastAsia="en-AU"/>
        </w:rPr>
        <w:t>, O</w:t>
      </w:r>
      <w:r>
        <w:rPr>
          <w:color w:val="000000"/>
          <w:sz w:val="22"/>
          <w:szCs w:val="22"/>
          <w:lang w:eastAsia="en-AU"/>
        </w:rPr>
        <w:t>’</w:t>
      </w:r>
      <w:r w:rsidRPr="23216F23">
        <w:rPr>
          <w:color w:val="000000"/>
          <w:sz w:val="22"/>
          <w:szCs w:val="22"/>
          <w:lang w:eastAsia="en-AU"/>
        </w:rPr>
        <w:t xml:space="preserve">Mahony, J., Hackett, G., Raymond, S., Lieschke, J., Kitchingman, A. and Bradshaw, C.J.A. </w:t>
      </w:r>
      <w:r>
        <w:rPr>
          <w:color w:val="000000"/>
          <w:sz w:val="22"/>
          <w:szCs w:val="22"/>
          <w:lang w:eastAsia="en-AU"/>
        </w:rPr>
        <w:t>(</w:t>
      </w:r>
      <w:r w:rsidRPr="23216F23">
        <w:rPr>
          <w:color w:val="000000"/>
          <w:sz w:val="22"/>
          <w:szCs w:val="22"/>
          <w:lang w:eastAsia="en-AU"/>
        </w:rPr>
        <w:t>2019</w:t>
      </w:r>
      <w:r>
        <w:rPr>
          <w:color w:val="000000"/>
          <w:sz w:val="22"/>
          <w:szCs w:val="22"/>
          <w:lang w:eastAsia="en-AU"/>
        </w:rPr>
        <w:t>)</w:t>
      </w:r>
      <w:r w:rsidRPr="23216F23">
        <w:rPr>
          <w:color w:val="000000"/>
          <w:sz w:val="22"/>
          <w:szCs w:val="22"/>
          <w:lang w:eastAsia="en-AU"/>
        </w:rPr>
        <w:t xml:space="preserve">. Increased population size of fish in a lowland river following restoration of structural habitat. </w:t>
      </w:r>
      <w:r w:rsidRPr="23216F23">
        <w:rPr>
          <w:i/>
          <w:iCs/>
          <w:color w:val="000000"/>
          <w:sz w:val="22"/>
          <w:szCs w:val="22"/>
          <w:lang w:eastAsia="en-AU"/>
        </w:rPr>
        <w:t>Ecological Applications</w:t>
      </w:r>
      <w:r w:rsidRPr="23216F23">
        <w:rPr>
          <w:color w:val="000000"/>
          <w:sz w:val="22"/>
          <w:szCs w:val="22"/>
          <w:lang w:eastAsia="en-AU"/>
        </w:rPr>
        <w:t xml:space="preserve"> </w:t>
      </w:r>
      <w:r w:rsidRPr="007F18D3">
        <w:rPr>
          <w:b/>
          <w:color w:val="000000"/>
          <w:sz w:val="22"/>
          <w:szCs w:val="22"/>
          <w:lang w:eastAsia="en-AU"/>
        </w:rPr>
        <w:t>29</w:t>
      </w:r>
      <w:r w:rsidRPr="23216F23">
        <w:rPr>
          <w:color w:val="000000"/>
          <w:sz w:val="22"/>
          <w:szCs w:val="22"/>
          <w:lang w:eastAsia="en-AU"/>
        </w:rPr>
        <w:t xml:space="preserve">(4), e01882. </w:t>
      </w:r>
      <w:r>
        <w:rPr>
          <w:color w:val="000000"/>
          <w:sz w:val="22"/>
          <w:szCs w:val="22"/>
          <w:lang w:eastAsia="en-AU"/>
        </w:rPr>
        <w:t xml:space="preserve">doi: </w:t>
      </w:r>
      <w:r w:rsidRPr="23216F23">
        <w:rPr>
          <w:color w:val="000000"/>
          <w:sz w:val="22"/>
          <w:szCs w:val="22"/>
          <w:lang w:eastAsia="en-AU"/>
        </w:rPr>
        <w:t>10.1002/eap.1882</w:t>
      </w:r>
    </w:p>
    <w:p w14:paraId="18F878B3" w14:textId="52D26D1B" w:rsidR="00491210" w:rsidRDefault="00EE200C" w:rsidP="00A94F87">
      <w:pPr>
        <w:spacing w:before="240" w:after="240"/>
        <w:ind w:left="567" w:hanging="567"/>
        <w:rPr>
          <w:color w:val="000000"/>
          <w:sz w:val="22"/>
          <w:szCs w:val="22"/>
          <w:lang w:eastAsia="en-AU"/>
        </w:rPr>
      </w:pPr>
      <w:r w:rsidRPr="23216F23">
        <w:rPr>
          <w:color w:val="000000"/>
          <w:sz w:val="22"/>
          <w:szCs w:val="22"/>
          <w:lang w:eastAsia="en-AU"/>
        </w:rPr>
        <w:t xml:space="preserve">Bird, T., Lyon, J.P., Wotherspoon, S., </w:t>
      </w:r>
      <w:r w:rsidRPr="007F18D3">
        <w:rPr>
          <w:b/>
          <w:color w:val="000000"/>
          <w:sz w:val="22"/>
          <w:szCs w:val="22"/>
          <w:lang w:eastAsia="en-AU"/>
        </w:rPr>
        <w:t>Todd, C.R.</w:t>
      </w:r>
      <w:r w:rsidRPr="23216F23">
        <w:rPr>
          <w:color w:val="000000"/>
          <w:sz w:val="22"/>
          <w:szCs w:val="22"/>
          <w:lang w:eastAsia="en-AU"/>
        </w:rPr>
        <w:t>, Tonkin, Z.</w:t>
      </w:r>
      <w:r>
        <w:rPr>
          <w:color w:val="000000"/>
          <w:sz w:val="22"/>
          <w:szCs w:val="22"/>
          <w:lang w:eastAsia="en-AU"/>
        </w:rPr>
        <w:t xml:space="preserve"> and</w:t>
      </w:r>
      <w:r w:rsidRPr="23216F23">
        <w:rPr>
          <w:color w:val="000000"/>
          <w:sz w:val="22"/>
          <w:szCs w:val="22"/>
          <w:lang w:eastAsia="en-AU"/>
        </w:rPr>
        <w:t xml:space="preserve"> McCarthy, M.</w:t>
      </w:r>
      <w:r>
        <w:rPr>
          <w:color w:val="000000"/>
          <w:sz w:val="22"/>
          <w:szCs w:val="22"/>
          <w:lang w:eastAsia="en-AU"/>
        </w:rPr>
        <w:t xml:space="preserve"> (</w:t>
      </w:r>
      <w:r w:rsidRPr="23216F23">
        <w:rPr>
          <w:color w:val="000000"/>
          <w:sz w:val="22"/>
          <w:szCs w:val="22"/>
          <w:lang w:eastAsia="en-AU"/>
        </w:rPr>
        <w:t>2019</w:t>
      </w:r>
      <w:r>
        <w:rPr>
          <w:color w:val="000000"/>
          <w:sz w:val="22"/>
          <w:szCs w:val="22"/>
          <w:lang w:eastAsia="en-AU"/>
        </w:rPr>
        <w:t>)</w:t>
      </w:r>
      <w:r w:rsidRPr="23216F23">
        <w:rPr>
          <w:color w:val="000000"/>
          <w:sz w:val="22"/>
          <w:szCs w:val="22"/>
          <w:lang w:eastAsia="en-AU"/>
        </w:rPr>
        <w:t>. Combining capture</w:t>
      </w:r>
      <w:r>
        <w:rPr>
          <w:color w:val="000000"/>
          <w:sz w:val="22"/>
          <w:szCs w:val="22"/>
          <w:lang w:eastAsia="en-AU"/>
        </w:rPr>
        <w:t>–</w:t>
      </w:r>
      <w:r w:rsidRPr="23216F23">
        <w:rPr>
          <w:color w:val="000000"/>
          <w:sz w:val="22"/>
          <w:szCs w:val="22"/>
          <w:lang w:eastAsia="en-AU"/>
        </w:rPr>
        <w:t>recapture data and known</w:t>
      </w:r>
      <w:r>
        <w:rPr>
          <w:color w:val="000000"/>
          <w:sz w:val="22"/>
          <w:szCs w:val="22"/>
          <w:lang w:eastAsia="en-AU"/>
        </w:rPr>
        <w:t xml:space="preserve"> </w:t>
      </w:r>
      <w:r w:rsidRPr="23216F23">
        <w:rPr>
          <w:color w:val="000000"/>
          <w:sz w:val="22"/>
          <w:szCs w:val="22"/>
          <w:lang w:eastAsia="en-AU"/>
        </w:rPr>
        <w:t>ages allows estimates of age-dependent survival rates.</w:t>
      </w:r>
      <w:r>
        <w:rPr>
          <w:color w:val="000000"/>
          <w:sz w:val="22"/>
          <w:szCs w:val="22"/>
          <w:lang w:eastAsia="en-AU"/>
        </w:rPr>
        <w:t xml:space="preserve"> </w:t>
      </w:r>
      <w:r w:rsidRPr="23216F23">
        <w:rPr>
          <w:i/>
          <w:iCs/>
          <w:color w:val="000000"/>
          <w:sz w:val="22"/>
          <w:szCs w:val="22"/>
          <w:lang w:eastAsia="en-AU"/>
        </w:rPr>
        <w:t>Ecology and Evolution</w:t>
      </w:r>
      <w:r w:rsidRPr="23216F23">
        <w:rPr>
          <w:color w:val="000000"/>
          <w:sz w:val="22"/>
          <w:szCs w:val="22"/>
          <w:lang w:eastAsia="en-AU"/>
        </w:rPr>
        <w:t xml:space="preserve"> </w:t>
      </w:r>
      <w:r w:rsidRPr="007F18D3">
        <w:rPr>
          <w:b/>
          <w:color w:val="000000"/>
          <w:sz w:val="22"/>
          <w:szCs w:val="22"/>
          <w:lang w:eastAsia="en-AU"/>
        </w:rPr>
        <w:t>9</w:t>
      </w:r>
      <w:r w:rsidRPr="23216F23">
        <w:rPr>
          <w:color w:val="000000"/>
          <w:sz w:val="22"/>
          <w:szCs w:val="22"/>
          <w:lang w:eastAsia="en-AU"/>
        </w:rPr>
        <w:t>(1), 90</w:t>
      </w:r>
      <w:r>
        <w:rPr>
          <w:color w:val="000000"/>
          <w:sz w:val="22"/>
          <w:szCs w:val="22"/>
          <w:lang w:eastAsia="en-AU"/>
        </w:rPr>
        <w:t>–</w:t>
      </w:r>
      <w:r w:rsidRPr="23216F23">
        <w:rPr>
          <w:color w:val="000000"/>
          <w:sz w:val="22"/>
          <w:szCs w:val="22"/>
          <w:lang w:eastAsia="en-AU"/>
        </w:rPr>
        <w:t>99.</w:t>
      </w:r>
    </w:p>
    <w:p w14:paraId="0F5671D9" w14:textId="5241FF83" w:rsidR="00491210" w:rsidRPr="008F2D4D" w:rsidRDefault="00EE200C" w:rsidP="00A94F87">
      <w:pPr>
        <w:spacing w:before="240" w:after="240"/>
        <w:ind w:left="567" w:hanging="567"/>
        <w:rPr>
          <w:color w:val="000000"/>
          <w:sz w:val="22"/>
          <w:szCs w:val="22"/>
          <w:lang w:eastAsia="en-AU"/>
        </w:rPr>
      </w:pPr>
      <w:r w:rsidRPr="007F18D3">
        <w:rPr>
          <w:b/>
          <w:color w:val="000000"/>
          <w:sz w:val="22"/>
          <w:szCs w:val="22"/>
          <w:lang w:eastAsia="en-AU"/>
        </w:rPr>
        <w:t>Todd, C.R.</w:t>
      </w:r>
      <w:r w:rsidRPr="23216F23">
        <w:rPr>
          <w:color w:val="000000"/>
          <w:sz w:val="22"/>
          <w:szCs w:val="22"/>
          <w:lang w:eastAsia="en-AU"/>
        </w:rPr>
        <w:t>, Whiterod, N.S., Raymond, S.C., Zukowski, S., Asmus, M.</w:t>
      </w:r>
      <w:r>
        <w:rPr>
          <w:color w:val="000000"/>
          <w:sz w:val="22"/>
          <w:szCs w:val="22"/>
          <w:lang w:eastAsia="en-AU"/>
        </w:rPr>
        <w:t xml:space="preserve"> and</w:t>
      </w:r>
      <w:r w:rsidRPr="23216F23">
        <w:rPr>
          <w:color w:val="000000"/>
          <w:sz w:val="22"/>
          <w:szCs w:val="22"/>
          <w:lang w:eastAsia="en-AU"/>
        </w:rPr>
        <w:t xml:space="preserve"> Todd, M.J.</w:t>
      </w:r>
      <w:r>
        <w:rPr>
          <w:color w:val="000000"/>
          <w:sz w:val="22"/>
          <w:szCs w:val="22"/>
          <w:lang w:eastAsia="en-AU"/>
        </w:rPr>
        <w:t xml:space="preserve"> (</w:t>
      </w:r>
      <w:r w:rsidRPr="23216F23">
        <w:rPr>
          <w:color w:val="000000"/>
          <w:sz w:val="22"/>
          <w:szCs w:val="22"/>
          <w:lang w:eastAsia="en-AU"/>
        </w:rPr>
        <w:t>2018</w:t>
      </w:r>
      <w:r>
        <w:rPr>
          <w:color w:val="000000"/>
          <w:sz w:val="22"/>
          <w:szCs w:val="22"/>
          <w:lang w:eastAsia="en-AU"/>
        </w:rPr>
        <w:t>)</w:t>
      </w:r>
      <w:r w:rsidRPr="23216F23">
        <w:rPr>
          <w:color w:val="000000"/>
          <w:sz w:val="22"/>
          <w:szCs w:val="22"/>
          <w:lang w:eastAsia="en-AU"/>
        </w:rPr>
        <w:t>.</w:t>
      </w:r>
      <w:r>
        <w:rPr>
          <w:color w:val="000000"/>
          <w:sz w:val="22"/>
          <w:szCs w:val="22"/>
          <w:lang w:eastAsia="en-AU"/>
        </w:rPr>
        <w:t xml:space="preserve"> </w:t>
      </w:r>
      <w:r w:rsidRPr="23216F23">
        <w:rPr>
          <w:color w:val="000000"/>
          <w:sz w:val="22"/>
          <w:szCs w:val="22"/>
          <w:lang w:eastAsia="en-AU"/>
        </w:rPr>
        <w:t xml:space="preserve">Integrating fishing and conservation in a risk framework: </w:t>
      </w:r>
      <w:r>
        <w:rPr>
          <w:color w:val="000000"/>
          <w:sz w:val="22"/>
          <w:szCs w:val="22"/>
          <w:lang w:eastAsia="en-AU"/>
        </w:rPr>
        <w:t>a</w:t>
      </w:r>
      <w:r w:rsidRPr="23216F23">
        <w:rPr>
          <w:color w:val="000000"/>
          <w:sz w:val="22"/>
          <w:szCs w:val="22"/>
          <w:lang w:eastAsia="en-AU"/>
        </w:rPr>
        <w:t xml:space="preserve"> stochastic population model to </w:t>
      </w:r>
      <w:r w:rsidRPr="23216F23">
        <w:rPr>
          <w:color w:val="000000"/>
          <w:sz w:val="22"/>
          <w:szCs w:val="22"/>
          <w:lang w:eastAsia="en-AU"/>
        </w:rPr>
        <w:lastRenderedPageBreak/>
        <w:t>guide the proactive management of a threatened freshwater crayfish.</w:t>
      </w:r>
      <w:r>
        <w:rPr>
          <w:color w:val="000000"/>
          <w:sz w:val="22"/>
          <w:szCs w:val="22"/>
          <w:lang w:eastAsia="en-AU"/>
        </w:rPr>
        <w:t xml:space="preserve"> </w:t>
      </w:r>
      <w:r w:rsidRPr="23216F23">
        <w:rPr>
          <w:i/>
          <w:iCs/>
          <w:color w:val="000000"/>
          <w:sz w:val="22"/>
          <w:szCs w:val="22"/>
          <w:lang w:eastAsia="en-AU"/>
        </w:rPr>
        <w:t>Aquatic Conservation: Marine and Freshwater Ecosystems</w:t>
      </w:r>
      <w:r w:rsidRPr="23216F23">
        <w:rPr>
          <w:color w:val="000000"/>
          <w:sz w:val="22"/>
          <w:szCs w:val="22"/>
          <w:lang w:eastAsia="en-AU"/>
        </w:rPr>
        <w:t xml:space="preserve"> </w:t>
      </w:r>
      <w:r w:rsidRPr="007F18D3">
        <w:rPr>
          <w:b/>
          <w:color w:val="000000"/>
          <w:sz w:val="22"/>
          <w:szCs w:val="22"/>
          <w:lang w:eastAsia="en-AU"/>
        </w:rPr>
        <w:t>28</w:t>
      </w:r>
      <w:r w:rsidRPr="23216F23">
        <w:rPr>
          <w:color w:val="000000"/>
          <w:sz w:val="22"/>
          <w:szCs w:val="22"/>
          <w:lang w:eastAsia="en-AU"/>
        </w:rPr>
        <w:t>, 954</w:t>
      </w:r>
      <w:r>
        <w:rPr>
          <w:color w:val="000000"/>
          <w:sz w:val="22"/>
          <w:szCs w:val="22"/>
          <w:lang w:eastAsia="en-AU"/>
        </w:rPr>
        <w:t>–</w:t>
      </w:r>
      <w:r w:rsidRPr="23216F23">
        <w:rPr>
          <w:color w:val="000000"/>
          <w:sz w:val="22"/>
          <w:szCs w:val="22"/>
          <w:lang w:eastAsia="en-AU"/>
        </w:rPr>
        <w:t>968. doi.org/10.1002/aqc.2924</w:t>
      </w:r>
    </w:p>
    <w:p w14:paraId="025A38E0" w14:textId="48453BE9" w:rsidR="00491210" w:rsidRPr="008F2D4D" w:rsidRDefault="00EE200C" w:rsidP="00A94F87">
      <w:pPr>
        <w:spacing w:before="240" w:after="240"/>
        <w:ind w:left="567" w:hanging="567"/>
        <w:rPr>
          <w:color w:val="000000"/>
          <w:sz w:val="22"/>
          <w:szCs w:val="22"/>
          <w:lang w:eastAsia="en-AU"/>
        </w:rPr>
      </w:pPr>
      <w:r w:rsidRPr="23216F23">
        <w:rPr>
          <w:color w:val="000000"/>
          <w:sz w:val="22"/>
          <w:szCs w:val="22"/>
          <w:lang w:eastAsia="en-AU"/>
        </w:rPr>
        <w:t xml:space="preserve">Whiterod, N.S., Zukowski, S., Asmus, M., </w:t>
      </w:r>
      <w:r w:rsidRPr="007F18D3">
        <w:rPr>
          <w:b/>
          <w:color w:val="000000"/>
          <w:sz w:val="22"/>
          <w:szCs w:val="22"/>
          <w:lang w:eastAsia="en-AU"/>
        </w:rPr>
        <w:t>Todd, C.R.</w:t>
      </w:r>
      <w:r>
        <w:rPr>
          <w:color w:val="000000"/>
          <w:sz w:val="22"/>
          <w:szCs w:val="22"/>
          <w:lang w:eastAsia="en-AU"/>
        </w:rPr>
        <w:t xml:space="preserve"> and</w:t>
      </w:r>
      <w:r w:rsidRPr="23216F23">
        <w:rPr>
          <w:color w:val="000000"/>
          <w:sz w:val="22"/>
          <w:szCs w:val="22"/>
          <w:lang w:eastAsia="en-AU"/>
        </w:rPr>
        <w:t xml:space="preserve"> Gwinn, D.C.</w:t>
      </w:r>
      <w:r>
        <w:rPr>
          <w:color w:val="000000"/>
          <w:sz w:val="22"/>
          <w:szCs w:val="22"/>
          <w:lang w:eastAsia="en-AU"/>
        </w:rPr>
        <w:t xml:space="preserve"> (</w:t>
      </w:r>
      <w:r w:rsidRPr="23216F23">
        <w:rPr>
          <w:color w:val="000000"/>
          <w:sz w:val="22"/>
          <w:szCs w:val="22"/>
          <w:lang w:eastAsia="en-AU"/>
        </w:rPr>
        <w:t>2018</w:t>
      </w:r>
      <w:r>
        <w:rPr>
          <w:color w:val="000000"/>
          <w:sz w:val="22"/>
          <w:szCs w:val="22"/>
          <w:lang w:eastAsia="en-AU"/>
        </w:rPr>
        <w:t>)</w:t>
      </w:r>
      <w:r w:rsidRPr="23216F23">
        <w:rPr>
          <w:color w:val="000000"/>
          <w:sz w:val="22"/>
          <w:szCs w:val="22"/>
          <w:lang w:eastAsia="en-AU"/>
        </w:rPr>
        <w:t>.</w:t>
      </w:r>
      <w:r>
        <w:rPr>
          <w:color w:val="000000"/>
          <w:sz w:val="22"/>
          <w:szCs w:val="22"/>
          <w:lang w:eastAsia="en-AU"/>
        </w:rPr>
        <w:t xml:space="preserve"> </w:t>
      </w:r>
      <w:r w:rsidRPr="23216F23">
        <w:rPr>
          <w:color w:val="000000"/>
          <w:sz w:val="22"/>
          <w:szCs w:val="22"/>
          <w:lang w:eastAsia="en-AU"/>
        </w:rPr>
        <w:t xml:space="preserve">Take the long way home: </w:t>
      </w:r>
      <w:r>
        <w:rPr>
          <w:color w:val="000000"/>
          <w:sz w:val="22"/>
          <w:szCs w:val="22"/>
          <w:lang w:eastAsia="en-AU"/>
        </w:rPr>
        <w:t>m</w:t>
      </w:r>
      <w:r w:rsidRPr="23216F23">
        <w:rPr>
          <w:color w:val="000000"/>
          <w:sz w:val="22"/>
          <w:szCs w:val="22"/>
          <w:lang w:eastAsia="en-AU"/>
        </w:rPr>
        <w:t xml:space="preserve">inimal recovery in a K-selected freshwater crayfish impacted by significant population loss. </w:t>
      </w:r>
      <w:r w:rsidRPr="23216F23">
        <w:rPr>
          <w:i/>
          <w:iCs/>
          <w:color w:val="000000"/>
          <w:sz w:val="22"/>
          <w:szCs w:val="22"/>
          <w:lang w:eastAsia="en-AU"/>
        </w:rPr>
        <w:t>Ecological Indicators</w:t>
      </w:r>
      <w:r w:rsidRPr="23216F23">
        <w:rPr>
          <w:color w:val="000000"/>
          <w:sz w:val="22"/>
          <w:szCs w:val="22"/>
          <w:lang w:eastAsia="en-AU"/>
        </w:rPr>
        <w:t xml:space="preserve"> </w:t>
      </w:r>
      <w:r w:rsidRPr="007F18D3">
        <w:rPr>
          <w:b/>
          <w:color w:val="000000"/>
          <w:sz w:val="22"/>
          <w:szCs w:val="22"/>
          <w:lang w:eastAsia="en-AU"/>
        </w:rPr>
        <w:t>89</w:t>
      </w:r>
      <w:r w:rsidRPr="23216F23">
        <w:rPr>
          <w:color w:val="000000"/>
          <w:sz w:val="22"/>
          <w:szCs w:val="22"/>
          <w:lang w:eastAsia="en-AU"/>
        </w:rPr>
        <w:t>, 622–630.</w:t>
      </w:r>
    </w:p>
    <w:p w14:paraId="5A448ED6" w14:textId="3FB226C5" w:rsidR="00491210" w:rsidRPr="008F2D4D" w:rsidRDefault="00EE200C" w:rsidP="00A94F87">
      <w:pPr>
        <w:spacing w:before="240" w:after="240"/>
        <w:ind w:left="567" w:hanging="567"/>
        <w:rPr>
          <w:color w:val="000000"/>
          <w:sz w:val="22"/>
          <w:szCs w:val="22"/>
          <w:lang w:eastAsia="en-AU"/>
        </w:rPr>
      </w:pPr>
      <w:r w:rsidRPr="007F18D3">
        <w:rPr>
          <w:b/>
          <w:color w:val="000000"/>
          <w:sz w:val="22"/>
          <w:szCs w:val="22"/>
          <w:lang w:eastAsia="en-AU"/>
        </w:rPr>
        <w:t>Todd, C.R.</w:t>
      </w:r>
      <w:r w:rsidRPr="23216F23">
        <w:rPr>
          <w:color w:val="000000"/>
          <w:sz w:val="22"/>
          <w:szCs w:val="22"/>
          <w:lang w:eastAsia="en-AU"/>
        </w:rPr>
        <w:t>, Koehn, J.D., Pearce, L., Dodd, L., Humphries, P.</w:t>
      </w:r>
      <w:r>
        <w:rPr>
          <w:color w:val="000000"/>
          <w:sz w:val="22"/>
          <w:szCs w:val="22"/>
          <w:lang w:eastAsia="en-AU"/>
        </w:rPr>
        <w:t xml:space="preserve"> and</w:t>
      </w:r>
      <w:r w:rsidRPr="23216F23">
        <w:rPr>
          <w:color w:val="000000"/>
          <w:sz w:val="22"/>
          <w:szCs w:val="22"/>
          <w:lang w:eastAsia="en-AU"/>
        </w:rPr>
        <w:t xml:space="preserve"> Morrongiello, J.R.</w:t>
      </w:r>
      <w:r>
        <w:rPr>
          <w:color w:val="000000"/>
          <w:sz w:val="22"/>
          <w:szCs w:val="22"/>
          <w:lang w:eastAsia="en-AU"/>
        </w:rPr>
        <w:t xml:space="preserve"> (</w:t>
      </w:r>
      <w:r w:rsidRPr="23216F23">
        <w:rPr>
          <w:color w:val="000000"/>
          <w:sz w:val="22"/>
          <w:szCs w:val="22"/>
          <w:lang w:eastAsia="en-AU"/>
        </w:rPr>
        <w:t>2017</w:t>
      </w:r>
      <w:r>
        <w:rPr>
          <w:color w:val="000000"/>
          <w:sz w:val="22"/>
          <w:szCs w:val="22"/>
          <w:lang w:eastAsia="en-AU"/>
        </w:rPr>
        <w:t>)</w:t>
      </w:r>
      <w:r w:rsidRPr="23216F23">
        <w:rPr>
          <w:color w:val="000000"/>
          <w:sz w:val="22"/>
          <w:szCs w:val="22"/>
          <w:lang w:eastAsia="en-AU"/>
        </w:rPr>
        <w:t>.</w:t>
      </w:r>
      <w:r>
        <w:rPr>
          <w:color w:val="000000"/>
          <w:sz w:val="22"/>
          <w:szCs w:val="22"/>
          <w:lang w:eastAsia="en-AU"/>
        </w:rPr>
        <w:t xml:space="preserve"> </w:t>
      </w:r>
      <w:r w:rsidRPr="23216F23">
        <w:rPr>
          <w:color w:val="000000"/>
          <w:sz w:val="22"/>
          <w:szCs w:val="22"/>
          <w:lang w:eastAsia="en-AU"/>
        </w:rPr>
        <w:t>Forgotten fishes: what is the future for small threatened freshwater fish?</w:t>
      </w:r>
      <w:r>
        <w:rPr>
          <w:color w:val="000000"/>
          <w:sz w:val="22"/>
          <w:szCs w:val="22"/>
          <w:lang w:eastAsia="en-AU"/>
        </w:rPr>
        <w:t xml:space="preserve"> </w:t>
      </w:r>
      <w:r w:rsidRPr="23216F23">
        <w:rPr>
          <w:color w:val="000000"/>
          <w:sz w:val="22"/>
          <w:szCs w:val="22"/>
          <w:lang w:eastAsia="en-AU"/>
        </w:rPr>
        <w:t xml:space="preserve">Population risk assessment for southern pygmy perch, </w:t>
      </w:r>
      <w:r w:rsidRPr="23216F23">
        <w:rPr>
          <w:i/>
          <w:iCs/>
          <w:color w:val="000000"/>
          <w:sz w:val="22"/>
          <w:szCs w:val="22"/>
          <w:lang w:eastAsia="en-AU"/>
        </w:rPr>
        <w:t>Nannoperca</w:t>
      </w:r>
      <w:r w:rsidRPr="23216F23">
        <w:rPr>
          <w:color w:val="000000"/>
          <w:sz w:val="22"/>
          <w:szCs w:val="22"/>
          <w:lang w:eastAsia="en-AU"/>
        </w:rPr>
        <w:t xml:space="preserve"> </w:t>
      </w:r>
      <w:r w:rsidRPr="23216F23">
        <w:rPr>
          <w:i/>
          <w:iCs/>
          <w:color w:val="000000"/>
          <w:sz w:val="22"/>
          <w:szCs w:val="22"/>
          <w:lang w:eastAsia="en-AU"/>
        </w:rPr>
        <w:t>australis</w:t>
      </w:r>
      <w:r w:rsidRPr="23216F23">
        <w:rPr>
          <w:color w:val="000000"/>
          <w:sz w:val="22"/>
          <w:szCs w:val="22"/>
          <w:lang w:eastAsia="en-AU"/>
        </w:rPr>
        <w:t>.</w:t>
      </w:r>
      <w:r>
        <w:rPr>
          <w:color w:val="000000"/>
          <w:sz w:val="22"/>
          <w:szCs w:val="22"/>
          <w:lang w:eastAsia="en-AU"/>
        </w:rPr>
        <w:t xml:space="preserve"> </w:t>
      </w:r>
      <w:r w:rsidRPr="23216F23">
        <w:rPr>
          <w:i/>
          <w:iCs/>
          <w:color w:val="000000"/>
          <w:sz w:val="22"/>
          <w:szCs w:val="22"/>
          <w:lang w:eastAsia="en-AU"/>
        </w:rPr>
        <w:t>Aquatic Conservation: Marine and Freshwater</w:t>
      </w:r>
      <w:r w:rsidRPr="23216F23">
        <w:rPr>
          <w:color w:val="000000"/>
          <w:sz w:val="22"/>
          <w:szCs w:val="22"/>
          <w:lang w:eastAsia="en-AU"/>
        </w:rPr>
        <w:t xml:space="preserve"> </w:t>
      </w:r>
      <w:r w:rsidRPr="23216F23">
        <w:rPr>
          <w:i/>
          <w:iCs/>
          <w:color w:val="000000"/>
          <w:sz w:val="22"/>
          <w:szCs w:val="22"/>
          <w:lang w:eastAsia="en-AU"/>
        </w:rPr>
        <w:t>Ecosystems</w:t>
      </w:r>
      <w:r w:rsidRPr="23216F23">
        <w:rPr>
          <w:color w:val="000000"/>
          <w:sz w:val="22"/>
          <w:szCs w:val="22"/>
          <w:lang w:eastAsia="en-AU"/>
        </w:rPr>
        <w:t xml:space="preserve"> </w:t>
      </w:r>
      <w:r w:rsidRPr="007F18D3">
        <w:rPr>
          <w:b/>
          <w:color w:val="000000"/>
          <w:sz w:val="22"/>
          <w:szCs w:val="22"/>
          <w:lang w:eastAsia="en-AU"/>
        </w:rPr>
        <w:t>27</w:t>
      </w:r>
      <w:r w:rsidRPr="23216F23">
        <w:rPr>
          <w:color w:val="000000"/>
          <w:sz w:val="22"/>
          <w:szCs w:val="22"/>
          <w:lang w:eastAsia="en-AU"/>
        </w:rPr>
        <w:t>, 1290–1300.</w:t>
      </w:r>
    </w:p>
    <w:p w14:paraId="6CB55B60" w14:textId="2F9ADABB" w:rsidR="00491210" w:rsidRPr="008F2D4D" w:rsidRDefault="00EE200C" w:rsidP="00A94F87">
      <w:pPr>
        <w:spacing w:before="240" w:after="240"/>
        <w:ind w:left="567" w:hanging="567"/>
        <w:rPr>
          <w:color w:val="000000"/>
          <w:sz w:val="22"/>
          <w:szCs w:val="22"/>
          <w:lang w:eastAsia="en-AU"/>
        </w:rPr>
      </w:pPr>
      <w:r w:rsidRPr="007F18D3">
        <w:rPr>
          <w:b/>
          <w:color w:val="000000"/>
          <w:sz w:val="22"/>
          <w:szCs w:val="22"/>
          <w:lang w:eastAsia="en-AU"/>
        </w:rPr>
        <w:t>Todd, C.R.</w:t>
      </w:r>
      <w:r w:rsidRPr="23216F23">
        <w:rPr>
          <w:color w:val="000000"/>
          <w:sz w:val="22"/>
          <w:szCs w:val="22"/>
          <w:lang w:eastAsia="en-AU"/>
        </w:rPr>
        <w:t>, Lintermans, M., Raymond, S.</w:t>
      </w:r>
      <w:r>
        <w:rPr>
          <w:color w:val="000000"/>
          <w:sz w:val="22"/>
          <w:szCs w:val="22"/>
          <w:lang w:eastAsia="en-AU"/>
        </w:rPr>
        <w:t xml:space="preserve"> and</w:t>
      </w:r>
      <w:r w:rsidRPr="23216F23">
        <w:rPr>
          <w:color w:val="000000"/>
          <w:sz w:val="22"/>
          <w:szCs w:val="22"/>
          <w:lang w:eastAsia="en-AU"/>
        </w:rPr>
        <w:t xml:space="preserve"> Ryall, J.</w:t>
      </w:r>
      <w:r>
        <w:rPr>
          <w:color w:val="000000"/>
          <w:sz w:val="22"/>
          <w:szCs w:val="22"/>
          <w:lang w:eastAsia="en-AU"/>
        </w:rPr>
        <w:t xml:space="preserve"> (</w:t>
      </w:r>
      <w:r w:rsidRPr="23216F23">
        <w:rPr>
          <w:color w:val="000000"/>
          <w:sz w:val="22"/>
          <w:szCs w:val="22"/>
          <w:lang w:eastAsia="en-AU"/>
        </w:rPr>
        <w:t>2017</w:t>
      </w:r>
      <w:r>
        <w:rPr>
          <w:color w:val="000000"/>
          <w:sz w:val="22"/>
          <w:szCs w:val="22"/>
          <w:lang w:eastAsia="en-AU"/>
        </w:rPr>
        <w:t>)</w:t>
      </w:r>
      <w:r w:rsidRPr="23216F23">
        <w:rPr>
          <w:color w:val="000000"/>
          <w:sz w:val="22"/>
          <w:szCs w:val="22"/>
          <w:lang w:eastAsia="en-AU"/>
        </w:rPr>
        <w:t>.</w:t>
      </w:r>
      <w:r>
        <w:rPr>
          <w:color w:val="000000"/>
          <w:sz w:val="22"/>
          <w:szCs w:val="22"/>
          <w:lang w:eastAsia="en-AU"/>
        </w:rPr>
        <w:t xml:space="preserve"> </w:t>
      </w:r>
      <w:r w:rsidRPr="23216F23">
        <w:rPr>
          <w:color w:val="000000"/>
          <w:sz w:val="22"/>
          <w:szCs w:val="22"/>
          <w:lang w:eastAsia="en-AU"/>
        </w:rPr>
        <w:t xml:space="preserve">Assessing the impacts of reservoir expansion using a population model for a threatened riverine fish. </w:t>
      </w:r>
      <w:r w:rsidRPr="23216F23">
        <w:rPr>
          <w:i/>
          <w:iCs/>
          <w:color w:val="000000"/>
          <w:sz w:val="22"/>
          <w:szCs w:val="22"/>
          <w:lang w:eastAsia="en-AU"/>
        </w:rPr>
        <w:t>Ecological Indicators</w:t>
      </w:r>
      <w:r w:rsidRPr="23216F23">
        <w:rPr>
          <w:color w:val="000000"/>
          <w:sz w:val="22"/>
          <w:szCs w:val="22"/>
          <w:lang w:eastAsia="en-AU"/>
        </w:rPr>
        <w:t xml:space="preserve"> </w:t>
      </w:r>
      <w:r w:rsidRPr="007F18D3">
        <w:rPr>
          <w:b/>
          <w:color w:val="000000"/>
          <w:sz w:val="22"/>
          <w:szCs w:val="22"/>
          <w:lang w:eastAsia="en-AU"/>
        </w:rPr>
        <w:t>80</w:t>
      </w:r>
      <w:r w:rsidRPr="23216F23">
        <w:rPr>
          <w:color w:val="000000"/>
          <w:sz w:val="22"/>
          <w:szCs w:val="22"/>
          <w:lang w:eastAsia="en-AU"/>
        </w:rPr>
        <w:t>, 204–214.</w:t>
      </w:r>
    </w:p>
    <w:p w14:paraId="6AFAE01F" w14:textId="55A4ECF6" w:rsidR="00491210" w:rsidRPr="008F2D4D" w:rsidRDefault="00EE200C" w:rsidP="00A94F87">
      <w:pPr>
        <w:spacing w:before="240" w:after="240"/>
        <w:ind w:left="567" w:hanging="567"/>
        <w:rPr>
          <w:color w:val="000000"/>
          <w:sz w:val="22"/>
          <w:szCs w:val="22"/>
          <w:lang w:eastAsia="en-AU"/>
        </w:rPr>
      </w:pPr>
      <w:r w:rsidRPr="23216F23">
        <w:rPr>
          <w:color w:val="000000"/>
          <w:sz w:val="22"/>
          <w:szCs w:val="22"/>
          <w:lang w:eastAsia="en-AU"/>
        </w:rPr>
        <w:t xml:space="preserve">Koehn, J.D., </w:t>
      </w:r>
      <w:r w:rsidRPr="007F18D3">
        <w:rPr>
          <w:b/>
          <w:color w:val="000000"/>
          <w:sz w:val="22"/>
          <w:szCs w:val="22"/>
          <w:lang w:eastAsia="en-AU"/>
        </w:rPr>
        <w:t>Todd, C.R.</w:t>
      </w:r>
      <w:r w:rsidRPr="23216F23">
        <w:rPr>
          <w:color w:val="000000"/>
          <w:sz w:val="22"/>
          <w:szCs w:val="22"/>
          <w:lang w:eastAsia="en-AU"/>
        </w:rPr>
        <w:t>, Zampatti, B.P., Stuart, I.G., Conallin, A., Thwaites, L.</w:t>
      </w:r>
      <w:r>
        <w:rPr>
          <w:color w:val="000000"/>
          <w:sz w:val="22"/>
          <w:szCs w:val="22"/>
          <w:lang w:eastAsia="en-AU"/>
        </w:rPr>
        <w:t xml:space="preserve"> and</w:t>
      </w:r>
      <w:r w:rsidRPr="23216F23">
        <w:rPr>
          <w:color w:val="000000"/>
          <w:sz w:val="22"/>
          <w:szCs w:val="22"/>
          <w:lang w:eastAsia="en-AU"/>
        </w:rPr>
        <w:t xml:space="preserve"> Ye, Q.</w:t>
      </w:r>
      <w:r>
        <w:rPr>
          <w:color w:val="000000"/>
          <w:sz w:val="22"/>
          <w:szCs w:val="22"/>
          <w:lang w:eastAsia="en-AU"/>
        </w:rPr>
        <w:t xml:space="preserve"> (</w:t>
      </w:r>
      <w:r w:rsidRPr="23216F23">
        <w:rPr>
          <w:color w:val="000000"/>
          <w:sz w:val="22"/>
          <w:szCs w:val="22"/>
          <w:lang w:eastAsia="en-AU"/>
        </w:rPr>
        <w:t>2017</w:t>
      </w:r>
      <w:r>
        <w:rPr>
          <w:color w:val="000000"/>
          <w:sz w:val="22"/>
          <w:szCs w:val="22"/>
          <w:lang w:eastAsia="en-AU"/>
        </w:rPr>
        <w:t>)</w:t>
      </w:r>
      <w:r w:rsidRPr="23216F23">
        <w:rPr>
          <w:color w:val="000000"/>
          <w:sz w:val="22"/>
          <w:szCs w:val="22"/>
          <w:lang w:eastAsia="en-AU"/>
        </w:rPr>
        <w:t>.</w:t>
      </w:r>
      <w:r>
        <w:rPr>
          <w:color w:val="000000"/>
          <w:sz w:val="22"/>
          <w:szCs w:val="22"/>
          <w:lang w:eastAsia="en-AU"/>
        </w:rPr>
        <w:t xml:space="preserve"> </w:t>
      </w:r>
      <w:r w:rsidRPr="23216F23">
        <w:rPr>
          <w:color w:val="000000"/>
          <w:sz w:val="22"/>
          <w:szCs w:val="22"/>
          <w:lang w:eastAsia="en-AU"/>
        </w:rPr>
        <w:t>Using a population model to inform the management of river flows and invasive Carp (</w:t>
      </w:r>
      <w:r w:rsidRPr="23216F23">
        <w:rPr>
          <w:i/>
          <w:iCs/>
          <w:color w:val="000000"/>
          <w:sz w:val="22"/>
          <w:szCs w:val="22"/>
          <w:lang w:eastAsia="en-AU"/>
        </w:rPr>
        <w:t>Cyprinus</w:t>
      </w:r>
      <w:r w:rsidRPr="23216F23">
        <w:rPr>
          <w:color w:val="000000"/>
          <w:sz w:val="22"/>
          <w:szCs w:val="22"/>
          <w:lang w:eastAsia="en-AU"/>
        </w:rPr>
        <w:t xml:space="preserve"> </w:t>
      </w:r>
      <w:r w:rsidRPr="23216F23">
        <w:rPr>
          <w:i/>
          <w:iCs/>
          <w:color w:val="000000"/>
          <w:sz w:val="22"/>
          <w:szCs w:val="22"/>
          <w:lang w:eastAsia="en-AU"/>
        </w:rPr>
        <w:t>carpio</w:t>
      </w:r>
      <w:r w:rsidRPr="23216F23">
        <w:rPr>
          <w:color w:val="000000"/>
          <w:sz w:val="22"/>
          <w:szCs w:val="22"/>
          <w:lang w:eastAsia="en-AU"/>
        </w:rPr>
        <w:t>).</w:t>
      </w:r>
      <w:r>
        <w:rPr>
          <w:color w:val="000000"/>
          <w:sz w:val="22"/>
          <w:szCs w:val="22"/>
          <w:lang w:eastAsia="en-AU"/>
        </w:rPr>
        <w:t xml:space="preserve"> </w:t>
      </w:r>
      <w:r w:rsidRPr="23216F23">
        <w:rPr>
          <w:i/>
          <w:iCs/>
          <w:color w:val="000000"/>
          <w:sz w:val="22"/>
          <w:szCs w:val="22"/>
          <w:lang w:eastAsia="en-AU"/>
        </w:rPr>
        <w:t xml:space="preserve">Environmental </w:t>
      </w:r>
      <w:r>
        <w:rPr>
          <w:i/>
          <w:iCs/>
          <w:color w:val="000000"/>
          <w:sz w:val="22"/>
          <w:szCs w:val="22"/>
          <w:lang w:eastAsia="en-AU"/>
        </w:rPr>
        <w:t>M</w:t>
      </w:r>
      <w:r w:rsidRPr="23216F23">
        <w:rPr>
          <w:i/>
          <w:iCs/>
          <w:color w:val="000000"/>
          <w:sz w:val="22"/>
          <w:szCs w:val="22"/>
          <w:lang w:eastAsia="en-AU"/>
        </w:rPr>
        <w:t>anagement</w:t>
      </w:r>
      <w:r w:rsidRPr="23216F23">
        <w:rPr>
          <w:color w:val="000000"/>
          <w:sz w:val="22"/>
          <w:szCs w:val="22"/>
          <w:lang w:eastAsia="en-AU"/>
        </w:rPr>
        <w:t xml:space="preserve"> </w:t>
      </w:r>
      <w:r w:rsidRPr="007F18D3">
        <w:rPr>
          <w:b/>
          <w:color w:val="000000"/>
          <w:sz w:val="22"/>
          <w:szCs w:val="22"/>
          <w:lang w:eastAsia="en-AU"/>
        </w:rPr>
        <w:t>61</w:t>
      </w:r>
      <w:r w:rsidRPr="23216F23">
        <w:rPr>
          <w:color w:val="000000"/>
          <w:sz w:val="22"/>
          <w:szCs w:val="22"/>
          <w:lang w:eastAsia="en-AU"/>
        </w:rPr>
        <w:t>, 432–442.</w:t>
      </w:r>
    </w:p>
    <w:p w14:paraId="1AB07CE8" w14:textId="028A56EF" w:rsidR="00491210" w:rsidRPr="008F2D4D" w:rsidRDefault="00EE200C" w:rsidP="00A94F87">
      <w:pPr>
        <w:spacing w:before="240" w:after="240"/>
        <w:ind w:left="567" w:hanging="567"/>
        <w:rPr>
          <w:color w:val="000000"/>
          <w:sz w:val="22"/>
          <w:szCs w:val="22"/>
          <w:lang w:eastAsia="en-AU"/>
        </w:rPr>
      </w:pPr>
      <w:r w:rsidRPr="007F18D3">
        <w:rPr>
          <w:b/>
          <w:color w:val="000000"/>
          <w:sz w:val="22"/>
          <w:szCs w:val="22"/>
          <w:lang w:eastAsia="en-AU"/>
        </w:rPr>
        <w:t>Todd, C.R.</w:t>
      </w:r>
      <w:r w:rsidRPr="23216F23">
        <w:rPr>
          <w:color w:val="000000"/>
          <w:sz w:val="22"/>
          <w:szCs w:val="22"/>
          <w:lang w:eastAsia="en-AU"/>
        </w:rPr>
        <w:t>, Lindenmayer, D.B., Stamation, K., Acevedo-Cattaneo, S., Smith, S.</w:t>
      </w:r>
      <w:r>
        <w:rPr>
          <w:color w:val="000000"/>
          <w:sz w:val="22"/>
          <w:szCs w:val="22"/>
          <w:lang w:eastAsia="en-AU"/>
        </w:rPr>
        <w:t xml:space="preserve"> and</w:t>
      </w:r>
      <w:r w:rsidRPr="23216F23">
        <w:rPr>
          <w:color w:val="000000"/>
          <w:sz w:val="22"/>
          <w:szCs w:val="22"/>
          <w:lang w:eastAsia="en-AU"/>
        </w:rPr>
        <w:t xml:space="preserve"> Lumsden, L.F.</w:t>
      </w:r>
      <w:r>
        <w:rPr>
          <w:color w:val="000000"/>
          <w:sz w:val="22"/>
          <w:szCs w:val="22"/>
          <w:lang w:eastAsia="en-AU"/>
        </w:rPr>
        <w:t xml:space="preserve"> (</w:t>
      </w:r>
      <w:r w:rsidRPr="23216F23">
        <w:rPr>
          <w:color w:val="000000"/>
          <w:sz w:val="22"/>
          <w:szCs w:val="22"/>
          <w:lang w:eastAsia="en-AU"/>
        </w:rPr>
        <w:t>2016</w:t>
      </w:r>
      <w:r>
        <w:rPr>
          <w:color w:val="000000"/>
          <w:sz w:val="22"/>
          <w:szCs w:val="22"/>
          <w:lang w:eastAsia="en-AU"/>
        </w:rPr>
        <w:t>)</w:t>
      </w:r>
      <w:r w:rsidRPr="23216F23">
        <w:rPr>
          <w:color w:val="000000"/>
          <w:sz w:val="22"/>
          <w:szCs w:val="22"/>
          <w:lang w:eastAsia="en-AU"/>
        </w:rPr>
        <w:t>.</w:t>
      </w:r>
      <w:r>
        <w:rPr>
          <w:color w:val="000000"/>
          <w:sz w:val="22"/>
          <w:szCs w:val="22"/>
          <w:lang w:eastAsia="en-AU"/>
        </w:rPr>
        <w:t xml:space="preserve"> </w:t>
      </w:r>
      <w:r w:rsidRPr="23216F23">
        <w:rPr>
          <w:color w:val="000000"/>
          <w:sz w:val="22"/>
          <w:szCs w:val="22"/>
          <w:lang w:eastAsia="en-AU"/>
        </w:rPr>
        <w:t xml:space="preserve">Assessing reserve effectiveness: application to a threatened species in a dynamic ﬁre prone forest landscape. </w:t>
      </w:r>
      <w:r w:rsidRPr="23216F23">
        <w:rPr>
          <w:i/>
          <w:iCs/>
          <w:color w:val="000000"/>
          <w:sz w:val="22"/>
          <w:szCs w:val="22"/>
          <w:lang w:eastAsia="en-AU"/>
        </w:rPr>
        <w:t>Ecological Modelling</w:t>
      </w:r>
      <w:r w:rsidRPr="23216F23">
        <w:rPr>
          <w:color w:val="000000"/>
          <w:sz w:val="22"/>
          <w:szCs w:val="22"/>
          <w:lang w:eastAsia="en-AU"/>
        </w:rPr>
        <w:t xml:space="preserve"> </w:t>
      </w:r>
      <w:r w:rsidRPr="007F18D3">
        <w:rPr>
          <w:b/>
          <w:color w:val="000000"/>
          <w:sz w:val="22"/>
          <w:szCs w:val="22"/>
          <w:lang w:eastAsia="en-AU"/>
        </w:rPr>
        <w:t>338</w:t>
      </w:r>
      <w:r w:rsidRPr="23216F23">
        <w:rPr>
          <w:color w:val="000000"/>
          <w:sz w:val="22"/>
          <w:szCs w:val="22"/>
          <w:lang w:eastAsia="en-AU"/>
        </w:rPr>
        <w:t>, 90–100.</w:t>
      </w:r>
    </w:p>
    <w:p w14:paraId="4CA7BD1B" w14:textId="50CCB70D" w:rsidR="00491210" w:rsidRPr="008F2D4D" w:rsidRDefault="00EE200C" w:rsidP="00A94F87">
      <w:pPr>
        <w:spacing w:before="240" w:after="240"/>
        <w:ind w:left="567" w:hanging="567"/>
        <w:rPr>
          <w:color w:val="000000"/>
          <w:sz w:val="22"/>
          <w:szCs w:val="22"/>
          <w:lang w:eastAsia="en-AU"/>
        </w:rPr>
      </w:pPr>
      <w:r w:rsidRPr="007F18D3">
        <w:rPr>
          <w:b/>
          <w:color w:val="000000"/>
          <w:sz w:val="22"/>
          <w:szCs w:val="22"/>
          <w:lang w:eastAsia="en-AU"/>
        </w:rPr>
        <w:t>Todd, C.R.</w:t>
      </w:r>
      <w:r>
        <w:rPr>
          <w:color w:val="000000"/>
          <w:sz w:val="22"/>
          <w:szCs w:val="22"/>
          <w:lang w:eastAsia="en-AU"/>
        </w:rPr>
        <w:t xml:space="preserve"> and</w:t>
      </w:r>
      <w:r w:rsidRPr="23216F23">
        <w:rPr>
          <w:color w:val="000000"/>
          <w:sz w:val="22"/>
          <w:szCs w:val="22"/>
          <w:lang w:eastAsia="en-AU"/>
        </w:rPr>
        <w:t xml:space="preserve"> Lintermans, M.</w:t>
      </w:r>
      <w:r>
        <w:rPr>
          <w:color w:val="000000"/>
          <w:sz w:val="22"/>
          <w:szCs w:val="22"/>
          <w:lang w:eastAsia="en-AU"/>
        </w:rPr>
        <w:t xml:space="preserve"> (</w:t>
      </w:r>
      <w:r w:rsidRPr="23216F23">
        <w:rPr>
          <w:color w:val="000000"/>
          <w:sz w:val="22"/>
          <w:szCs w:val="22"/>
          <w:lang w:eastAsia="en-AU"/>
        </w:rPr>
        <w:t>2015</w:t>
      </w:r>
      <w:r>
        <w:rPr>
          <w:color w:val="000000"/>
          <w:sz w:val="22"/>
          <w:szCs w:val="22"/>
          <w:lang w:eastAsia="en-AU"/>
        </w:rPr>
        <w:t>)</w:t>
      </w:r>
      <w:r w:rsidRPr="23216F23">
        <w:rPr>
          <w:color w:val="000000"/>
          <w:sz w:val="22"/>
          <w:szCs w:val="22"/>
          <w:lang w:eastAsia="en-AU"/>
        </w:rPr>
        <w:t>.</w:t>
      </w:r>
      <w:r>
        <w:rPr>
          <w:color w:val="000000"/>
          <w:sz w:val="22"/>
          <w:szCs w:val="22"/>
          <w:lang w:eastAsia="en-AU"/>
        </w:rPr>
        <w:t xml:space="preserve"> </w:t>
      </w:r>
      <w:r w:rsidRPr="23216F23">
        <w:rPr>
          <w:color w:val="000000"/>
          <w:sz w:val="22"/>
          <w:szCs w:val="22"/>
          <w:lang w:eastAsia="en-AU"/>
        </w:rPr>
        <w:t>Who do you move? A stochastic population model to guide translocation strategies for an endangered freshwater fish in south-eastern Australia.</w:t>
      </w:r>
      <w:r>
        <w:rPr>
          <w:color w:val="000000"/>
          <w:sz w:val="22"/>
          <w:szCs w:val="22"/>
          <w:lang w:eastAsia="en-AU"/>
        </w:rPr>
        <w:t xml:space="preserve"> </w:t>
      </w:r>
      <w:r w:rsidRPr="23216F23">
        <w:rPr>
          <w:i/>
          <w:iCs/>
          <w:color w:val="000000"/>
          <w:sz w:val="22"/>
          <w:szCs w:val="22"/>
          <w:lang w:eastAsia="en-AU"/>
        </w:rPr>
        <w:t>Ecological</w:t>
      </w:r>
      <w:r w:rsidRPr="23216F23">
        <w:rPr>
          <w:color w:val="000000"/>
          <w:sz w:val="22"/>
          <w:szCs w:val="22"/>
          <w:lang w:eastAsia="en-AU"/>
        </w:rPr>
        <w:t xml:space="preserve"> </w:t>
      </w:r>
      <w:r w:rsidRPr="23216F23">
        <w:rPr>
          <w:i/>
          <w:iCs/>
          <w:color w:val="000000"/>
          <w:sz w:val="22"/>
          <w:szCs w:val="22"/>
          <w:lang w:eastAsia="en-AU"/>
        </w:rPr>
        <w:t>Modelling</w:t>
      </w:r>
      <w:r w:rsidRPr="23216F23">
        <w:rPr>
          <w:color w:val="000000"/>
          <w:sz w:val="22"/>
          <w:szCs w:val="22"/>
          <w:lang w:eastAsia="en-AU"/>
        </w:rPr>
        <w:t xml:space="preserve"> </w:t>
      </w:r>
      <w:r w:rsidRPr="007F18D3">
        <w:rPr>
          <w:b/>
          <w:color w:val="000000"/>
          <w:sz w:val="22"/>
          <w:szCs w:val="22"/>
          <w:lang w:eastAsia="en-AU"/>
        </w:rPr>
        <w:t>311</w:t>
      </w:r>
      <w:r w:rsidRPr="23216F23">
        <w:rPr>
          <w:color w:val="000000"/>
          <w:sz w:val="22"/>
          <w:szCs w:val="22"/>
          <w:lang w:eastAsia="en-AU"/>
        </w:rPr>
        <w:t>, 63</w:t>
      </w:r>
      <w:r>
        <w:rPr>
          <w:color w:val="000000"/>
          <w:sz w:val="22"/>
          <w:szCs w:val="22"/>
          <w:lang w:eastAsia="en-AU"/>
        </w:rPr>
        <w:t>–</w:t>
      </w:r>
      <w:r w:rsidRPr="23216F23">
        <w:rPr>
          <w:color w:val="000000"/>
          <w:sz w:val="22"/>
          <w:szCs w:val="22"/>
          <w:lang w:eastAsia="en-AU"/>
        </w:rPr>
        <w:t>72.</w:t>
      </w:r>
    </w:p>
    <w:p w14:paraId="0CFDE7B9" w14:textId="1046763B" w:rsidR="00491210" w:rsidRPr="007F18D3" w:rsidRDefault="00EE200C" w:rsidP="007F18D3">
      <w:pPr>
        <w:pStyle w:val="PopModCVheading"/>
      </w:pPr>
      <w:r w:rsidRPr="009B7A0C">
        <w:t>Software</w:t>
      </w:r>
    </w:p>
    <w:p w14:paraId="43273CF2" w14:textId="32E532FC" w:rsidR="00491210" w:rsidRDefault="00EE200C" w:rsidP="000924C7">
      <w:r w:rsidRPr="4D1BBAA5">
        <w:rPr>
          <w:b/>
          <w:bCs/>
        </w:rPr>
        <w:t>Todd, C.R.</w:t>
      </w:r>
      <w:r>
        <w:t xml:space="preserve"> and</w:t>
      </w:r>
      <w:r w:rsidRPr="4D1BBAA5">
        <w:t xml:space="preserve"> Lovelace, P.R. 2019. Essential version 2.21. Retrieved from </w:t>
      </w:r>
      <w:hyperlink r:id="rId59" w:history="1">
        <w:r w:rsidRPr="00F5203F">
          <w:rPr>
            <w:rStyle w:val="Hyperlink"/>
            <w:sz w:val="22"/>
            <w:szCs w:val="22"/>
          </w:rPr>
          <w:t>https://www.ari.vic.gov.au/__data/assets/file/0021/57522/Essential</w:t>
        </w:r>
        <w:r w:rsidRPr="00F5203F">
          <w:rPr>
            <w:rStyle w:val="Hyperlink"/>
            <w:rFonts w:ascii="Cambria Math" w:hAnsi="Cambria Math" w:cs="Cambria Math"/>
            <w:sz w:val="22"/>
            <w:szCs w:val="22"/>
          </w:rPr>
          <w:t>‐</w:t>
        </w:r>
        <w:r w:rsidRPr="00F5203F">
          <w:rPr>
            <w:rStyle w:val="Hyperlink"/>
            <w:sz w:val="22"/>
            <w:szCs w:val="22"/>
          </w:rPr>
          <w:t>Install</w:t>
        </w:r>
        <w:r w:rsidRPr="00F5203F">
          <w:rPr>
            <w:rStyle w:val="Hyperlink"/>
            <w:rFonts w:ascii="Cambria Math" w:hAnsi="Cambria Math" w:cs="Cambria Math"/>
            <w:sz w:val="22"/>
            <w:szCs w:val="22"/>
          </w:rPr>
          <w:t>‐</w:t>
        </w:r>
        <w:r w:rsidRPr="00F5203F">
          <w:rPr>
            <w:rStyle w:val="Hyperlink"/>
            <w:sz w:val="22"/>
            <w:szCs w:val="22"/>
          </w:rPr>
          <w:t>2017.zip</w:t>
        </w:r>
      </w:hyperlink>
      <w:r>
        <w:t xml:space="preserve"> or</w:t>
      </w:r>
    </w:p>
    <w:p w14:paraId="4F716081" w14:textId="3FCEF78F" w:rsidR="00491210" w:rsidRPr="007F18D3" w:rsidRDefault="00EE200C" w:rsidP="000924C7">
      <w:pPr>
        <w:rPr>
          <w:rStyle w:val="Hyperlink"/>
          <w:rFonts w:eastAsiaTheme="minorEastAsia"/>
          <w:sz w:val="22"/>
          <w:szCs w:val="22"/>
        </w:rPr>
      </w:pPr>
      <w:hyperlink r:id="rId60" w:history="1">
        <w:r w:rsidRPr="007F18D3">
          <w:rPr>
            <w:rStyle w:val="Hyperlink"/>
            <w:rFonts w:eastAsiaTheme="minorEastAsia"/>
            <w:sz w:val="22"/>
            <w:szCs w:val="22"/>
          </w:rPr>
          <w:t>https://www.ari.vic.gov.au/research/modelling/population-modelling-software</w:t>
        </w:r>
      </w:hyperlink>
    </w:p>
    <w:p w14:paraId="6FAF4B73" w14:textId="2FE1B71F" w:rsidR="00491210" w:rsidRPr="009B7A0C" w:rsidRDefault="00EE200C" w:rsidP="007F18D3">
      <w:pPr>
        <w:pStyle w:val="StylePopModProjectTeamBefore24pt"/>
        <w:rPr>
          <w:b w:val="0"/>
          <w:bCs w:val="0"/>
        </w:rPr>
      </w:pPr>
      <w:r w:rsidRPr="007F18D3">
        <w:t>Dr Henry Wootton</w:t>
      </w:r>
    </w:p>
    <w:p w14:paraId="2F3DCEC2" w14:textId="4B63479D" w:rsidR="00491210" w:rsidRPr="009B7A0C" w:rsidRDefault="00EE200C" w:rsidP="007F18D3">
      <w:pPr>
        <w:pStyle w:val="PopModCVheading"/>
        <w:rPr>
          <w:b w:val="0"/>
          <w:bCs w:val="0"/>
        </w:rPr>
      </w:pPr>
      <w:r w:rsidRPr="009B7A0C">
        <w:t>Quantitative Ecologist; Population Processes</w:t>
      </w:r>
    </w:p>
    <w:p w14:paraId="1A54D604" w14:textId="77777777" w:rsidR="00491210" w:rsidRPr="009B7A0C" w:rsidRDefault="00EE200C" w:rsidP="009B7A0C">
      <w:pPr>
        <w:pStyle w:val="PopModCVheading"/>
        <w:rPr>
          <w:b w:val="0"/>
          <w:bCs w:val="0"/>
        </w:rPr>
      </w:pPr>
      <w:r w:rsidRPr="00E2785E">
        <w:t>Qualifications</w:t>
      </w:r>
    </w:p>
    <w:p w14:paraId="43A30B74" w14:textId="06FEC18E" w:rsidR="00491210" w:rsidRPr="005D3A84" w:rsidRDefault="00EE200C" w:rsidP="008C7436">
      <w:pPr>
        <w:rPr>
          <w:sz w:val="22"/>
          <w:szCs w:val="22"/>
          <w:lang w:val="en-GB"/>
        </w:rPr>
      </w:pPr>
      <w:r w:rsidRPr="005D3A84">
        <w:rPr>
          <w:sz w:val="22"/>
          <w:szCs w:val="22"/>
          <w:lang w:val="en-GB"/>
        </w:rPr>
        <w:t>PhD (20</w:t>
      </w:r>
      <w:r>
        <w:rPr>
          <w:sz w:val="22"/>
          <w:szCs w:val="22"/>
          <w:lang w:val="en-GB"/>
        </w:rPr>
        <w:t>22</w:t>
      </w:r>
      <w:r w:rsidRPr="005D3A84">
        <w:rPr>
          <w:sz w:val="22"/>
          <w:szCs w:val="22"/>
          <w:lang w:val="en-GB"/>
        </w:rPr>
        <w:t xml:space="preserve">) </w:t>
      </w:r>
      <w:r>
        <w:rPr>
          <w:sz w:val="22"/>
          <w:szCs w:val="22"/>
          <w:lang w:val="en-GB"/>
        </w:rPr>
        <w:t xml:space="preserve">The University of </w:t>
      </w:r>
      <w:r w:rsidRPr="005D3A84">
        <w:rPr>
          <w:sz w:val="22"/>
          <w:szCs w:val="22"/>
          <w:lang w:val="en-GB"/>
        </w:rPr>
        <w:t>Melbourne, Parkville, V</w:t>
      </w:r>
      <w:r>
        <w:rPr>
          <w:sz w:val="22"/>
          <w:szCs w:val="22"/>
          <w:lang w:val="en-GB"/>
        </w:rPr>
        <w:t>ictoria</w:t>
      </w:r>
      <w:r w:rsidRPr="005D3A84">
        <w:rPr>
          <w:sz w:val="22"/>
          <w:szCs w:val="22"/>
          <w:lang w:val="en-GB"/>
        </w:rPr>
        <w:t>.</w:t>
      </w:r>
      <w:r>
        <w:rPr>
          <w:sz w:val="22"/>
          <w:szCs w:val="22"/>
          <w:lang w:val="en-GB"/>
        </w:rPr>
        <w:t xml:space="preserve"> </w:t>
      </w:r>
      <w:r w:rsidRPr="008C7436">
        <w:rPr>
          <w:i/>
          <w:sz w:val="22"/>
          <w:szCs w:val="22"/>
          <w:lang w:val="en-GB"/>
        </w:rPr>
        <w:t xml:space="preserve">Trawling for the unknown: </w:t>
      </w:r>
      <w:r>
        <w:rPr>
          <w:i/>
          <w:sz w:val="22"/>
          <w:szCs w:val="22"/>
          <w:lang w:val="en-GB"/>
        </w:rPr>
        <w:t>a</w:t>
      </w:r>
      <w:r w:rsidRPr="008C7436">
        <w:rPr>
          <w:i/>
          <w:sz w:val="22"/>
          <w:szCs w:val="22"/>
          <w:lang w:val="en-GB"/>
        </w:rPr>
        <w:t>n investigation of the impacts of harvest and oceanic warming on the life-histories of fish</w:t>
      </w:r>
    </w:p>
    <w:p w14:paraId="60FB3D3A" w14:textId="5E5C3218" w:rsidR="00491210" w:rsidRDefault="00EE200C" w:rsidP="008C7436">
      <w:pPr>
        <w:rPr>
          <w:sz w:val="22"/>
          <w:szCs w:val="22"/>
          <w:lang w:val="en-GB"/>
        </w:rPr>
      </w:pPr>
      <w:r w:rsidRPr="005D3A84">
        <w:rPr>
          <w:sz w:val="22"/>
          <w:szCs w:val="22"/>
          <w:lang w:val="en-GB"/>
        </w:rPr>
        <w:t>M</w:t>
      </w:r>
      <w:r>
        <w:rPr>
          <w:sz w:val="22"/>
          <w:szCs w:val="22"/>
          <w:lang w:val="en-GB"/>
        </w:rPr>
        <w:t>Sc</w:t>
      </w:r>
      <w:r w:rsidRPr="005D3A84">
        <w:rPr>
          <w:sz w:val="22"/>
          <w:szCs w:val="22"/>
          <w:lang w:val="en-GB"/>
        </w:rPr>
        <w:t xml:space="preserve"> (</w:t>
      </w:r>
      <w:r>
        <w:rPr>
          <w:sz w:val="22"/>
          <w:szCs w:val="22"/>
          <w:lang w:val="en-GB"/>
        </w:rPr>
        <w:t>2010</w:t>
      </w:r>
      <w:r w:rsidRPr="005D3A84">
        <w:rPr>
          <w:sz w:val="22"/>
          <w:szCs w:val="22"/>
          <w:lang w:val="en-GB"/>
        </w:rPr>
        <w:t xml:space="preserve">) </w:t>
      </w:r>
      <w:r>
        <w:rPr>
          <w:sz w:val="22"/>
          <w:szCs w:val="22"/>
          <w:lang w:val="en-GB"/>
        </w:rPr>
        <w:t xml:space="preserve">The University of </w:t>
      </w:r>
      <w:r w:rsidRPr="005D3A84">
        <w:rPr>
          <w:sz w:val="22"/>
          <w:szCs w:val="22"/>
          <w:lang w:val="en-GB"/>
        </w:rPr>
        <w:t>Melbourne, Parkville, V</w:t>
      </w:r>
      <w:r>
        <w:rPr>
          <w:sz w:val="22"/>
          <w:szCs w:val="22"/>
          <w:lang w:val="en-GB"/>
        </w:rPr>
        <w:t>ictoria</w:t>
      </w:r>
      <w:r w:rsidRPr="005D3A84">
        <w:rPr>
          <w:sz w:val="22"/>
          <w:szCs w:val="22"/>
          <w:lang w:val="en-GB"/>
        </w:rPr>
        <w:t>.</w:t>
      </w:r>
      <w:r>
        <w:rPr>
          <w:sz w:val="22"/>
          <w:szCs w:val="22"/>
          <w:lang w:val="en-GB"/>
        </w:rPr>
        <w:t xml:space="preserve"> </w:t>
      </w:r>
      <w:r w:rsidRPr="008C7436">
        <w:rPr>
          <w:i/>
          <w:sz w:val="22"/>
          <w:szCs w:val="22"/>
          <w:lang w:val="en-GB"/>
        </w:rPr>
        <w:t>Investigating disturbance type and severity on an ecologically important intertidal alga (Hormosira banksii) in South-</w:t>
      </w:r>
      <w:r>
        <w:rPr>
          <w:i/>
          <w:sz w:val="22"/>
          <w:szCs w:val="22"/>
          <w:lang w:val="en-GB"/>
        </w:rPr>
        <w:t>e</w:t>
      </w:r>
      <w:r w:rsidRPr="008C7436">
        <w:rPr>
          <w:i/>
          <w:sz w:val="22"/>
          <w:szCs w:val="22"/>
          <w:lang w:val="en-GB"/>
        </w:rPr>
        <w:t>astern Australia</w:t>
      </w:r>
    </w:p>
    <w:p w14:paraId="2168BCFA" w14:textId="2D69F09D" w:rsidR="00491210" w:rsidRDefault="00EE200C" w:rsidP="008C7436">
      <w:pPr>
        <w:rPr>
          <w:sz w:val="22"/>
          <w:szCs w:val="22"/>
          <w:lang w:val="en-GB"/>
        </w:rPr>
      </w:pPr>
      <w:r w:rsidRPr="005D3A84">
        <w:rPr>
          <w:sz w:val="22"/>
          <w:szCs w:val="22"/>
          <w:lang w:val="en-GB"/>
        </w:rPr>
        <w:t>BSc (</w:t>
      </w:r>
      <w:r>
        <w:rPr>
          <w:sz w:val="22"/>
          <w:szCs w:val="22"/>
          <w:lang w:val="en-GB"/>
        </w:rPr>
        <w:t>2008</w:t>
      </w:r>
      <w:r w:rsidRPr="005D3A84">
        <w:rPr>
          <w:sz w:val="22"/>
          <w:szCs w:val="22"/>
          <w:lang w:val="en-GB"/>
        </w:rPr>
        <w:t xml:space="preserve">) </w:t>
      </w:r>
      <w:r>
        <w:rPr>
          <w:sz w:val="22"/>
          <w:szCs w:val="22"/>
          <w:lang w:val="en-GB"/>
        </w:rPr>
        <w:t xml:space="preserve">The University of </w:t>
      </w:r>
      <w:r w:rsidRPr="005D3A84">
        <w:rPr>
          <w:sz w:val="22"/>
          <w:szCs w:val="22"/>
          <w:lang w:val="en-GB"/>
        </w:rPr>
        <w:t>Melbourne, Parkville, V</w:t>
      </w:r>
      <w:r>
        <w:rPr>
          <w:sz w:val="22"/>
          <w:szCs w:val="22"/>
          <w:lang w:val="en-GB"/>
        </w:rPr>
        <w:t>ictoria</w:t>
      </w:r>
    </w:p>
    <w:p w14:paraId="3A33D4A7" w14:textId="77777777" w:rsidR="00491210" w:rsidRPr="00060A10" w:rsidRDefault="00EE200C" w:rsidP="00364D71">
      <w:pPr>
        <w:pStyle w:val="PopModCVheading"/>
      </w:pPr>
      <w:r w:rsidRPr="00060A10">
        <w:t>Relevant expertise</w:t>
      </w:r>
    </w:p>
    <w:p w14:paraId="544A9D24" w14:textId="77777777" w:rsidR="00491210" w:rsidRDefault="00EE200C" w:rsidP="00746261">
      <w:pPr>
        <w:keepNext/>
        <w:spacing w:before="240" w:after="240"/>
        <w:rPr>
          <w:color w:val="000000"/>
          <w:sz w:val="22"/>
          <w:szCs w:val="22"/>
          <w:lang w:eastAsia="en-AU"/>
        </w:rPr>
      </w:pPr>
      <w:r>
        <w:rPr>
          <w:color w:val="000000"/>
          <w:sz w:val="22"/>
          <w:szCs w:val="22"/>
          <w:lang w:eastAsia="en-AU"/>
        </w:rPr>
        <w:t>Henry is</w:t>
      </w:r>
      <w:r w:rsidRPr="003E3B39">
        <w:rPr>
          <w:color w:val="000000"/>
          <w:sz w:val="22"/>
          <w:szCs w:val="22"/>
          <w:lang w:eastAsia="en-AU"/>
        </w:rPr>
        <w:t xml:space="preserve"> an applied quantitative ecologist and evolutionary biologist who has extensive experience working on aquatic systems investigating how animals and populations respond to anthropogenic disturbance, environmental change, and management actions. </w:t>
      </w:r>
      <w:r>
        <w:rPr>
          <w:color w:val="000000"/>
          <w:sz w:val="22"/>
          <w:szCs w:val="22"/>
          <w:lang w:eastAsia="en-AU"/>
        </w:rPr>
        <w:t>He is</w:t>
      </w:r>
      <w:r w:rsidRPr="003E3B39">
        <w:rPr>
          <w:color w:val="000000"/>
          <w:sz w:val="22"/>
          <w:szCs w:val="22"/>
          <w:lang w:eastAsia="en-AU"/>
        </w:rPr>
        <w:t xml:space="preserve"> keenly interested in the </w:t>
      </w:r>
      <w:r w:rsidRPr="003E3B39">
        <w:rPr>
          <w:color w:val="000000"/>
          <w:sz w:val="22"/>
          <w:szCs w:val="22"/>
          <w:lang w:eastAsia="en-AU"/>
        </w:rPr>
        <w:lastRenderedPageBreak/>
        <w:t xml:space="preserve">impacts of and adaptations to fishing, </w:t>
      </w:r>
      <w:r>
        <w:rPr>
          <w:color w:val="000000"/>
          <w:sz w:val="22"/>
          <w:szCs w:val="22"/>
          <w:lang w:eastAsia="en-AU"/>
        </w:rPr>
        <w:t xml:space="preserve">and </w:t>
      </w:r>
      <w:r w:rsidRPr="003E3B39">
        <w:rPr>
          <w:color w:val="000000"/>
          <w:sz w:val="22"/>
          <w:szCs w:val="22"/>
          <w:lang w:eastAsia="en-AU"/>
        </w:rPr>
        <w:t>alterations to natural processes such as human-induced flow variability and environmental change.</w:t>
      </w:r>
    </w:p>
    <w:p w14:paraId="47913F5D" w14:textId="77777777" w:rsidR="00491210" w:rsidRPr="00060A10" w:rsidRDefault="00EE200C" w:rsidP="00BD1471">
      <w:pPr>
        <w:pStyle w:val="PopModCVheading"/>
      </w:pPr>
      <w:r w:rsidRPr="00060A10">
        <w:t>Summary of competencies</w:t>
      </w:r>
    </w:p>
    <w:p w14:paraId="4D7B43F2" w14:textId="77777777" w:rsidR="00491210" w:rsidRPr="003E3B39" w:rsidRDefault="00EE200C" w:rsidP="00746261">
      <w:pPr>
        <w:spacing w:before="240" w:after="240"/>
        <w:rPr>
          <w:color w:val="000000"/>
          <w:sz w:val="22"/>
          <w:szCs w:val="22"/>
          <w:lang w:eastAsia="en-AU"/>
        </w:rPr>
      </w:pPr>
      <w:r>
        <w:rPr>
          <w:color w:val="000000"/>
          <w:sz w:val="22"/>
          <w:szCs w:val="22"/>
          <w:lang w:eastAsia="en-AU"/>
        </w:rPr>
        <w:t>He</w:t>
      </w:r>
      <w:r w:rsidRPr="003E3B39">
        <w:rPr>
          <w:color w:val="000000"/>
          <w:sz w:val="22"/>
          <w:szCs w:val="22"/>
          <w:lang w:eastAsia="en-AU"/>
        </w:rPr>
        <w:t xml:space="preserve"> ask</w:t>
      </w:r>
      <w:r>
        <w:rPr>
          <w:color w:val="000000"/>
          <w:sz w:val="22"/>
          <w:szCs w:val="22"/>
          <w:lang w:eastAsia="en-AU"/>
        </w:rPr>
        <w:t>s</w:t>
      </w:r>
      <w:r w:rsidRPr="003E3B39">
        <w:rPr>
          <w:color w:val="000000"/>
          <w:sz w:val="22"/>
          <w:szCs w:val="22"/>
          <w:lang w:eastAsia="en-AU"/>
        </w:rPr>
        <w:t xml:space="preserve"> questions using a diverse skillset, including the development and application of complex metapopulation models to study population</w:t>
      </w:r>
      <w:r>
        <w:rPr>
          <w:color w:val="000000"/>
          <w:sz w:val="22"/>
          <w:szCs w:val="22"/>
          <w:lang w:eastAsia="en-AU"/>
        </w:rPr>
        <w:t>-</w:t>
      </w:r>
      <w:r w:rsidRPr="003E3B39">
        <w:rPr>
          <w:color w:val="000000"/>
          <w:sz w:val="22"/>
          <w:szCs w:val="22"/>
          <w:lang w:eastAsia="en-AU"/>
        </w:rPr>
        <w:t xml:space="preserve">level responses to management actions. A good example of </w:t>
      </w:r>
      <w:r>
        <w:rPr>
          <w:color w:val="000000"/>
          <w:sz w:val="22"/>
          <w:szCs w:val="22"/>
          <w:lang w:eastAsia="en-AU"/>
        </w:rPr>
        <w:t>his</w:t>
      </w:r>
      <w:r w:rsidRPr="003E3B39">
        <w:rPr>
          <w:color w:val="000000"/>
          <w:sz w:val="22"/>
          <w:szCs w:val="22"/>
          <w:lang w:eastAsia="en-AU"/>
        </w:rPr>
        <w:t xml:space="preserve"> quantitative modelling skillset can be found in </w:t>
      </w:r>
      <w:r>
        <w:rPr>
          <w:color w:val="000000"/>
          <w:sz w:val="22"/>
          <w:szCs w:val="22"/>
          <w:lang w:eastAsia="en-AU"/>
        </w:rPr>
        <w:t>a</w:t>
      </w:r>
      <w:r w:rsidRPr="003E3B39">
        <w:rPr>
          <w:color w:val="000000"/>
          <w:sz w:val="22"/>
          <w:szCs w:val="22"/>
          <w:lang w:eastAsia="en-AU"/>
        </w:rPr>
        <w:t xml:space="preserve"> recent publication (Wootton et al. 2020: doi:10.1007/s11160-020-09617-9). </w:t>
      </w:r>
      <w:r>
        <w:rPr>
          <w:color w:val="000000"/>
          <w:sz w:val="22"/>
          <w:szCs w:val="22"/>
          <w:lang w:eastAsia="en-AU"/>
        </w:rPr>
        <w:t>He</w:t>
      </w:r>
      <w:r w:rsidRPr="003E3B39">
        <w:rPr>
          <w:color w:val="000000"/>
          <w:sz w:val="22"/>
          <w:szCs w:val="22"/>
          <w:lang w:eastAsia="en-AU"/>
        </w:rPr>
        <w:t xml:space="preserve"> also ha</w:t>
      </w:r>
      <w:r>
        <w:rPr>
          <w:color w:val="000000"/>
          <w:sz w:val="22"/>
          <w:szCs w:val="22"/>
          <w:lang w:eastAsia="en-AU"/>
        </w:rPr>
        <w:t>s</w:t>
      </w:r>
      <w:r w:rsidRPr="003E3B39">
        <w:rPr>
          <w:color w:val="000000"/>
          <w:sz w:val="22"/>
          <w:szCs w:val="22"/>
          <w:lang w:eastAsia="en-AU"/>
        </w:rPr>
        <w:t xml:space="preserve"> a strong track</w:t>
      </w:r>
      <w:r>
        <w:rPr>
          <w:color w:val="000000"/>
          <w:sz w:val="22"/>
          <w:szCs w:val="22"/>
          <w:lang w:eastAsia="en-AU"/>
        </w:rPr>
        <w:t xml:space="preserve"> </w:t>
      </w:r>
      <w:r w:rsidRPr="003E3B39">
        <w:rPr>
          <w:color w:val="000000"/>
          <w:sz w:val="22"/>
          <w:szCs w:val="22"/>
          <w:lang w:eastAsia="en-AU"/>
        </w:rPr>
        <w:t xml:space="preserve">record of project delivery and publication. </w:t>
      </w:r>
      <w:r>
        <w:rPr>
          <w:color w:val="000000"/>
          <w:sz w:val="22"/>
          <w:szCs w:val="22"/>
          <w:lang w:eastAsia="en-AU"/>
        </w:rPr>
        <w:t>He is</w:t>
      </w:r>
      <w:r w:rsidRPr="003E3B39">
        <w:rPr>
          <w:color w:val="000000"/>
          <w:sz w:val="22"/>
          <w:szCs w:val="22"/>
          <w:lang w:eastAsia="en-AU"/>
        </w:rPr>
        <w:t xml:space="preserve"> passionate about applied and quantitative ecology and </w:t>
      </w:r>
      <w:r>
        <w:rPr>
          <w:color w:val="000000"/>
          <w:sz w:val="22"/>
          <w:szCs w:val="22"/>
          <w:lang w:eastAsia="en-AU"/>
        </w:rPr>
        <w:t>is</w:t>
      </w:r>
      <w:r w:rsidRPr="003E3B39">
        <w:rPr>
          <w:color w:val="000000"/>
          <w:sz w:val="22"/>
          <w:szCs w:val="22"/>
          <w:lang w:eastAsia="en-AU"/>
        </w:rPr>
        <w:t xml:space="preserve"> making this a focus of </w:t>
      </w:r>
      <w:r>
        <w:rPr>
          <w:color w:val="000000"/>
          <w:sz w:val="22"/>
          <w:szCs w:val="22"/>
          <w:lang w:eastAsia="en-AU"/>
        </w:rPr>
        <w:t>his very</w:t>
      </w:r>
      <w:r w:rsidRPr="003E3B39">
        <w:rPr>
          <w:color w:val="000000"/>
          <w:sz w:val="22"/>
          <w:szCs w:val="22"/>
          <w:lang w:eastAsia="en-AU"/>
        </w:rPr>
        <w:t xml:space="preserve"> successful career.</w:t>
      </w:r>
    </w:p>
    <w:p w14:paraId="0CEA7AE7" w14:textId="77777777" w:rsidR="00491210" w:rsidRPr="003E3B39" w:rsidRDefault="00EE200C" w:rsidP="00746261">
      <w:pPr>
        <w:spacing w:before="240" w:after="240"/>
        <w:rPr>
          <w:color w:val="000000"/>
          <w:sz w:val="22"/>
          <w:szCs w:val="22"/>
          <w:lang w:eastAsia="en-AU"/>
        </w:rPr>
      </w:pPr>
      <w:r>
        <w:rPr>
          <w:color w:val="000000"/>
          <w:sz w:val="22"/>
          <w:szCs w:val="22"/>
          <w:lang w:eastAsia="en-AU"/>
        </w:rPr>
        <w:t>He is</w:t>
      </w:r>
      <w:r w:rsidRPr="7ADEDDC3">
        <w:rPr>
          <w:color w:val="000000"/>
          <w:sz w:val="22"/>
          <w:szCs w:val="22"/>
          <w:lang w:eastAsia="en-AU"/>
        </w:rPr>
        <w:t xml:space="preserve"> currently working at the Arthur Rylah Institute (ARI) undertaking population modelling on Australian freshwater fish species to answer broad questions around the responses of populations to management actions. </w:t>
      </w:r>
      <w:r>
        <w:rPr>
          <w:color w:val="000000"/>
          <w:sz w:val="22"/>
          <w:szCs w:val="22"/>
          <w:lang w:eastAsia="en-AU"/>
        </w:rPr>
        <w:t>He is</w:t>
      </w:r>
      <w:r w:rsidRPr="7ADEDDC3">
        <w:rPr>
          <w:color w:val="000000"/>
          <w:sz w:val="22"/>
          <w:szCs w:val="22"/>
          <w:lang w:eastAsia="en-AU"/>
        </w:rPr>
        <w:t xml:space="preserve"> working in the modelling team with Dr Charles Todd, Dr John Koehn and Dr Ivor Stuart. </w:t>
      </w:r>
      <w:r>
        <w:rPr>
          <w:color w:val="000000"/>
          <w:sz w:val="22"/>
          <w:szCs w:val="22"/>
          <w:lang w:eastAsia="en-AU"/>
        </w:rPr>
        <w:t>He</w:t>
      </w:r>
      <w:r w:rsidRPr="7ADEDDC3">
        <w:rPr>
          <w:color w:val="000000"/>
          <w:sz w:val="22"/>
          <w:szCs w:val="22"/>
          <w:lang w:eastAsia="en-AU"/>
        </w:rPr>
        <w:t xml:space="preserve"> recently completed a PhD in the Quantitative Aquatic Ecology and Evolution lab at </w:t>
      </w:r>
      <w:r>
        <w:rPr>
          <w:color w:val="000000"/>
          <w:sz w:val="22"/>
          <w:szCs w:val="22"/>
          <w:lang w:eastAsia="en-AU"/>
        </w:rPr>
        <w:t>t</w:t>
      </w:r>
      <w:r w:rsidRPr="7ADEDDC3">
        <w:rPr>
          <w:color w:val="000000"/>
          <w:sz w:val="22"/>
          <w:szCs w:val="22"/>
          <w:lang w:eastAsia="en-AU"/>
        </w:rPr>
        <w:t>he University of Melbourne. The project investigated the impacts of harvest and warming on fish populations.</w:t>
      </w:r>
    </w:p>
    <w:p w14:paraId="7C4419BD" w14:textId="3DB9A1B8" w:rsidR="00491210" w:rsidRPr="009B7A0C" w:rsidRDefault="00EE200C" w:rsidP="009B7A0C">
      <w:pPr>
        <w:pStyle w:val="PopModCVheading"/>
        <w:rPr>
          <w:b w:val="0"/>
          <w:bCs w:val="0"/>
        </w:rPr>
      </w:pPr>
      <w:r>
        <w:t>Selected p</w:t>
      </w:r>
      <w:r w:rsidRPr="009B7A0C">
        <w:t>ublications</w:t>
      </w:r>
    </w:p>
    <w:p w14:paraId="71D7AAB8" w14:textId="4B5B1CAD" w:rsidR="00491210" w:rsidRPr="009B7A0C" w:rsidRDefault="00EE200C" w:rsidP="00472DF5">
      <w:pPr>
        <w:spacing w:before="240" w:after="240"/>
        <w:ind w:left="567" w:hanging="567"/>
        <w:rPr>
          <w:b/>
          <w:color w:val="000000"/>
          <w:sz w:val="22"/>
          <w:szCs w:val="22"/>
          <w:lang w:eastAsia="en-AU"/>
        </w:rPr>
      </w:pPr>
      <w:r w:rsidRPr="009B7A0C">
        <w:rPr>
          <w:b/>
          <w:bCs/>
          <w:sz w:val="22"/>
          <w:szCs w:val="22"/>
          <w:lang w:eastAsia="en-AU"/>
        </w:rPr>
        <w:t>Wootton, H.F.</w:t>
      </w:r>
      <w:r w:rsidRPr="009B7A0C">
        <w:rPr>
          <w:sz w:val="22"/>
          <w:szCs w:val="22"/>
          <w:lang w:eastAsia="en-AU"/>
        </w:rPr>
        <w:t xml:space="preserve">, Morrongiello, J.R., Schmitt, T. &amp; Audzijonyte, A. (2022). Smaller adult fish size in warmer water is not explained by elevated metabolism. </w:t>
      </w:r>
      <w:r w:rsidRPr="009B7A0C">
        <w:rPr>
          <w:i/>
          <w:iCs/>
          <w:sz w:val="22"/>
          <w:szCs w:val="22"/>
          <w:lang w:eastAsia="en-AU"/>
        </w:rPr>
        <w:t>Ecology Letters</w:t>
      </w:r>
      <w:r w:rsidRPr="009B7A0C">
        <w:rPr>
          <w:sz w:val="22"/>
          <w:szCs w:val="22"/>
          <w:lang w:eastAsia="en-AU"/>
        </w:rPr>
        <w:t xml:space="preserve">, </w:t>
      </w:r>
      <w:r w:rsidRPr="009B7A0C">
        <w:rPr>
          <w:b/>
          <w:bCs/>
          <w:sz w:val="22"/>
          <w:szCs w:val="22"/>
          <w:lang w:eastAsia="en-AU"/>
        </w:rPr>
        <w:t>25</w:t>
      </w:r>
      <w:r w:rsidRPr="009B7A0C">
        <w:rPr>
          <w:sz w:val="22"/>
          <w:szCs w:val="22"/>
          <w:lang w:eastAsia="en-AU"/>
        </w:rPr>
        <w:t>, 1177-1188.</w:t>
      </w:r>
    </w:p>
    <w:p w14:paraId="5B9C6790" w14:textId="01B402AF" w:rsidR="00491210" w:rsidRPr="003E3B39" w:rsidRDefault="00EE200C" w:rsidP="00472DF5">
      <w:pPr>
        <w:spacing w:before="240" w:after="240"/>
        <w:ind w:left="567" w:hanging="567"/>
        <w:rPr>
          <w:color w:val="000000"/>
          <w:sz w:val="22"/>
          <w:szCs w:val="22"/>
          <w:lang w:eastAsia="en-AU"/>
        </w:rPr>
      </w:pPr>
      <w:r w:rsidRPr="009B7A0C">
        <w:rPr>
          <w:b/>
          <w:color w:val="000000"/>
          <w:sz w:val="22"/>
          <w:szCs w:val="22"/>
          <w:lang w:eastAsia="en-AU"/>
        </w:rPr>
        <w:t>Wootton, H.F.</w:t>
      </w:r>
      <w:r w:rsidRPr="23216F23">
        <w:rPr>
          <w:color w:val="000000"/>
          <w:sz w:val="22"/>
          <w:szCs w:val="22"/>
          <w:lang w:eastAsia="en-AU"/>
        </w:rPr>
        <w:t>, Audzijonyte</w:t>
      </w:r>
      <w:r>
        <w:rPr>
          <w:color w:val="000000"/>
          <w:sz w:val="22"/>
          <w:szCs w:val="22"/>
          <w:lang w:eastAsia="en-AU"/>
        </w:rPr>
        <w:t>,</w:t>
      </w:r>
      <w:r w:rsidRPr="23216F23">
        <w:rPr>
          <w:color w:val="000000"/>
          <w:sz w:val="22"/>
          <w:szCs w:val="22"/>
          <w:lang w:eastAsia="en-AU"/>
        </w:rPr>
        <w:t xml:space="preserve"> A.</w:t>
      </w:r>
      <w:r>
        <w:rPr>
          <w:color w:val="000000"/>
          <w:sz w:val="22"/>
          <w:szCs w:val="22"/>
          <w:lang w:eastAsia="en-AU"/>
        </w:rPr>
        <w:t xml:space="preserve"> and</w:t>
      </w:r>
      <w:r w:rsidRPr="23216F23">
        <w:rPr>
          <w:color w:val="000000"/>
          <w:sz w:val="22"/>
          <w:szCs w:val="22"/>
          <w:lang w:eastAsia="en-AU"/>
        </w:rPr>
        <w:t xml:space="preserve"> Morrongiello</w:t>
      </w:r>
      <w:r>
        <w:rPr>
          <w:color w:val="000000"/>
          <w:sz w:val="22"/>
          <w:szCs w:val="22"/>
          <w:lang w:eastAsia="en-AU"/>
        </w:rPr>
        <w:t>,</w:t>
      </w:r>
      <w:r w:rsidRPr="23216F23">
        <w:rPr>
          <w:color w:val="000000"/>
          <w:sz w:val="22"/>
          <w:szCs w:val="22"/>
          <w:lang w:eastAsia="en-AU"/>
        </w:rPr>
        <w:t xml:space="preserve"> J.R. (2021)</w:t>
      </w:r>
      <w:r>
        <w:rPr>
          <w:color w:val="000000"/>
          <w:sz w:val="22"/>
          <w:szCs w:val="22"/>
          <w:lang w:eastAsia="en-AU"/>
        </w:rPr>
        <w:t>.</w:t>
      </w:r>
      <w:r w:rsidRPr="23216F23">
        <w:rPr>
          <w:color w:val="000000"/>
          <w:sz w:val="22"/>
          <w:szCs w:val="22"/>
          <w:lang w:eastAsia="en-AU"/>
        </w:rPr>
        <w:t xml:space="preserve"> Mul</w:t>
      </w:r>
      <w:r>
        <w:rPr>
          <w:color w:val="000000"/>
          <w:sz w:val="22"/>
          <w:szCs w:val="22"/>
          <w:lang w:eastAsia="en-AU"/>
        </w:rPr>
        <w:t>ti</w:t>
      </w:r>
      <w:r w:rsidRPr="23216F23">
        <w:rPr>
          <w:color w:val="000000"/>
          <w:sz w:val="22"/>
          <w:szCs w:val="22"/>
          <w:lang w:eastAsia="en-AU"/>
        </w:rPr>
        <w:t xml:space="preserve">generational exposure to warming and fishing causes recruitment collapse, but size diversity and periodic cooling can aid recovery. </w:t>
      </w:r>
      <w:r w:rsidRPr="23216F23">
        <w:rPr>
          <w:i/>
          <w:iCs/>
          <w:color w:val="000000"/>
          <w:sz w:val="22"/>
          <w:szCs w:val="22"/>
          <w:lang w:eastAsia="en-AU"/>
        </w:rPr>
        <w:t>Proceedings of the National Academy of Sciences of the United States of America</w:t>
      </w:r>
      <w:r w:rsidRPr="23216F23">
        <w:rPr>
          <w:color w:val="000000"/>
          <w:sz w:val="22"/>
          <w:szCs w:val="22"/>
          <w:lang w:eastAsia="en-AU"/>
        </w:rPr>
        <w:t xml:space="preserve"> </w:t>
      </w:r>
      <w:r w:rsidRPr="009B7A0C">
        <w:rPr>
          <w:b/>
          <w:color w:val="000000"/>
          <w:sz w:val="22"/>
          <w:szCs w:val="22"/>
          <w:lang w:eastAsia="en-AU"/>
        </w:rPr>
        <w:t>118</w:t>
      </w:r>
      <w:r w:rsidRPr="23216F23">
        <w:rPr>
          <w:color w:val="000000"/>
          <w:sz w:val="22"/>
          <w:szCs w:val="22"/>
          <w:lang w:eastAsia="en-AU"/>
        </w:rPr>
        <w:t>(18), e2100300118 doi: 10.1073/pnas.2100300118</w:t>
      </w:r>
      <w:r>
        <w:rPr>
          <w:color w:val="000000"/>
          <w:sz w:val="22"/>
          <w:szCs w:val="22"/>
          <w:lang w:eastAsia="en-AU"/>
        </w:rPr>
        <w:t>.</w:t>
      </w:r>
    </w:p>
    <w:p w14:paraId="1A3DDB8D" w14:textId="1153C5D2" w:rsidR="00491210" w:rsidRPr="003E3B39" w:rsidRDefault="00EE200C" w:rsidP="00472DF5">
      <w:pPr>
        <w:spacing w:before="240" w:after="240"/>
        <w:ind w:left="567" w:hanging="567"/>
        <w:rPr>
          <w:color w:val="000000"/>
          <w:sz w:val="22"/>
          <w:szCs w:val="22"/>
          <w:lang w:eastAsia="en-AU"/>
        </w:rPr>
      </w:pPr>
      <w:r w:rsidRPr="009B7A0C">
        <w:rPr>
          <w:b/>
          <w:color w:val="000000"/>
          <w:sz w:val="22"/>
          <w:szCs w:val="22"/>
          <w:lang w:eastAsia="en-AU"/>
        </w:rPr>
        <w:t>Wootton, H.F.</w:t>
      </w:r>
      <w:r w:rsidRPr="003E3B39">
        <w:rPr>
          <w:color w:val="000000"/>
          <w:sz w:val="22"/>
          <w:szCs w:val="22"/>
          <w:lang w:eastAsia="en-AU"/>
        </w:rPr>
        <w:t>, Morrongiello</w:t>
      </w:r>
      <w:r>
        <w:rPr>
          <w:color w:val="000000"/>
          <w:sz w:val="22"/>
          <w:szCs w:val="22"/>
          <w:lang w:eastAsia="en-AU"/>
        </w:rPr>
        <w:t>,</w:t>
      </w:r>
      <w:r w:rsidRPr="003E3B39">
        <w:rPr>
          <w:color w:val="000000"/>
          <w:sz w:val="22"/>
          <w:szCs w:val="22"/>
          <w:lang w:eastAsia="en-AU"/>
        </w:rPr>
        <w:t xml:space="preserve"> J.R.</w:t>
      </w:r>
      <w:r>
        <w:rPr>
          <w:color w:val="000000"/>
          <w:sz w:val="22"/>
          <w:szCs w:val="22"/>
          <w:lang w:eastAsia="en-AU"/>
        </w:rPr>
        <w:t xml:space="preserve"> and</w:t>
      </w:r>
      <w:r w:rsidRPr="003E3B39">
        <w:rPr>
          <w:color w:val="000000"/>
          <w:sz w:val="22"/>
          <w:szCs w:val="22"/>
          <w:lang w:eastAsia="en-AU"/>
        </w:rPr>
        <w:t xml:space="preserve"> Audzijonyte</w:t>
      </w:r>
      <w:r>
        <w:rPr>
          <w:color w:val="000000"/>
          <w:sz w:val="22"/>
          <w:szCs w:val="22"/>
          <w:lang w:eastAsia="en-AU"/>
        </w:rPr>
        <w:t>,</w:t>
      </w:r>
      <w:r w:rsidRPr="003E3B39">
        <w:rPr>
          <w:color w:val="000000"/>
          <w:sz w:val="22"/>
          <w:szCs w:val="22"/>
          <w:lang w:eastAsia="en-AU"/>
        </w:rPr>
        <w:t xml:space="preserve"> A. (2020)</w:t>
      </w:r>
      <w:r>
        <w:rPr>
          <w:color w:val="000000"/>
          <w:sz w:val="22"/>
          <w:szCs w:val="22"/>
          <w:lang w:eastAsia="en-AU"/>
        </w:rPr>
        <w:t>.</w:t>
      </w:r>
      <w:r w:rsidRPr="003E3B39">
        <w:rPr>
          <w:color w:val="000000"/>
          <w:sz w:val="22"/>
          <w:szCs w:val="22"/>
          <w:lang w:eastAsia="en-AU"/>
        </w:rPr>
        <w:t xml:space="preserve"> Estimating maturity from size-at-age data: </w:t>
      </w:r>
      <w:r>
        <w:rPr>
          <w:color w:val="000000"/>
          <w:sz w:val="22"/>
          <w:szCs w:val="22"/>
          <w:lang w:eastAsia="en-AU"/>
        </w:rPr>
        <w:t>a</w:t>
      </w:r>
      <w:r w:rsidRPr="003E3B39">
        <w:rPr>
          <w:color w:val="000000"/>
          <w:sz w:val="22"/>
          <w:szCs w:val="22"/>
          <w:lang w:eastAsia="en-AU"/>
        </w:rPr>
        <w:t xml:space="preserve">re real-world fisheries datasets up to the task? </w:t>
      </w:r>
      <w:r w:rsidRPr="00EA2402">
        <w:rPr>
          <w:i/>
          <w:iCs/>
          <w:color w:val="000000"/>
          <w:sz w:val="22"/>
          <w:szCs w:val="22"/>
          <w:lang w:eastAsia="en-AU"/>
        </w:rPr>
        <w:t>Reviews in Fish Biology and Fisheries</w:t>
      </w:r>
      <w:r>
        <w:rPr>
          <w:color w:val="000000"/>
          <w:sz w:val="22"/>
          <w:szCs w:val="22"/>
          <w:lang w:eastAsia="en-AU"/>
        </w:rPr>
        <w:t xml:space="preserve"> </w:t>
      </w:r>
      <w:r w:rsidRPr="009B7A0C">
        <w:rPr>
          <w:b/>
          <w:color w:val="000000"/>
          <w:sz w:val="22"/>
          <w:szCs w:val="22"/>
          <w:lang w:eastAsia="en-AU"/>
        </w:rPr>
        <w:t>30</w:t>
      </w:r>
      <w:r>
        <w:rPr>
          <w:color w:val="000000"/>
          <w:sz w:val="22"/>
          <w:szCs w:val="22"/>
          <w:lang w:eastAsia="en-AU"/>
        </w:rPr>
        <w:t>, 681–697.</w:t>
      </w:r>
      <w:r w:rsidRPr="003E3B39">
        <w:rPr>
          <w:color w:val="000000"/>
          <w:sz w:val="22"/>
          <w:szCs w:val="22"/>
          <w:lang w:eastAsia="en-AU"/>
        </w:rPr>
        <w:t xml:space="preserve"> doi:10.1007/s11160-020-09617-9</w:t>
      </w:r>
    </w:p>
    <w:p w14:paraId="521C7AB3" w14:textId="36AEE094" w:rsidR="00491210" w:rsidRPr="003E3B39" w:rsidRDefault="00EE200C" w:rsidP="00472DF5">
      <w:pPr>
        <w:spacing w:before="240" w:after="240"/>
        <w:ind w:left="567" w:hanging="567"/>
        <w:rPr>
          <w:color w:val="000000"/>
          <w:sz w:val="22"/>
          <w:szCs w:val="22"/>
          <w:lang w:eastAsia="en-AU"/>
        </w:rPr>
      </w:pPr>
      <w:r w:rsidRPr="009B7A0C">
        <w:rPr>
          <w:b/>
          <w:color w:val="000000"/>
          <w:sz w:val="22"/>
          <w:szCs w:val="22"/>
          <w:lang w:eastAsia="en-AU"/>
        </w:rPr>
        <w:t>Wootton, H.F.</w:t>
      </w:r>
      <w:r>
        <w:rPr>
          <w:color w:val="000000"/>
          <w:sz w:val="22"/>
          <w:szCs w:val="22"/>
          <w:lang w:eastAsia="en-AU"/>
        </w:rPr>
        <w:t xml:space="preserve"> and</w:t>
      </w:r>
      <w:r w:rsidRPr="23216F23">
        <w:rPr>
          <w:color w:val="000000"/>
          <w:sz w:val="22"/>
          <w:szCs w:val="22"/>
          <w:lang w:eastAsia="en-AU"/>
        </w:rPr>
        <w:t xml:space="preserve"> Keough</w:t>
      </w:r>
      <w:r>
        <w:rPr>
          <w:color w:val="000000"/>
          <w:sz w:val="22"/>
          <w:szCs w:val="22"/>
          <w:lang w:eastAsia="en-AU"/>
        </w:rPr>
        <w:t>,</w:t>
      </w:r>
      <w:r w:rsidRPr="23216F23">
        <w:rPr>
          <w:color w:val="000000"/>
          <w:sz w:val="22"/>
          <w:szCs w:val="22"/>
          <w:lang w:eastAsia="en-AU"/>
        </w:rPr>
        <w:t xml:space="preserve"> M.J. (2016)</w:t>
      </w:r>
      <w:r>
        <w:rPr>
          <w:color w:val="000000"/>
          <w:sz w:val="22"/>
          <w:szCs w:val="22"/>
          <w:lang w:eastAsia="en-AU"/>
        </w:rPr>
        <w:t>.</w:t>
      </w:r>
      <w:r w:rsidRPr="23216F23">
        <w:rPr>
          <w:color w:val="000000"/>
          <w:sz w:val="22"/>
          <w:szCs w:val="22"/>
          <w:lang w:eastAsia="en-AU"/>
        </w:rPr>
        <w:t xml:space="preserve"> Disturbance type and intensity combine to affect resilience of an intertidal community. </w:t>
      </w:r>
      <w:r w:rsidRPr="009B7A0C">
        <w:rPr>
          <w:i/>
          <w:color w:val="000000"/>
          <w:sz w:val="22"/>
          <w:szCs w:val="22"/>
          <w:lang w:eastAsia="en-AU"/>
        </w:rPr>
        <w:t>Marine Ecology Progress Series</w:t>
      </w:r>
      <w:r w:rsidRPr="23216F23">
        <w:rPr>
          <w:color w:val="000000"/>
          <w:sz w:val="22"/>
          <w:szCs w:val="22"/>
          <w:lang w:eastAsia="en-AU"/>
        </w:rPr>
        <w:t xml:space="preserve"> </w:t>
      </w:r>
      <w:r w:rsidRPr="009B7A0C">
        <w:rPr>
          <w:b/>
          <w:color w:val="000000"/>
          <w:sz w:val="22"/>
          <w:szCs w:val="22"/>
          <w:lang w:eastAsia="en-AU"/>
        </w:rPr>
        <w:t>560</w:t>
      </w:r>
      <w:r w:rsidRPr="23216F23">
        <w:rPr>
          <w:color w:val="000000"/>
          <w:sz w:val="22"/>
          <w:szCs w:val="22"/>
          <w:lang w:eastAsia="en-AU"/>
        </w:rPr>
        <w:t>, 121</w:t>
      </w:r>
      <w:r>
        <w:rPr>
          <w:color w:val="000000"/>
          <w:sz w:val="22"/>
          <w:szCs w:val="22"/>
          <w:lang w:eastAsia="en-AU"/>
        </w:rPr>
        <w:t>–</w:t>
      </w:r>
      <w:r w:rsidRPr="23216F23">
        <w:rPr>
          <w:color w:val="000000"/>
          <w:sz w:val="22"/>
          <w:szCs w:val="22"/>
          <w:lang w:eastAsia="en-AU"/>
        </w:rPr>
        <w:t>133</w:t>
      </w:r>
      <w:r>
        <w:rPr>
          <w:color w:val="000000"/>
          <w:sz w:val="22"/>
          <w:szCs w:val="22"/>
          <w:lang w:eastAsia="en-AU"/>
        </w:rPr>
        <w:t>.</w:t>
      </w:r>
      <w:r w:rsidRPr="23216F23">
        <w:rPr>
          <w:color w:val="000000"/>
          <w:sz w:val="22"/>
          <w:szCs w:val="22"/>
          <w:lang w:eastAsia="en-AU"/>
        </w:rPr>
        <w:t xml:space="preserve"> doi:10.3354/meps11861</w:t>
      </w:r>
    </w:p>
    <w:p w14:paraId="299C13FF" w14:textId="61C003E0" w:rsidR="00491210" w:rsidRPr="003E3B39" w:rsidRDefault="00EE200C" w:rsidP="00472DF5">
      <w:pPr>
        <w:spacing w:before="240" w:after="240"/>
        <w:ind w:left="567" w:hanging="567"/>
        <w:rPr>
          <w:color w:val="000000"/>
          <w:sz w:val="22"/>
          <w:szCs w:val="22"/>
          <w:lang w:eastAsia="en-AU"/>
        </w:rPr>
      </w:pPr>
      <w:r w:rsidRPr="003E3B39">
        <w:rPr>
          <w:color w:val="000000"/>
          <w:sz w:val="22"/>
          <w:szCs w:val="22"/>
          <w:lang w:eastAsia="en-AU"/>
        </w:rPr>
        <w:t xml:space="preserve">Woods, P.J., Macdonald, J., Barðarson, H., Baily, M., Bonanomi, S., Boonstra, W.J., Cornell, G., Cripps, G., Danielsson, R., Farber, L., Ferreira, A.S.A., Holma, M., Holt, R.E., Kokkalis, A., Ljüngström, G., Nieminen, E., Nordström, M., Oostdijk, M., Richter, A., Romagnoni, G., Sguotti, C., Simons, A., Shackell, N., Snickars, M., Tunca, S., Whittington, J.D., </w:t>
      </w:r>
      <w:r w:rsidRPr="009B7A0C">
        <w:rPr>
          <w:b/>
          <w:color w:val="000000"/>
          <w:sz w:val="22"/>
          <w:szCs w:val="22"/>
          <w:lang w:eastAsia="en-AU"/>
        </w:rPr>
        <w:t>Wootton, H.F.</w:t>
      </w:r>
      <w:r w:rsidRPr="003E3B39">
        <w:rPr>
          <w:color w:val="000000"/>
          <w:sz w:val="22"/>
          <w:szCs w:val="22"/>
          <w:lang w:eastAsia="en-AU"/>
        </w:rPr>
        <w:t xml:space="preserve"> and Yletyinen,</w:t>
      </w:r>
      <w:r>
        <w:rPr>
          <w:color w:val="000000"/>
          <w:sz w:val="22"/>
          <w:szCs w:val="22"/>
          <w:lang w:eastAsia="en-AU"/>
        </w:rPr>
        <w:t> </w:t>
      </w:r>
      <w:r w:rsidRPr="003E3B39">
        <w:rPr>
          <w:color w:val="000000"/>
          <w:sz w:val="22"/>
          <w:szCs w:val="22"/>
          <w:lang w:eastAsia="en-AU"/>
        </w:rPr>
        <w:t>J. (</w:t>
      </w:r>
      <w:r>
        <w:rPr>
          <w:color w:val="000000"/>
          <w:sz w:val="22"/>
          <w:szCs w:val="22"/>
          <w:lang w:eastAsia="en-AU"/>
        </w:rPr>
        <w:t>2021</w:t>
      </w:r>
      <w:r w:rsidRPr="003E3B39">
        <w:rPr>
          <w:color w:val="000000"/>
          <w:sz w:val="22"/>
          <w:szCs w:val="22"/>
          <w:lang w:eastAsia="en-AU"/>
        </w:rPr>
        <w:t>)</w:t>
      </w:r>
      <w:r>
        <w:rPr>
          <w:color w:val="000000"/>
          <w:sz w:val="22"/>
          <w:szCs w:val="22"/>
          <w:lang w:eastAsia="en-AU"/>
        </w:rPr>
        <w:t>.</w:t>
      </w:r>
      <w:r w:rsidRPr="003E3B39">
        <w:rPr>
          <w:color w:val="000000"/>
          <w:sz w:val="22"/>
          <w:szCs w:val="22"/>
          <w:lang w:eastAsia="en-AU"/>
        </w:rPr>
        <w:t xml:space="preserve"> A review of adaptation options in fisheries management to support resilience and transition under socio-ecological change. </w:t>
      </w:r>
      <w:r w:rsidRPr="009B7A0C">
        <w:rPr>
          <w:i/>
          <w:color w:val="000000"/>
          <w:sz w:val="22"/>
          <w:szCs w:val="22"/>
          <w:lang w:eastAsia="en-AU"/>
        </w:rPr>
        <w:t>ICES Journal of Marine Science</w:t>
      </w:r>
      <w:r>
        <w:rPr>
          <w:color w:val="000000"/>
          <w:sz w:val="22"/>
          <w:szCs w:val="22"/>
          <w:lang w:eastAsia="en-AU"/>
        </w:rPr>
        <w:t xml:space="preserve"> </w:t>
      </w:r>
      <w:r w:rsidRPr="009B7A0C">
        <w:rPr>
          <w:b/>
          <w:color w:val="000000"/>
          <w:sz w:val="22"/>
          <w:szCs w:val="22"/>
          <w:lang w:eastAsia="en-AU"/>
        </w:rPr>
        <w:t>79</w:t>
      </w:r>
      <w:r>
        <w:rPr>
          <w:color w:val="000000"/>
          <w:sz w:val="22"/>
          <w:szCs w:val="22"/>
          <w:lang w:eastAsia="en-AU"/>
        </w:rPr>
        <w:t>, 463–479.</w:t>
      </w:r>
    </w:p>
    <w:p w14:paraId="16FEB003" w14:textId="7623457B" w:rsidR="00491210" w:rsidRPr="003E3B39" w:rsidRDefault="00EE200C" w:rsidP="00472DF5">
      <w:pPr>
        <w:spacing w:before="240" w:after="240"/>
        <w:ind w:left="567" w:hanging="567"/>
        <w:rPr>
          <w:color w:val="000000"/>
          <w:sz w:val="22"/>
          <w:szCs w:val="22"/>
          <w:lang w:eastAsia="en-AU"/>
        </w:rPr>
      </w:pPr>
      <w:r w:rsidRPr="358D0A8B">
        <w:rPr>
          <w:color w:val="000000"/>
          <w:sz w:val="22"/>
          <w:szCs w:val="22"/>
          <w:lang w:eastAsia="en-AU"/>
        </w:rPr>
        <w:t xml:space="preserve">Todd, C.R., Koehn, J.D., Yen, J.D.L., Koster, W.M., Tonkin, Z., </w:t>
      </w:r>
      <w:r w:rsidRPr="009B7A0C">
        <w:rPr>
          <w:b/>
          <w:color w:val="000000"/>
          <w:sz w:val="22"/>
          <w:szCs w:val="22"/>
          <w:lang w:eastAsia="en-AU"/>
        </w:rPr>
        <w:t>Wootton, H.F.</w:t>
      </w:r>
      <w:r w:rsidRPr="358D0A8B">
        <w:rPr>
          <w:color w:val="000000"/>
          <w:sz w:val="22"/>
          <w:szCs w:val="22"/>
          <w:lang w:eastAsia="en-AU"/>
        </w:rPr>
        <w:t xml:space="preserve"> and Barrow, J. (2020)</w:t>
      </w:r>
      <w:r>
        <w:rPr>
          <w:color w:val="000000"/>
          <w:sz w:val="22"/>
          <w:szCs w:val="22"/>
          <w:lang w:eastAsia="en-AU"/>
        </w:rPr>
        <w:t>.</w:t>
      </w:r>
      <w:r w:rsidRPr="358D0A8B">
        <w:rPr>
          <w:color w:val="000000"/>
          <w:sz w:val="22"/>
          <w:szCs w:val="22"/>
          <w:lang w:eastAsia="en-AU"/>
        </w:rPr>
        <w:t xml:space="preserve"> Predicting long-term population responses by Murray Cod and Silver Perch to flow management in the Goulburn and Campaspe rivers: a stochastic population modelling approach. Arthur Rylah Institute</w:t>
      </w:r>
      <w:r>
        <w:rPr>
          <w:color w:val="000000"/>
          <w:sz w:val="22"/>
          <w:szCs w:val="22"/>
          <w:lang w:eastAsia="en-AU"/>
        </w:rPr>
        <w:t>, Department of Environment, Land, Water and Planning, Heidelberg, Victoria</w:t>
      </w:r>
      <w:r w:rsidRPr="358D0A8B">
        <w:rPr>
          <w:color w:val="000000"/>
          <w:sz w:val="22"/>
          <w:szCs w:val="22"/>
          <w:lang w:eastAsia="en-AU"/>
        </w:rPr>
        <w:t>.</w:t>
      </w:r>
    </w:p>
    <w:p w14:paraId="2060FF1E" w14:textId="1E8C3922" w:rsidR="00491210" w:rsidRPr="003E3B39" w:rsidRDefault="00EE200C" w:rsidP="00472DF5">
      <w:pPr>
        <w:spacing w:before="240" w:after="240"/>
        <w:ind w:left="567" w:hanging="567"/>
        <w:rPr>
          <w:color w:val="000000"/>
          <w:sz w:val="22"/>
          <w:szCs w:val="22"/>
          <w:lang w:eastAsia="en-AU"/>
        </w:rPr>
      </w:pPr>
      <w:r w:rsidRPr="358D0A8B">
        <w:rPr>
          <w:color w:val="000000"/>
          <w:sz w:val="22"/>
          <w:szCs w:val="22"/>
          <w:lang w:eastAsia="en-AU"/>
        </w:rPr>
        <w:t xml:space="preserve">Koehn, J.D., Todd, C.R., </w:t>
      </w:r>
      <w:r w:rsidRPr="009B7A0C">
        <w:rPr>
          <w:b/>
          <w:color w:val="000000"/>
          <w:sz w:val="22"/>
          <w:szCs w:val="22"/>
          <w:lang w:eastAsia="en-AU"/>
        </w:rPr>
        <w:t>Wootton, H.F.</w:t>
      </w:r>
      <w:r w:rsidRPr="358D0A8B">
        <w:rPr>
          <w:color w:val="000000"/>
          <w:sz w:val="22"/>
          <w:szCs w:val="22"/>
          <w:lang w:eastAsia="en-AU"/>
        </w:rPr>
        <w:t>, Stuart, I</w:t>
      </w:r>
      <w:r>
        <w:rPr>
          <w:color w:val="000000"/>
          <w:sz w:val="22"/>
          <w:szCs w:val="22"/>
          <w:lang w:eastAsia="en-AU"/>
        </w:rPr>
        <w:t>.</w:t>
      </w:r>
      <w:r w:rsidRPr="358D0A8B">
        <w:rPr>
          <w:color w:val="000000"/>
          <w:sz w:val="22"/>
          <w:szCs w:val="22"/>
          <w:lang w:eastAsia="en-AU"/>
        </w:rPr>
        <w:t>, et al. (</w:t>
      </w:r>
      <w:r>
        <w:rPr>
          <w:color w:val="000000"/>
          <w:sz w:val="22"/>
          <w:szCs w:val="22"/>
          <w:lang w:eastAsia="en-AU"/>
        </w:rPr>
        <w:t>i</w:t>
      </w:r>
      <w:r w:rsidRPr="358D0A8B">
        <w:rPr>
          <w:color w:val="000000"/>
          <w:sz w:val="22"/>
          <w:szCs w:val="22"/>
          <w:lang w:eastAsia="en-AU"/>
        </w:rPr>
        <w:t xml:space="preserve">n </w:t>
      </w:r>
      <w:r>
        <w:rPr>
          <w:color w:val="000000"/>
          <w:sz w:val="22"/>
          <w:szCs w:val="22"/>
          <w:lang w:eastAsia="en-AU"/>
        </w:rPr>
        <w:t>d</w:t>
      </w:r>
      <w:r w:rsidRPr="358D0A8B">
        <w:rPr>
          <w:color w:val="000000"/>
          <w:sz w:val="22"/>
          <w:szCs w:val="22"/>
          <w:lang w:eastAsia="en-AU"/>
        </w:rPr>
        <w:t>evelopment)</w:t>
      </w:r>
      <w:r>
        <w:rPr>
          <w:color w:val="000000"/>
          <w:sz w:val="22"/>
          <w:szCs w:val="22"/>
          <w:lang w:eastAsia="en-AU"/>
        </w:rPr>
        <w:t>.</w:t>
      </w:r>
      <w:r w:rsidRPr="358D0A8B">
        <w:rPr>
          <w:color w:val="000000"/>
          <w:sz w:val="22"/>
          <w:szCs w:val="22"/>
          <w:lang w:eastAsia="en-AU"/>
        </w:rPr>
        <w:t xml:space="preserve"> NSW Fish for the Future: Native Fish Population Modelling Progress Report April 2021. NSW DPI (Fisheries)</w:t>
      </w:r>
      <w:r>
        <w:rPr>
          <w:color w:val="000000"/>
          <w:sz w:val="22"/>
          <w:szCs w:val="22"/>
          <w:lang w:eastAsia="en-AU"/>
        </w:rPr>
        <w:t>.</w:t>
      </w:r>
    </w:p>
    <w:p w14:paraId="2BE6D591" w14:textId="4F48992D" w:rsidR="00491210" w:rsidRPr="00874504" w:rsidRDefault="00EE200C" w:rsidP="009B7A0C">
      <w:pPr>
        <w:pStyle w:val="PopModCVheading"/>
      </w:pPr>
      <w:r>
        <w:lastRenderedPageBreak/>
        <w:t>Code</w:t>
      </w:r>
    </w:p>
    <w:p w14:paraId="4427F1FF" w14:textId="068876A6" w:rsidR="00491210" w:rsidRPr="003E3B39" w:rsidRDefault="00EE200C" w:rsidP="003E3B39">
      <w:pPr>
        <w:spacing w:before="240" w:after="240"/>
        <w:rPr>
          <w:color w:val="000000"/>
          <w:sz w:val="22"/>
          <w:szCs w:val="22"/>
          <w:lang w:eastAsia="en-AU"/>
        </w:rPr>
      </w:pPr>
      <w:r w:rsidRPr="003E3B39">
        <w:rPr>
          <w:color w:val="000000"/>
          <w:sz w:val="22"/>
          <w:szCs w:val="22"/>
          <w:lang w:eastAsia="en-AU"/>
        </w:rPr>
        <w:t xml:space="preserve">Example code linked to </w:t>
      </w:r>
      <w:r>
        <w:rPr>
          <w:color w:val="000000"/>
          <w:sz w:val="22"/>
          <w:szCs w:val="22"/>
          <w:lang w:eastAsia="en-AU"/>
        </w:rPr>
        <w:t xml:space="preserve">the </w:t>
      </w:r>
      <w:r w:rsidRPr="003E3B39">
        <w:rPr>
          <w:color w:val="000000"/>
          <w:sz w:val="22"/>
          <w:szCs w:val="22"/>
          <w:lang w:eastAsia="en-AU"/>
        </w:rPr>
        <w:t xml:space="preserve">above publications </w:t>
      </w:r>
      <w:r>
        <w:rPr>
          <w:color w:val="000000"/>
          <w:sz w:val="22"/>
          <w:szCs w:val="22"/>
          <w:lang w:eastAsia="en-AU"/>
        </w:rPr>
        <w:t xml:space="preserve">is </w:t>
      </w:r>
      <w:r w:rsidRPr="003E3B39">
        <w:rPr>
          <w:color w:val="000000"/>
          <w:sz w:val="22"/>
          <w:szCs w:val="22"/>
          <w:lang w:eastAsia="en-AU"/>
        </w:rPr>
        <w:t xml:space="preserve">hosted on </w:t>
      </w:r>
      <w:r>
        <w:rPr>
          <w:color w:val="000000"/>
          <w:sz w:val="22"/>
          <w:szCs w:val="22"/>
          <w:lang w:eastAsia="en-AU"/>
        </w:rPr>
        <w:t>his</w:t>
      </w:r>
      <w:r w:rsidRPr="003E3B39">
        <w:rPr>
          <w:color w:val="000000"/>
          <w:sz w:val="22"/>
          <w:szCs w:val="22"/>
          <w:lang w:eastAsia="en-AU"/>
        </w:rPr>
        <w:t xml:space="preserve"> Github</w:t>
      </w:r>
      <w:r>
        <w:rPr>
          <w:color w:val="000000"/>
          <w:sz w:val="22"/>
          <w:szCs w:val="22"/>
          <w:lang w:eastAsia="en-AU"/>
        </w:rPr>
        <w:t xml:space="preserve"> </w:t>
      </w:r>
      <w:r w:rsidRPr="003E3B39">
        <w:rPr>
          <w:color w:val="000000"/>
          <w:sz w:val="22"/>
          <w:szCs w:val="22"/>
          <w:lang w:eastAsia="en-AU"/>
        </w:rPr>
        <w:t>https://github.com/Haychi-86</w:t>
      </w:r>
    </w:p>
    <w:p w14:paraId="7FFF7760" w14:textId="35F31EA1" w:rsidR="00491210" w:rsidRPr="00874504" w:rsidRDefault="00EE200C" w:rsidP="00874504">
      <w:pPr>
        <w:pStyle w:val="PopModProjectTeam"/>
        <w:rPr>
          <w:b w:val="0"/>
          <w:bCs w:val="0"/>
        </w:rPr>
      </w:pPr>
      <w:r w:rsidRPr="00874504">
        <w:t>Dr John Koehn</w:t>
      </w:r>
    </w:p>
    <w:p w14:paraId="4921C1BC" w14:textId="5D192D84" w:rsidR="00491210" w:rsidRPr="00874504" w:rsidRDefault="00EE200C" w:rsidP="00874504">
      <w:pPr>
        <w:pStyle w:val="PopModCVheading"/>
        <w:rPr>
          <w:b w:val="0"/>
          <w:bCs w:val="0"/>
        </w:rPr>
      </w:pPr>
      <w:r w:rsidRPr="00874504">
        <w:rPr>
          <w:b w:val="0"/>
          <w:bCs w:val="0"/>
        </w:rPr>
        <w:t>Principal Research Scientist, Applied Aquatic Ecology</w:t>
      </w:r>
    </w:p>
    <w:p w14:paraId="45108F6A" w14:textId="77777777" w:rsidR="00491210" w:rsidRPr="00874504" w:rsidRDefault="00EE200C" w:rsidP="00874504">
      <w:pPr>
        <w:pStyle w:val="PopModCVheading"/>
        <w:rPr>
          <w:b w:val="0"/>
          <w:bCs w:val="0"/>
        </w:rPr>
      </w:pPr>
      <w:r w:rsidRPr="00E2785E">
        <w:t>Qualifications</w:t>
      </w:r>
    </w:p>
    <w:p w14:paraId="275ABB90" w14:textId="77777777" w:rsidR="00491210" w:rsidRPr="00694DE9" w:rsidRDefault="00EE200C" w:rsidP="001744FB">
      <w:pPr>
        <w:spacing w:before="240" w:after="240"/>
        <w:rPr>
          <w:color w:val="000000"/>
          <w:sz w:val="22"/>
          <w:szCs w:val="22"/>
          <w:lang w:eastAsia="en-AU"/>
        </w:rPr>
      </w:pPr>
      <w:r w:rsidRPr="00694DE9">
        <w:rPr>
          <w:color w:val="000000"/>
          <w:sz w:val="22"/>
          <w:szCs w:val="22"/>
          <w:lang w:eastAsia="en-AU"/>
        </w:rPr>
        <w:t>PhD (University of Melbourne 2006)</w:t>
      </w:r>
    </w:p>
    <w:p w14:paraId="5EDA45EC" w14:textId="77777777" w:rsidR="00491210" w:rsidRPr="00694DE9" w:rsidRDefault="00EE200C" w:rsidP="001744FB">
      <w:pPr>
        <w:spacing w:before="240" w:after="240"/>
        <w:rPr>
          <w:color w:val="000000"/>
          <w:sz w:val="22"/>
          <w:szCs w:val="22"/>
          <w:lang w:eastAsia="en-AU"/>
        </w:rPr>
      </w:pPr>
      <w:r w:rsidRPr="00694DE9">
        <w:rPr>
          <w:color w:val="000000"/>
          <w:sz w:val="22"/>
          <w:szCs w:val="22"/>
          <w:lang w:eastAsia="en-AU"/>
        </w:rPr>
        <w:t>BSc (University of Melbourne 1980)</w:t>
      </w:r>
    </w:p>
    <w:p w14:paraId="46C43655" w14:textId="1B7A21F5" w:rsidR="00491210" w:rsidRPr="00874504" w:rsidRDefault="00EE200C" w:rsidP="00874504">
      <w:pPr>
        <w:pStyle w:val="PopModCVheading"/>
        <w:rPr>
          <w:b w:val="0"/>
          <w:bCs w:val="0"/>
        </w:rPr>
      </w:pPr>
      <w:r w:rsidRPr="00874504">
        <w:t>Professional affiliations</w:t>
      </w:r>
    </w:p>
    <w:p w14:paraId="70653324" w14:textId="77777777" w:rsidR="00491210" w:rsidRPr="005D3A84" w:rsidRDefault="00EE200C" w:rsidP="00167DBC">
      <w:pPr>
        <w:rPr>
          <w:sz w:val="22"/>
          <w:szCs w:val="22"/>
          <w:lang w:val="en-GB"/>
        </w:rPr>
      </w:pPr>
      <w:r w:rsidRPr="005D3A84">
        <w:rPr>
          <w:sz w:val="22"/>
          <w:szCs w:val="22"/>
          <w:lang w:val="en-GB"/>
        </w:rPr>
        <w:t>Australian Society for Fish Biology</w:t>
      </w:r>
      <w:r>
        <w:rPr>
          <w:sz w:val="22"/>
          <w:szCs w:val="22"/>
          <w:lang w:val="en-GB"/>
        </w:rPr>
        <w:t xml:space="preserve">: Past President </w:t>
      </w:r>
      <w:r w:rsidRPr="005D3A84">
        <w:rPr>
          <w:sz w:val="22"/>
          <w:szCs w:val="22"/>
          <w:lang w:val="en-GB"/>
        </w:rPr>
        <w:t>for the Australian Society for Fish Biology</w:t>
      </w:r>
      <w:r>
        <w:rPr>
          <w:sz w:val="22"/>
          <w:szCs w:val="22"/>
          <w:lang w:val="en-GB"/>
        </w:rPr>
        <w:t>—</w:t>
      </w:r>
      <w:r w:rsidRPr="005D3A84">
        <w:rPr>
          <w:sz w:val="22"/>
          <w:szCs w:val="22"/>
          <w:lang w:val="en-GB"/>
        </w:rPr>
        <w:t xml:space="preserve">Life Member </w:t>
      </w:r>
      <w:r>
        <w:rPr>
          <w:sz w:val="22"/>
          <w:szCs w:val="22"/>
          <w:lang w:val="en-GB"/>
        </w:rPr>
        <w:t>and</w:t>
      </w:r>
      <w:r w:rsidRPr="005D3A84">
        <w:rPr>
          <w:sz w:val="22"/>
          <w:szCs w:val="22"/>
          <w:lang w:val="en-GB"/>
        </w:rPr>
        <w:t xml:space="preserve"> Hall of Fame inductee</w:t>
      </w:r>
    </w:p>
    <w:p w14:paraId="7567EB3A" w14:textId="77777777" w:rsidR="00491210" w:rsidRPr="00694DE9" w:rsidRDefault="00EE200C" w:rsidP="00167DBC">
      <w:pPr>
        <w:spacing w:before="240" w:after="240"/>
        <w:rPr>
          <w:color w:val="000000"/>
          <w:sz w:val="22"/>
          <w:szCs w:val="22"/>
          <w:lang w:eastAsia="en-AU"/>
        </w:rPr>
      </w:pPr>
      <w:r w:rsidRPr="00694DE9">
        <w:rPr>
          <w:color w:val="000000"/>
          <w:sz w:val="22"/>
          <w:szCs w:val="22"/>
          <w:lang w:eastAsia="en-AU"/>
        </w:rPr>
        <w:t xml:space="preserve">Member of the editorial board for </w:t>
      </w:r>
      <w:r w:rsidRPr="0031110F">
        <w:rPr>
          <w:i/>
          <w:iCs/>
          <w:color w:val="000000"/>
          <w:sz w:val="22"/>
          <w:szCs w:val="22"/>
          <w:lang w:eastAsia="en-AU"/>
        </w:rPr>
        <w:t>Ecological Management and Restoration</w:t>
      </w:r>
    </w:p>
    <w:p w14:paraId="2EB819B7" w14:textId="77777777" w:rsidR="00491210" w:rsidRPr="00694DE9" w:rsidRDefault="00EE200C" w:rsidP="00167DBC">
      <w:pPr>
        <w:spacing w:before="240" w:after="240"/>
        <w:rPr>
          <w:color w:val="000000"/>
          <w:sz w:val="22"/>
          <w:szCs w:val="22"/>
          <w:lang w:eastAsia="en-AU"/>
        </w:rPr>
      </w:pPr>
      <w:r w:rsidRPr="00694DE9">
        <w:rPr>
          <w:color w:val="000000"/>
          <w:sz w:val="22"/>
          <w:szCs w:val="22"/>
          <w:lang w:eastAsia="en-AU"/>
        </w:rPr>
        <w:t xml:space="preserve">Special edition editor for </w:t>
      </w:r>
      <w:r w:rsidRPr="0031110F">
        <w:rPr>
          <w:i/>
          <w:iCs/>
          <w:color w:val="000000"/>
          <w:sz w:val="22"/>
          <w:szCs w:val="22"/>
          <w:lang w:eastAsia="en-AU"/>
        </w:rPr>
        <w:t>Marine and Freshwater Research</w:t>
      </w:r>
      <w:r w:rsidRPr="00694DE9">
        <w:rPr>
          <w:color w:val="000000"/>
          <w:sz w:val="22"/>
          <w:szCs w:val="22"/>
          <w:lang w:eastAsia="en-AU"/>
        </w:rPr>
        <w:t xml:space="preserve">: </w:t>
      </w:r>
      <w:r w:rsidRPr="00060A10">
        <w:rPr>
          <w:i/>
          <w:color w:val="000000"/>
          <w:sz w:val="22"/>
          <w:szCs w:val="22"/>
          <w:lang w:eastAsia="en-AU"/>
        </w:rPr>
        <w:t>Climate change and the aquatic environment – the future for fish and fisheries in Australia</w:t>
      </w:r>
      <w:r w:rsidRPr="00694DE9">
        <w:rPr>
          <w:color w:val="000000"/>
          <w:sz w:val="22"/>
          <w:szCs w:val="22"/>
          <w:lang w:eastAsia="en-AU"/>
        </w:rPr>
        <w:t xml:space="preserve"> issue</w:t>
      </w:r>
    </w:p>
    <w:p w14:paraId="67BF4EE1" w14:textId="77777777" w:rsidR="00491210" w:rsidRPr="00694DE9" w:rsidRDefault="00EE200C" w:rsidP="00167DBC">
      <w:pPr>
        <w:spacing w:before="240" w:after="240"/>
        <w:rPr>
          <w:color w:val="000000"/>
          <w:sz w:val="22"/>
          <w:szCs w:val="22"/>
          <w:lang w:eastAsia="en-AU"/>
        </w:rPr>
      </w:pPr>
      <w:r w:rsidRPr="00694DE9">
        <w:rPr>
          <w:color w:val="000000"/>
          <w:sz w:val="22"/>
          <w:szCs w:val="22"/>
          <w:lang w:eastAsia="en-AU"/>
        </w:rPr>
        <w:t xml:space="preserve">Special edition editor for </w:t>
      </w:r>
      <w:r w:rsidRPr="0031110F">
        <w:rPr>
          <w:i/>
          <w:iCs/>
          <w:color w:val="000000"/>
          <w:sz w:val="22"/>
          <w:szCs w:val="22"/>
          <w:lang w:eastAsia="en-AU"/>
        </w:rPr>
        <w:t>Ecological Management and Restoration</w:t>
      </w:r>
      <w:r w:rsidRPr="00694DE9">
        <w:rPr>
          <w:color w:val="000000"/>
          <w:sz w:val="22"/>
          <w:szCs w:val="22"/>
          <w:lang w:eastAsia="en-AU"/>
        </w:rPr>
        <w:t xml:space="preserve">: </w:t>
      </w:r>
      <w:r w:rsidRPr="00060A10">
        <w:rPr>
          <w:i/>
          <w:color w:val="000000"/>
          <w:sz w:val="22"/>
          <w:szCs w:val="22"/>
          <w:lang w:eastAsia="en-AU"/>
        </w:rPr>
        <w:t>The Native Fish Strategy: Bringing native fish back</w:t>
      </w:r>
      <w:r w:rsidRPr="00694DE9">
        <w:rPr>
          <w:color w:val="000000"/>
          <w:sz w:val="22"/>
          <w:szCs w:val="22"/>
          <w:lang w:eastAsia="en-AU"/>
        </w:rPr>
        <w:t>. 15 (S1)</w:t>
      </w:r>
    </w:p>
    <w:p w14:paraId="62C85445" w14:textId="77777777" w:rsidR="00491210" w:rsidRDefault="00EE200C" w:rsidP="00874504">
      <w:pPr>
        <w:pStyle w:val="PopModCVheading"/>
      </w:pPr>
      <w:r>
        <w:t>Awards</w:t>
      </w:r>
    </w:p>
    <w:p w14:paraId="7939F510" w14:textId="53C97DF4" w:rsidR="00491210" w:rsidRDefault="00EE200C" w:rsidP="00874504">
      <w:pPr>
        <w:pStyle w:val="PopModCVheading"/>
        <w:rPr>
          <w:color w:val="000000"/>
          <w:lang w:eastAsia="en-AU"/>
        </w:rPr>
      </w:pPr>
      <w:r w:rsidRPr="00874504">
        <w:rPr>
          <w:b w:val="0"/>
          <w:bCs w:val="0"/>
          <w:color w:val="000000"/>
          <w:lang w:val="en-AU" w:eastAsia="en-AU"/>
        </w:rPr>
        <w:t>In 1997 he received the Gold Banksia and Catchment Management and Inland Waterways Banksia awards, and in 2000 he received Rivercare 2000 awards for scientific research.</w:t>
      </w:r>
    </w:p>
    <w:p w14:paraId="2F121DE4" w14:textId="3B6FB182" w:rsidR="00491210" w:rsidRPr="009B7A0C" w:rsidRDefault="00EE200C" w:rsidP="00874504">
      <w:pPr>
        <w:pStyle w:val="PopModCVheading"/>
      </w:pPr>
      <w:r w:rsidRPr="009B7A0C">
        <w:t>Relevant expertise</w:t>
      </w:r>
    </w:p>
    <w:p w14:paraId="6F89A8BE" w14:textId="2F34773F" w:rsidR="00491210" w:rsidRDefault="00EE200C" w:rsidP="00836EC5">
      <w:pPr>
        <w:pStyle w:val="Bodynarrowbullet"/>
        <w:numPr>
          <w:ilvl w:val="0"/>
          <w:numId w:val="10"/>
        </w:numPr>
        <w:rPr>
          <w:rFonts w:ascii="Arial" w:eastAsia="Arial" w:hAnsi="Arial" w:cs="Arial"/>
          <w:sz w:val="22"/>
          <w:szCs w:val="22"/>
        </w:rPr>
      </w:pPr>
      <w:r w:rsidRPr="358D0A8B">
        <w:rPr>
          <w:rFonts w:ascii="Arial" w:hAnsi="Arial" w:cs="Arial"/>
          <w:sz w:val="22"/>
          <w:szCs w:val="22"/>
        </w:rPr>
        <w:t xml:space="preserve">Leadership, innovation, research ability, </w:t>
      </w:r>
      <w:r>
        <w:rPr>
          <w:rFonts w:ascii="Arial" w:hAnsi="Arial" w:cs="Arial"/>
          <w:sz w:val="22"/>
          <w:szCs w:val="22"/>
        </w:rPr>
        <w:t>p</w:t>
      </w:r>
      <w:r w:rsidRPr="358D0A8B">
        <w:rPr>
          <w:rFonts w:ascii="Arial" w:hAnsi="Arial" w:cs="Arial"/>
          <w:sz w:val="22"/>
          <w:szCs w:val="22"/>
        </w:rPr>
        <w:t>roject management and delivery</w:t>
      </w:r>
    </w:p>
    <w:p w14:paraId="65119070" w14:textId="53480E8D" w:rsidR="00491210" w:rsidRDefault="00EE200C" w:rsidP="00836EC5">
      <w:pPr>
        <w:pStyle w:val="Bodynarrowbullet"/>
        <w:numPr>
          <w:ilvl w:val="0"/>
          <w:numId w:val="10"/>
        </w:numPr>
        <w:rPr>
          <w:rFonts w:ascii="Arial" w:hAnsi="Arial" w:cs="Arial"/>
          <w:sz w:val="22"/>
          <w:szCs w:val="22"/>
        </w:rPr>
      </w:pPr>
      <w:r>
        <w:rPr>
          <w:rFonts w:ascii="Arial" w:hAnsi="Arial" w:cs="Arial"/>
          <w:sz w:val="22"/>
          <w:szCs w:val="22"/>
        </w:rPr>
        <w:t>F</w:t>
      </w:r>
      <w:r w:rsidRPr="358D0A8B">
        <w:rPr>
          <w:rFonts w:ascii="Arial" w:hAnsi="Arial" w:cs="Arial"/>
          <w:sz w:val="22"/>
          <w:szCs w:val="22"/>
        </w:rPr>
        <w:t>reshwater and fish ecology</w:t>
      </w:r>
      <w:r>
        <w:rPr>
          <w:rFonts w:ascii="Arial" w:hAnsi="Arial" w:cs="Arial"/>
          <w:sz w:val="22"/>
          <w:szCs w:val="22"/>
        </w:rPr>
        <w:t>—</w:t>
      </w:r>
      <w:r w:rsidRPr="358D0A8B">
        <w:rPr>
          <w:rFonts w:ascii="Arial" w:hAnsi="Arial" w:cs="Arial"/>
          <w:sz w:val="22"/>
          <w:szCs w:val="22"/>
        </w:rPr>
        <w:t>habitats, movements, recruitment, population dynamics</w:t>
      </w:r>
    </w:p>
    <w:p w14:paraId="2644FBCB" w14:textId="58C63BEF" w:rsidR="00491210" w:rsidRPr="00585A2C" w:rsidRDefault="00EE200C" w:rsidP="00836EC5">
      <w:pPr>
        <w:pStyle w:val="Bodynarrowbullet"/>
        <w:numPr>
          <w:ilvl w:val="0"/>
          <w:numId w:val="10"/>
        </w:numPr>
        <w:rPr>
          <w:rFonts w:ascii="Arial" w:eastAsia="Arial" w:hAnsi="Arial" w:cs="Arial"/>
          <w:sz w:val="22"/>
          <w:szCs w:val="22"/>
        </w:rPr>
      </w:pPr>
      <w:r w:rsidRPr="358D0A8B">
        <w:rPr>
          <w:rFonts w:ascii="Arial" w:hAnsi="Arial" w:cs="Arial"/>
          <w:sz w:val="22"/>
          <w:szCs w:val="22"/>
        </w:rPr>
        <w:t>Murray</w:t>
      </w:r>
      <w:r>
        <w:rPr>
          <w:rFonts w:ascii="Arial" w:hAnsi="Arial" w:cs="Arial"/>
          <w:sz w:val="22"/>
          <w:szCs w:val="22"/>
        </w:rPr>
        <w:t>–</w:t>
      </w:r>
      <w:r w:rsidRPr="358D0A8B">
        <w:rPr>
          <w:rFonts w:ascii="Arial" w:hAnsi="Arial" w:cs="Arial"/>
          <w:sz w:val="22"/>
          <w:szCs w:val="22"/>
        </w:rPr>
        <w:t xml:space="preserve">Darling Basin </w:t>
      </w:r>
      <w:r>
        <w:rPr>
          <w:rFonts w:ascii="Arial" w:hAnsi="Arial" w:cs="Arial"/>
          <w:sz w:val="22"/>
          <w:szCs w:val="22"/>
        </w:rPr>
        <w:t>f</w:t>
      </w:r>
      <w:r w:rsidRPr="358D0A8B">
        <w:rPr>
          <w:rFonts w:ascii="Arial" w:hAnsi="Arial" w:cs="Arial"/>
          <w:sz w:val="22"/>
          <w:szCs w:val="22"/>
        </w:rPr>
        <w:t>ishes</w:t>
      </w:r>
    </w:p>
    <w:p w14:paraId="3F7C5A23" w14:textId="47F628B9" w:rsidR="00491210" w:rsidRPr="00585A2C" w:rsidRDefault="00EE200C" w:rsidP="00836EC5">
      <w:pPr>
        <w:pStyle w:val="Bodynarrowbullet"/>
        <w:numPr>
          <w:ilvl w:val="0"/>
          <w:numId w:val="10"/>
        </w:numPr>
        <w:rPr>
          <w:rFonts w:ascii="Arial" w:eastAsia="Arial" w:hAnsi="Arial" w:cs="Arial"/>
          <w:sz w:val="22"/>
          <w:szCs w:val="22"/>
        </w:rPr>
      </w:pPr>
      <w:r w:rsidRPr="358D0A8B">
        <w:rPr>
          <w:rFonts w:ascii="Arial" w:hAnsi="Arial" w:cs="Arial"/>
          <w:sz w:val="22"/>
          <w:szCs w:val="22"/>
        </w:rPr>
        <w:t xml:space="preserve">Native </w:t>
      </w:r>
      <w:r>
        <w:rPr>
          <w:rFonts w:ascii="Arial" w:hAnsi="Arial" w:cs="Arial"/>
          <w:sz w:val="22"/>
          <w:szCs w:val="22"/>
        </w:rPr>
        <w:t>f</w:t>
      </w:r>
      <w:r w:rsidRPr="358D0A8B">
        <w:rPr>
          <w:rFonts w:ascii="Arial" w:hAnsi="Arial" w:cs="Arial"/>
          <w:sz w:val="22"/>
          <w:szCs w:val="22"/>
        </w:rPr>
        <w:t>ish population models</w:t>
      </w:r>
    </w:p>
    <w:p w14:paraId="6DDF0601" w14:textId="532FE18B" w:rsidR="00491210" w:rsidRDefault="00EE200C" w:rsidP="00836EC5">
      <w:pPr>
        <w:pStyle w:val="Bodynarrowbullet"/>
        <w:numPr>
          <w:ilvl w:val="0"/>
          <w:numId w:val="10"/>
        </w:numPr>
        <w:rPr>
          <w:rFonts w:ascii="Arial" w:hAnsi="Arial" w:cs="Arial"/>
          <w:sz w:val="22"/>
          <w:szCs w:val="22"/>
        </w:rPr>
      </w:pPr>
      <w:r w:rsidRPr="358D0A8B">
        <w:rPr>
          <w:rFonts w:ascii="Arial" w:hAnsi="Arial" w:cs="Arial"/>
          <w:sz w:val="22"/>
          <w:szCs w:val="22"/>
        </w:rPr>
        <w:t>Introduced fishes</w:t>
      </w:r>
      <w:r>
        <w:rPr>
          <w:rFonts w:ascii="Arial" w:hAnsi="Arial" w:cs="Arial"/>
          <w:sz w:val="22"/>
          <w:szCs w:val="22"/>
        </w:rPr>
        <w:t>—</w:t>
      </w:r>
      <w:r w:rsidRPr="358D0A8B">
        <w:rPr>
          <w:rFonts w:ascii="Arial" w:hAnsi="Arial" w:cs="Arial"/>
          <w:sz w:val="22"/>
          <w:szCs w:val="22"/>
        </w:rPr>
        <w:t>especially Carp</w:t>
      </w:r>
    </w:p>
    <w:p w14:paraId="7F51992D" w14:textId="540A23F4" w:rsidR="00491210" w:rsidRPr="00B115D8" w:rsidRDefault="00EE200C" w:rsidP="00836EC5">
      <w:pPr>
        <w:pStyle w:val="Bodynarrowbullet"/>
        <w:numPr>
          <w:ilvl w:val="0"/>
          <w:numId w:val="10"/>
        </w:numPr>
        <w:rPr>
          <w:rFonts w:ascii="Arial" w:eastAsia="Arial" w:hAnsi="Arial" w:cs="Arial"/>
          <w:sz w:val="22"/>
          <w:szCs w:val="22"/>
        </w:rPr>
      </w:pPr>
      <w:r>
        <w:rPr>
          <w:rFonts w:ascii="Arial" w:hAnsi="Arial" w:cs="Arial"/>
          <w:sz w:val="22"/>
          <w:szCs w:val="22"/>
        </w:rPr>
        <w:t>C</w:t>
      </w:r>
      <w:r w:rsidRPr="358D0A8B">
        <w:rPr>
          <w:rFonts w:ascii="Arial" w:hAnsi="Arial" w:cs="Arial"/>
          <w:sz w:val="22"/>
          <w:szCs w:val="22"/>
        </w:rPr>
        <w:t>onservation, threatened species, threatening processes, recovery planning, rehabilitation</w:t>
      </w:r>
    </w:p>
    <w:p w14:paraId="6B70D13E" w14:textId="23CBB80D" w:rsidR="00491210" w:rsidRPr="00585A2C" w:rsidRDefault="00EE200C" w:rsidP="00836EC5">
      <w:pPr>
        <w:pStyle w:val="Bodynarrowbullet"/>
        <w:numPr>
          <w:ilvl w:val="0"/>
          <w:numId w:val="10"/>
        </w:numPr>
        <w:rPr>
          <w:rFonts w:ascii="Arial" w:eastAsia="Arial" w:hAnsi="Arial" w:cs="Arial"/>
          <w:sz w:val="22"/>
          <w:szCs w:val="22"/>
        </w:rPr>
      </w:pPr>
      <w:r w:rsidRPr="358D0A8B">
        <w:rPr>
          <w:rFonts w:ascii="Arial" w:hAnsi="Arial" w:cs="Arial"/>
          <w:sz w:val="22"/>
          <w:szCs w:val="22"/>
        </w:rPr>
        <w:t>Knowledge transfer and communication, scientific advice to management and policy</w:t>
      </w:r>
    </w:p>
    <w:p w14:paraId="1FF65518" w14:textId="3E7F1305" w:rsidR="00491210" w:rsidRPr="00874504" w:rsidRDefault="00EE200C" w:rsidP="00874504">
      <w:pPr>
        <w:pStyle w:val="PopModCVheading"/>
        <w:rPr>
          <w:b w:val="0"/>
          <w:bCs w:val="0"/>
        </w:rPr>
      </w:pPr>
      <w:r>
        <w:t>Summary of competencies</w:t>
      </w:r>
    </w:p>
    <w:p w14:paraId="625777B3" w14:textId="06FD3A2F" w:rsidR="00491210" w:rsidRDefault="00EE200C" w:rsidP="00694DE9">
      <w:pPr>
        <w:spacing w:before="240" w:after="240"/>
        <w:rPr>
          <w:color w:val="000000"/>
          <w:sz w:val="22"/>
          <w:szCs w:val="22"/>
          <w:lang w:eastAsia="en-AU"/>
        </w:rPr>
      </w:pPr>
      <w:r>
        <w:rPr>
          <w:color w:val="000000"/>
          <w:sz w:val="22"/>
          <w:szCs w:val="22"/>
          <w:lang w:eastAsia="en-AU"/>
        </w:rPr>
        <w:t>John has</w:t>
      </w:r>
      <w:r w:rsidRPr="00694DE9">
        <w:rPr>
          <w:color w:val="000000"/>
          <w:sz w:val="22"/>
          <w:szCs w:val="22"/>
          <w:lang w:eastAsia="en-AU"/>
        </w:rPr>
        <w:t xml:space="preserve"> established an international reputation as one of Australia</w:t>
      </w:r>
      <w:r>
        <w:rPr>
          <w:color w:val="000000"/>
          <w:sz w:val="22"/>
          <w:szCs w:val="22"/>
          <w:lang w:eastAsia="en-AU"/>
        </w:rPr>
        <w:t>’</w:t>
      </w:r>
      <w:r w:rsidRPr="00694DE9">
        <w:rPr>
          <w:color w:val="000000"/>
          <w:sz w:val="22"/>
          <w:szCs w:val="22"/>
          <w:lang w:eastAsia="en-AU"/>
        </w:rPr>
        <w:t xml:space="preserve">s leading fish biologists </w:t>
      </w:r>
      <w:r>
        <w:rPr>
          <w:color w:val="000000"/>
          <w:sz w:val="22"/>
          <w:szCs w:val="22"/>
          <w:lang w:eastAsia="en-AU"/>
        </w:rPr>
        <w:t>through his</w:t>
      </w:r>
      <w:r w:rsidRPr="00694DE9">
        <w:rPr>
          <w:color w:val="000000"/>
          <w:sz w:val="22"/>
          <w:szCs w:val="22"/>
          <w:lang w:eastAsia="en-AU"/>
        </w:rPr>
        <w:t xml:space="preserve"> research on the ecology and management of Australian freshwater fish.</w:t>
      </w:r>
      <w:r>
        <w:rPr>
          <w:color w:val="000000"/>
          <w:sz w:val="22"/>
          <w:szCs w:val="22"/>
          <w:lang w:eastAsia="en-AU"/>
        </w:rPr>
        <w:t xml:space="preserve"> His</w:t>
      </w:r>
      <w:r w:rsidRPr="00694DE9">
        <w:rPr>
          <w:color w:val="000000"/>
          <w:sz w:val="22"/>
          <w:szCs w:val="22"/>
          <w:lang w:eastAsia="en-AU"/>
        </w:rPr>
        <w:t xml:space="preserve"> research has resulted in over 250 scientific publications, most of which are refereed journal papers, books and conference proceedings.</w:t>
      </w:r>
      <w:r>
        <w:rPr>
          <w:color w:val="000000"/>
          <w:sz w:val="22"/>
          <w:szCs w:val="22"/>
          <w:lang w:eastAsia="en-AU"/>
        </w:rPr>
        <w:t xml:space="preserve"> </w:t>
      </w:r>
      <w:r w:rsidRPr="00694DE9">
        <w:rPr>
          <w:color w:val="000000"/>
          <w:sz w:val="22"/>
          <w:szCs w:val="22"/>
          <w:lang w:eastAsia="en-AU"/>
        </w:rPr>
        <w:t xml:space="preserve">This original research has been of an applied nature and aimed at providing information to improve management. Recognition of </w:t>
      </w:r>
      <w:r>
        <w:rPr>
          <w:color w:val="000000"/>
          <w:sz w:val="22"/>
          <w:szCs w:val="22"/>
          <w:lang w:eastAsia="en-AU"/>
        </w:rPr>
        <w:t>his</w:t>
      </w:r>
      <w:r w:rsidRPr="00694DE9">
        <w:rPr>
          <w:color w:val="000000"/>
          <w:sz w:val="22"/>
          <w:szCs w:val="22"/>
          <w:lang w:eastAsia="en-AU"/>
        </w:rPr>
        <w:t xml:space="preserve"> research achievements has been reflected in </w:t>
      </w:r>
      <w:r>
        <w:rPr>
          <w:color w:val="000000"/>
          <w:sz w:val="22"/>
          <w:szCs w:val="22"/>
          <w:lang w:eastAsia="en-AU"/>
        </w:rPr>
        <w:t xml:space="preserve">his </w:t>
      </w:r>
      <w:r w:rsidRPr="00694DE9">
        <w:rPr>
          <w:color w:val="000000"/>
          <w:sz w:val="22"/>
          <w:szCs w:val="22"/>
          <w:lang w:eastAsia="en-AU"/>
        </w:rPr>
        <w:t>inclusion on Ministerial committees (</w:t>
      </w:r>
      <w:r>
        <w:rPr>
          <w:color w:val="000000"/>
          <w:sz w:val="22"/>
          <w:szCs w:val="22"/>
          <w:lang w:eastAsia="en-AU"/>
        </w:rPr>
        <w:t xml:space="preserve">he is </w:t>
      </w:r>
      <w:r w:rsidRPr="00694DE9">
        <w:rPr>
          <w:color w:val="000000"/>
          <w:sz w:val="22"/>
          <w:szCs w:val="22"/>
          <w:lang w:eastAsia="en-AU"/>
        </w:rPr>
        <w:t xml:space="preserve">currently a member of the Scientific Advisory Committee for </w:t>
      </w:r>
      <w:r w:rsidRPr="00874504">
        <w:rPr>
          <w:i/>
          <w:color w:val="000000"/>
          <w:sz w:val="22"/>
          <w:szCs w:val="22"/>
          <w:lang w:eastAsia="en-AU"/>
        </w:rPr>
        <w:t>Victoria</w:t>
      </w:r>
      <w:r>
        <w:rPr>
          <w:i/>
          <w:color w:val="000000"/>
          <w:sz w:val="22"/>
          <w:szCs w:val="22"/>
          <w:lang w:eastAsia="en-AU"/>
        </w:rPr>
        <w:t>’</w:t>
      </w:r>
      <w:r w:rsidRPr="00874504">
        <w:rPr>
          <w:i/>
          <w:color w:val="000000"/>
          <w:sz w:val="22"/>
          <w:szCs w:val="22"/>
          <w:lang w:eastAsia="en-AU"/>
        </w:rPr>
        <w:t>s Flora and Fauna Guarantee Act</w:t>
      </w:r>
      <w:r>
        <w:rPr>
          <w:i/>
          <w:color w:val="000000"/>
          <w:sz w:val="22"/>
          <w:szCs w:val="22"/>
          <w:lang w:eastAsia="en-AU"/>
        </w:rPr>
        <w:t xml:space="preserve"> 1988</w:t>
      </w:r>
      <w:r w:rsidRPr="00694DE9">
        <w:rPr>
          <w:color w:val="000000"/>
          <w:sz w:val="22"/>
          <w:szCs w:val="22"/>
          <w:lang w:eastAsia="en-AU"/>
        </w:rPr>
        <w:t>), national recovery teams</w:t>
      </w:r>
      <w:r>
        <w:rPr>
          <w:color w:val="000000"/>
          <w:sz w:val="22"/>
          <w:szCs w:val="22"/>
          <w:lang w:eastAsia="en-AU"/>
        </w:rPr>
        <w:t>,</w:t>
      </w:r>
      <w:r w:rsidRPr="00694DE9">
        <w:rPr>
          <w:color w:val="000000"/>
          <w:sz w:val="22"/>
          <w:szCs w:val="22"/>
          <w:lang w:eastAsia="en-AU"/>
        </w:rPr>
        <w:t xml:space="preserve"> advisory/expert committees (Murray</w:t>
      </w:r>
      <w:r>
        <w:rPr>
          <w:color w:val="000000"/>
          <w:sz w:val="22"/>
          <w:szCs w:val="22"/>
          <w:lang w:eastAsia="en-AU"/>
        </w:rPr>
        <w:t>–</w:t>
      </w:r>
      <w:r w:rsidRPr="00694DE9">
        <w:rPr>
          <w:color w:val="000000"/>
          <w:sz w:val="22"/>
          <w:szCs w:val="22"/>
          <w:lang w:eastAsia="en-AU"/>
        </w:rPr>
        <w:t xml:space="preserve">Darling Basin Commission drought expert panel, Murray, </w:t>
      </w:r>
      <w:r w:rsidRPr="00694DE9">
        <w:rPr>
          <w:color w:val="000000"/>
          <w:sz w:val="22"/>
          <w:szCs w:val="22"/>
          <w:lang w:eastAsia="en-AU"/>
        </w:rPr>
        <w:lastRenderedPageBreak/>
        <w:t>Ovens, Murrumbidgee environmental flow panels</w:t>
      </w:r>
      <w:r>
        <w:rPr>
          <w:color w:val="000000"/>
          <w:sz w:val="22"/>
          <w:szCs w:val="22"/>
          <w:lang w:eastAsia="en-AU"/>
        </w:rPr>
        <w:t>)</w:t>
      </w:r>
      <w:r w:rsidRPr="00694DE9">
        <w:rPr>
          <w:color w:val="000000"/>
          <w:sz w:val="22"/>
          <w:szCs w:val="22"/>
          <w:lang w:eastAsia="en-AU"/>
        </w:rPr>
        <w:t>, the Murray</w:t>
      </w:r>
      <w:r>
        <w:rPr>
          <w:color w:val="000000"/>
          <w:sz w:val="22"/>
          <w:szCs w:val="22"/>
          <w:lang w:eastAsia="en-AU"/>
        </w:rPr>
        <w:t>–</w:t>
      </w:r>
      <w:r w:rsidRPr="00694DE9">
        <w:rPr>
          <w:color w:val="000000"/>
          <w:sz w:val="22"/>
          <w:szCs w:val="22"/>
          <w:lang w:eastAsia="en-AU"/>
        </w:rPr>
        <w:t xml:space="preserve">Darling Basin Commission Native Fish Management Strategy Advisory </w:t>
      </w:r>
      <w:r>
        <w:rPr>
          <w:color w:val="000000"/>
          <w:sz w:val="22"/>
          <w:szCs w:val="22"/>
          <w:lang w:eastAsia="en-AU"/>
        </w:rPr>
        <w:t>P</w:t>
      </w:r>
      <w:r w:rsidRPr="00694DE9">
        <w:rPr>
          <w:color w:val="000000"/>
          <w:sz w:val="22"/>
          <w:szCs w:val="22"/>
          <w:lang w:eastAsia="en-AU"/>
        </w:rPr>
        <w:t xml:space="preserve">anel and several fish taskforces). </w:t>
      </w:r>
      <w:r>
        <w:rPr>
          <w:color w:val="000000"/>
          <w:sz w:val="22"/>
          <w:szCs w:val="22"/>
          <w:lang w:eastAsia="en-AU"/>
        </w:rPr>
        <w:t>He</w:t>
      </w:r>
      <w:r w:rsidRPr="00694DE9">
        <w:rPr>
          <w:color w:val="000000"/>
          <w:sz w:val="22"/>
          <w:szCs w:val="22"/>
          <w:lang w:eastAsia="en-AU"/>
        </w:rPr>
        <w:t xml:space="preserve"> was a key author of the Murray</w:t>
      </w:r>
      <w:r>
        <w:rPr>
          <w:color w:val="000000"/>
          <w:sz w:val="22"/>
          <w:szCs w:val="22"/>
          <w:lang w:eastAsia="en-AU"/>
        </w:rPr>
        <w:t>–</w:t>
      </w:r>
      <w:r w:rsidRPr="00694DE9">
        <w:rPr>
          <w:color w:val="000000"/>
          <w:sz w:val="22"/>
          <w:szCs w:val="22"/>
          <w:lang w:eastAsia="en-AU"/>
        </w:rPr>
        <w:t>Darling Basin Commission</w:t>
      </w:r>
      <w:r>
        <w:rPr>
          <w:color w:val="000000"/>
          <w:sz w:val="22"/>
          <w:szCs w:val="22"/>
          <w:lang w:eastAsia="en-AU"/>
        </w:rPr>
        <w:t>’</w:t>
      </w:r>
      <w:r w:rsidRPr="00694DE9">
        <w:rPr>
          <w:color w:val="000000"/>
          <w:sz w:val="22"/>
          <w:szCs w:val="22"/>
          <w:lang w:eastAsia="en-AU"/>
        </w:rPr>
        <w:t>s Native Fish Strategy and ha</w:t>
      </w:r>
      <w:r>
        <w:rPr>
          <w:color w:val="000000"/>
          <w:sz w:val="22"/>
          <w:szCs w:val="22"/>
          <w:lang w:eastAsia="en-AU"/>
        </w:rPr>
        <w:t>s</w:t>
      </w:r>
      <w:r w:rsidRPr="00694DE9">
        <w:rPr>
          <w:color w:val="000000"/>
          <w:sz w:val="22"/>
          <w:szCs w:val="22"/>
          <w:lang w:eastAsia="en-AU"/>
        </w:rPr>
        <w:t xml:space="preserve"> led or participated in a range of projects for Commonwealth, State and New Zealand research and management agencies.</w:t>
      </w:r>
      <w:r>
        <w:rPr>
          <w:color w:val="000000"/>
          <w:sz w:val="22"/>
          <w:szCs w:val="22"/>
          <w:lang w:eastAsia="en-AU"/>
        </w:rPr>
        <w:t xml:space="preserve"> He is</w:t>
      </w:r>
      <w:r w:rsidRPr="00694DE9">
        <w:rPr>
          <w:color w:val="000000"/>
          <w:sz w:val="22"/>
          <w:szCs w:val="22"/>
          <w:lang w:eastAsia="en-AU"/>
        </w:rPr>
        <w:t xml:space="preserve"> a past President of the Australian Society for Fish Biology and an honorary associate </w:t>
      </w:r>
      <w:r>
        <w:rPr>
          <w:color w:val="000000"/>
          <w:sz w:val="22"/>
          <w:szCs w:val="22"/>
          <w:lang w:eastAsia="en-AU"/>
        </w:rPr>
        <w:t>of</w:t>
      </w:r>
      <w:r w:rsidRPr="00694DE9">
        <w:rPr>
          <w:color w:val="000000"/>
          <w:sz w:val="22"/>
          <w:szCs w:val="22"/>
          <w:lang w:eastAsia="en-AU"/>
        </w:rPr>
        <w:t xml:space="preserve"> the University of Melbourne.</w:t>
      </w:r>
      <w:r>
        <w:rPr>
          <w:color w:val="000000"/>
          <w:sz w:val="22"/>
          <w:szCs w:val="22"/>
          <w:lang w:eastAsia="en-AU"/>
        </w:rPr>
        <w:t xml:space="preserve"> He </w:t>
      </w:r>
      <w:r w:rsidRPr="00694DE9">
        <w:rPr>
          <w:color w:val="000000"/>
          <w:sz w:val="22"/>
          <w:szCs w:val="22"/>
          <w:lang w:eastAsia="en-AU"/>
        </w:rPr>
        <w:t xml:space="preserve">was co-author of the scientific paper produced from the Cooperative Research Centre for Freshwater Ecology mark II, featured in the video </w:t>
      </w:r>
      <w:r w:rsidRPr="00874504">
        <w:rPr>
          <w:i/>
          <w:color w:val="000000"/>
          <w:sz w:val="22"/>
          <w:szCs w:val="22"/>
          <w:lang w:eastAsia="en-AU"/>
        </w:rPr>
        <w:t>Special People</w:t>
      </w:r>
      <w:r>
        <w:rPr>
          <w:color w:val="000000"/>
          <w:sz w:val="22"/>
          <w:szCs w:val="22"/>
          <w:lang w:eastAsia="en-AU"/>
        </w:rPr>
        <w:t>,</w:t>
      </w:r>
      <w:r w:rsidRPr="00694DE9">
        <w:rPr>
          <w:color w:val="000000"/>
          <w:sz w:val="22"/>
          <w:szCs w:val="22"/>
          <w:lang w:eastAsia="en-AU"/>
        </w:rPr>
        <w:t xml:space="preserve"> produced by the Murray</w:t>
      </w:r>
      <w:r>
        <w:rPr>
          <w:color w:val="000000"/>
          <w:sz w:val="22"/>
          <w:szCs w:val="22"/>
          <w:lang w:eastAsia="en-AU"/>
        </w:rPr>
        <w:t>–</w:t>
      </w:r>
      <w:r w:rsidRPr="00694DE9">
        <w:rPr>
          <w:color w:val="000000"/>
          <w:sz w:val="22"/>
          <w:szCs w:val="22"/>
          <w:lang w:eastAsia="en-AU"/>
        </w:rPr>
        <w:t>Darling Basin Commission</w:t>
      </w:r>
      <w:r>
        <w:rPr>
          <w:color w:val="000000"/>
          <w:sz w:val="22"/>
          <w:szCs w:val="22"/>
          <w:lang w:eastAsia="en-AU"/>
        </w:rPr>
        <w:t>,</w:t>
      </w:r>
      <w:r w:rsidRPr="00694DE9">
        <w:rPr>
          <w:color w:val="000000"/>
          <w:sz w:val="22"/>
          <w:szCs w:val="22"/>
          <w:lang w:eastAsia="en-AU"/>
        </w:rPr>
        <w:t xml:space="preserve"> and in the book </w:t>
      </w:r>
      <w:r w:rsidRPr="00874504">
        <w:rPr>
          <w:i/>
          <w:color w:val="000000"/>
          <w:sz w:val="22"/>
          <w:szCs w:val="22"/>
          <w:lang w:eastAsia="en-AU"/>
        </w:rPr>
        <w:t>The Wizards of Oz</w:t>
      </w:r>
      <w:r w:rsidRPr="00694DE9">
        <w:rPr>
          <w:color w:val="000000"/>
          <w:sz w:val="22"/>
          <w:szCs w:val="22"/>
          <w:lang w:eastAsia="en-AU"/>
        </w:rPr>
        <w:t xml:space="preserve">, in recognition of </w:t>
      </w:r>
      <w:r>
        <w:rPr>
          <w:color w:val="000000"/>
          <w:sz w:val="22"/>
          <w:szCs w:val="22"/>
          <w:lang w:eastAsia="en-AU"/>
        </w:rPr>
        <w:t>his</w:t>
      </w:r>
      <w:r w:rsidRPr="00694DE9">
        <w:rPr>
          <w:color w:val="000000"/>
          <w:sz w:val="22"/>
          <w:szCs w:val="22"/>
          <w:lang w:eastAsia="en-AU"/>
        </w:rPr>
        <w:t xml:space="preserve"> contribution to fish research.</w:t>
      </w:r>
      <w:r>
        <w:rPr>
          <w:color w:val="000000"/>
          <w:sz w:val="22"/>
          <w:szCs w:val="22"/>
          <w:lang w:eastAsia="en-AU"/>
        </w:rPr>
        <w:t xml:space="preserve"> He has</w:t>
      </w:r>
      <w:r w:rsidRPr="00694DE9">
        <w:rPr>
          <w:color w:val="000000"/>
          <w:sz w:val="22"/>
          <w:szCs w:val="22"/>
          <w:lang w:eastAsia="en-AU"/>
        </w:rPr>
        <w:t xml:space="preserve"> often been invited to speak at conferences and workshops, to provide expert advice, </w:t>
      </w:r>
      <w:r>
        <w:rPr>
          <w:color w:val="000000"/>
          <w:sz w:val="22"/>
          <w:szCs w:val="22"/>
          <w:lang w:eastAsia="en-AU"/>
        </w:rPr>
        <w:t xml:space="preserve">to </w:t>
      </w:r>
      <w:r w:rsidRPr="00694DE9">
        <w:rPr>
          <w:color w:val="000000"/>
          <w:sz w:val="22"/>
          <w:szCs w:val="22"/>
          <w:lang w:eastAsia="en-AU"/>
        </w:rPr>
        <w:t>design and review projects</w:t>
      </w:r>
      <w:r>
        <w:rPr>
          <w:color w:val="000000"/>
          <w:sz w:val="22"/>
          <w:szCs w:val="22"/>
          <w:lang w:eastAsia="en-AU"/>
        </w:rPr>
        <w:t>,</w:t>
      </w:r>
      <w:r w:rsidRPr="00694DE9">
        <w:rPr>
          <w:color w:val="000000"/>
          <w:sz w:val="22"/>
          <w:szCs w:val="22"/>
          <w:lang w:eastAsia="en-AU"/>
        </w:rPr>
        <w:t xml:space="preserve"> and </w:t>
      </w:r>
      <w:r>
        <w:rPr>
          <w:color w:val="000000"/>
          <w:sz w:val="22"/>
          <w:szCs w:val="22"/>
          <w:lang w:eastAsia="en-AU"/>
        </w:rPr>
        <w:t xml:space="preserve">to </w:t>
      </w:r>
      <w:r w:rsidRPr="00694DE9">
        <w:rPr>
          <w:color w:val="000000"/>
          <w:sz w:val="22"/>
          <w:szCs w:val="22"/>
          <w:lang w:eastAsia="en-AU"/>
        </w:rPr>
        <w:t xml:space="preserve">provide media comment and stories. </w:t>
      </w:r>
    </w:p>
    <w:p w14:paraId="6E1CE0EE" w14:textId="77777777" w:rsidR="00491210" w:rsidRPr="00060A10" w:rsidRDefault="00EE200C" w:rsidP="00183D0F">
      <w:pPr>
        <w:pStyle w:val="PopModCVheading"/>
      </w:pPr>
      <w:r>
        <w:t>Relevant experience</w:t>
      </w:r>
    </w:p>
    <w:p w14:paraId="20A806F2" w14:textId="037D7443" w:rsidR="00491210" w:rsidRPr="00694DE9" w:rsidRDefault="00EE200C" w:rsidP="00694DE9">
      <w:pPr>
        <w:spacing w:before="240" w:after="240"/>
        <w:rPr>
          <w:color w:val="000000"/>
          <w:sz w:val="22"/>
          <w:szCs w:val="22"/>
          <w:lang w:eastAsia="en-AU"/>
        </w:rPr>
      </w:pPr>
      <w:r>
        <w:rPr>
          <w:color w:val="000000"/>
          <w:sz w:val="22"/>
          <w:szCs w:val="22"/>
          <w:lang w:eastAsia="en-AU"/>
        </w:rPr>
        <w:t>He has</w:t>
      </w:r>
      <w:r w:rsidRPr="00694DE9">
        <w:rPr>
          <w:color w:val="000000"/>
          <w:sz w:val="22"/>
          <w:szCs w:val="22"/>
          <w:lang w:eastAsia="en-AU"/>
        </w:rPr>
        <w:t xml:space="preserve"> led a range of large multidisciplinary project teams that have provided realistic management solutions relat</w:t>
      </w:r>
      <w:r>
        <w:rPr>
          <w:color w:val="000000"/>
          <w:sz w:val="22"/>
          <w:szCs w:val="22"/>
          <w:lang w:eastAsia="en-AU"/>
        </w:rPr>
        <w:t>ed</w:t>
      </w:r>
      <w:r w:rsidRPr="00694DE9">
        <w:rPr>
          <w:color w:val="000000"/>
          <w:sz w:val="22"/>
          <w:szCs w:val="22"/>
          <w:lang w:eastAsia="en-AU"/>
        </w:rPr>
        <w:t xml:space="preserve"> to the requirements </w:t>
      </w:r>
      <w:r>
        <w:rPr>
          <w:color w:val="000000"/>
          <w:sz w:val="22"/>
          <w:szCs w:val="22"/>
          <w:lang w:eastAsia="en-AU"/>
        </w:rPr>
        <w:t xml:space="preserve">of </w:t>
      </w:r>
      <w:r w:rsidRPr="00694DE9">
        <w:rPr>
          <w:color w:val="000000"/>
          <w:sz w:val="22"/>
          <w:szCs w:val="22"/>
          <w:lang w:eastAsia="en-AU"/>
        </w:rPr>
        <w:t xml:space="preserve">and threats </w:t>
      </w:r>
      <w:r>
        <w:rPr>
          <w:color w:val="000000"/>
          <w:sz w:val="22"/>
          <w:szCs w:val="22"/>
          <w:lang w:eastAsia="en-AU"/>
        </w:rPr>
        <w:t xml:space="preserve">to native freshwater fish </w:t>
      </w:r>
      <w:r w:rsidRPr="00694DE9">
        <w:rPr>
          <w:color w:val="000000"/>
          <w:sz w:val="22"/>
          <w:szCs w:val="22"/>
          <w:lang w:eastAsia="en-AU"/>
        </w:rPr>
        <w:t>(including altered flow regimes).</w:t>
      </w:r>
      <w:r>
        <w:rPr>
          <w:color w:val="000000"/>
          <w:sz w:val="22"/>
          <w:szCs w:val="22"/>
          <w:lang w:eastAsia="en-AU"/>
        </w:rPr>
        <w:t xml:space="preserve"> </w:t>
      </w:r>
      <w:r w:rsidRPr="00694DE9">
        <w:rPr>
          <w:color w:val="000000"/>
          <w:sz w:val="22"/>
          <w:szCs w:val="22"/>
          <w:lang w:eastAsia="en-AU"/>
        </w:rPr>
        <w:t xml:space="preserve">Much of this research has been very innovative, leading to a large number of </w:t>
      </w:r>
      <w:r>
        <w:rPr>
          <w:color w:val="000000"/>
          <w:sz w:val="22"/>
          <w:szCs w:val="22"/>
          <w:lang w:eastAsia="en-AU"/>
        </w:rPr>
        <w:t>‘</w:t>
      </w:r>
      <w:r w:rsidRPr="00694DE9">
        <w:rPr>
          <w:color w:val="000000"/>
          <w:sz w:val="22"/>
          <w:szCs w:val="22"/>
          <w:lang w:eastAsia="en-AU"/>
        </w:rPr>
        <w:t>firsts</w:t>
      </w:r>
      <w:r>
        <w:rPr>
          <w:color w:val="000000"/>
          <w:sz w:val="22"/>
          <w:szCs w:val="22"/>
          <w:lang w:eastAsia="en-AU"/>
        </w:rPr>
        <w:t>’</w:t>
      </w:r>
      <w:r w:rsidRPr="00694DE9">
        <w:rPr>
          <w:color w:val="000000"/>
          <w:sz w:val="22"/>
          <w:szCs w:val="22"/>
          <w:lang w:eastAsia="en-AU"/>
        </w:rPr>
        <w:t xml:space="preserve"> in this field in Australia (e.g. radio tagging fish, larval collections, electrofishing boat use, population models). </w:t>
      </w:r>
      <w:r>
        <w:rPr>
          <w:color w:val="000000"/>
          <w:sz w:val="22"/>
          <w:szCs w:val="22"/>
          <w:lang w:eastAsia="en-AU"/>
        </w:rPr>
        <w:t>He has</w:t>
      </w:r>
      <w:r w:rsidRPr="00694DE9">
        <w:rPr>
          <w:color w:val="000000"/>
          <w:sz w:val="22"/>
          <w:szCs w:val="22"/>
          <w:lang w:eastAsia="en-AU"/>
        </w:rPr>
        <w:t xml:space="preserve"> been active in assessing the conservation status </w:t>
      </w:r>
      <w:r>
        <w:rPr>
          <w:color w:val="000000"/>
          <w:sz w:val="22"/>
          <w:szCs w:val="22"/>
          <w:lang w:eastAsia="en-AU"/>
        </w:rPr>
        <w:t xml:space="preserve">of </w:t>
      </w:r>
      <w:r w:rsidRPr="00694DE9">
        <w:rPr>
          <w:color w:val="000000"/>
          <w:sz w:val="22"/>
          <w:szCs w:val="22"/>
          <w:lang w:eastAsia="en-AU"/>
        </w:rPr>
        <w:t>and threats to many endangered species</w:t>
      </w:r>
      <w:r>
        <w:rPr>
          <w:color w:val="000000"/>
          <w:sz w:val="22"/>
          <w:szCs w:val="22"/>
          <w:lang w:eastAsia="en-AU"/>
        </w:rPr>
        <w:t>,</w:t>
      </w:r>
      <w:r w:rsidRPr="00694DE9">
        <w:rPr>
          <w:color w:val="000000"/>
          <w:sz w:val="22"/>
          <w:szCs w:val="22"/>
          <w:lang w:eastAsia="en-AU"/>
        </w:rPr>
        <w:t xml:space="preserve"> as well as preparing and implementing recovery and management plans for them</w:t>
      </w:r>
      <w:r>
        <w:rPr>
          <w:color w:val="000000"/>
          <w:sz w:val="22"/>
          <w:szCs w:val="22"/>
          <w:lang w:eastAsia="en-AU"/>
        </w:rPr>
        <w:t>. He has</w:t>
      </w:r>
      <w:r w:rsidRPr="00694DE9">
        <w:rPr>
          <w:color w:val="000000"/>
          <w:sz w:val="22"/>
          <w:szCs w:val="22"/>
          <w:lang w:eastAsia="en-AU"/>
        </w:rPr>
        <w:t xml:space="preserve"> published and provided advice on most of Victoria</w:t>
      </w:r>
      <w:r>
        <w:rPr>
          <w:color w:val="000000"/>
          <w:sz w:val="22"/>
          <w:szCs w:val="22"/>
          <w:lang w:eastAsia="en-AU"/>
        </w:rPr>
        <w:t>’</w:t>
      </w:r>
      <w:r w:rsidRPr="00694DE9">
        <w:rPr>
          <w:color w:val="000000"/>
          <w:sz w:val="22"/>
          <w:szCs w:val="22"/>
          <w:lang w:eastAsia="en-AU"/>
        </w:rPr>
        <w:t xml:space="preserve">s freshwater </w:t>
      </w:r>
      <w:r>
        <w:rPr>
          <w:color w:val="000000"/>
          <w:sz w:val="22"/>
          <w:szCs w:val="22"/>
          <w:lang w:eastAsia="en-AU"/>
        </w:rPr>
        <w:t xml:space="preserve">fish </w:t>
      </w:r>
      <w:r w:rsidRPr="00694DE9">
        <w:rPr>
          <w:color w:val="000000"/>
          <w:sz w:val="22"/>
          <w:szCs w:val="22"/>
          <w:lang w:eastAsia="en-AU"/>
        </w:rPr>
        <w:t xml:space="preserve">species and </w:t>
      </w:r>
      <w:r>
        <w:rPr>
          <w:color w:val="000000"/>
          <w:sz w:val="22"/>
          <w:szCs w:val="22"/>
          <w:lang w:eastAsia="en-AU"/>
        </w:rPr>
        <w:t xml:space="preserve">the various </w:t>
      </w:r>
      <w:r w:rsidRPr="00694DE9">
        <w:rPr>
          <w:color w:val="000000"/>
          <w:sz w:val="22"/>
          <w:szCs w:val="22"/>
          <w:lang w:eastAsia="en-AU"/>
        </w:rPr>
        <w:t>threats to them.</w:t>
      </w:r>
    </w:p>
    <w:p w14:paraId="482B2F98" w14:textId="7C6340F2" w:rsidR="00491210" w:rsidRPr="009B7A0C" w:rsidRDefault="00EE200C" w:rsidP="009B7A0C">
      <w:pPr>
        <w:pStyle w:val="PopModCVheading"/>
      </w:pPr>
      <w:r w:rsidRPr="009B7A0C">
        <w:t>Selected publications</w:t>
      </w:r>
    </w:p>
    <w:p w14:paraId="1B7CF370" w14:textId="1850E730" w:rsidR="00491210" w:rsidRPr="00694DE9" w:rsidRDefault="00EE200C" w:rsidP="00A94F87">
      <w:pPr>
        <w:spacing w:before="240" w:after="240"/>
        <w:ind w:left="567" w:hanging="567"/>
        <w:rPr>
          <w:color w:val="000000"/>
          <w:sz w:val="22"/>
          <w:szCs w:val="22"/>
          <w:lang w:eastAsia="en-AU"/>
        </w:rPr>
      </w:pPr>
      <w:r w:rsidRPr="00874504">
        <w:rPr>
          <w:b/>
          <w:color w:val="000000"/>
          <w:sz w:val="22"/>
          <w:szCs w:val="22"/>
          <w:lang w:eastAsia="en-AU"/>
        </w:rPr>
        <w:t>Koehn, J.D.</w:t>
      </w:r>
      <w:r w:rsidRPr="23216F23">
        <w:rPr>
          <w:color w:val="000000"/>
          <w:sz w:val="22"/>
          <w:szCs w:val="22"/>
          <w:lang w:eastAsia="en-AU"/>
        </w:rPr>
        <w:t xml:space="preserve"> </w:t>
      </w:r>
      <w:r>
        <w:rPr>
          <w:color w:val="000000"/>
          <w:sz w:val="22"/>
          <w:szCs w:val="22"/>
          <w:lang w:eastAsia="en-AU"/>
        </w:rPr>
        <w:t>(</w:t>
      </w:r>
      <w:r w:rsidRPr="23216F23">
        <w:rPr>
          <w:color w:val="000000"/>
          <w:sz w:val="22"/>
          <w:szCs w:val="22"/>
          <w:lang w:eastAsia="en-AU"/>
        </w:rPr>
        <w:t>2004</w:t>
      </w:r>
      <w:r>
        <w:rPr>
          <w:color w:val="000000"/>
          <w:sz w:val="22"/>
          <w:szCs w:val="22"/>
          <w:lang w:eastAsia="en-AU"/>
        </w:rPr>
        <w:t>)</w:t>
      </w:r>
      <w:r w:rsidRPr="23216F23">
        <w:rPr>
          <w:color w:val="000000"/>
          <w:sz w:val="22"/>
          <w:szCs w:val="22"/>
          <w:lang w:eastAsia="en-AU"/>
        </w:rPr>
        <w:t>. Carp (</w:t>
      </w:r>
      <w:r w:rsidRPr="23216F23">
        <w:rPr>
          <w:i/>
          <w:iCs/>
          <w:color w:val="000000"/>
          <w:sz w:val="22"/>
          <w:szCs w:val="22"/>
          <w:lang w:eastAsia="en-AU"/>
        </w:rPr>
        <w:t>Cyprinus</w:t>
      </w:r>
      <w:r w:rsidRPr="23216F23">
        <w:rPr>
          <w:color w:val="000000"/>
          <w:sz w:val="22"/>
          <w:szCs w:val="22"/>
          <w:lang w:eastAsia="en-AU"/>
        </w:rPr>
        <w:t xml:space="preserve"> </w:t>
      </w:r>
      <w:r w:rsidRPr="23216F23">
        <w:rPr>
          <w:i/>
          <w:iCs/>
          <w:color w:val="000000"/>
          <w:sz w:val="22"/>
          <w:szCs w:val="22"/>
          <w:lang w:eastAsia="en-AU"/>
        </w:rPr>
        <w:t>carpio</w:t>
      </w:r>
      <w:r w:rsidRPr="23216F23">
        <w:rPr>
          <w:color w:val="000000"/>
          <w:sz w:val="22"/>
          <w:szCs w:val="22"/>
          <w:lang w:eastAsia="en-AU"/>
        </w:rPr>
        <w:t xml:space="preserve">) as a powerful invader in Australian waterways. </w:t>
      </w:r>
      <w:r w:rsidRPr="23216F23">
        <w:rPr>
          <w:i/>
          <w:iCs/>
          <w:color w:val="000000"/>
          <w:sz w:val="22"/>
          <w:szCs w:val="22"/>
          <w:lang w:eastAsia="en-AU"/>
        </w:rPr>
        <w:t>Freshwater Biology</w:t>
      </w:r>
      <w:r w:rsidRPr="23216F23">
        <w:rPr>
          <w:color w:val="000000"/>
          <w:sz w:val="22"/>
          <w:szCs w:val="22"/>
          <w:lang w:eastAsia="en-AU"/>
        </w:rPr>
        <w:t xml:space="preserve"> </w:t>
      </w:r>
      <w:r w:rsidRPr="00874504">
        <w:rPr>
          <w:b/>
          <w:color w:val="000000"/>
          <w:sz w:val="22"/>
          <w:szCs w:val="22"/>
          <w:lang w:eastAsia="en-AU"/>
        </w:rPr>
        <w:t>49</w:t>
      </w:r>
      <w:r w:rsidRPr="23216F23">
        <w:rPr>
          <w:color w:val="000000"/>
          <w:sz w:val="22"/>
          <w:szCs w:val="22"/>
          <w:lang w:eastAsia="en-AU"/>
        </w:rPr>
        <w:t>, 882</w:t>
      </w:r>
      <w:r>
        <w:rPr>
          <w:color w:val="000000"/>
          <w:sz w:val="22"/>
          <w:szCs w:val="22"/>
          <w:lang w:eastAsia="en-AU"/>
        </w:rPr>
        <w:t>–</w:t>
      </w:r>
      <w:r w:rsidRPr="23216F23">
        <w:rPr>
          <w:color w:val="000000"/>
          <w:sz w:val="22"/>
          <w:szCs w:val="22"/>
          <w:lang w:eastAsia="en-AU"/>
        </w:rPr>
        <w:t>894.</w:t>
      </w:r>
    </w:p>
    <w:p w14:paraId="6DD7142C" w14:textId="7DBA6532" w:rsidR="00491210" w:rsidRPr="00694DE9" w:rsidRDefault="00EE200C" w:rsidP="00A94F87">
      <w:pPr>
        <w:spacing w:before="240" w:after="240"/>
        <w:ind w:left="567" w:hanging="567"/>
        <w:rPr>
          <w:color w:val="000000"/>
          <w:sz w:val="22"/>
          <w:szCs w:val="22"/>
          <w:lang w:eastAsia="en-AU"/>
        </w:rPr>
      </w:pPr>
      <w:r w:rsidRPr="00874504">
        <w:rPr>
          <w:b/>
          <w:color w:val="000000"/>
          <w:sz w:val="22"/>
          <w:szCs w:val="22"/>
          <w:lang w:eastAsia="en-AU"/>
        </w:rPr>
        <w:t>Koehn, J.D.</w:t>
      </w:r>
      <w:r w:rsidRPr="00694DE9">
        <w:rPr>
          <w:color w:val="000000"/>
          <w:sz w:val="22"/>
          <w:szCs w:val="22"/>
          <w:lang w:eastAsia="en-AU"/>
        </w:rPr>
        <w:t xml:space="preserve"> and O</w:t>
      </w:r>
      <w:r>
        <w:rPr>
          <w:color w:val="000000"/>
          <w:sz w:val="22"/>
          <w:szCs w:val="22"/>
          <w:lang w:eastAsia="en-AU"/>
        </w:rPr>
        <w:t>’</w:t>
      </w:r>
      <w:r w:rsidRPr="00694DE9">
        <w:rPr>
          <w:color w:val="000000"/>
          <w:sz w:val="22"/>
          <w:szCs w:val="22"/>
          <w:lang w:eastAsia="en-AU"/>
        </w:rPr>
        <w:t xml:space="preserve">Connor, W.G. </w:t>
      </w:r>
      <w:r>
        <w:rPr>
          <w:color w:val="000000"/>
          <w:sz w:val="22"/>
          <w:szCs w:val="22"/>
          <w:lang w:eastAsia="en-AU"/>
        </w:rPr>
        <w:t>(</w:t>
      </w:r>
      <w:r w:rsidRPr="00694DE9">
        <w:rPr>
          <w:color w:val="000000"/>
          <w:sz w:val="22"/>
          <w:szCs w:val="22"/>
          <w:lang w:eastAsia="en-AU"/>
        </w:rPr>
        <w:t>1990</w:t>
      </w:r>
      <w:r>
        <w:rPr>
          <w:color w:val="000000"/>
          <w:sz w:val="22"/>
          <w:szCs w:val="22"/>
          <w:lang w:eastAsia="en-AU"/>
        </w:rPr>
        <w:t>)</w:t>
      </w:r>
      <w:r w:rsidRPr="00694DE9">
        <w:rPr>
          <w:color w:val="000000"/>
          <w:sz w:val="22"/>
          <w:szCs w:val="22"/>
          <w:lang w:eastAsia="en-AU"/>
        </w:rPr>
        <w:t>.</w:t>
      </w:r>
      <w:r>
        <w:rPr>
          <w:color w:val="000000"/>
          <w:sz w:val="22"/>
          <w:szCs w:val="22"/>
          <w:lang w:eastAsia="en-AU"/>
        </w:rPr>
        <w:t xml:space="preserve"> </w:t>
      </w:r>
      <w:r w:rsidRPr="00874504">
        <w:rPr>
          <w:i/>
          <w:color w:val="000000"/>
          <w:sz w:val="22"/>
          <w:szCs w:val="22"/>
          <w:lang w:eastAsia="en-AU"/>
        </w:rPr>
        <w:t>Biological Information for Management of Native Freshwater Fish in Victoria</w:t>
      </w:r>
      <w:r w:rsidRPr="008F2D4D">
        <w:rPr>
          <w:color w:val="000000"/>
          <w:sz w:val="22"/>
          <w:szCs w:val="22"/>
          <w:lang w:eastAsia="en-AU"/>
        </w:rPr>
        <w:t>.</w:t>
      </w:r>
      <w:r>
        <w:rPr>
          <w:color w:val="000000"/>
          <w:sz w:val="22"/>
          <w:szCs w:val="22"/>
          <w:lang w:eastAsia="en-AU"/>
        </w:rPr>
        <w:t xml:space="preserve"> </w:t>
      </w:r>
      <w:r w:rsidRPr="00694DE9">
        <w:rPr>
          <w:color w:val="000000"/>
          <w:sz w:val="22"/>
          <w:szCs w:val="22"/>
          <w:lang w:eastAsia="en-AU"/>
        </w:rPr>
        <w:t>Government Printer</w:t>
      </w:r>
      <w:r>
        <w:rPr>
          <w:color w:val="000000"/>
          <w:sz w:val="22"/>
          <w:szCs w:val="22"/>
          <w:lang w:eastAsia="en-AU"/>
        </w:rPr>
        <w:t>,</w:t>
      </w:r>
      <w:r w:rsidRPr="00694DE9">
        <w:rPr>
          <w:color w:val="000000"/>
          <w:sz w:val="22"/>
          <w:szCs w:val="22"/>
          <w:lang w:eastAsia="en-AU"/>
        </w:rPr>
        <w:t xml:space="preserve"> Melbourne.</w:t>
      </w:r>
    </w:p>
    <w:p w14:paraId="0AD2ABE3" w14:textId="29594FD9" w:rsidR="00491210" w:rsidRPr="00694DE9" w:rsidRDefault="00EE200C" w:rsidP="00A94F87">
      <w:pPr>
        <w:spacing w:before="240" w:after="240"/>
        <w:ind w:left="567" w:hanging="567"/>
        <w:rPr>
          <w:color w:val="000000"/>
          <w:sz w:val="22"/>
          <w:szCs w:val="22"/>
          <w:lang w:eastAsia="en-AU"/>
        </w:rPr>
      </w:pPr>
      <w:r w:rsidRPr="00874504">
        <w:rPr>
          <w:b/>
          <w:color w:val="000000"/>
          <w:sz w:val="22"/>
          <w:szCs w:val="22"/>
          <w:lang w:eastAsia="en-AU"/>
        </w:rPr>
        <w:t>Koehn, J.D.</w:t>
      </w:r>
      <w:r w:rsidRPr="00694DE9">
        <w:rPr>
          <w:color w:val="000000"/>
          <w:sz w:val="22"/>
          <w:szCs w:val="22"/>
          <w:lang w:eastAsia="en-AU"/>
        </w:rPr>
        <w:t>, Brumley, A.R.</w:t>
      </w:r>
      <w:r>
        <w:rPr>
          <w:color w:val="000000"/>
          <w:sz w:val="22"/>
          <w:szCs w:val="22"/>
          <w:lang w:eastAsia="en-AU"/>
        </w:rPr>
        <w:t>, Bomford, M.</w:t>
      </w:r>
      <w:r w:rsidRPr="00694DE9">
        <w:rPr>
          <w:color w:val="000000"/>
          <w:sz w:val="22"/>
          <w:szCs w:val="22"/>
          <w:lang w:eastAsia="en-AU"/>
        </w:rPr>
        <w:t xml:space="preserve"> and Gehrke, P.C. </w:t>
      </w:r>
      <w:r>
        <w:rPr>
          <w:color w:val="000000"/>
          <w:sz w:val="22"/>
          <w:szCs w:val="22"/>
          <w:lang w:eastAsia="en-AU"/>
        </w:rPr>
        <w:t>(</w:t>
      </w:r>
      <w:r w:rsidRPr="00694DE9">
        <w:rPr>
          <w:color w:val="000000"/>
          <w:sz w:val="22"/>
          <w:szCs w:val="22"/>
          <w:lang w:eastAsia="en-AU"/>
        </w:rPr>
        <w:t>2000</w:t>
      </w:r>
      <w:r>
        <w:rPr>
          <w:color w:val="000000"/>
          <w:sz w:val="22"/>
          <w:szCs w:val="22"/>
          <w:lang w:eastAsia="en-AU"/>
        </w:rPr>
        <w:t>)</w:t>
      </w:r>
      <w:r w:rsidRPr="00694DE9">
        <w:rPr>
          <w:color w:val="000000"/>
          <w:sz w:val="22"/>
          <w:szCs w:val="22"/>
          <w:lang w:eastAsia="en-AU"/>
        </w:rPr>
        <w:t xml:space="preserve">. </w:t>
      </w:r>
      <w:r w:rsidRPr="00874504">
        <w:rPr>
          <w:i/>
          <w:color w:val="000000"/>
          <w:sz w:val="22"/>
          <w:szCs w:val="22"/>
          <w:lang w:eastAsia="en-AU"/>
        </w:rPr>
        <w:t>Managing the Impacts of Carp</w:t>
      </w:r>
      <w:r w:rsidRPr="00694DE9">
        <w:rPr>
          <w:color w:val="000000"/>
          <w:sz w:val="22"/>
          <w:szCs w:val="22"/>
          <w:lang w:eastAsia="en-AU"/>
        </w:rPr>
        <w:t>. Bureau of Resource Sciences</w:t>
      </w:r>
      <w:r>
        <w:rPr>
          <w:color w:val="000000"/>
          <w:sz w:val="22"/>
          <w:szCs w:val="22"/>
          <w:lang w:eastAsia="en-AU"/>
        </w:rPr>
        <w:t>, Barton, ACT.</w:t>
      </w:r>
      <w:r w:rsidRPr="00694DE9">
        <w:rPr>
          <w:color w:val="000000"/>
          <w:sz w:val="22"/>
          <w:szCs w:val="22"/>
          <w:lang w:eastAsia="en-AU"/>
        </w:rPr>
        <w:t xml:space="preserve"> 249</w:t>
      </w:r>
      <w:r>
        <w:rPr>
          <w:color w:val="000000"/>
          <w:sz w:val="22"/>
          <w:szCs w:val="22"/>
          <w:lang w:eastAsia="en-AU"/>
        </w:rPr>
        <w:t xml:space="preserve"> </w:t>
      </w:r>
      <w:r w:rsidRPr="00694DE9">
        <w:rPr>
          <w:color w:val="000000"/>
          <w:sz w:val="22"/>
          <w:szCs w:val="22"/>
          <w:lang w:eastAsia="en-AU"/>
        </w:rPr>
        <w:t>pp.</w:t>
      </w:r>
    </w:p>
    <w:p w14:paraId="24A77AC5" w14:textId="2980A7C2" w:rsidR="00491210" w:rsidRPr="00694DE9" w:rsidRDefault="00EE200C" w:rsidP="00A94F87">
      <w:pPr>
        <w:spacing w:before="240" w:after="240"/>
        <w:ind w:left="567" w:hanging="567"/>
        <w:rPr>
          <w:color w:val="000000"/>
          <w:sz w:val="22"/>
          <w:szCs w:val="22"/>
          <w:lang w:eastAsia="en-AU"/>
        </w:rPr>
      </w:pPr>
      <w:r w:rsidRPr="23216F23">
        <w:rPr>
          <w:color w:val="000000"/>
          <w:sz w:val="22"/>
          <w:szCs w:val="22"/>
          <w:lang w:eastAsia="en-AU"/>
        </w:rPr>
        <w:t xml:space="preserve">Humphries, P., King, A.J. and </w:t>
      </w:r>
      <w:r w:rsidRPr="00874504">
        <w:rPr>
          <w:b/>
          <w:color w:val="000000"/>
          <w:sz w:val="22"/>
          <w:szCs w:val="22"/>
          <w:lang w:eastAsia="en-AU"/>
        </w:rPr>
        <w:t>Koehn, J.D.</w:t>
      </w:r>
      <w:r w:rsidRPr="23216F23">
        <w:rPr>
          <w:color w:val="000000"/>
          <w:sz w:val="22"/>
          <w:szCs w:val="22"/>
          <w:lang w:eastAsia="en-AU"/>
        </w:rPr>
        <w:t xml:space="preserve"> </w:t>
      </w:r>
      <w:r>
        <w:rPr>
          <w:color w:val="000000"/>
          <w:sz w:val="22"/>
          <w:szCs w:val="22"/>
          <w:lang w:eastAsia="en-AU"/>
        </w:rPr>
        <w:t>(</w:t>
      </w:r>
      <w:r w:rsidRPr="23216F23">
        <w:rPr>
          <w:color w:val="000000"/>
          <w:sz w:val="22"/>
          <w:szCs w:val="22"/>
          <w:lang w:eastAsia="en-AU"/>
        </w:rPr>
        <w:t>1999</w:t>
      </w:r>
      <w:r>
        <w:rPr>
          <w:color w:val="000000"/>
          <w:sz w:val="22"/>
          <w:szCs w:val="22"/>
          <w:lang w:eastAsia="en-AU"/>
        </w:rPr>
        <w:t>)</w:t>
      </w:r>
      <w:r w:rsidRPr="23216F23">
        <w:rPr>
          <w:color w:val="000000"/>
          <w:sz w:val="22"/>
          <w:szCs w:val="22"/>
          <w:lang w:eastAsia="en-AU"/>
        </w:rPr>
        <w:t>.</w:t>
      </w:r>
      <w:r>
        <w:rPr>
          <w:color w:val="000000"/>
          <w:sz w:val="22"/>
          <w:szCs w:val="22"/>
          <w:lang w:eastAsia="en-AU"/>
        </w:rPr>
        <w:t xml:space="preserve"> </w:t>
      </w:r>
      <w:r w:rsidRPr="23216F23">
        <w:rPr>
          <w:color w:val="000000"/>
          <w:sz w:val="22"/>
          <w:szCs w:val="22"/>
          <w:lang w:eastAsia="en-AU"/>
        </w:rPr>
        <w:t>Fishes, flows and floodplains: links between Murray</w:t>
      </w:r>
      <w:r>
        <w:rPr>
          <w:color w:val="000000"/>
          <w:sz w:val="22"/>
          <w:szCs w:val="22"/>
          <w:lang w:eastAsia="en-AU"/>
        </w:rPr>
        <w:t>–</w:t>
      </w:r>
      <w:r w:rsidRPr="23216F23">
        <w:rPr>
          <w:color w:val="000000"/>
          <w:sz w:val="22"/>
          <w:szCs w:val="22"/>
          <w:lang w:eastAsia="en-AU"/>
        </w:rPr>
        <w:t xml:space="preserve">Darling freshwater fish and their environment. </w:t>
      </w:r>
      <w:r w:rsidRPr="23216F23">
        <w:rPr>
          <w:i/>
          <w:iCs/>
          <w:color w:val="000000"/>
          <w:sz w:val="22"/>
          <w:szCs w:val="22"/>
          <w:lang w:eastAsia="en-AU"/>
        </w:rPr>
        <w:t>Environmental Biology of Fishes</w:t>
      </w:r>
      <w:r w:rsidRPr="23216F23">
        <w:rPr>
          <w:color w:val="000000"/>
          <w:sz w:val="22"/>
          <w:szCs w:val="22"/>
          <w:lang w:eastAsia="en-AU"/>
        </w:rPr>
        <w:t xml:space="preserve"> </w:t>
      </w:r>
      <w:r w:rsidRPr="00874504">
        <w:rPr>
          <w:b/>
          <w:color w:val="000000"/>
          <w:sz w:val="22"/>
          <w:szCs w:val="22"/>
          <w:lang w:eastAsia="en-AU"/>
        </w:rPr>
        <w:t>56</w:t>
      </w:r>
      <w:r w:rsidRPr="23216F23">
        <w:rPr>
          <w:color w:val="000000"/>
          <w:sz w:val="22"/>
          <w:szCs w:val="22"/>
          <w:lang w:eastAsia="en-AU"/>
        </w:rPr>
        <w:t>, 129</w:t>
      </w:r>
      <w:r>
        <w:rPr>
          <w:color w:val="000000"/>
          <w:sz w:val="22"/>
          <w:szCs w:val="22"/>
          <w:lang w:eastAsia="en-AU"/>
        </w:rPr>
        <w:t>–</w:t>
      </w:r>
      <w:r w:rsidRPr="23216F23">
        <w:rPr>
          <w:color w:val="000000"/>
          <w:sz w:val="22"/>
          <w:szCs w:val="22"/>
          <w:lang w:eastAsia="en-AU"/>
        </w:rPr>
        <w:t>151.</w:t>
      </w:r>
    </w:p>
    <w:p w14:paraId="7734B6D6" w14:textId="47B089D4" w:rsidR="00491210" w:rsidRPr="00694DE9" w:rsidRDefault="00EE200C" w:rsidP="00A94F87">
      <w:pPr>
        <w:spacing w:before="240" w:after="240"/>
        <w:ind w:left="567" w:hanging="567"/>
        <w:rPr>
          <w:color w:val="000000"/>
          <w:sz w:val="22"/>
          <w:szCs w:val="22"/>
          <w:lang w:eastAsia="en-AU"/>
        </w:rPr>
      </w:pPr>
      <w:r w:rsidRPr="00874504">
        <w:rPr>
          <w:b/>
          <w:color w:val="000000"/>
          <w:sz w:val="22"/>
          <w:szCs w:val="22"/>
          <w:lang w:eastAsia="en-AU"/>
        </w:rPr>
        <w:t>Koehn, J.D.</w:t>
      </w:r>
      <w:r w:rsidRPr="23216F23">
        <w:rPr>
          <w:color w:val="000000"/>
          <w:sz w:val="22"/>
          <w:szCs w:val="22"/>
          <w:lang w:eastAsia="en-AU"/>
        </w:rPr>
        <w:t xml:space="preserve"> and Harrington</w:t>
      </w:r>
      <w:r>
        <w:rPr>
          <w:color w:val="000000"/>
          <w:sz w:val="22"/>
          <w:szCs w:val="22"/>
          <w:lang w:eastAsia="en-AU"/>
        </w:rPr>
        <w:t>,</w:t>
      </w:r>
      <w:r w:rsidRPr="23216F23">
        <w:rPr>
          <w:color w:val="000000"/>
          <w:sz w:val="22"/>
          <w:szCs w:val="22"/>
          <w:lang w:eastAsia="en-AU"/>
        </w:rPr>
        <w:t xml:space="preserve"> D.J. </w:t>
      </w:r>
      <w:r>
        <w:rPr>
          <w:color w:val="000000"/>
          <w:sz w:val="22"/>
          <w:szCs w:val="22"/>
          <w:lang w:eastAsia="en-AU"/>
        </w:rPr>
        <w:t>(</w:t>
      </w:r>
      <w:r w:rsidRPr="23216F23">
        <w:rPr>
          <w:color w:val="000000"/>
          <w:sz w:val="22"/>
          <w:szCs w:val="22"/>
          <w:lang w:eastAsia="en-AU"/>
        </w:rPr>
        <w:t>2006</w:t>
      </w:r>
      <w:r>
        <w:rPr>
          <w:color w:val="000000"/>
          <w:sz w:val="22"/>
          <w:szCs w:val="22"/>
          <w:lang w:eastAsia="en-AU"/>
        </w:rPr>
        <w:t>)</w:t>
      </w:r>
      <w:r w:rsidRPr="23216F23">
        <w:rPr>
          <w:color w:val="000000"/>
          <w:sz w:val="22"/>
          <w:szCs w:val="22"/>
          <w:lang w:eastAsia="en-AU"/>
        </w:rPr>
        <w:t>. Conditions and timing of the spawning of Murray cod (</w:t>
      </w:r>
      <w:r w:rsidRPr="23216F23">
        <w:rPr>
          <w:i/>
          <w:iCs/>
          <w:color w:val="000000"/>
          <w:sz w:val="22"/>
          <w:szCs w:val="22"/>
          <w:lang w:eastAsia="en-AU"/>
        </w:rPr>
        <w:t>Maccullochella peelii peellii</w:t>
      </w:r>
      <w:r w:rsidRPr="23216F23">
        <w:rPr>
          <w:color w:val="000000"/>
          <w:sz w:val="22"/>
          <w:szCs w:val="22"/>
          <w:lang w:eastAsia="en-AU"/>
        </w:rPr>
        <w:t>) and the endangered trout cod (</w:t>
      </w:r>
      <w:r w:rsidRPr="23216F23">
        <w:rPr>
          <w:i/>
          <w:iCs/>
          <w:color w:val="000000"/>
          <w:sz w:val="22"/>
          <w:szCs w:val="22"/>
          <w:lang w:eastAsia="en-AU"/>
        </w:rPr>
        <w:t>M. macquariensis</w:t>
      </w:r>
      <w:r w:rsidRPr="23216F23">
        <w:rPr>
          <w:color w:val="000000"/>
          <w:sz w:val="22"/>
          <w:szCs w:val="22"/>
          <w:lang w:eastAsia="en-AU"/>
        </w:rPr>
        <w:t xml:space="preserve">) in regulated and unregulated rivers. </w:t>
      </w:r>
      <w:r w:rsidRPr="23216F23">
        <w:rPr>
          <w:i/>
          <w:iCs/>
          <w:color w:val="000000"/>
          <w:sz w:val="22"/>
          <w:szCs w:val="22"/>
          <w:lang w:eastAsia="en-AU"/>
        </w:rPr>
        <w:t>Rivers Research and Applications</w:t>
      </w:r>
      <w:r w:rsidRPr="23216F23">
        <w:rPr>
          <w:color w:val="000000"/>
          <w:sz w:val="22"/>
          <w:szCs w:val="22"/>
          <w:lang w:eastAsia="en-AU"/>
        </w:rPr>
        <w:t xml:space="preserve"> </w:t>
      </w:r>
      <w:r w:rsidRPr="00874504">
        <w:rPr>
          <w:b/>
          <w:color w:val="000000"/>
          <w:sz w:val="22"/>
          <w:szCs w:val="22"/>
          <w:lang w:eastAsia="en-AU"/>
        </w:rPr>
        <w:t>22</w:t>
      </w:r>
      <w:r w:rsidRPr="23216F23">
        <w:rPr>
          <w:color w:val="000000"/>
          <w:sz w:val="22"/>
          <w:szCs w:val="22"/>
          <w:lang w:eastAsia="en-AU"/>
        </w:rPr>
        <w:t>, 327</w:t>
      </w:r>
      <w:r>
        <w:rPr>
          <w:color w:val="000000"/>
          <w:sz w:val="22"/>
          <w:szCs w:val="22"/>
          <w:lang w:eastAsia="en-AU"/>
        </w:rPr>
        <w:t>–</w:t>
      </w:r>
      <w:r w:rsidRPr="23216F23">
        <w:rPr>
          <w:color w:val="000000"/>
          <w:sz w:val="22"/>
          <w:szCs w:val="22"/>
          <w:lang w:eastAsia="en-AU"/>
        </w:rPr>
        <w:t>343.</w:t>
      </w:r>
    </w:p>
    <w:p w14:paraId="53E4FB62" w14:textId="5AA46760" w:rsidR="00491210" w:rsidRPr="00694DE9" w:rsidRDefault="00EE200C" w:rsidP="00A94F87">
      <w:pPr>
        <w:spacing w:before="240" w:after="240"/>
        <w:ind w:left="567" w:hanging="567"/>
        <w:rPr>
          <w:color w:val="000000"/>
          <w:sz w:val="22"/>
          <w:szCs w:val="22"/>
          <w:lang w:eastAsia="en-AU"/>
        </w:rPr>
      </w:pPr>
      <w:r w:rsidRPr="00874504">
        <w:rPr>
          <w:b/>
          <w:color w:val="000000"/>
          <w:sz w:val="22"/>
          <w:szCs w:val="22"/>
          <w:lang w:eastAsia="en-AU"/>
        </w:rPr>
        <w:t>Koehn, J.D.</w:t>
      </w:r>
      <w:r w:rsidRPr="00694DE9">
        <w:rPr>
          <w:color w:val="000000"/>
          <w:sz w:val="22"/>
          <w:szCs w:val="22"/>
          <w:lang w:eastAsia="en-AU"/>
        </w:rPr>
        <w:t>, Hobday, A.J., Pratchett, M.S. and Gillanders, B.M.</w:t>
      </w:r>
      <w:r>
        <w:rPr>
          <w:color w:val="000000"/>
          <w:sz w:val="22"/>
          <w:szCs w:val="22"/>
          <w:lang w:eastAsia="en-AU"/>
        </w:rPr>
        <w:t xml:space="preserve"> (</w:t>
      </w:r>
      <w:r w:rsidRPr="00694DE9">
        <w:rPr>
          <w:color w:val="000000"/>
          <w:sz w:val="22"/>
          <w:szCs w:val="22"/>
          <w:lang w:eastAsia="en-AU"/>
        </w:rPr>
        <w:t>2011</w:t>
      </w:r>
      <w:r>
        <w:rPr>
          <w:color w:val="000000"/>
          <w:sz w:val="22"/>
          <w:szCs w:val="22"/>
          <w:lang w:eastAsia="en-AU"/>
        </w:rPr>
        <w:t>).</w:t>
      </w:r>
      <w:r w:rsidRPr="00694DE9">
        <w:rPr>
          <w:color w:val="000000"/>
          <w:sz w:val="22"/>
          <w:szCs w:val="22"/>
          <w:lang w:eastAsia="en-AU"/>
        </w:rPr>
        <w:t xml:space="preserve"> Climate change and Australian marine and freshwater environments, fishes and fisheries: synthesis and options for adaptation. </w:t>
      </w:r>
      <w:r w:rsidRPr="0070509D">
        <w:rPr>
          <w:i/>
          <w:iCs/>
          <w:color w:val="000000"/>
          <w:sz w:val="22"/>
          <w:szCs w:val="22"/>
          <w:lang w:eastAsia="en-AU"/>
        </w:rPr>
        <w:t>Marine and Freshwater Research</w:t>
      </w:r>
      <w:r w:rsidRPr="008F2D4D">
        <w:rPr>
          <w:color w:val="000000"/>
          <w:sz w:val="22"/>
          <w:szCs w:val="22"/>
          <w:lang w:eastAsia="en-AU"/>
        </w:rPr>
        <w:t xml:space="preserve"> </w:t>
      </w:r>
      <w:r w:rsidRPr="00874504">
        <w:rPr>
          <w:b/>
          <w:color w:val="000000"/>
          <w:sz w:val="22"/>
          <w:szCs w:val="22"/>
          <w:lang w:eastAsia="en-AU"/>
        </w:rPr>
        <w:t>62</w:t>
      </w:r>
      <w:r w:rsidRPr="00694DE9">
        <w:rPr>
          <w:color w:val="000000"/>
          <w:sz w:val="22"/>
          <w:szCs w:val="22"/>
          <w:lang w:eastAsia="en-AU"/>
        </w:rPr>
        <w:t>, 1148</w:t>
      </w:r>
      <w:r>
        <w:rPr>
          <w:color w:val="000000"/>
          <w:sz w:val="22"/>
          <w:szCs w:val="22"/>
          <w:lang w:eastAsia="en-AU"/>
        </w:rPr>
        <w:t>–</w:t>
      </w:r>
      <w:r w:rsidRPr="00694DE9">
        <w:rPr>
          <w:color w:val="000000"/>
          <w:sz w:val="22"/>
          <w:szCs w:val="22"/>
          <w:lang w:eastAsia="en-AU"/>
        </w:rPr>
        <w:t>1164.</w:t>
      </w:r>
    </w:p>
    <w:p w14:paraId="3D920172" w14:textId="32D1A80B" w:rsidR="00491210" w:rsidRPr="00694DE9" w:rsidRDefault="00EE200C" w:rsidP="00A94F87">
      <w:pPr>
        <w:spacing w:before="240" w:after="240"/>
        <w:ind w:left="567" w:hanging="567"/>
        <w:rPr>
          <w:color w:val="000000"/>
          <w:sz w:val="22"/>
          <w:szCs w:val="22"/>
          <w:lang w:eastAsia="en-AU"/>
        </w:rPr>
      </w:pPr>
      <w:r w:rsidRPr="00874504">
        <w:rPr>
          <w:b/>
          <w:color w:val="000000"/>
          <w:sz w:val="22"/>
          <w:szCs w:val="22"/>
          <w:lang w:eastAsia="en-AU"/>
        </w:rPr>
        <w:t>Koehn, J.D.</w:t>
      </w:r>
      <w:r w:rsidRPr="23216F23">
        <w:rPr>
          <w:color w:val="000000"/>
          <w:sz w:val="22"/>
          <w:szCs w:val="22"/>
          <w:lang w:eastAsia="en-AU"/>
        </w:rPr>
        <w:t>, McKenzie</w:t>
      </w:r>
      <w:r>
        <w:rPr>
          <w:color w:val="000000"/>
          <w:sz w:val="22"/>
          <w:szCs w:val="22"/>
          <w:lang w:eastAsia="en-AU"/>
        </w:rPr>
        <w:t>,</w:t>
      </w:r>
      <w:r w:rsidRPr="23216F23">
        <w:rPr>
          <w:color w:val="000000"/>
          <w:sz w:val="22"/>
          <w:szCs w:val="22"/>
          <w:lang w:eastAsia="en-AU"/>
        </w:rPr>
        <w:t xml:space="preserve"> J.A., O</w:t>
      </w:r>
      <w:r>
        <w:rPr>
          <w:color w:val="000000"/>
          <w:sz w:val="22"/>
          <w:szCs w:val="22"/>
          <w:lang w:eastAsia="en-AU"/>
        </w:rPr>
        <w:t>’</w:t>
      </w:r>
      <w:r w:rsidRPr="23216F23">
        <w:rPr>
          <w:color w:val="000000"/>
          <w:sz w:val="22"/>
          <w:szCs w:val="22"/>
          <w:lang w:eastAsia="en-AU"/>
        </w:rPr>
        <w:t>Mahony</w:t>
      </w:r>
      <w:r>
        <w:rPr>
          <w:color w:val="000000"/>
          <w:sz w:val="22"/>
          <w:szCs w:val="22"/>
          <w:lang w:eastAsia="en-AU"/>
        </w:rPr>
        <w:t>,</w:t>
      </w:r>
      <w:r w:rsidRPr="23216F23">
        <w:rPr>
          <w:color w:val="000000"/>
          <w:sz w:val="22"/>
          <w:szCs w:val="22"/>
          <w:lang w:eastAsia="en-AU"/>
        </w:rPr>
        <w:t xml:space="preserve"> D.J, Nicol</w:t>
      </w:r>
      <w:r>
        <w:rPr>
          <w:color w:val="000000"/>
          <w:sz w:val="22"/>
          <w:szCs w:val="22"/>
          <w:lang w:eastAsia="en-AU"/>
        </w:rPr>
        <w:t>,</w:t>
      </w:r>
      <w:r w:rsidRPr="23216F23">
        <w:rPr>
          <w:color w:val="000000"/>
          <w:sz w:val="22"/>
          <w:szCs w:val="22"/>
          <w:lang w:eastAsia="en-AU"/>
        </w:rPr>
        <w:t xml:space="preserve"> S.J., O</w:t>
      </w:r>
      <w:r>
        <w:rPr>
          <w:color w:val="000000"/>
          <w:sz w:val="22"/>
          <w:szCs w:val="22"/>
          <w:lang w:eastAsia="en-AU"/>
        </w:rPr>
        <w:t>’</w:t>
      </w:r>
      <w:r w:rsidRPr="23216F23">
        <w:rPr>
          <w:color w:val="000000"/>
          <w:sz w:val="22"/>
          <w:szCs w:val="22"/>
          <w:lang w:eastAsia="en-AU"/>
        </w:rPr>
        <w:t>Connor</w:t>
      </w:r>
      <w:r>
        <w:rPr>
          <w:color w:val="000000"/>
          <w:sz w:val="22"/>
          <w:szCs w:val="22"/>
          <w:lang w:eastAsia="en-AU"/>
        </w:rPr>
        <w:t>,</w:t>
      </w:r>
      <w:r w:rsidRPr="23216F23">
        <w:rPr>
          <w:color w:val="000000"/>
          <w:sz w:val="22"/>
          <w:szCs w:val="22"/>
          <w:lang w:eastAsia="en-AU"/>
        </w:rPr>
        <w:t xml:space="preserve"> J.P. and O</w:t>
      </w:r>
      <w:r>
        <w:rPr>
          <w:color w:val="000000"/>
          <w:sz w:val="22"/>
          <w:szCs w:val="22"/>
          <w:lang w:eastAsia="en-AU"/>
        </w:rPr>
        <w:t>’</w:t>
      </w:r>
      <w:r w:rsidRPr="23216F23">
        <w:rPr>
          <w:color w:val="000000"/>
          <w:sz w:val="22"/>
          <w:szCs w:val="22"/>
          <w:lang w:eastAsia="en-AU"/>
        </w:rPr>
        <w:t>Connor</w:t>
      </w:r>
      <w:r>
        <w:rPr>
          <w:color w:val="000000"/>
          <w:sz w:val="22"/>
          <w:szCs w:val="22"/>
          <w:lang w:eastAsia="en-AU"/>
        </w:rPr>
        <w:t>,</w:t>
      </w:r>
      <w:r w:rsidRPr="23216F23">
        <w:rPr>
          <w:color w:val="000000"/>
          <w:sz w:val="22"/>
          <w:szCs w:val="22"/>
          <w:lang w:eastAsia="en-AU"/>
        </w:rPr>
        <w:t xml:space="preserve"> W.G. </w:t>
      </w:r>
      <w:r>
        <w:rPr>
          <w:color w:val="000000"/>
          <w:sz w:val="22"/>
          <w:szCs w:val="22"/>
          <w:lang w:eastAsia="en-AU"/>
        </w:rPr>
        <w:t>(</w:t>
      </w:r>
      <w:r w:rsidRPr="23216F23">
        <w:rPr>
          <w:color w:val="000000"/>
          <w:sz w:val="22"/>
          <w:szCs w:val="22"/>
          <w:lang w:eastAsia="en-AU"/>
        </w:rPr>
        <w:t>2009</w:t>
      </w:r>
      <w:r>
        <w:rPr>
          <w:color w:val="000000"/>
          <w:sz w:val="22"/>
          <w:szCs w:val="22"/>
          <w:lang w:eastAsia="en-AU"/>
        </w:rPr>
        <w:t>)</w:t>
      </w:r>
      <w:r w:rsidRPr="23216F23">
        <w:rPr>
          <w:color w:val="000000"/>
          <w:sz w:val="22"/>
          <w:szCs w:val="22"/>
          <w:lang w:eastAsia="en-AU"/>
        </w:rPr>
        <w:t>. Movements of Murray cod (</w:t>
      </w:r>
      <w:r w:rsidRPr="23216F23">
        <w:rPr>
          <w:i/>
          <w:iCs/>
          <w:color w:val="000000"/>
          <w:sz w:val="22"/>
          <w:szCs w:val="22"/>
          <w:lang w:eastAsia="en-AU"/>
        </w:rPr>
        <w:t>Maccullochella peelii peelii</w:t>
      </w:r>
      <w:r w:rsidRPr="23216F23">
        <w:rPr>
          <w:color w:val="000000"/>
          <w:sz w:val="22"/>
          <w:szCs w:val="22"/>
          <w:lang w:eastAsia="en-AU"/>
        </w:rPr>
        <w:t xml:space="preserve">) in a large Australian lowland river. </w:t>
      </w:r>
      <w:r w:rsidRPr="00874504">
        <w:rPr>
          <w:i/>
          <w:color w:val="000000"/>
          <w:sz w:val="22"/>
          <w:szCs w:val="22"/>
          <w:lang w:eastAsia="en-AU"/>
        </w:rPr>
        <w:t>Ecology of Freshwater Fish</w:t>
      </w:r>
      <w:r w:rsidRPr="23216F23">
        <w:rPr>
          <w:color w:val="000000"/>
          <w:sz w:val="22"/>
          <w:szCs w:val="22"/>
          <w:lang w:eastAsia="en-AU"/>
        </w:rPr>
        <w:t xml:space="preserve"> </w:t>
      </w:r>
      <w:r w:rsidRPr="00874504">
        <w:rPr>
          <w:b/>
          <w:color w:val="000000"/>
          <w:sz w:val="22"/>
          <w:szCs w:val="22"/>
          <w:lang w:eastAsia="en-AU"/>
        </w:rPr>
        <w:t>18</w:t>
      </w:r>
      <w:r w:rsidRPr="23216F23">
        <w:rPr>
          <w:color w:val="000000"/>
          <w:sz w:val="22"/>
          <w:szCs w:val="22"/>
          <w:lang w:eastAsia="en-AU"/>
        </w:rPr>
        <w:t>, 594</w:t>
      </w:r>
      <w:r>
        <w:rPr>
          <w:color w:val="000000"/>
          <w:sz w:val="22"/>
          <w:szCs w:val="22"/>
          <w:lang w:eastAsia="en-AU"/>
        </w:rPr>
        <w:t>–</w:t>
      </w:r>
      <w:r w:rsidRPr="23216F23">
        <w:rPr>
          <w:color w:val="000000"/>
          <w:sz w:val="22"/>
          <w:szCs w:val="22"/>
          <w:lang w:eastAsia="en-AU"/>
        </w:rPr>
        <w:t>602.</w:t>
      </w:r>
    </w:p>
    <w:p w14:paraId="6B23C85E" w14:textId="7BF596BE" w:rsidR="00491210" w:rsidRPr="00694DE9" w:rsidRDefault="00EE200C" w:rsidP="00A94F87">
      <w:pPr>
        <w:spacing w:before="240" w:after="240"/>
        <w:ind w:left="567" w:hanging="567"/>
        <w:rPr>
          <w:color w:val="000000"/>
          <w:sz w:val="22"/>
          <w:szCs w:val="22"/>
          <w:lang w:eastAsia="en-AU"/>
        </w:rPr>
      </w:pPr>
      <w:r w:rsidRPr="00874504">
        <w:rPr>
          <w:b/>
          <w:color w:val="000000"/>
          <w:sz w:val="22"/>
          <w:szCs w:val="22"/>
          <w:lang w:eastAsia="en-AU"/>
        </w:rPr>
        <w:t>Koehn, J.D.</w:t>
      </w:r>
      <w:r w:rsidRPr="23216F23">
        <w:rPr>
          <w:color w:val="000000"/>
          <w:sz w:val="22"/>
          <w:szCs w:val="22"/>
          <w:lang w:eastAsia="en-AU"/>
        </w:rPr>
        <w:t xml:space="preserve"> </w:t>
      </w:r>
      <w:r>
        <w:rPr>
          <w:color w:val="000000"/>
          <w:sz w:val="22"/>
          <w:szCs w:val="22"/>
          <w:lang w:eastAsia="en-AU"/>
        </w:rPr>
        <w:t>(</w:t>
      </w:r>
      <w:r w:rsidRPr="23216F23">
        <w:rPr>
          <w:color w:val="000000"/>
          <w:sz w:val="22"/>
          <w:szCs w:val="22"/>
          <w:lang w:eastAsia="en-AU"/>
        </w:rPr>
        <w:t>2009</w:t>
      </w:r>
      <w:r>
        <w:rPr>
          <w:color w:val="000000"/>
          <w:sz w:val="22"/>
          <w:szCs w:val="22"/>
          <w:lang w:eastAsia="en-AU"/>
        </w:rPr>
        <w:t>)</w:t>
      </w:r>
      <w:r w:rsidRPr="23216F23">
        <w:rPr>
          <w:color w:val="000000"/>
          <w:sz w:val="22"/>
          <w:szCs w:val="22"/>
          <w:lang w:eastAsia="en-AU"/>
        </w:rPr>
        <w:t>. Multi-scale habitat selection by Murray cod (</w:t>
      </w:r>
      <w:r w:rsidRPr="23216F23">
        <w:rPr>
          <w:i/>
          <w:iCs/>
          <w:color w:val="000000"/>
          <w:sz w:val="22"/>
          <w:szCs w:val="22"/>
          <w:lang w:eastAsia="en-AU"/>
        </w:rPr>
        <w:t>Maccullochella peelii peelii</w:t>
      </w:r>
      <w:r w:rsidRPr="23216F23">
        <w:rPr>
          <w:color w:val="000000"/>
          <w:sz w:val="22"/>
          <w:szCs w:val="22"/>
          <w:lang w:eastAsia="en-AU"/>
        </w:rPr>
        <w:t>) in two lowland rivers.</w:t>
      </w:r>
      <w:r>
        <w:rPr>
          <w:color w:val="000000"/>
          <w:sz w:val="22"/>
          <w:szCs w:val="22"/>
          <w:lang w:eastAsia="en-AU"/>
        </w:rPr>
        <w:t xml:space="preserve"> </w:t>
      </w:r>
      <w:r w:rsidRPr="23216F23">
        <w:rPr>
          <w:i/>
          <w:iCs/>
          <w:color w:val="000000"/>
          <w:sz w:val="22"/>
          <w:szCs w:val="22"/>
          <w:lang w:eastAsia="en-AU"/>
        </w:rPr>
        <w:t>Journal of Fish Biology</w:t>
      </w:r>
      <w:r w:rsidRPr="23216F23">
        <w:rPr>
          <w:color w:val="000000"/>
          <w:sz w:val="22"/>
          <w:szCs w:val="22"/>
          <w:lang w:eastAsia="en-AU"/>
        </w:rPr>
        <w:t xml:space="preserve"> </w:t>
      </w:r>
      <w:r w:rsidRPr="00874504">
        <w:rPr>
          <w:b/>
          <w:color w:val="000000"/>
          <w:sz w:val="22"/>
          <w:szCs w:val="22"/>
          <w:lang w:eastAsia="en-AU"/>
        </w:rPr>
        <w:t>75</w:t>
      </w:r>
      <w:r w:rsidRPr="23216F23">
        <w:rPr>
          <w:color w:val="000000"/>
          <w:sz w:val="22"/>
          <w:szCs w:val="22"/>
          <w:lang w:eastAsia="en-AU"/>
        </w:rPr>
        <w:t>, 113</w:t>
      </w:r>
      <w:r>
        <w:rPr>
          <w:color w:val="000000"/>
          <w:sz w:val="22"/>
          <w:szCs w:val="22"/>
          <w:lang w:eastAsia="en-AU"/>
        </w:rPr>
        <w:t>–</w:t>
      </w:r>
      <w:r w:rsidRPr="23216F23">
        <w:rPr>
          <w:color w:val="000000"/>
          <w:sz w:val="22"/>
          <w:szCs w:val="22"/>
          <w:lang w:eastAsia="en-AU"/>
        </w:rPr>
        <w:t>129.</w:t>
      </w:r>
    </w:p>
    <w:p w14:paraId="64F18393" w14:textId="6FC26006" w:rsidR="00491210" w:rsidRPr="00694DE9" w:rsidRDefault="00EE200C" w:rsidP="00A94F87">
      <w:pPr>
        <w:spacing w:before="240" w:after="240"/>
        <w:ind w:left="567" w:hanging="567"/>
        <w:rPr>
          <w:color w:val="000000"/>
          <w:sz w:val="22"/>
          <w:szCs w:val="22"/>
          <w:lang w:eastAsia="en-AU"/>
        </w:rPr>
      </w:pPr>
      <w:r w:rsidRPr="00874504">
        <w:rPr>
          <w:b/>
          <w:color w:val="000000"/>
          <w:sz w:val="22"/>
          <w:szCs w:val="22"/>
          <w:lang w:eastAsia="en-AU"/>
        </w:rPr>
        <w:t>Koehn, J.D.</w:t>
      </w:r>
      <w:r w:rsidRPr="00694DE9">
        <w:rPr>
          <w:color w:val="000000"/>
          <w:sz w:val="22"/>
          <w:szCs w:val="22"/>
          <w:lang w:eastAsia="en-AU"/>
        </w:rPr>
        <w:t xml:space="preserve"> and Lintermans</w:t>
      </w:r>
      <w:r>
        <w:rPr>
          <w:color w:val="000000"/>
          <w:sz w:val="22"/>
          <w:szCs w:val="22"/>
          <w:lang w:eastAsia="en-AU"/>
        </w:rPr>
        <w:t>,</w:t>
      </w:r>
      <w:r w:rsidRPr="00694DE9">
        <w:rPr>
          <w:color w:val="000000"/>
          <w:sz w:val="22"/>
          <w:szCs w:val="22"/>
          <w:lang w:eastAsia="en-AU"/>
        </w:rPr>
        <w:t xml:space="preserve"> M. </w:t>
      </w:r>
      <w:r>
        <w:rPr>
          <w:color w:val="000000"/>
          <w:sz w:val="22"/>
          <w:szCs w:val="22"/>
          <w:lang w:eastAsia="en-AU"/>
        </w:rPr>
        <w:t>(</w:t>
      </w:r>
      <w:r w:rsidRPr="00694DE9">
        <w:rPr>
          <w:color w:val="000000"/>
          <w:sz w:val="22"/>
          <w:szCs w:val="22"/>
          <w:lang w:eastAsia="en-AU"/>
        </w:rPr>
        <w:t>2012</w:t>
      </w:r>
      <w:r>
        <w:rPr>
          <w:color w:val="000000"/>
          <w:sz w:val="22"/>
          <w:szCs w:val="22"/>
          <w:lang w:eastAsia="en-AU"/>
        </w:rPr>
        <w:t>)</w:t>
      </w:r>
      <w:r w:rsidRPr="00694DE9">
        <w:rPr>
          <w:color w:val="000000"/>
          <w:sz w:val="22"/>
          <w:szCs w:val="22"/>
          <w:lang w:eastAsia="en-AU"/>
        </w:rPr>
        <w:t>. A strategy to rehabilitate fishes of the Murray</w:t>
      </w:r>
      <w:r>
        <w:rPr>
          <w:color w:val="000000"/>
          <w:sz w:val="22"/>
          <w:szCs w:val="22"/>
          <w:lang w:eastAsia="en-AU"/>
        </w:rPr>
        <w:t>–</w:t>
      </w:r>
      <w:r w:rsidRPr="00694DE9">
        <w:rPr>
          <w:color w:val="000000"/>
          <w:sz w:val="22"/>
          <w:szCs w:val="22"/>
          <w:lang w:eastAsia="en-AU"/>
        </w:rPr>
        <w:t>Darling Basin, south-eastern Australia.</w:t>
      </w:r>
      <w:r>
        <w:rPr>
          <w:color w:val="000000"/>
          <w:sz w:val="22"/>
          <w:szCs w:val="22"/>
          <w:lang w:eastAsia="en-AU"/>
        </w:rPr>
        <w:t xml:space="preserve"> </w:t>
      </w:r>
      <w:r w:rsidRPr="0070509D">
        <w:rPr>
          <w:i/>
          <w:iCs/>
          <w:color w:val="000000"/>
          <w:sz w:val="22"/>
          <w:szCs w:val="22"/>
          <w:lang w:eastAsia="en-AU"/>
        </w:rPr>
        <w:t>Endangered Species Research</w:t>
      </w:r>
      <w:r w:rsidRPr="00694DE9">
        <w:rPr>
          <w:color w:val="000000"/>
          <w:sz w:val="22"/>
          <w:szCs w:val="22"/>
          <w:lang w:eastAsia="en-AU"/>
        </w:rPr>
        <w:t xml:space="preserve"> </w:t>
      </w:r>
      <w:r w:rsidRPr="00874504">
        <w:rPr>
          <w:b/>
          <w:color w:val="000000"/>
          <w:sz w:val="22"/>
          <w:szCs w:val="22"/>
          <w:lang w:eastAsia="en-AU"/>
        </w:rPr>
        <w:t>16</w:t>
      </w:r>
      <w:r w:rsidRPr="00694DE9">
        <w:rPr>
          <w:color w:val="000000"/>
          <w:sz w:val="22"/>
          <w:szCs w:val="22"/>
          <w:lang w:eastAsia="en-AU"/>
        </w:rPr>
        <w:t>, 165</w:t>
      </w:r>
      <w:r>
        <w:rPr>
          <w:color w:val="000000"/>
          <w:sz w:val="22"/>
          <w:szCs w:val="22"/>
          <w:lang w:eastAsia="en-AU"/>
        </w:rPr>
        <w:t>–</w:t>
      </w:r>
      <w:r w:rsidRPr="00694DE9">
        <w:rPr>
          <w:color w:val="000000"/>
          <w:sz w:val="22"/>
          <w:szCs w:val="22"/>
          <w:lang w:eastAsia="en-AU"/>
        </w:rPr>
        <w:t>181.</w:t>
      </w:r>
    </w:p>
    <w:p w14:paraId="7216E1D4" w14:textId="29BDA261" w:rsidR="00491210" w:rsidRPr="00694DE9" w:rsidRDefault="00EE200C" w:rsidP="00A94F87">
      <w:pPr>
        <w:spacing w:before="240" w:after="240"/>
        <w:ind w:left="567" w:hanging="567"/>
        <w:rPr>
          <w:color w:val="000000"/>
          <w:sz w:val="22"/>
          <w:szCs w:val="22"/>
          <w:lang w:eastAsia="en-AU"/>
        </w:rPr>
      </w:pPr>
      <w:r w:rsidRPr="00874504">
        <w:rPr>
          <w:b/>
          <w:color w:val="000000"/>
          <w:sz w:val="22"/>
          <w:szCs w:val="22"/>
          <w:lang w:eastAsia="en-AU"/>
        </w:rPr>
        <w:lastRenderedPageBreak/>
        <w:t>Koehn, J.D.</w:t>
      </w:r>
      <w:r w:rsidRPr="00694DE9">
        <w:rPr>
          <w:color w:val="000000"/>
          <w:sz w:val="22"/>
          <w:szCs w:val="22"/>
          <w:lang w:eastAsia="en-AU"/>
        </w:rPr>
        <w:t xml:space="preserve">, and Todd, C.R. (2012). Balancing conservation and recreational fishery objectives for a threatened species, the Murray cod, </w:t>
      </w:r>
      <w:r w:rsidRPr="0070509D">
        <w:rPr>
          <w:i/>
          <w:iCs/>
          <w:color w:val="000000"/>
          <w:sz w:val="22"/>
          <w:szCs w:val="22"/>
          <w:lang w:eastAsia="en-AU"/>
        </w:rPr>
        <w:t>Maccullochella peelii</w:t>
      </w:r>
      <w:r w:rsidRPr="00694DE9">
        <w:rPr>
          <w:color w:val="000000"/>
          <w:sz w:val="22"/>
          <w:szCs w:val="22"/>
          <w:lang w:eastAsia="en-AU"/>
        </w:rPr>
        <w:t xml:space="preserve">. </w:t>
      </w:r>
      <w:r w:rsidRPr="0070509D">
        <w:rPr>
          <w:i/>
          <w:iCs/>
          <w:color w:val="000000"/>
          <w:sz w:val="22"/>
          <w:szCs w:val="22"/>
          <w:lang w:eastAsia="en-AU"/>
        </w:rPr>
        <w:t>Fisheries Management and Ecology</w:t>
      </w:r>
      <w:r w:rsidRPr="00694DE9">
        <w:rPr>
          <w:color w:val="000000"/>
          <w:sz w:val="22"/>
          <w:szCs w:val="22"/>
          <w:lang w:eastAsia="en-AU"/>
        </w:rPr>
        <w:t xml:space="preserve"> </w:t>
      </w:r>
      <w:r w:rsidRPr="00874504">
        <w:rPr>
          <w:b/>
          <w:color w:val="000000"/>
          <w:sz w:val="22"/>
          <w:szCs w:val="22"/>
          <w:lang w:eastAsia="en-AU"/>
        </w:rPr>
        <w:t>19</w:t>
      </w:r>
      <w:r w:rsidRPr="00694DE9">
        <w:rPr>
          <w:color w:val="000000"/>
          <w:sz w:val="22"/>
          <w:szCs w:val="22"/>
          <w:lang w:eastAsia="en-AU"/>
        </w:rPr>
        <w:t>, 410</w:t>
      </w:r>
      <w:r>
        <w:rPr>
          <w:color w:val="000000"/>
          <w:sz w:val="22"/>
          <w:szCs w:val="22"/>
          <w:lang w:eastAsia="en-AU"/>
        </w:rPr>
        <w:t>–</w:t>
      </w:r>
      <w:r w:rsidRPr="00694DE9">
        <w:rPr>
          <w:color w:val="000000"/>
          <w:sz w:val="22"/>
          <w:szCs w:val="22"/>
          <w:lang w:eastAsia="en-AU"/>
        </w:rPr>
        <w:t>425.</w:t>
      </w:r>
    </w:p>
    <w:p w14:paraId="3BCDA4B3" w14:textId="7EBA79D2" w:rsidR="00491210" w:rsidRDefault="00EE200C" w:rsidP="00A94F87">
      <w:pPr>
        <w:spacing w:before="240" w:after="240"/>
        <w:ind w:left="567" w:hanging="567"/>
        <w:rPr>
          <w:color w:val="000000"/>
          <w:sz w:val="22"/>
          <w:szCs w:val="22"/>
          <w:lang w:eastAsia="en-AU"/>
        </w:rPr>
      </w:pPr>
      <w:r w:rsidRPr="00874504">
        <w:rPr>
          <w:b/>
          <w:color w:val="000000"/>
          <w:sz w:val="22"/>
          <w:szCs w:val="22"/>
          <w:lang w:eastAsia="en-AU"/>
        </w:rPr>
        <w:t>Koehn, J.D.</w:t>
      </w:r>
      <w:r w:rsidRPr="00694DE9">
        <w:rPr>
          <w:color w:val="000000"/>
          <w:sz w:val="22"/>
          <w:szCs w:val="22"/>
          <w:lang w:eastAsia="en-AU"/>
        </w:rPr>
        <w:t>, Copeland</w:t>
      </w:r>
      <w:r>
        <w:rPr>
          <w:color w:val="000000"/>
          <w:sz w:val="22"/>
          <w:szCs w:val="22"/>
          <w:lang w:eastAsia="en-AU"/>
        </w:rPr>
        <w:t>,</w:t>
      </w:r>
      <w:r w:rsidRPr="00694DE9">
        <w:rPr>
          <w:color w:val="000000"/>
          <w:sz w:val="22"/>
          <w:szCs w:val="22"/>
          <w:lang w:eastAsia="en-AU"/>
        </w:rPr>
        <w:t xml:space="preserve"> C. and Stamation</w:t>
      </w:r>
      <w:r>
        <w:rPr>
          <w:color w:val="000000"/>
          <w:sz w:val="22"/>
          <w:szCs w:val="22"/>
          <w:lang w:eastAsia="en-AU"/>
        </w:rPr>
        <w:t>,</w:t>
      </w:r>
      <w:r w:rsidRPr="00694DE9">
        <w:rPr>
          <w:color w:val="000000"/>
          <w:sz w:val="22"/>
          <w:szCs w:val="22"/>
          <w:lang w:eastAsia="en-AU"/>
        </w:rPr>
        <w:t xml:space="preserve"> K. (eds). (2014)</w:t>
      </w:r>
      <w:r>
        <w:rPr>
          <w:color w:val="000000"/>
          <w:sz w:val="22"/>
          <w:szCs w:val="22"/>
          <w:lang w:eastAsia="en-AU"/>
        </w:rPr>
        <w:t>.</w:t>
      </w:r>
      <w:r w:rsidRPr="00694DE9">
        <w:rPr>
          <w:color w:val="000000"/>
          <w:sz w:val="22"/>
          <w:szCs w:val="22"/>
          <w:lang w:eastAsia="en-AU"/>
        </w:rPr>
        <w:t xml:space="preserve"> The Native Fish Strategy: Bringing native fish back. </w:t>
      </w:r>
      <w:r w:rsidRPr="0070509D">
        <w:rPr>
          <w:i/>
          <w:iCs/>
          <w:color w:val="000000"/>
          <w:sz w:val="22"/>
          <w:szCs w:val="22"/>
          <w:lang w:eastAsia="en-AU"/>
        </w:rPr>
        <w:t>Ecological Management and Restoration</w:t>
      </w:r>
      <w:r w:rsidRPr="00694DE9">
        <w:rPr>
          <w:color w:val="000000"/>
          <w:sz w:val="22"/>
          <w:szCs w:val="22"/>
          <w:lang w:eastAsia="en-AU"/>
        </w:rPr>
        <w:t xml:space="preserve"> </w:t>
      </w:r>
      <w:r w:rsidRPr="00874504">
        <w:rPr>
          <w:b/>
          <w:color w:val="000000"/>
          <w:sz w:val="22"/>
          <w:szCs w:val="22"/>
          <w:lang w:eastAsia="en-AU"/>
        </w:rPr>
        <w:t>15</w:t>
      </w:r>
      <w:r>
        <w:rPr>
          <w:b/>
          <w:color w:val="000000"/>
          <w:sz w:val="22"/>
          <w:szCs w:val="22"/>
          <w:lang w:eastAsia="en-AU"/>
        </w:rPr>
        <w:t xml:space="preserve"> </w:t>
      </w:r>
      <w:r w:rsidRPr="00694DE9">
        <w:rPr>
          <w:color w:val="000000"/>
          <w:sz w:val="22"/>
          <w:szCs w:val="22"/>
          <w:lang w:eastAsia="en-AU"/>
        </w:rPr>
        <w:t>(S1)</w:t>
      </w:r>
      <w:r>
        <w:rPr>
          <w:color w:val="000000"/>
          <w:sz w:val="22"/>
          <w:szCs w:val="22"/>
          <w:lang w:eastAsia="en-AU"/>
        </w:rPr>
        <w:t>.</w:t>
      </w:r>
    </w:p>
    <w:p w14:paraId="2DC87117" w14:textId="7B07B3C0" w:rsidR="00491210" w:rsidRPr="00694DE9" w:rsidRDefault="00EE200C" w:rsidP="00A94F87">
      <w:pPr>
        <w:spacing w:before="240" w:after="240"/>
        <w:ind w:left="567" w:hanging="567"/>
        <w:rPr>
          <w:color w:val="000000"/>
          <w:sz w:val="22"/>
          <w:szCs w:val="22"/>
          <w:lang w:eastAsia="en-AU"/>
        </w:rPr>
      </w:pPr>
      <w:r w:rsidRPr="00874504">
        <w:rPr>
          <w:b/>
          <w:color w:val="000000"/>
          <w:sz w:val="22"/>
          <w:szCs w:val="22"/>
          <w:lang w:eastAsia="en-AU"/>
        </w:rPr>
        <w:t>Koehn, J.D.</w:t>
      </w:r>
      <w:r w:rsidRPr="00694DE9">
        <w:rPr>
          <w:color w:val="000000"/>
          <w:sz w:val="22"/>
          <w:szCs w:val="22"/>
          <w:lang w:eastAsia="en-AU"/>
        </w:rPr>
        <w:t xml:space="preserve">, Hobday, A.J., Pratchett, M.S. and Gillanders, B.M. (eds) </w:t>
      </w:r>
      <w:r>
        <w:rPr>
          <w:color w:val="000000"/>
          <w:sz w:val="22"/>
          <w:szCs w:val="22"/>
          <w:lang w:eastAsia="en-AU"/>
        </w:rPr>
        <w:t>(</w:t>
      </w:r>
      <w:r w:rsidRPr="00694DE9">
        <w:rPr>
          <w:color w:val="000000"/>
          <w:sz w:val="22"/>
          <w:szCs w:val="22"/>
          <w:lang w:eastAsia="en-AU"/>
        </w:rPr>
        <w:t>2011</w:t>
      </w:r>
      <w:r>
        <w:rPr>
          <w:color w:val="000000"/>
          <w:sz w:val="22"/>
          <w:szCs w:val="22"/>
          <w:lang w:eastAsia="en-AU"/>
        </w:rPr>
        <w:t>).</w:t>
      </w:r>
      <w:r w:rsidRPr="00694DE9">
        <w:rPr>
          <w:color w:val="000000"/>
          <w:sz w:val="22"/>
          <w:szCs w:val="22"/>
          <w:lang w:eastAsia="en-AU"/>
        </w:rPr>
        <w:t xml:space="preserve"> Climate change and Australian aquatic environments, fishes and fisheries. </w:t>
      </w:r>
      <w:r w:rsidRPr="0070509D">
        <w:rPr>
          <w:i/>
          <w:iCs/>
          <w:color w:val="000000"/>
          <w:sz w:val="22"/>
          <w:szCs w:val="22"/>
          <w:lang w:eastAsia="en-AU"/>
        </w:rPr>
        <w:t>Marine and Freshwater Research</w:t>
      </w:r>
      <w:r w:rsidRPr="00694DE9">
        <w:rPr>
          <w:color w:val="000000"/>
          <w:sz w:val="22"/>
          <w:szCs w:val="22"/>
          <w:lang w:eastAsia="en-AU"/>
        </w:rPr>
        <w:t xml:space="preserve"> </w:t>
      </w:r>
      <w:r w:rsidRPr="00874504">
        <w:rPr>
          <w:b/>
          <w:color w:val="000000"/>
          <w:sz w:val="22"/>
          <w:szCs w:val="22"/>
          <w:lang w:eastAsia="en-AU"/>
        </w:rPr>
        <w:t>62</w:t>
      </w:r>
      <w:r>
        <w:rPr>
          <w:color w:val="000000"/>
          <w:sz w:val="22"/>
          <w:szCs w:val="22"/>
          <w:lang w:eastAsia="en-AU"/>
        </w:rPr>
        <w:t>, 1148–1164.</w:t>
      </w:r>
    </w:p>
    <w:p w14:paraId="18941F26" w14:textId="29967AED" w:rsidR="00491210" w:rsidRPr="00694DE9" w:rsidRDefault="00EE200C" w:rsidP="00A94F87">
      <w:pPr>
        <w:spacing w:before="240" w:after="240"/>
        <w:ind w:left="567" w:hanging="567"/>
        <w:rPr>
          <w:color w:val="000000"/>
          <w:sz w:val="22"/>
          <w:szCs w:val="22"/>
          <w:lang w:eastAsia="en-AU"/>
        </w:rPr>
      </w:pPr>
      <w:r w:rsidRPr="00694DE9">
        <w:rPr>
          <w:color w:val="000000"/>
          <w:sz w:val="22"/>
          <w:szCs w:val="22"/>
          <w:lang w:eastAsia="en-AU"/>
        </w:rPr>
        <w:t>Murray</w:t>
      </w:r>
      <w:r>
        <w:rPr>
          <w:color w:val="000000"/>
          <w:sz w:val="22"/>
          <w:szCs w:val="22"/>
          <w:lang w:eastAsia="en-AU"/>
        </w:rPr>
        <w:t>–</w:t>
      </w:r>
      <w:r w:rsidRPr="00694DE9">
        <w:rPr>
          <w:color w:val="000000"/>
          <w:sz w:val="22"/>
          <w:szCs w:val="22"/>
          <w:lang w:eastAsia="en-AU"/>
        </w:rPr>
        <w:t xml:space="preserve">Darling Basin Commission. </w:t>
      </w:r>
      <w:r>
        <w:rPr>
          <w:color w:val="000000"/>
          <w:sz w:val="22"/>
          <w:szCs w:val="22"/>
          <w:lang w:eastAsia="en-AU"/>
        </w:rPr>
        <w:t>(</w:t>
      </w:r>
      <w:r w:rsidRPr="00694DE9">
        <w:rPr>
          <w:color w:val="000000"/>
          <w:sz w:val="22"/>
          <w:szCs w:val="22"/>
          <w:lang w:eastAsia="en-AU"/>
        </w:rPr>
        <w:t>2004</w:t>
      </w:r>
      <w:r>
        <w:rPr>
          <w:color w:val="000000"/>
          <w:sz w:val="22"/>
          <w:szCs w:val="22"/>
          <w:lang w:eastAsia="en-AU"/>
        </w:rPr>
        <w:t>)</w:t>
      </w:r>
      <w:r w:rsidRPr="00694DE9">
        <w:rPr>
          <w:color w:val="000000"/>
          <w:sz w:val="22"/>
          <w:szCs w:val="22"/>
          <w:lang w:eastAsia="en-AU"/>
        </w:rPr>
        <w:t xml:space="preserve">. </w:t>
      </w:r>
      <w:r w:rsidRPr="00874504">
        <w:rPr>
          <w:i/>
          <w:color w:val="000000"/>
          <w:sz w:val="22"/>
          <w:szCs w:val="22"/>
          <w:lang w:eastAsia="en-AU"/>
        </w:rPr>
        <w:t>Native Fish Strategy for the Murray–Darling Basin 2003–2013</w:t>
      </w:r>
      <w:r w:rsidRPr="00694DE9">
        <w:rPr>
          <w:color w:val="000000"/>
          <w:sz w:val="22"/>
          <w:szCs w:val="22"/>
          <w:lang w:eastAsia="en-AU"/>
        </w:rPr>
        <w:t xml:space="preserve">. </w:t>
      </w:r>
      <w:r>
        <w:rPr>
          <w:color w:val="000000"/>
          <w:sz w:val="22"/>
          <w:szCs w:val="22"/>
          <w:lang w:eastAsia="en-AU"/>
        </w:rPr>
        <w:t>Murray–Darling</w:t>
      </w:r>
      <w:r w:rsidRPr="00694DE9">
        <w:rPr>
          <w:color w:val="000000"/>
          <w:sz w:val="22"/>
          <w:szCs w:val="22"/>
          <w:lang w:eastAsia="en-AU"/>
        </w:rPr>
        <w:t xml:space="preserve"> Basin Commission</w:t>
      </w:r>
      <w:r>
        <w:rPr>
          <w:color w:val="000000"/>
          <w:sz w:val="22"/>
          <w:szCs w:val="22"/>
          <w:lang w:eastAsia="en-AU"/>
        </w:rPr>
        <w:t xml:space="preserve">, </w:t>
      </w:r>
      <w:r w:rsidRPr="00694DE9">
        <w:rPr>
          <w:color w:val="000000"/>
          <w:sz w:val="22"/>
          <w:szCs w:val="22"/>
          <w:lang w:eastAsia="en-AU"/>
        </w:rPr>
        <w:t>Canberra,</w:t>
      </w:r>
      <w:r>
        <w:rPr>
          <w:color w:val="000000"/>
          <w:sz w:val="22"/>
          <w:szCs w:val="22"/>
          <w:lang w:eastAsia="en-AU"/>
        </w:rPr>
        <w:t xml:space="preserve"> ACT</w:t>
      </w:r>
      <w:r w:rsidRPr="00694DE9">
        <w:rPr>
          <w:color w:val="000000"/>
          <w:sz w:val="22"/>
          <w:szCs w:val="22"/>
          <w:lang w:eastAsia="en-AU"/>
        </w:rPr>
        <w:t>. www.mdbc.gov.au</w:t>
      </w:r>
    </w:p>
    <w:p w14:paraId="67C55B5A" w14:textId="26F49327" w:rsidR="00491210" w:rsidRPr="00874504" w:rsidRDefault="00EE200C" w:rsidP="00874504">
      <w:pPr>
        <w:pStyle w:val="PopModProjectTeam"/>
        <w:rPr>
          <w:b w:val="0"/>
          <w:bCs w:val="0"/>
        </w:rPr>
      </w:pPr>
      <w:r w:rsidRPr="00874504">
        <w:t>Dr Robin Hale</w:t>
      </w:r>
    </w:p>
    <w:p w14:paraId="028951C5" w14:textId="466C2626" w:rsidR="00491210" w:rsidRPr="00874504" w:rsidRDefault="00EE200C" w:rsidP="00874504">
      <w:pPr>
        <w:pStyle w:val="PopModCVheading"/>
        <w:rPr>
          <w:b w:val="0"/>
          <w:bCs w:val="0"/>
        </w:rPr>
      </w:pPr>
      <w:r w:rsidRPr="00E2785E">
        <w:t>Senior Scientist, Applied Aquatic Ecology</w:t>
      </w:r>
    </w:p>
    <w:p w14:paraId="2F11E7C6" w14:textId="522B2E7F" w:rsidR="00491210" w:rsidRPr="00874504" w:rsidRDefault="00EE200C" w:rsidP="00874504">
      <w:pPr>
        <w:pStyle w:val="PopModCVheading"/>
      </w:pPr>
      <w:r w:rsidRPr="00874504">
        <w:t>Qualifications</w:t>
      </w:r>
    </w:p>
    <w:p w14:paraId="5CF551BF" w14:textId="77777777" w:rsidR="00491210" w:rsidRPr="00874504" w:rsidRDefault="00EE200C" w:rsidP="00D04668">
      <w:pPr>
        <w:spacing w:before="240" w:after="240"/>
        <w:rPr>
          <w:color w:val="000000"/>
          <w:sz w:val="22"/>
          <w:szCs w:val="22"/>
          <w:lang w:eastAsia="en-AU"/>
        </w:rPr>
      </w:pPr>
      <w:r w:rsidRPr="00874504">
        <w:rPr>
          <w:color w:val="000000"/>
          <w:sz w:val="22"/>
          <w:szCs w:val="22"/>
          <w:lang w:eastAsia="en-AU"/>
        </w:rPr>
        <w:t>BSc (Hons), PhD</w:t>
      </w:r>
    </w:p>
    <w:p w14:paraId="2CE749D1" w14:textId="10C65D60" w:rsidR="00491210" w:rsidRPr="00874504" w:rsidRDefault="00EE200C" w:rsidP="00874504">
      <w:pPr>
        <w:pStyle w:val="PopModCVheading"/>
        <w:rPr>
          <w:b w:val="0"/>
          <w:bCs w:val="0"/>
        </w:rPr>
      </w:pPr>
      <w:r w:rsidRPr="00874504">
        <w:t>Relevant expertise</w:t>
      </w:r>
    </w:p>
    <w:p w14:paraId="4007A381" w14:textId="25761FC9" w:rsidR="00491210" w:rsidRPr="00D04668" w:rsidRDefault="00EE200C" w:rsidP="358D0A8B">
      <w:pPr>
        <w:pStyle w:val="Bodynarrowbullet"/>
        <w:ind w:left="720" w:hanging="360"/>
        <w:rPr>
          <w:rFonts w:ascii="Arial" w:eastAsia="Arial" w:hAnsi="Arial" w:cs="Arial"/>
          <w:color w:val="000000"/>
          <w:sz w:val="22"/>
          <w:szCs w:val="22"/>
          <w:lang w:eastAsia="en-AU"/>
        </w:rPr>
      </w:pPr>
      <w:r w:rsidRPr="4F8AEDB5">
        <w:rPr>
          <w:rFonts w:ascii="Arial" w:hAnsi="Arial" w:cs="Arial"/>
          <w:sz w:val="22"/>
          <w:szCs w:val="22"/>
        </w:rPr>
        <w:t>Wetland ecology</w:t>
      </w:r>
    </w:p>
    <w:p w14:paraId="001857C5" w14:textId="33AB9A5F" w:rsidR="00491210" w:rsidRPr="00D04668" w:rsidRDefault="00EE200C" w:rsidP="358D0A8B">
      <w:pPr>
        <w:pStyle w:val="Bodynarrowbullet"/>
        <w:ind w:left="720" w:hanging="360"/>
        <w:rPr>
          <w:rFonts w:ascii="Arial" w:eastAsia="Arial" w:hAnsi="Arial" w:cs="Arial"/>
          <w:color w:val="000000"/>
          <w:sz w:val="22"/>
          <w:szCs w:val="22"/>
          <w:lang w:eastAsia="en-AU"/>
        </w:rPr>
      </w:pPr>
      <w:r w:rsidRPr="4F8AEDB5">
        <w:rPr>
          <w:rFonts w:ascii="Arial" w:hAnsi="Arial" w:cs="Arial"/>
          <w:sz w:val="22"/>
          <w:szCs w:val="22"/>
        </w:rPr>
        <w:t>Restoration ecology</w:t>
      </w:r>
    </w:p>
    <w:p w14:paraId="40EBD41E" w14:textId="6DF589FC" w:rsidR="00491210" w:rsidRPr="00D04668" w:rsidRDefault="00EE200C" w:rsidP="358D0A8B">
      <w:pPr>
        <w:pStyle w:val="Bodynarrowbullet"/>
        <w:ind w:left="720" w:hanging="360"/>
        <w:rPr>
          <w:rFonts w:ascii="Arial" w:eastAsia="Arial" w:hAnsi="Arial" w:cs="Arial"/>
          <w:color w:val="000000"/>
          <w:sz w:val="22"/>
          <w:szCs w:val="22"/>
          <w:lang w:eastAsia="en-AU"/>
        </w:rPr>
      </w:pPr>
      <w:r w:rsidRPr="4F8AEDB5">
        <w:rPr>
          <w:rFonts w:ascii="Arial" w:hAnsi="Arial" w:cs="Arial"/>
          <w:sz w:val="22"/>
          <w:szCs w:val="22"/>
        </w:rPr>
        <w:t>Monitoring program design and assessment</w:t>
      </w:r>
    </w:p>
    <w:p w14:paraId="32355B8B" w14:textId="27248C7D" w:rsidR="00491210" w:rsidRPr="00D04668" w:rsidRDefault="00EE200C" w:rsidP="358D0A8B">
      <w:pPr>
        <w:pStyle w:val="Bodynarrowbullet"/>
        <w:ind w:left="720" w:hanging="360"/>
        <w:rPr>
          <w:rFonts w:ascii="Arial" w:eastAsia="Arial" w:hAnsi="Arial" w:cs="Arial"/>
          <w:color w:val="000000"/>
          <w:sz w:val="22"/>
          <w:szCs w:val="22"/>
          <w:lang w:eastAsia="en-AU"/>
        </w:rPr>
      </w:pPr>
      <w:r w:rsidRPr="4F8AEDB5">
        <w:rPr>
          <w:rFonts w:ascii="Arial" w:hAnsi="Arial" w:cs="Arial"/>
          <w:sz w:val="22"/>
          <w:szCs w:val="22"/>
        </w:rPr>
        <w:t>Fish population biology</w:t>
      </w:r>
    </w:p>
    <w:p w14:paraId="7908887D" w14:textId="61242A74" w:rsidR="00491210" w:rsidRDefault="00EE200C" w:rsidP="358D0A8B">
      <w:pPr>
        <w:pStyle w:val="Bodynarrowbullet"/>
        <w:ind w:left="720" w:hanging="360"/>
        <w:rPr>
          <w:rFonts w:ascii="Arial" w:eastAsia="Arial" w:hAnsi="Arial" w:cs="Arial"/>
          <w:color w:val="000000"/>
          <w:sz w:val="22"/>
          <w:szCs w:val="22"/>
          <w:lang w:eastAsia="en-AU"/>
        </w:rPr>
      </w:pPr>
      <w:r w:rsidRPr="4F8AEDB5">
        <w:rPr>
          <w:rFonts w:ascii="Arial" w:hAnsi="Arial" w:cs="Arial"/>
          <w:sz w:val="22"/>
          <w:szCs w:val="22"/>
        </w:rPr>
        <w:t>Behavioural ecology</w:t>
      </w:r>
    </w:p>
    <w:p w14:paraId="780EAAC1" w14:textId="57691B85" w:rsidR="00491210" w:rsidRPr="00874504" w:rsidRDefault="00EE200C" w:rsidP="00874504">
      <w:pPr>
        <w:pStyle w:val="PopModCVheading"/>
        <w:rPr>
          <w:b w:val="0"/>
          <w:bCs w:val="0"/>
        </w:rPr>
      </w:pPr>
      <w:r w:rsidRPr="00874504">
        <w:t>Summary of competencies</w:t>
      </w:r>
    </w:p>
    <w:p w14:paraId="5B342FA2" w14:textId="79E39BF8" w:rsidR="00491210" w:rsidRDefault="00EE200C" w:rsidP="00555DF0">
      <w:pPr>
        <w:spacing w:before="240" w:after="240"/>
        <w:rPr>
          <w:color w:val="000000"/>
          <w:sz w:val="22"/>
          <w:szCs w:val="22"/>
          <w:lang w:eastAsia="en-AU"/>
        </w:rPr>
      </w:pPr>
      <w:r w:rsidRPr="358D0A8B">
        <w:rPr>
          <w:color w:val="000000"/>
          <w:sz w:val="22"/>
          <w:szCs w:val="22"/>
          <w:lang w:eastAsia="en-AU"/>
        </w:rPr>
        <w:t>Rob is a freshwater ecologist with 18</w:t>
      </w:r>
      <w:r>
        <w:rPr>
          <w:color w:val="000000"/>
          <w:sz w:val="22"/>
          <w:szCs w:val="22"/>
          <w:lang w:eastAsia="en-AU"/>
        </w:rPr>
        <w:t> </w:t>
      </w:r>
      <w:r w:rsidRPr="358D0A8B">
        <w:rPr>
          <w:color w:val="000000"/>
          <w:sz w:val="22"/>
          <w:szCs w:val="22"/>
          <w:lang w:eastAsia="en-AU"/>
        </w:rPr>
        <w:t>years</w:t>
      </w:r>
      <w:r>
        <w:rPr>
          <w:color w:val="000000"/>
          <w:sz w:val="22"/>
          <w:szCs w:val="22"/>
          <w:lang w:eastAsia="en-AU"/>
        </w:rPr>
        <w:t>’</w:t>
      </w:r>
      <w:r w:rsidRPr="358D0A8B">
        <w:rPr>
          <w:color w:val="000000"/>
          <w:sz w:val="22"/>
          <w:szCs w:val="22"/>
          <w:lang w:eastAsia="en-AU"/>
        </w:rPr>
        <w:t xml:space="preserve"> research and industry experience in wetland ecology, restoration ecology, monitoring program</w:t>
      </w:r>
      <w:r>
        <w:rPr>
          <w:color w:val="000000"/>
          <w:sz w:val="22"/>
          <w:szCs w:val="22"/>
          <w:lang w:eastAsia="en-AU"/>
        </w:rPr>
        <w:t>s</w:t>
      </w:r>
      <w:r w:rsidRPr="358D0A8B">
        <w:rPr>
          <w:color w:val="000000"/>
          <w:sz w:val="22"/>
          <w:szCs w:val="22"/>
          <w:lang w:eastAsia="en-AU"/>
        </w:rPr>
        <w:t xml:space="preserve"> and assessment. He graduated with a PhD in ecology from the University of Melbourne in 2007 and held postdoctoral research positions at the University of Melbourne and Monash University for 12</w:t>
      </w:r>
      <w:r>
        <w:rPr>
          <w:color w:val="000000"/>
          <w:sz w:val="22"/>
          <w:szCs w:val="22"/>
          <w:lang w:eastAsia="en-AU"/>
        </w:rPr>
        <w:t> </w:t>
      </w:r>
      <w:r w:rsidRPr="358D0A8B">
        <w:rPr>
          <w:color w:val="000000"/>
          <w:sz w:val="22"/>
          <w:szCs w:val="22"/>
          <w:lang w:eastAsia="en-AU"/>
        </w:rPr>
        <w:t>years before joining the Arthur Rylah Institute (ARI) in 2019.</w:t>
      </w:r>
    </w:p>
    <w:p w14:paraId="1CD78867" w14:textId="4019BD77" w:rsidR="00491210" w:rsidRPr="00555DF0" w:rsidRDefault="00EE200C" w:rsidP="00555DF0">
      <w:pPr>
        <w:spacing w:before="240" w:after="240"/>
        <w:rPr>
          <w:color w:val="000000"/>
          <w:sz w:val="22"/>
          <w:szCs w:val="22"/>
          <w:lang w:eastAsia="en-AU"/>
        </w:rPr>
      </w:pPr>
      <w:r w:rsidRPr="00555DF0">
        <w:rPr>
          <w:color w:val="000000"/>
          <w:sz w:val="22"/>
          <w:szCs w:val="22"/>
          <w:lang w:eastAsia="en-AU"/>
        </w:rPr>
        <w:t>Rob is passionate about the conservation and management of aquatic ecosystem</w:t>
      </w:r>
      <w:r>
        <w:rPr>
          <w:color w:val="000000"/>
          <w:sz w:val="22"/>
          <w:szCs w:val="22"/>
          <w:lang w:eastAsia="en-AU"/>
        </w:rPr>
        <w:t>s</w:t>
      </w:r>
      <w:r w:rsidRPr="00555DF0">
        <w:rPr>
          <w:color w:val="000000"/>
          <w:sz w:val="22"/>
          <w:szCs w:val="22"/>
          <w:lang w:eastAsia="en-AU"/>
        </w:rPr>
        <w:t>. His research portfolio is very strong (&gt;80 scientific papers and technical reports) and diverse, spanning the broad areas of restoration, aquatic and population ecology, and environmental monitoring design and assessment. He is an editor of three international journals</w:t>
      </w:r>
      <w:r>
        <w:rPr>
          <w:color w:val="000000"/>
          <w:sz w:val="22"/>
          <w:szCs w:val="22"/>
          <w:lang w:eastAsia="en-AU"/>
        </w:rPr>
        <w:t>—</w:t>
      </w:r>
      <w:r w:rsidRPr="00874504">
        <w:rPr>
          <w:i/>
          <w:color w:val="000000"/>
          <w:sz w:val="22"/>
          <w:szCs w:val="22"/>
          <w:lang w:eastAsia="en-AU"/>
        </w:rPr>
        <w:t>Freshwater Biology</w:t>
      </w:r>
      <w:r w:rsidRPr="00555DF0">
        <w:rPr>
          <w:color w:val="000000"/>
          <w:sz w:val="22"/>
          <w:szCs w:val="22"/>
          <w:lang w:eastAsia="en-AU"/>
        </w:rPr>
        <w:t xml:space="preserve">, </w:t>
      </w:r>
      <w:r w:rsidRPr="00874504">
        <w:rPr>
          <w:i/>
          <w:color w:val="000000"/>
          <w:sz w:val="22"/>
          <w:szCs w:val="22"/>
          <w:lang w:eastAsia="en-AU"/>
        </w:rPr>
        <w:t>Restoration Ecology</w:t>
      </w:r>
      <w:r w:rsidRPr="00555DF0">
        <w:rPr>
          <w:color w:val="000000"/>
          <w:sz w:val="22"/>
          <w:szCs w:val="22"/>
          <w:lang w:eastAsia="en-AU"/>
        </w:rPr>
        <w:t xml:space="preserve"> and </w:t>
      </w:r>
      <w:r w:rsidRPr="00874504">
        <w:rPr>
          <w:i/>
          <w:color w:val="000000"/>
          <w:sz w:val="22"/>
          <w:szCs w:val="22"/>
          <w:lang w:eastAsia="en-AU"/>
        </w:rPr>
        <w:t>Frontiers in Conservation Science</w:t>
      </w:r>
      <w:r w:rsidRPr="00555DF0">
        <w:rPr>
          <w:color w:val="000000"/>
          <w:sz w:val="22"/>
          <w:szCs w:val="22"/>
          <w:lang w:eastAsia="en-AU"/>
        </w:rPr>
        <w:t xml:space="preserve">. He has strengths and expertise in developing monitoring and research programs underpinned by conceptual models that outline key drivers of, and threats to, aquatic values. He has very strong quantitative skills and extensive experience </w:t>
      </w:r>
      <w:r>
        <w:rPr>
          <w:color w:val="000000"/>
          <w:sz w:val="22"/>
          <w:szCs w:val="22"/>
          <w:lang w:eastAsia="en-AU"/>
        </w:rPr>
        <w:t xml:space="preserve">in </w:t>
      </w:r>
      <w:r w:rsidRPr="00555DF0">
        <w:rPr>
          <w:color w:val="000000"/>
          <w:sz w:val="22"/>
          <w:szCs w:val="22"/>
          <w:lang w:eastAsia="en-AU"/>
        </w:rPr>
        <w:t xml:space="preserve">applying these to the design and evaluation of monitoring programs. Before joining the Applied Aquatic Ecology section, he worked as a biometrician at ARI for </w:t>
      </w:r>
      <w:r>
        <w:rPr>
          <w:color w:val="000000"/>
          <w:sz w:val="22"/>
          <w:szCs w:val="22"/>
          <w:lang w:eastAsia="en-AU"/>
        </w:rPr>
        <w:t>6 </w:t>
      </w:r>
      <w:r w:rsidRPr="00555DF0">
        <w:rPr>
          <w:color w:val="000000"/>
          <w:sz w:val="22"/>
          <w:szCs w:val="22"/>
          <w:lang w:eastAsia="en-AU"/>
        </w:rPr>
        <w:t>months, providing statistical advice and expertise to a wide range of projects across the whole of the institute. Rob is a highly effective and reliable project leader who places a strong emphasis on frequent and professional interactions with project stakeholders.</w:t>
      </w:r>
    </w:p>
    <w:p w14:paraId="13989C0E" w14:textId="78ACBBAA" w:rsidR="00491210" w:rsidRPr="00874504" w:rsidRDefault="00EE200C" w:rsidP="00874504">
      <w:pPr>
        <w:pStyle w:val="PopModCVheading"/>
      </w:pPr>
      <w:r>
        <w:lastRenderedPageBreak/>
        <w:t>Relevant experience</w:t>
      </w:r>
    </w:p>
    <w:p w14:paraId="60A7873F" w14:textId="10B16E65" w:rsidR="00491210" w:rsidRPr="00167DBC" w:rsidRDefault="00EE200C" w:rsidP="00874504">
      <w:pPr>
        <w:pStyle w:val="ListParagraph"/>
        <w:numPr>
          <w:ilvl w:val="0"/>
          <w:numId w:val="48"/>
        </w:numPr>
        <w:spacing w:before="240" w:after="240"/>
        <w:rPr>
          <w:color w:val="000000"/>
          <w:sz w:val="22"/>
          <w:szCs w:val="22"/>
        </w:rPr>
      </w:pPr>
      <w:r w:rsidRPr="00167DBC">
        <w:rPr>
          <w:rFonts w:ascii="Arial" w:hAnsi="Arial"/>
          <w:color w:val="000000"/>
          <w:sz w:val="22"/>
          <w:szCs w:val="22"/>
        </w:rPr>
        <w:t>Theme lead (2019–2020) for the frog and bird themes of the Wetland Monitoring and Assessment Program, which is a statewide program aimed at assessing ecological responses to environmental flow releases</w:t>
      </w:r>
    </w:p>
    <w:p w14:paraId="15FC64A4" w14:textId="115AC9D8" w:rsidR="00491210" w:rsidRPr="00167DBC" w:rsidRDefault="00EE200C" w:rsidP="00874504">
      <w:pPr>
        <w:pStyle w:val="ListParagraph"/>
        <w:numPr>
          <w:ilvl w:val="0"/>
          <w:numId w:val="48"/>
        </w:numPr>
        <w:spacing w:before="240" w:after="240"/>
        <w:rPr>
          <w:color w:val="000000"/>
          <w:sz w:val="22"/>
          <w:szCs w:val="22"/>
        </w:rPr>
      </w:pPr>
      <w:r w:rsidRPr="00167DBC">
        <w:rPr>
          <w:rFonts w:ascii="Arial" w:hAnsi="Arial"/>
          <w:color w:val="000000"/>
          <w:sz w:val="22"/>
          <w:szCs w:val="22"/>
        </w:rPr>
        <w:t>Led an ARC Linkage grant (2014–2017) examining how urban stormwater wetlands perform as habitats for aquatic taxa</w:t>
      </w:r>
    </w:p>
    <w:p w14:paraId="0EAD9882" w14:textId="16EF6506" w:rsidR="00491210" w:rsidRPr="00167DBC" w:rsidRDefault="00EE200C" w:rsidP="00874504">
      <w:pPr>
        <w:pStyle w:val="ListParagraph"/>
        <w:numPr>
          <w:ilvl w:val="0"/>
          <w:numId w:val="48"/>
        </w:numPr>
        <w:spacing w:before="240" w:after="240"/>
        <w:rPr>
          <w:color w:val="000000"/>
          <w:sz w:val="22"/>
          <w:szCs w:val="22"/>
        </w:rPr>
      </w:pPr>
      <w:r w:rsidRPr="00167DBC">
        <w:rPr>
          <w:rFonts w:ascii="Arial" w:hAnsi="Arial"/>
          <w:color w:val="000000"/>
          <w:sz w:val="22"/>
          <w:szCs w:val="22"/>
        </w:rPr>
        <w:t>Led a statewide synthesis and meta-analysis of fish responses to instream habitat restoration for DELWP Water and Catchments (2019–2020)</w:t>
      </w:r>
    </w:p>
    <w:p w14:paraId="34C07E28" w14:textId="4AF03BDE" w:rsidR="00491210" w:rsidRPr="00167DBC" w:rsidRDefault="00EE200C" w:rsidP="00874504">
      <w:pPr>
        <w:pStyle w:val="ListParagraph"/>
        <w:numPr>
          <w:ilvl w:val="0"/>
          <w:numId w:val="48"/>
        </w:numPr>
        <w:spacing w:before="240" w:after="240"/>
        <w:rPr>
          <w:color w:val="000000"/>
          <w:sz w:val="22"/>
          <w:szCs w:val="22"/>
        </w:rPr>
      </w:pPr>
      <w:r w:rsidRPr="00167DBC">
        <w:rPr>
          <w:rFonts w:ascii="Arial" w:hAnsi="Arial"/>
          <w:color w:val="000000"/>
          <w:sz w:val="22"/>
          <w:szCs w:val="22"/>
        </w:rPr>
        <w:t>Member of team that designed the statewide DELWP Riparian Intervention Monitoring Program</w:t>
      </w:r>
    </w:p>
    <w:p w14:paraId="57B49095" w14:textId="23944AA4" w:rsidR="00491210" w:rsidRPr="00167DBC" w:rsidRDefault="00EE200C" w:rsidP="00874504">
      <w:pPr>
        <w:pStyle w:val="ListParagraph"/>
        <w:numPr>
          <w:ilvl w:val="0"/>
          <w:numId w:val="48"/>
        </w:numPr>
        <w:spacing w:before="240" w:after="240"/>
        <w:rPr>
          <w:color w:val="000000"/>
          <w:sz w:val="22"/>
          <w:szCs w:val="22"/>
        </w:rPr>
      </w:pPr>
      <w:r w:rsidRPr="00167DBC">
        <w:rPr>
          <w:rFonts w:ascii="Arial" w:hAnsi="Arial"/>
          <w:color w:val="000000"/>
          <w:sz w:val="22"/>
          <w:szCs w:val="22"/>
        </w:rPr>
        <w:t>Co-led the development of a 10-year plan for monitoring aquatic and riparian health for the Murray Local Land Services</w:t>
      </w:r>
    </w:p>
    <w:p w14:paraId="451B8BFB" w14:textId="1B83CDDE" w:rsidR="00491210" w:rsidRPr="00167DBC" w:rsidRDefault="00EE200C" w:rsidP="00874504">
      <w:pPr>
        <w:pStyle w:val="ListParagraph"/>
        <w:numPr>
          <w:ilvl w:val="0"/>
          <w:numId w:val="48"/>
        </w:numPr>
        <w:spacing w:before="240" w:after="240"/>
        <w:rPr>
          <w:color w:val="000000"/>
          <w:sz w:val="22"/>
          <w:szCs w:val="22"/>
        </w:rPr>
      </w:pPr>
      <w:r w:rsidRPr="00167DBC">
        <w:rPr>
          <w:rFonts w:ascii="Arial" w:hAnsi="Arial"/>
          <w:color w:val="000000"/>
          <w:sz w:val="22"/>
          <w:szCs w:val="22"/>
        </w:rPr>
        <w:t>Frequent provision of technical expertise, especially in relation to monitoring program design and evaluation for a wide range of industry bodies, e.g. Murray Local Land Services, Melbourne Water, Greening Australia, Hydro Tasmania, DELWP.</w:t>
      </w:r>
    </w:p>
    <w:p w14:paraId="4CD5EC95" w14:textId="7D0FE8BD" w:rsidR="00491210" w:rsidRPr="00167DBC" w:rsidRDefault="00EE200C" w:rsidP="00874504">
      <w:pPr>
        <w:pStyle w:val="ListParagraph"/>
        <w:numPr>
          <w:ilvl w:val="0"/>
          <w:numId w:val="48"/>
        </w:numPr>
        <w:spacing w:before="240" w:after="240"/>
        <w:rPr>
          <w:color w:val="000000"/>
          <w:sz w:val="22"/>
          <w:szCs w:val="22"/>
        </w:rPr>
      </w:pPr>
      <w:r w:rsidRPr="00167DBC">
        <w:rPr>
          <w:rFonts w:ascii="Arial" w:hAnsi="Arial"/>
          <w:color w:val="000000"/>
          <w:sz w:val="22"/>
          <w:szCs w:val="22"/>
        </w:rPr>
        <w:t>Led a large experimental study to examine ecological responses to riparian restoration, funded by the Murray–Darling Basin Authority.</w:t>
      </w:r>
    </w:p>
    <w:p w14:paraId="3BDC326C" w14:textId="0CBCD8B2" w:rsidR="00491210" w:rsidRPr="00874504" w:rsidRDefault="00EE200C" w:rsidP="00874504">
      <w:pPr>
        <w:pStyle w:val="PopModCVheading"/>
        <w:rPr>
          <w:b w:val="0"/>
          <w:bCs w:val="0"/>
        </w:rPr>
      </w:pPr>
      <w:r w:rsidRPr="00874504">
        <w:t>Selected publications</w:t>
      </w:r>
    </w:p>
    <w:p w14:paraId="09873B3F" w14:textId="32DF6457" w:rsidR="00491210" w:rsidRPr="00555DF0" w:rsidRDefault="00EE200C" w:rsidP="00A94F87">
      <w:pPr>
        <w:spacing w:before="240" w:after="240"/>
        <w:ind w:left="567" w:hanging="567"/>
        <w:rPr>
          <w:color w:val="000000"/>
          <w:sz w:val="22"/>
          <w:szCs w:val="22"/>
          <w:lang w:eastAsia="en-AU"/>
        </w:rPr>
      </w:pPr>
      <w:r w:rsidRPr="00555DF0">
        <w:rPr>
          <w:color w:val="000000"/>
          <w:sz w:val="22"/>
          <w:szCs w:val="22"/>
          <w:lang w:eastAsia="en-AU"/>
        </w:rPr>
        <w:t>Papas</w:t>
      </w:r>
      <w:r>
        <w:rPr>
          <w:color w:val="000000"/>
          <w:sz w:val="22"/>
          <w:szCs w:val="22"/>
          <w:lang w:eastAsia="en-AU"/>
        </w:rPr>
        <w:t>,</w:t>
      </w:r>
      <w:r w:rsidRPr="00555DF0">
        <w:rPr>
          <w:color w:val="000000"/>
          <w:sz w:val="22"/>
          <w:szCs w:val="22"/>
          <w:lang w:eastAsia="en-AU"/>
        </w:rPr>
        <w:t xml:space="preserve"> P</w:t>
      </w:r>
      <w:r>
        <w:rPr>
          <w:color w:val="000000"/>
          <w:sz w:val="22"/>
          <w:szCs w:val="22"/>
          <w:lang w:eastAsia="en-AU"/>
        </w:rPr>
        <w:t>.</w:t>
      </w:r>
      <w:r w:rsidRPr="00555DF0">
        <w:rPr>
          <w:color w:val="000000"/>
          <w:sz w:val="22"/>
          <w:szCs w:val="22"/>
          <w:lang w:eastAsia="en-AU"/>
        </w:rPr>
        <w:t xml:space="preserve">, </w:t>
      </w:r>
      <w:r w:rsidRPr="00874504">
        <w:rPr>
          <w:b/>
          <w:color w:val="000000"/>
          <w:sz w:val="22"/>
          <w:szCs w:val="22"/>
          <w:lang w:eastAsia="en-AU"/>
        </w:rPr>
        <w:t>Hale, R.</w:t>
      </w:r>
      <w:r w:rsidRPr="00555DF0">
        <w:rPr>
          <w:color w:val="000000"/>
          <w:sz w:val="22"/>
          <w:szCs w:val="22"/>
          <w:lang w:eastAsia="en-AU"/>
        </w:rPr>
        <w:t xml:space="preserve"> and 18 other co-authors. </w:t>
      </w:r>
      <w:r>
        <w:rPr>
          <w:color w:val="000000"/>
          <w:sz w:val="22"/>
          <w:szCs w:val="22"/>
          <w:lang w:eastAsia="en-AU"/>
        </w:rPr>
        <w:t>(</w:t>
      </w:r>
      <w:r w:rsidRPr="00555DF0">
        <w:rPr>
          <w:color w:val="000000"/>
          <w:sz w:val="22"/>
          <w:szCs w:val="22"/>
          <w:lang w:eastAsia="en-AU"/>
        </w:rPr>
        <w:t>2021</w:t>
      </w:r>
      <w:r>
        <w:rPr>
          <w:color w:val="000000"/>
          <w:sz w:val="22"/>
          <w:szCs w:val="22"/>
          <w:lang w:eastAsia="en-AU"/>
        </w:rPr>
        <w:t>).</w:t>
      </w:r>
      <w:r w:rsidRPr="00555DF0">
        <w:rPr>
          <w:color w:val="000000"/>
          <w:sz w:val="22"/>
          <w:szCs w:val="22"/>
          <w:lang w:eastAsia="en-AU"/>
        </w:rPr>
        <w:t xml:space="preserve"> Wetland Monitoring and Assessment Program for environmental water. Stage 3 Final Report. Arthur Rylah Institute for Environmental Research Technical Report Series No. 297. Department of Environment, Water, Land and Planning. Heidelberg, Victoria. 318</w:t>
      </w:r>
      <w:r>
        <w:rPr>
          <w:color w:val="000000"/>
          <w:sz w:val="22"/>
          <w:szCs w:val="22"/>
          <w:lang w:eastAsia="en-AU"/>
        </w:rPr>
        <w:t xml:space="preserve"> </w:t>
      </w:r>
      <w:r w:rsidRPr="00555DF0">
        <w:rPr>
          <w:color w:val="000000"/>
          <w:sz w:val="22"/>
          <w:szCs w:val="22"/>
          <w:lang w:eastAsia="en-AU"/>
        </w:rPr>
        <w:t>pp.</w:t>
      </w:r>
    </w:p>
    <w:p w14:paraId="23F88EF2" w14:textId="4CB5A677" w:rsidR="00491210" w:rsidRPr="00555DF0" w:rsidRDefault="00EE200C" w:rsidP="00A94F87">
      <w:pPr>
        <w:spacing w:before="240" w:after="240"/>
        <w:ind w:left="567" w:hanging="567"/>
        <w:rPr>
          <w:color w:val="000000"/>
          <w:sz w:val="22"/>
          <w:szCs w:val="22"/>
          <w:lang w:eastAsia="en-AU"/>
        </w:rPr>
      </w:pPr>
      <w:r w:rsidRPr="00555DF0">
        <w:rPr>
          <w:color w:val="000000"/>
          <w:sz w:val="22"/>
          <w:szCs w:val="22"/>
          <w:lang w:eastAsia="en-AU"/>
        </w:rPr>
        <w:t>Tonkin</w:t>
      </w:r>
      <w:r>
        <w:rPr>
          <w:color w:val="000000"/>
          <w:sz w:val="22"/>
          <w:szCs w:val="22"/>
          <w:lang w:eastAsia="en-AU"/>
        </w:rPr>
        <w:t>,</w:t>
      </w:r>
      <w:r w:rsidRPr="00555DF0">
        <w:rPr>
          <w:color w:val="000000"/>
          <w:sz w:val="22"/>
          <w:szCs w:val="22"/>
          <w:lang w:eastAsia="en-AU"/>
        </w:rPr>
        <w:t xml:space="preserve"> Z</w:t>
      </w:r>
      <w:r>
        <w:rPr>
          <w:color w:val="000000"/>
          <w:sz w:val="22"/>
          <w:szCs w:val="22"/>
          <w:lang w:eastAsia="en-AU"/>
        </w:rPr>
        <w:t>.</w:t>
      </w:r>
      <w:r w:rsidRPr="00555DF0">
        <w:rPr>
          <w:color w:val="000000"/>
          <w:sz w:val="22"/>
          <w:szCs w:val="22"/>
          <w:lang w:eastAsia="en-AU"/>
        </w:rPr>
        <w:t>, Kitchinghman</w:t>
      </w:r>
      <w:r>
        <w:rPr>
          <w:color w:val="000000"/>
          <w:sz w:val="22"/>
          <w:szCs w:val="22"/>
          <w:lang w:eastAsia="en-AU"/>
        </w:rPr>
        <w:t>,</w:t>
      </w:r>
      <w:r w:rsidRPr="00555DF0">
        <w:rPr>
          <w:color w:val="000000"/>
          <w:sz w:val="22"/>
          <w:szCs w:val="22"/>
          <w:lang w:eastAsia="en-AU"/>
        </w:rPr>
        <w:t xml:space="preserve"> A</w:t>
      </w:r>
      <w:r>
        <w:rPr>
          <w:color w:val="000000"/>
          <w:sz w:val="22"/>
          <w:szCs w:val="22"/>
          <w:lang w:eastAsia="en-AU"/>
        </w:rPr>
        <w:t>.</w:t>
      </w:r>
      <w:r w:rsidRPr="00555DF0">
        <w:rPr>
          <w:color w:val="000000"/>
          <w:sz w:val="22"/>
          <w:szCs w:val="22"/>
          <w:lang w:eastAsia="en-AU"/>
        </w:rPr>
        <w:t>, Fanson</w:t>
      </w:r>
      <w:r>
        <w:rPr>
          <w:color w:val="000000"/>
          <w:sz w:val="22"/>
          <w:szCs w:val="22"/>
          <w:lang w:eastAsia="en-AU"/>
        </w:rPr>
        <w:t>,</w:t>
      </w:r>
      <w:r w:rsidRPr="00555DF0">
        <w:rPr>
          <w:color w:val="000000"/>
          <w:sz w:val="22"/>
          <w:szCs w:val="22"/>
          <w:lang w:eastAsia="en-AU"/>
        </w:rPr>
        <w:t xml:space="preserve"> B</w:t>
      </w:r>
      <w:r>
        <w:rPr>
          <w:color w:val="000000"/>
          <w:sz w:val="22"/>
          <w:szCs w:val="22"/>
          <w:lang w:eastAsia="en-AU"/>
        </w:rPr>
        <w:t>.</w:t>
      </w:r>
      <w:r w:rsidRPr="00555DF0">
        <w:rPr>
          <w:color w:val="000000"/>
          <w:sz w:val="22"/>
          <w:szCs w:val="22"/>
          <w:lang w:eastAsia="en-AU"/>
        </w:rPr>
        <w:t>, Lyon</w:t>
      </w:r>
      <w:r>
        <w:rPr>
          <w:color w:val="000000"/>
          <w:sz w:val="22"/>
          <w:szCs w:val="22"/>
          <w:lang w:eastAsia="en-AU"/>
        </w:rPr>
        <w:t>,</w:t>
      </w:r>
      <w:r w:rsidRPr="00555DF0">
        <w:rPr>
          <w:color w:val="000000"/>
          <w:sz w:val="22"/>
          <w:szCs w:val="22"/>
          <w:lang w:eastAsia="en-AU"/>
        </w:rPr>
        <w:t xml:space="preserve"> J</w:t>
      </w:r>
      <w:r>
        <w:rPr>
          <w:color w:val="000000"/>
          <w:sz w:val="22"/>
          <w:szCs w:val="22"/>
          <w:lang w:eastAsia="en-AU"/>
        </w:rPr>
        <w:t>.</w:t>
      </w:r>
      <w:r w:rsidRPr="00555DF0">
        <w:rPr>
          <w:color w:val="000000"/>
          <w:sz w:val="22"/>
          <w:szCs w:val="22"/>
          <w:lang w:eastAsia="en-AU"/>
        </w:rPr>
        <w:t>, Ayres</w:t>
      </w:r>
      <w:r>
        <w:rPr>
          <w:color w:val="000000"/>
          <w:sz w:val="22"/>
          <w:szCs w:val="22"/>
          <w:lang w:eastAsia="en-AU"/>
        </w:rPr>
        <w:t>,</w:t>
      </w:r>
      <w:r w:rsidRPr="00555DF0">
        <w:rPr>
          <w:color w:val="000000"/>
          <w:sz w:val="22"/>
          <w:szCs w:val="22"/>
          <w:lang w:eastAsia="en-AU"/>
        </w:rPr>
        <w:t xml:space="preserve"> R</w:t>
      </w:r>
      <w:r>
        <w:rPr>
          <w:color w:val="000000"/>
          <w:sz w:val="22"/>
          <w:szCs w:val="22"/>
          <w:lang w:eastAsia="en-AU"/>
        </w:rPr>
        <w:t>.</w:t>
      </w:r>
      <w:r w:rsidRPr="00555DF0">
        <w:rPr>
          <w:color w:val="000000"/>
          <w:sz w:val="22"/>
          <w:szCs w:val="22"/>
          <w:lang w:eastAsia="en-AU"/>
        </w:rPr>
        <w:t>, Kearns</w:t>
      </w:r>
      <w:r>
        <w:rPr>
          <w:color w:val="000000"/>
          <w:sz w:val="22"/>
          <w:szCs w:val="22"/>
          <w:lang w:eastAsia="en-AU"/>
        </w:rPr>
        <w:t>,</w:t>
      </w:r>
      <w:r w:rsidRPr="00555DF0">
        <w:rPr>
          <w:color w:val="000000"/>
          <w:sz w:val="22"/>
          <w:szCs w:val="22"/>
          <w:lang w:eastAsia="en-AU"/>
        </w:rPr>
        <w:t xml:space="preserve"> J</w:t>
      </w:r>
      <w:r>
        <w:rPr>
          <w:color w:val="000000"/>
          <w:sz w:val="22"/>
          <w:szCs w:val="22"/>
          <w:lang w:eastAsia="en-AU"/>
        </w:rPr>
        <w:t>.</w:t>
      </w:r>
      <w:r w:rsidRPr="00555DF0">
        <w:rPr>
          <w:color w:val="000000"/>
          <w:sz w:val="22"/>
          <w:szCs w:val="22"/>
          <w:lang w:eastAsia="en-AU"/>
        </w:rPr>
        <w:t>, Koster</w:t>
      </w:r>
      <w:r>
        <w:rPr>
          <w:color w:val="000000"/>
          <w:sz w:val="22"/>
          <w:szCs w:val="22"/>
          <w:lang w:eastAsia="en-AU"/>
        </w:rPr>
        <w:t>,</w:t>
      </w:r>
      <w:r w:rsidRPr="00555DF0">
        <w:rPr>
          <w:color w:val="000000"/>
          <w:sz w:val="22"/>
          <w:szCs w:val="22"/>
          <w:lang w:eastAsia="en-AU"/>
        </w:rPr>
        <w:t xml:space="preserve"> W</w:t>
      </w:r>
      <w:r>
        <w:rPr>
          <w:color w:val="000000"/>
          <w:sz w:val="22"/>
          <w:szCs w:val="22"/>
          <w:lang w:eastAsia="en-AU"/>
        </w:rPr>
        <w:t>.</w:t>
      </w:r>
      <w:r w:rsidRPr="00555DF0">
        <w:rPr>
          <w:color w:val="000000"/>
          <w:sz w:val="22"/>
          <w:szCs w:val="22"/>
          <w:lang w:eastAsia="en-AU"/>
        </w:rPr>
        <w:t>, O</w:t>
      </w:r>
      <w:r>
        <w:rPr>
          <w:color w:val="000000"/>
          <w:sz w:val="22"/>
          <w:szCs w:val="22"/>
          <w:lang w:eastAsia="en-AU"/>
        </w:rPr>
        <w:t>’</w:t>
      </w:r>
      <w:r w:rsidRPr="00555DF0">
        <w:rPr>
          <w:color w:val="000000"/>
          <w:sz w:val="22"/>
          <w:szCs w:val="22"/>
          <w:lang w:eastAsia="en-AU"/>
        </w:rPr>
        <w:t>Mahoney</w:t>
      </w:r>
      <w:r>
        <w:rPr>
          <w:color w:val="000000"/>
          <w:sz w:val="22"/>
          <w:szCs w:val="22"/>
          <w:lang w:eastAsia="en-AU"/>
        </w:rPr>
        <w:t>, </w:t>
      </w:r>
      <w:r w:rsidRPr="00555DF0">
        <w:rPr>
          <w:color w:val="000000"/>
          <w:sz w:val="22"/>
          <w:szCs w:val="22"/>
          <w:lang w:eastAsia="en-AU"/>
        </w:rPr>
        <w:t>J</w:t>
      </w:r>
      <w:r>
        <w:rPr>
          <w:color w:val="000000"/>
          <w:sz w:val="22"/>
          <w:szCs w:val="22"/>
          <w:lang w:eastAsia="en-AU"/>
        </w:rPr>
        <w:t>.</w:t>
      </w:r>
      <w:r w:rsidRPr="00555DF0">
        <w:rPr>
          <w:color w:val="000000"/>
          <w:sz w:val="22"/>
          <w:szCs w:val="22"/>
          <w:lang w:eastAsia="en-AU"/>
        </w:rPr>
        <w:t>, Hackett</w:t>
      </w:r>
      <w:r>
        <w:rPr>
          <w:color w:val="000000"/>
          <w:sz w:val="22"/>
          <w:szCs w:val="22"/>
          <w:lang w:eastAsia="en-AU"/>
        </w:rPr>
        <w:t>,</w:t>
      </w:r>
      <w:r w:rsidRPr="00555DF0">
        <w:rPr>
          <w:color w:val="000000"/>
          <w:sz w:val="22"/>
          <w:szCs w:val="22"/>
          <w:lang w:eastAsia="en-AU"/>
        </w:rPr>
        <w:t xml:space="preserve"> G</w:t>
      </w:r>
      <w:r>
        <w:rPr>
          <w:color w:val="000000"/>
          <w:sz w:val="22"/>
          <w:szCs w:val="22"/>
          <w:lang w:eastAsia="en-AU"/>
        </w:rPr>
        <w:t>. and</w:t>
      </w:r>
      <w:r w:rsidRPr="00555DF0">
        <w:rPr>
          <w:color w:val="000000"/>
          <w:sz w:val="22"/>
          <w:szCs w:val="22"/>
          <w:lang w:eastAsia="en-AU"/>
        </w:rPr>
        <w:t xml:space="preserve"> </w:t>
      </w:r>
      <w:r w:rsidRPr="00874504">
        <w:rPr>
          <w:b/>
          <w:color w:val="000000"/>
          <w:sz w:val="22"/>
          <w:szCs w:val="22"/>
          <w:lang w:eastAsia="en-AU"/>
        </w:rPr>
        <w:t>Hale, R.</w:t>
      </w:r>
      <w:r w:rsidRPr="00555DF0">
        <w:rPr>
          <w:color w:val="000000"/>
          <w:sz w:val="22"/>
          <w:szCs w:val="22"/>
          <w:lang w:eastAsia="en-AU"/>
        </w:rPr>
        <w:t xml:space="preserve"> </w:t>
      </w:r>
      <w:r>
        <w:rPr>
          <w:color w:val="000000"/>
          <w:sz w:val="22"/>
          <w:szCs w:val="22"/>
          <w:lang w:eastAsia="en-AU"/>
        </w:rPr>
        <w:t>(</w:t>
      </w:r>
      <w:r w:rsidRPr="00555DF0">
        <w:rPr>
          <w:color w:val="000000"/>
          <w:sz w:val="22"/>
          <w:szCs w:val="22"/>
          <w:lang w:eastAsia="en-AU"/>
        </w:rPr>
        <w:t>2020</w:t>
      </w:r>
      <w:r>
        <w:rPr>
          <w:color w:val="000000"/>
          <w:sz w:val="22"/>
          <w:szCs w:val="22"/>
          <w:lang w:eastAsia="en-AU"/>
        </w:rPr>
        <w:t>)</w:t>
      </w:r>
      <w:r w:rsidRPr="00555DF0">
        <w:rPr>
          <w:color w:val="000000"/>
          <w:sz w:val="22"/>
          <w:szCs w:val="22"/>
          <w:lang w:eastAsia="en-AU"/>
        </w:rPr>
        <w:t xml:space="preserve">. Quantifying links between instream woody habitat and priority fish species in south eastern Australia to inform future restoration. </w:t>
      </w:r>
      <w:r w:rsidRPr="0070509D">
        <w:rPr>
          <w:i/>
          <w:iCs/>
          <w:color w:val="000000"/>
          <w:sz w:val="22"/>
          <w:szCs w:val="22"/>
          <w:lang w:eastAsia="en-AU"/>
        </w:rPr>
        <w:t>Aquatic Conservation: Marine and Freshwater Ecosystems</w:t>
      </w:r>
      <w:r w:rsidRPr="008F2D4D">
        <w:rPr>
          <w:color w:val="000000"/>
          <w:sz w:val="22"/>
          <w:szCs w:val="22"/>
          <w:lang w:eastAsia="en-AU"/>
        </w:rPr>
        <w:t xml:space="preserve"> </w:t>
      </w:r>
      <w:r w:rsidRPr="00874504">
        <w:rPr>
          <w:b/>
          <w:color w:val="000000"/>
          <w:sz w:val="22"/>
          <w:szCs w:val="22"/>
          <w:lang w:eastAsia="en-AU"/>
        </w:rPr>
        <w:t>30</w:t>
      </w:r>
      <w:r>
        <w:rPr>
          <w:color w:val="000000"/>
          <w:sz w:val="22"/>
          <w:szCs w:val="22"/>
          <w:lang w:eastAsia="en-AU"/>
        </w:rPr>
        <w:t>,</w:t>
      </w:r>
      <w:r w:rsidRPr="00555DF0">
        <w:rPr>
          <w:color w:val="000000"/>
          <w:sz w:val="22"/>
          <w:szCs w:val="22"/>
          <w:lang w:eastAsia="en-AU"/>
        </w:rPr>
        <w:t xml:space="preserve"> 1385</w:t>
      </w:r>
      <w:r>
        <w:rPr>
          <w:color w:val="000000"/>
          <w:sz w:val="22"/>
          <w:szCs w:val="22"/>
          <w:lang w:eastAsia="en-AU"/>
        </w:rPr>
        <w:t>–</w:t>
      </w:r>
      <w:r w:rsidRPr="00555DF0">
        <w:rPr>
          <w:color w:val="000000"/>
          <w:sz w:val="22"/>
          <w:szCs w:val="22"/>
          <w:lang w:eastAsia="en-AU"/>
        </w:rPr>
        <w:t>1396</w:t>
      </w:r>
      <w:r>
        <w:rPr>
          <w:color w:val="000000"/>
          <w:sz w:val="22"/>
          <w:szCs w:val="22"/>
          <w:lang w:eastAsia="en-AU"/>
        </w:rPr>
        <w:t>.</w:t>
      </w:r>
    </w:p>
    <w:p w14:paraId="11909017" w14:textId="35D515D6" w:rsidR="00491210" w:rsidRPr="00555DF0" w:rsidRDefault="00EE200C" w:rsidP="00A94F87">
      <w:pPr>
        <w:spacing w:before="240" w:after="240"/>
        <w:ind w:left="567" w:hanging="567"/>
        <w:rPr>
          <w:color w:val="000000"/>
          <w:sz w:val="22"/>
          <w:szCs w:val="22"/>
          <w:lang w:eastAsia="en-AU"/>
        </w:rPr>
      </w:pPr>
      <w:r w:rsidRPr="00555DF0">
        <w:rPr>
          <w:color w:val="000000"/>
          <w:sz w:val="22"/>
          <w:szCs w:val="22"/>
          <w:lang w:eastAsia="en-AU"/>
        </w:rPr>
        <w:t>Kitchingman</w:t>
      </w:r>
      <w:r>
        <w:rPr>
          <w:color w:val="000000"/>
          <w:sz w:val="22"/>
          <w:szCs w:val="22"/>
          <w:lang w:eastAsia="en-AU"/>
        </w:rPr>
        <w:t>,</w:t>
      </w:r>
      <w:r w:rsidRPr="00555DF0">
        <w:rPr>
          <w:color w:val="000000"/>
          <w:sz w:val="22"/>
          <w:szCs w:val="22"/>
          <w:lang w:eastAsia="en-AU"/>
        </w:rPr>
        <w:t xml:space="preserve"> A</w:t>
      </w:r>
      <w:r>
        <w:rPr>
          <w:color w:val="000000"/>
          <w:sz w:val="22"/>
          <w:szCs w:val="22"/>
          <w:lang w:eastAsia="en-AU"/>
        </w:rPr>
        <w:t>.</w:t>
      </w:r>
      <w:r w:rsidRPr="00555DF0">
        <w:rPr>
          <w:color w:val="000000"/>
          <w:sz w:val="22"/>
          <w:szCs w:val="22"/>
          <w:lang w:eastAsia="en-AU"/>
        </w:rPr>
        <w:t xml:space="preserve">, </w:t>
      </w:r>
      <w:r w:rsidRPr="00874504">
        <w:rPr>
          <w:b/>
          <w:color w:val="000000"/>
          <w:sz w:val="22"/>
          <w:szCs w:val="22"/>
          <w:lang w:eastAsia="en-AU"/>
        </w:rPr>
        <w:t>Hale, R.</w:t>
      </w:r>
      <w:r w:rsidRPr="00555DF0">
        <w:rPr>
          <w:color w:val="000000"/>
          <w:sz w:val="22"/>
          <w:szCs w:val="22"/>
          <w:lang w:eastAsia="en-AU"/>
        </w:rPr>
        <w:t>, Sharley</w:t>
      </w:r>
      <w:r>
        <w:rPr>
          <w:color w:val="000000"/>
          <w:sz w:val="22"/>
          <w:szCs w:val="22"/>
          <w:lang w:eastAsia="en-AU"/>
        </w:rPr>
        <w:t>,</w:t>
      </w:r>
      <w:r w:rsidRPr="00555DF0">
        <w:rPr>
          <w:color w:val="000000"/>
          <w:sz w:val="22"/>
          <w:szCs w:val="22"/>
          <w:lang w:eastAsia="en-AU"/>
        </w:rPr>
        <w:t xml:space="preserve"> J</w:t>
      </w:r>
      <w:r>
        <w:rPr>
          <w:color w:val="000000"/>
          <w:sz w:val="22"/>
          <w:szCs w:val="22"/>
          <w:lang w:eastAsia="en-AU"/>
        </w:rPr>
        <w:t>.</w:t>
      </w:r>
      <w:r w:rsidRPr="00555DF0">
        <w:rPr>
          <w:color w:val="000000"/>
          <w:sz w:val="22"/>
          <w:szCs w:val="22"/>
          <w:lang w:eastAsia="en-AU"/>
        </w:rPr>
        <w:t>, Zonkin</w:t>
      </w:r>
      <w:r>
        <w:rPr>
          <w:color w:val="000000"/>
          <w:sz w:val="22"/>
          <w:szCs w:val="22"/>
          <w:lang w:eastAsia="en-AU"/>
        </w:rPr>
        <w:t>,</w:t>
      </w:r>
      <w:r w:rsidRPr="00555DF0">
        <w:rPr>
          <w:color w:val="000000"/>
          <w:sz w:val="22"/>
          <w:szCs w:val="22"/>
          <w:lang w:eastAsia="en-AU"/>
        </w:rPr>
        <w:t xml:space="preserve"> Z</w:t>
      </w:r>
      <w:r>
        <w:rPr>
          <w:color w:val="000000"/>
          <w:sz w:val="22"/>
          <w:szCs w:val="22"/>
          <w:lang w:eastAsia="en-AU"/>
        </w:rPr>
        <w:t>. and</w:t>
      </w:r>
      <w:r w:rsidRPr="00555DF0">
        <w:rPr>
          <w:color w:val="000000"/>
          <w:sz w:val="22"/>
          <w:szCs w:val="22"/>
          <w:lang w:eastAsia="en-AU"/>
        </w:rPr>
        <w:t xml:space="preserve"> Reich</w:t>
      </w:r>
      <w:r>
        <w:rPr>
          <w:color w:val="000000"/>
          <w:sz w:val="22"/>
          <w:szCs w:val="22"/>
          <w:lang w:eastAsia="en-AU"/>
        </w:rPr>
        <w:t>,</w:t>
      </w:r>
      <w:r w:rsidRPr="00555DF0">
        <w:rPr>
          <w:color w:val="000000"/>
          <w:sz w:val="22"/>
          <w:szCs w:val="22"/>
          <w:lang w:eastAsia="en-AU"/>
        </w:rPr>
        <w:t xml:space="preserve"> P. (2020). An overview of instream habitat interventions across Victoria: a collation of data, benchmark guidance, and outcomes evaluation. Unpublished </w:t>
      </w:r>
      <w:r>
        <w:rPr>
          <w:color w:val="000000"/>
          <w:sz w:val="22"/>
          <w:szCs w:val="22"/>
          <w:lang w:eastAsia="en-AU"/>
        </w:rPr>
        <w:t>C</w:t>
      </w:r>
      <w:r w:rsidRPr="00555DF0">
        <w:rPr>
          <w:color w:val="000000"/>
          <w:sz w:val="22"/>
          <w:szCs w:val="22"/>
          <w:lang w:eastAsia="en-AU"/>
        </w:rPr>
        <w:t xml:space="preserve">lient </w:t>
      </w:r>
      <w:r>
        <w:rPr>
          <w:color w:val="000000"/>
          <w:sz w:val="22"/>
          <w:szCs w:val="22"/>
          <w:lang w:eastAsia="en-AU"/>
        </w:rPr>
        <w:t>R</w:t>
      </w:r>
      <w:r w:rsidRPr="00555DF0">
        <w:rPr>
          <w:color w:val="000000"/>
          <w:sz w:val="22"/>
          <w:szCs w:val="22"/>
          <w:lang w:eastAsia="en-AU"/>
        </w:rPr>
        <w:t>eport for the Department of Environment, Land, Water and Planning. Arthur Rylah Institute for Environmental Research, Department of Environment, Land, Water and Planning, Heidelberg, Victoria.</w:t>
      </w:r>
    </w:p>
    <w:p w14:paraId="71F48257" w14:textId="1FAB1846" w:rsidR="00491210" w:rsidRPr="00555DF0" w:rsidRDefault="00EE200C" w:rsidP="00A94F87">
      <w:pPr>
        <w:spacing w:before="240" w:after="240"/>
        <w:ind w:left="567" w:hanging="567"/>
        <w:rPr>
          <w:color w:val="000000"/>
          <w:sz w:val="22"/>
          <w:szCs w:val="22"/>
          <w:lang w:eastAsia="en-AU"/>
        </w:rPr>
      </w:pPr>
      <w:r w:rsidRPr="00555DF0">
        <w:rPr>
          <w:color w:val="000000"/>
          <w:sz w:val="22"/>
          <w:szCs w:val="22"/>
          <w:lang w:eastAsia="en-AU"/>
        </w:rPr>
        <w:t>Mole</w:t>
      </w:r>
      <w:r>
        <w:rPr>
          <w:color w:val="000000"/>
          <w:sz w:val="22"/>
          <w:szCs w:val="22"/>
          <w:lang w:eastAsia="en-AU"/>
        </w:rPr>
        <w:t>,</w:t>
      </w:r>
      <w:r w:rsidRPr="00555DF0">
        <w:rPr>
          <w:color w:val="000000"/>
          <w:sz w:val="22"/>
          <w:szCs w:val="22"/>
          <w:lang w:eastAsia="en-AU"/>
        </w:rPr>
        <w:t xml:space="preserve"> B</w:t>
      </w:r>
      <w:r>
        <w:rPr>
          <w:color w:val="000000"/>
          <w:sz w:val="22"/>
          <w:szCs w:val="22"/>
          <w:lang w:eastAsia="en-AU"/>
        </w:rPr>
        <w:t>.</w:t>
      </w:r>
      <w:r w:rsidRPr="00555DF0">
        <w:rPr>
          <w:color w:val="000000"/>
          <w:sz w:val="22"/>
          <w:szCs w:val="22"/>
          <w:lang w:eastAsia="en-AU"/>
        </w:rPr>
        <w:t>, Morris</w:t>
      </w:r>
      <w:r>
        <w:rPr>
          <w:color w:val="000000"/>
          <w:sz w:val="22"/>
          <w:szCs w:val="22"/>
          <w:lang w:eastAsia="en-AU"/>
        </w:rPr>
        <w:t>,</w:t>
      </w:r>
      <w:r w:rsidRPr="00555DF0">
        <w:rPr>
          <w:color w:val="000000"/>
          <w:sz w:val="22"/>
          <w:szCs w:val="22"/>
          <w:lang w:eastAsia="en-AU"/>
        </w:rPr>
        <w:t xml:space="preserve"> K</w:t>
      </w:r>
      <w:r>
        <w:rPr>
          <w:color w:val="000000"/>
          <w:sz w:val="22"/>
          <w:szCs w:val="22"/>
          <w:lang w:eastAsia="en-AU"/>
        </w:rPr>
        <w:t>.</w:t>
      </w:r>
      <w:r w:rsidRPr="00555DF0">
        <w:rPr>
          <w:color w:val="000000"/>
          <w:sz w:val="22"/>
          <w:szCs w:val="22"/>
          <w:lang w:eastAsia="en-AU"/>
        </w:rPr>
        <w:t>, Moloney</w:t>
      </w:r>
      <w:r>
        <w:rPr>
          <w:color w:val="000000"/>
          <w:sz w:val="22"/>
          <w:szCs w:val="22"/>
          <w:lang w:eastAsia="en-AU"/>
        </w:rPr>
        <w:t>,</w:t>
      </w:r>
      <w:r w:rsidRPr="00555DF0">
        <w:rPr>
          <w:color w:val="000000"/>
          <w:sz w:val="22"/>
          <w:szCs w:val="22"/>
          <w:lang w:eastAsia="en-AU"/>
        </w:rPr>
        <w:t xml:space="preserve"> P</w:t>
      </w:r>
      <w:r>
        <w:rPr>
          <w:color w:val="000000"/>
          <w:sz w:val="22"/>
          <w:szCs w:val="22"/>
          <w:lang w:eastAsia="en-AU"/>
        </w:rPr>
        <w:t>.</w:t>
      </w:r>
      <w:r w:rsidRPr="00555DF0">
        <w:rPr>
          <w:color w:val="000000"/>
          <w:sz w:val="22"/>
          <w:szCs w:val="22"/>
          <w:lang w:eastAsia="en-AU"/>
        </w:rPr>
        <w:t>, Sparrow</w:t>
      </w:r>
      <w:r>
        <w:rPr>
          <w:color w:val="000000"/>
          <w:sz w:val="22"/>
          <w:szCs w:val="22"/>
          <w:lang w:eastAsia="en-AU"/>
        </w:rPr>
        <w:t>,</w:t>
      </w:r>
      <w:r w:rsidRPr="00555DF0">
        <w:rPr>
          <w:color w:val="000000"/>
          <w:sz w:val="22"/>
          <w:szCs w:val="22"/>
          <w:lang w:eastAsia="en-AU"/>
        </w:rPr>
        <w:t xml:space="preserve"> A</w:t>
      </w:r>
      <w:r>
        <w:rPr>
          <w:color w:val="000000"/>
          <w:sz w:val="22"/>
          <w:szCs w:val="22"/>
          <w:lang w:eastAsia="en-AU"/>
        </w:rPr>
        <w:t>.</w:t>
      </w:r>
      <w:r w:rsidRPr="00555DF0">
        <w:rPr>
          <w:color w:val="000000"/>
          <w:sz w:val="22"/>
          <w:szCs w:val="22"/>
          <w:lang w:eastAsia="en-AU"/>
        </w:rPr>
        <w:t>, Reich</w:t>
      </w:r>
      <w:r>
        <w:rPr>
          <w:color w:val="000000"/>
          <w:sz w:val="22"/>
          <w:szCs w:val="22"/>
          <w:lang w:eastAsia="en-AU"/>
        </w:rPr>
        <w:t>,</w:t>
      </w:r>
      <w:r w:rsidRPr="00555DF0">
        <w:rPr>
          <w:color w:val="000000"/>
          <w:sz w:val="22"/>
          <w:szCs w:val="22"/>
          <w:lang w:eastAsia="en-AU"/>
        </w:rPr>
        <w:t xml:space="preserve"> P</w:t>
      </w:r>
      <w:r>
        <w:rPr>
          <w:color w:val="000000"/>
          <w:sz w:val="22"/>
          <w:szCs w:val="22"/>
          <w:lang w:eastAsia="en-AU"/>
        </w:rPr>
        <w:t>. and</w:t>
      </w:r>
      <w:r w:rsidRPr="00555DF0">
        <w:rPr>
          <w:color w:val="000000"/>
          <w:sz w:val="22"/>
          <w:szCs w:val="22"/>
          <w:lang w:eastAsia="en-AU"/>
        </w:rPr>
        <w:t xml:space="preserve"> </w:t>
      </w:r>
      <w:r w:rsidRPr="00874504">
        <w:rPr>
          <w:b/>
          <w:color w:val="000000"/>
          <w:sz w:val="22"/>
          <w:szCs w:val="22"/>
          <w:lang w:eastAsia="en-AU"/>
        </w:rPr>
        <w:t>Hale, R.</w:t>
      </w:r>
      <w:r w:rsidRPr="00555DF0">
        <w:rPr>
          <w:color w:val="000000"/>
          <w:sz w:val="22"/>
          <w:szCs w:val="22"/>
          <w:lang w:eastAsia="en-AU"/>
        </w:rPr>
        <w:t xml:space="preserve"> (2020)</w:t>
      </w:r>
      <w:r>
        <w:rPr>
          <w:color w:val="000000"/>
          <w:sz w:val="22"/>
          <w:szCs w:val="22"/>
          <w:lang w:eastAsia="en-AU"/>
        </w:rPr>
        <w:t>.</w:t>
      </w:r>
      <w:r w:rsidRPr="00555DF0">
        <w:rPr>
          <w:color w:val="000000"/>
          <w:sz w:val="22"/>
          <w:szCs w:val="22"/>
          <w:lang w:eastAsia="en-AU"/>
        </w:rPr>
        <w:t xml:space="preserve"> Riparian Intervention Monitoring Program, Second Progress Report. Unpublished </w:t>
      </w:r>
      <w:r>
        <w:rPr>
          <w:color w:val="000000"/>
          <w:sz w:val="22"/>
          <w:szCs w:val="22"/>
          <w:lang w:eastAsia="en-AU"/>
        </w:rPr>
        <w:t>C</w:t>
      </w:r>
      <w:r w:rsidRPr="00555DF0">
        <w:rPr>
          <w:color w:val="000000"/>
          <w:sz w:val="22"/>
          <w:szCs w:val="22"/>
          <w:lang w:eastAsia="en-AU"/>
        </w:rPr>
        <w:t xml:space="preserve">lient </w:t>
      </w:r>
      <w:r>
        <w:rPr>
          <w:color w:val="000000"/>
          <w:sz w:val="22"/>
          <w:szCs w:val="22"/>
          <w:lang w:eastAsia="en-AU"/>
        </w:rPr>
        <w:t>R</w:t>
      </w:r>
      <w:r w:rsidRPr="00555DF0">
        <w:rPr>
          <w:color w:val="000000"/>
          <w:sz w:val="22"/>
          <w:szCs w:val="22"/>
          <w:lang w:eastAsia="en-AU"/>
        </w:rPr>
        <w:t>eport for Water and Catchments, Department of Environment, Land, Water and Planning. Arthur Rylah Institute for Environmental Research, Department of Environment, Land, Water and Planning, Heidelberg, Victoria. 101 pp</w:t>
      </w:r>
      <w:r>
        <w:rPr>
          <w:color w:val="000000"/>
          <w:sz w:val="22"/>
          <w:szCs w:val="22"/>
          <w:lang w:eastAsia="en-AU"/>
        </w:rPr>
        <w:t>.</w:t>
      </w:r>
    </w:p>
    <w:p w14:paraId="4C394874" w14:textId="70B036F1" w:rsidR="00491210" w:rsidRPr="00555DF0" w:rsidRDefault="00EE200C" w:rsidP="00A94F87">
      <w:pPr>
        <w:spacing w:before="240" w:after="240"/>
        <w:ind w:left="567" w:hanging="567"/>
        <w:rPr>
          <w:color w:val="000000"/>
          <w:sz w:val="22"/>
          <w:szCs w:val="22"/>
          <w:lang w:eastAsia="en-AU"/>
        </w:rPr>
      </w:pPr>
      <w:r w:rsidRPr="00555DF0">
        <w:rPr>
          <w:color w:val="000000"/>
          <w:sz w:val="22"/>
          <w:szCs w:val="22"/>
          <w:lang w:eastAsia="en-AU"/>
        </w:rPr>
        <w:t>Koster</w:t>
      </w:r>
      <w:r>
        <w:rPr>
          <w:color w:val="000000"/>
          <w:sz w:val="22"/>
          <w:szCs w:val="22"/>
          <w:lang w:eastAsia="en-AU"/>
        </w:rPr>
        <w:t>,</w:t>
      </w:r>
      <w:r w:rsidRPr="00555DF0">
        <w:rPr>
          <w:color w:val="000000"/>
          <w:sz w:val="22"/>
          <w:szCs w:val="22"/>
          <w:lang w:eastAsia="en-AU"/>
        </w:rPr>
        <w:t xml:space="preserve"> W</w:t>
      </w:r>
      <w:r>
        <w:rPr>
          <w:color w:val="000000"/>
          <w:sz w:val="22"/>
          <w:szCs w:val="22"/>
          <w:lang w:eastAsia="en-AU"/>
        </w:rPr>
        <w:t>.</w:t>
      </w:r>
      <w:r w:rsidRPr="00555DF0">
        <w:rPr>
          <w:color w:val="000000"/>
          <w:sz w:val="22"/>
          <w:szCs w:val="22"/>
          <w:lang w:eastAsia="en-AU"/>
        </w:rPr>
        <w:t>M</w:t>
      </w:r>
      <w:r>
        <w:rPr>
          <w:color w:val="000000"/>
          <w:sz w:val="22"/>
          <w:szCs w:val="22"/>
          <w:lang w:eastAsia="en-AU"/>
        </w:rPr>
        <w:t>.</w:t>
      </w:r>
      <w:r w:rsidRPr="00555DF0">
        <w:rPr>
          <w:color w:val="000000"/>
          <w:sz w:val="22"/>
          <w:szCs w:val="22"/>
          <w:lang w:eastAsia="en-AU"/>
        </w:rPr>
        <w:t>, Dawson</w:t>
      </w:r>
      <w:r>
        <w:rPr>
          <w:color w:val="000000"/>
          <w:sz w:val="22"/>
          <w:szCs w:val="22"/>
          <w:lang w:eastAsia="en-AU"/>
        </w:rPr>
        <w:t>,</w:t>
      </w:r>
      <w:r w:rsidRPr="00555DF0">
        <w:rPr>
          <w:color w:val="000000"/>
          <w:sz w:val="22"/>
          <w:szCs w:val="22"/>
          <w:lang w:eastAsia="en-AU"/>
        </w:rPr>
        <w:t xml:space="preserve"> D</w:t>
      </w:r>
      <w:r>
        <w:rPr>
          <w:color w:val="000000"/>
          <w:sz w:val="22"/>
          <w:szCs w:val="22"/>
          <w:lang w:eastAsia="en-AU"/>
        </w:rPr>
        <w:t>.</w:t>
      </w:r>
      <w:r w:rsidRPr="00555DF0">
        <w:rPr>
          <w:color w:val="000000"/>
          <w:sz w:val="22"/>
          <w:szCs w:val="22"/>
          <w:lang w:eastAsia="en-AU"/>
        </w:rPr>
        <w:t>R</w:t>
      </w:r>
      <w:r>
        <w:rPr>
          <w:color w:val="000000"/>
          <w:sz w:val="22"/>
          <w:szCs w:val="22"/>
          <w:lang w:eastAsia="en-AU"/>
        </w:rPr>
        <w:t>.</w:t>
      </w:r>
      <w:r w:rsidRPr="00555DF0">
        <w:rPr>
          <w:color w:val="000000"/>
          <w:sz w:val="22"/>
          <w:szCs w:val="22"/>
          <w:lang w:eastAsia="en-AU"/>
        </w:rPr>
        <w:t>, Kitchingman</w:t>
      </w:r>
      <w:r>
        <w:rPr>
          <w:color w:val="000000"/>
          <w:sz w:val="22"/>
          <w:szCs w:val="22"/>
          <w:lang w:eastAsia="en-AU"/>
        </w:rPr>
        <w:t>,</w:t>
      </w:r>
      <w:r w:rsidRPr="00555DF0">
        <w:rPr>
          <w:color w:val="000000"/>
          <w:sz w:val="22"/>
          <w:szCs w:val="22"/>
          <w:lang w:eastAsia="en-AU"/>
        </w:rPr>
        <w:t xml:space="preserve"> A</w:t>
      </w:r>
      <w:r>
        <w:rPr>
          <w:color w:val="000000"/>
          <w:sz w:val="22"/>
          <w:szCs w:val="22"/>
          <w:lang w:eastAsia="en-AU"/>
        </w:rPr>
        <w:t>.</w:t>
      </w:r>
      <w:r w:rsidRPr="00555DF0">
        <w:rPr>
          <w:color w:val="000000"/>
          <w:sz w:val="22"/>
          <w:szCs w:val="22"/>
          <w:lang w:eastAsia="en-AU"/>
        </w:rPr>
        <w:t>, Moloney</w:t>
      </w:r>
      <w:r>
        <w:rPr>
          <w:color w:val="000000"/>
          <w:sz w:val="22"/>
          <w:szCs w:val="22"/>
          <w:lang w:eastAsia="en-AU"/>
        </w:rPr>
        <w:t>,</w:t>
      </w:r>
      <w:r w:rsidRPr="00555DF0">
        <w:rPr>
          <w:color w:val="000000"/>
          <w:sz w:val="22"/>
          <w:szCs w:val="22"/>
          <w:lang w:eastAsia="en-AU"/>
        </w:rPr>
        <w:t xml:space="preserve"> P</w:t>
      </w:r>
      <w:r>
        <w:rPr>
          <w:color w:val="000000"/>
          <w:sz w:val="22"/>
          <w:szCs w:val="22"/>
          <w:lang w:eastAsia="en-AU"/>
        </w:rPr>
        <w:t>.</w:t>
      </w:r>
      <w:r w:rsidRPr="00555DF0">
        <w:rPr>
          <w:color w:val="000000"/>
          <w:sz w:val="22"/>
          <w:szCs w:val="22"/>
          <w:lang w:eastAsia="en-AU"/>
        </w:rPr>
        <w:t>D</w:t>
      </w:r>
      <w:r>
        <w:rPr>
          <w:color w:val="000000"/>
          <w:sz w:val="22"/>
          <w:szCs w:val="22"/>
          <w:lang w:eastAsia="en-AU"/>
        </w:rPr>
        <w:t>. and</w:t>
      </w:r>
      <w:r w:rsidRPr="00555DF0">
        <w:rPr>
          <w:color w:val="000000"/>
          <w:sz w:val="22"/>
          <w:szCs w:val="22"/>
          <w:lang w:eastAsia="en-AU"/>
        </w:rPr>
        <w:t xml:space="preserve"> </w:t>
      </w:r>
      <w:r w:rsidRPr="00874504">
        <w:rPr>
          <w:b/>
          <w:color w:val="000000"/>
          <w:sz w:val="22"/>
          <w:szCs w:val="22"/>
          <w:lang w:eastAsia="en-AU"/>
        </w:rPr>
        <w:t>Hale, R.</w:t>
      </w:r>
      <w:r w:rsidRPr="00555DF0">
        <w:rPr>
          <w:color w:val="000000"/>
          <w:sz w:val="22"/>
          <w:szCs w:val="22"/>
          <w:lang w:eastAsia="en-AU"/>
        </w:rPr>
        <w:t xml:space="preserve"> </w:t>
      </w:r>
      <w:r>
        <w:rPr>
          <w:color w:val="000000"/>
          <w:sz w:val="22"/>
          <w:szCs w:val="22"/>
          <w:lang w:eastAsia="en-AU"/>
        </w:rPr>
        <w:t>(</w:t>
      </w:r>
      <w:r w:rsidRPr="00555DF0">
        <w:rPr>
          <w:color w:val="000000"/>
          <w:sz w:val="22"/>
          <w:szCs w:val="22"/>
          <w:lang w:eastAsia="en-AU"/>
        </w:rPr>
        <w:t>2020</w:t>
      </w:r>
      <w:r>
        <w:rPr>
          <w:color w:val="000000"/>
          <w:sz w:val="22"/>
          <w:szCs w:val="22"/>
          <w:lang w:eastAsia="en-AU"/>
        </w:rPr>
        <w:t>)</w:t>
      </w:r>
      <w:r w:rsidRPr="00555DF0">
        <w:rPr>
          <w:color w:val="000000"/>
          <w:sz w:val="22"/>
          <w:szCs w:val="22"/>
          <w:lang w:eastAsia="en-AU"/>
        </w:rPr>
        <w:t xml:space="preserve">. Habitat use, movement and activity of two large-bodied native riverine fishes in a regulated lowland weir pool. </w:t>
      </w:r>
      <w:r w:rsidRPr="0070509D">
        <w:rPr>
          <w:i/>
          <w:iCs/>
          <w:color w:val="000000"/>
          <w:sz w:val="22"/>
          <w:szCs w:val="22"/>
          <w:lang w:eastAsia="en-AU"/>
        </w:rPr>
        <w:t>Journal of Fish</w:t>
      </w:r>
      <w:r w:rsidRPr="00555DF0">
        <w:rPr>
          <w:color w:val="000000"/>
          <w:sz w:val="22"/>
          <w:szCs w:val="22"/>
          <w:lang w:eastAsia="en-AU"/>
        </w:rPr>
        <w:t xml:space="preserve"> </w:t>
      </w:r>
      <w:r w:rsidRPr="0070509D">
        <w:rPr>
          <w:i/>
          <w:iCs/>
          <w:color w:val="000000"/>
          <w:sz w:val="22"/>
          <w:szCs w:val="22"/>
          <w:lang w:eastAsia="en-AU"/>
        </w:rPr>
        <w:t>Biology</w:t>
      </w:r>
      <w:r w:rsidRPr="00555DF0">
        <w:rPr>
          <w:color w:val="000000"/>
          <w:sz w:val="22"/>
          <w:szCs w:val="22"/>
          <w:lang w:eastAsia="en-AU"/>
        </w:rPr>
        <w:t xml:space="preserve"> </w:t>
      </w:r>
      <w:r w:rsidRPr="00874504">
        <w:rPr>
          <w:b/>
          <w:color w:val="000000"/>
          <w:sz w:val="22"/>
          <w:szCs w:val="22"/>
          <w:lang w:eastAsia="en-AU"/>
        </w:rPr>
        <w:t>96</w:t>
      </w:r>
      <w:r>
        <w:rPr>
          <w:color w:val="000000"/>
          <w:sz w:val="22"/>
          <w:szCs w:val="22"/>
          <w:lang w:eastAsia="en-AU"/>
        </w:rPr>
        <w:t>,</w:t>
      </w:r>
      <w:r w:rsidRPr="00555DF0">
        <w:rPr>
          <w:color w:val="000000"/>
          <w:sz w:val="22"/>
          <w:szCs w:val="22"/>
          <w:lang w:eastAsia="en-AU"/>
        </w:rPr>
        <w:t xml:space="preserve"> 782</w:t>
      </w:r>
      <w:r>
        <w:rPr>
          <w:color w:val="000000"/>
          <w:sz w:val="22"/>
          <w:szCs w:val="22"/>
          <w:lang w:eastAsia="en-AU"/>
        </w:rPr>
        <w:t>–</w:t>
      </w:r>
      <w:r w:rsidRPr="00555DF0">
        <w:rPr>
          <w:color w:val="000000"/>
          <w:sz w:val="22"/>
          <w:szCs w:val="22"/>
          <w:lang w:eastAsia="en-AU"/>
        </w:rPr>
        <w:t>784</w:t>
      </w:r>
      <w:r>
        <w:rPr>
          <w:color w:val="000000"/>
          <w:sz w:val="22"/>
          <w:szCs w:val="22"/>
          <w:lang w:eastAsia="en-AU"/>
        </w:rPr>
        <w:t>.</w:t>
      </w:r>
    </w:p>
    <w:p w14:paraId="4C9D65ED" w14:textId="5EF58186" w:rsidR="00491210" w:rsidRPr="00555DF0" w:rsidRDefault="00EE200C" w:rsidP="00A94F87">
      <w:pPr>
        <w:spacing w:before="240" w:after="240"/>
        <w:ind w:left="567" w:hanging="567"/>
        <w:rPr>
          <w:color w:val="000000"/>
          <w:sz w:val="22"/>
          <w:szCs w:val="22"/>
          <w:lang w:eastAsia="en-AU"/>
        </w:rPr>
      </w:pPr>
      <w:r w:rsidRPr="00874504">
        <w:rPr>
          <w:b/>
          <w:color w:val="000000"/>
          <w:sz w:val="22"/>
          <w:szCs w:val="22"/>
          <w:lang w:eastAsia="en-AU"/>
        </w:rPr>
        <w:t>Hale, R.</w:t>
      </w:r>
      <w:r>
        <w:rPr>
          <w:color w:val="000000"/>
          <w:sz w:val="22"/>
          <w:szCs w:val="22"/>
          <w:lang w:eastAsia="en-AU"/>
        </w:rPr>
        <w:t xml:space="preserve">, </w:t>
      </w:r>
      <w:r w:rsidRPr="00555DF0">
        <w:rPr>
          <w:color w:val="000000"/>
          <w:sz w:val="22"/>
          <w:szCs w:val="22"/>
          <w:lang w:eastAsia="en-AU"/>
        </w:rPr>
        <w:t>Mac Nally R</w:t>
      </w:r>
      <w:r>
        <w:rPr>
          <w:color w:val="000000"/>
          <w:sz w:val="22"/>
          <w:szCs w:val="22"/>
          <w:lang w:eastAsia="en-AU"/>
        </w:rPr>
        <w:t>.</w:t>
      </w:r>
      <w:r w:rsidRPr="00555DF0">
        <w:rPr>
          <w:color w:val="000000"/>
          <w:sz w:val="22"/>
          <w:szCs w:val="22"/>
          <w:lang w:eastAsia="en-AU"/>
        </w:rPr>
        <w:t>, Blumstein</w:t>
      </w:r>
      <w:r>
        <w:rPr>
          <w:color w:val="000000"/>
          <w:sz w:val="22"/>
          <w:szCs w:val="22"/>
          <w:lang w:eastAsia="en-AU"/>
        </w:rPr>
        <w:t>,</w:t>
      </w:r>
      <w:r w:rsidRPr="00555DF0">
        <w:rPr>
          <w:color w:val="000000"/>
          <w:sz w:val="22"/>
          <w:szCs w:val="22"/>
          <w:lang w:eastAsia="en-AU"/>
        </w:rPr>
        <w:t xml:space="preserve"> D</w:t>
      </w:r>
      <w:r>
        <w:rPr>
          <w:color w:val="000000"/>
          <w:sz w:val="22"/>
          <w:szCs w:val="22"/>
          <w:lang w:eastAsia="en-AU"/>
        </w:rPr>
        <w:t>.T. and</w:t>
      </w:r>
      <w:r w:rsidRPr="00555DF0">
        <w:rPr>
          <w:color w:val="000000"/>
          <w:sz w:val="22"/>
          <w:szCs w:val="22"/>
          <w:lang w:eastAsia="en-AU"/>
        </w:rPr>
        <w:t xml:space="preserve"> Swearer</w:t>
      </w:r>
      <w:r>
        <w:rPr>
          <w:color w:val="000000"/>
          <w:sz w:val="22"/>
          <w:szCs w:val="22"/>
          <w:lang w:eastAsia="en-AU"/>
        </w:rPr>
        <w:t>,</w:t>
      </w:r>
      <w:r w:rsidRPr="00555DF0">
        <w:rPr>
          <w:color w:val="000000"/>
          <w:sz w:val="22"/>
          <w:szCs w:val="22"/>
          <w:lang w:eastAsia="en-AU"/>
        </w:rPr>
        <w:t xml:space="preserve"> S</w:t>
      </w:r>
      <w:r>
        <w:rPr>
          <w:color w:val="000000"/>
          <w:sz w:val="22"/>
          <w:szCs w:val="22"/>
          <w:lang w:eastAsia="en-AU"/>
        </w:rPr>
        <w:t>.</w:t>
      </w:r>
      <w:r w:rsidRPr="00555DF0">
        <w:rPr>
          <w:color w:val="000000"/>
          <w:sz w:val="22"/>
          <w:szCs w:val="22"/>
          <w:lang w:eastAsia="en-AU"/>
        </w:rPr>
        <w:t xml:space="preserve">E. </w:t>
      </w:r>
      <w:r>
        <w:rPr>
          <w:color w:val="000000"/>
          <w:sz w:val="22"/>
          <w:szCs w:val="22"/>
          <w:lang w:eastAsia="en-AU"/>
        </w:rPr>
        <w:t>(</w:t>
      </w:r>
      <w:r w:rsidRPr="00555DF0">
        <w:rPr>
          <w:color w:val="000000"/>
          <w:sz w:val="22"/>
          <w:szCs w:val="22"/>
          <w:lang w:eastAsia="en-AU"/>
        </w:rPr>
        <w:t>2019</w:t>
      </w:r>
      <w:r>
        <w:rPr>
          <w:color w:val="000000"/>
          <w:sz w:val="22"/>
          <w:szCs w:val="22"/>
          <w:lang w:eastAsia="en-AU"/>
        </w:rPr>
        <w:t>)</w:t>
      </w:r>
      <w:r w:rsidRPr="00555DF0">
        <w:rPr>
          <w:color w:val="000000"/>
          <w:sz w:val="22"/>
          <w:szCs w:val="22"/>
          <w:lang w:eastAsia="en-AU"/>
        </w:rPr>
        <w:t xml:space="preserve">. Evaluating how and where habitat restoration is undertaken for animals. </w:t>
      </w:r>
      <w:r w:rsidRPr="0070509D">
        <w:rPr>
          <w:i/>
          <w:iCs/>
          <w:color w:val="000000"/>
          <w:sz w:val="22"/>
          <w:szCs w:val="22"/>
          <w:lang w:eastAsia="en-AU"/>
        </w:rPr>
        <w:t>Restoration Ecology</w:t>
      </w:r>
      <w:r w:rsidRPr="00555DF0">
        <w:rPr>
          <w:color w:val="000000"/>
          <w:sz w:val="22"/>
          <w:szCs w:val="22"/>
          <w:lang w:eastAsia="en-AU"/>
        </w:rPr>
        <w:t xml:space="preserve"> </w:t>
      </w:r>
      <w:r w:rsidRPr="00874504">
        <w:rPr>
          <w:b/>
          <w:color w:val="000000"/>
          <w:sz w:val="22"/>
          <w:szCs w:val="22"/>
          <w:lang w:eastAsia="en-AU"/>
        </w:rPr>
        <w:t>27</w:t>
      </w:r>
      <w:r>
        <w:rPr>
          <w:color w:val="000000"/>
          <w:sz w:val="22"/>
          <w:szCs w:val="22"/>
          <w:lang w:eastAsia="en-AU"/>
        </w:rPr>
        <w:t>,</w:t>
      </w:r>
      <w:r w:rsidRPr="00555DF0">
        <w:rPr>
          <w:color w:val="000000"/>
          <w:sz w:val="22"/>
          <w:szCs w:val="22"/>
          <w:lang w:eastAsia="en-AU"/>
        </w:rPr>
        <w:t xml:space="preserve"> 775</w:t>
      </w:r>
      <w:r>
        <w:rPr>
          <w:color w:val="000000"/>
          <w:sz w:val="22"/>
          <w:szCs w:val="22"/>
          <w:lang w:eastAsia="en-AU"/>
        </w:rPr>
        <w:t>–</w:t>
      </w:r>
      <w:r w:rsidRPr="00555DF0">
        <w:rPr>
          <w:color w:val="000000"/>
          <w:sz w:val="22"/>
          <w:szCs w:val="22"/>
          <w:lang w:eastAsia="en-AU"/>
        </w:rPr>
        <w:t>781</w:t>
      </w:r>
      <w:r>
        <w:rPr>
          <w:color w:val="000000"/>
          <w:sz w:val="22"/>
          <w:szCs w:val="22"/>
          <w:lang w:eastAsia="en-AU"/>
        </w:rPr>
        <w:t>.</w:t>
      </w:r>
    </w:p>
    <w:p w14:paraId="4D5C227E" w14:textId="1CA6378E" w:rsidR="00491210" w:rsidRPr="00555DF0" w:rsidRDefault="00EE200C" w:rsidP="00A94F87">
      <w:pPr>
        <w:spacing w:before="240" w:after="240"/>
        <w:ind w:left="567" w:hanging="567"/>
        <w:rPr>
          <w:color w:val="000000"/>
          <w:sz w:val="22"/>
          <w:szCs w:val="22"/>
          <w:lang w:eastAsia="en-AU"/>
        </w:rPr>
      </w:pPr>
      <w:r w:rsidRPr="00874504">
        <w:rPr>
          <w:b/>
          <w:color w:val="000000"/>
          <w:sz w:val="22"/>
          <w:szCs w:val="22"/>
          <w:lang w:eastAsia="en-AU"/>
        </w:rPr>
        <w:t>Hale, R.</w:t>
      </w:r>
      <w:r w:rsidRPr="00555DF0">
        <w:rPr>
          <w:color w:val="000000"/>
          <w:sz w:val="22"/>
          <w:szCs w:val="22"/>
          <w:lang w:eastAsia="en-AU"/>
        </w:rPr>
        <w:t>, Colton</w:t>
      </w:r>
      <w:r>
        <w:rPr>
          <w:color w:val="000000"/>
          <w:sz w:val="22"/>
          <w:szCs w:val="22"/>
          <w:lang w:eastAsia="en-AU"/>
        </w:rPr>
        <w:t>,</w:t>
      </w:r>
      <w:r w:rsidRPr="00555DF0">
        <w:rPr>
          <w:color w:val="000000"/>
          <w:sz w:val="22"/>
          <w:szCs w:val="22"/>
          <w:lang w:eastAsia="en-AU"/>
        </w:rPr>
        <w:t xml:space="preserve"> M</w:t>
      </w:r>
      <w:r>
        <w:rPr>
          <w:color w:val="000000"/>
          <w:sz w:val="22"/>
          <w:szCs w:val="22"/>
          <w:lang w:eastAsia="en-AU"/>
        </w:rPr>
        <w:t>.</w:t>
      </w:r>
      <w:r w:rsidRPr="00555DF0">
        <w:rPr>
          <w:color w:val="000000"/>
          <w:sz w:val="22"/>
          <w:szCs w:val="22"/>
          <w:lang w:eastAsia="en-AU"/>
        </w:rPr>
        <w:t>, Peng</w:t>
      </w:r>
      <w:r>
        <w:rPr>
          <w:color w:val="000000"/>
          <w:sz w:val="22"/>
          <w:szCs w:val="22"/>
          <w:lang w:eastAsia="en-AU"/>
        </w:rPr>
        <w:t>,</w:t>
      </w:r>
      <w:r w:rsidRPr="00555DF0">
        <w:rPr>
          <w:color w:val="000000"/>
          <w:sz w:val="22"/>
          <w:szCs w:val="22"/>
          <w:lang w:eastAsia="en-AU"/>
        </w:rPr>
        <w:t xml:space="preserve"> P</w:t>
      </w:r>
      <w:r>
        <w:rPr>
          <w:color w:val="000000"/>
          <w:sz w:val="22"/>
          <w:szCs w:val="22"/>
          <w:lang w:eastAsia="en-AU"/>
        </w:rPr>
        <w:t>. and</w:t>
      </w:r>
      <w:r w:rsidRPr="00555DF0">
        <w:rPr>
          <w:color w:val="000000"/>
          <w:sz w:val="22"/>
          <w:szCs w:val="22"/>
          <w:lang w:eastAsia="en-AU"/>
        </w:rPr>
        <w:t xml:space="preserve"> Swearer</w:t>
      </w:r>
      <w:r>
        <w:rPr>
          <w:color w:val="000000"/>
          <w:sz w:val="22"/>
          <w:szCs w:val="22"/>
          <w:lang w:eastAsia="en-AU"/>
        </w:rPr>
        <w:t>,</w:t>
      </w:r>
      <w:r w:rsidRPr="00555DF0">
        <w:rPr>
          <w:color w:val="000000"/>
          <w:sz w:val="22"/>
          <w:szCs w:val="22"/>
          <w:lang w:eastAsia="en-AU"/>
        </w:rPr>
        <w:t xml:space="preserve"> S</w:t>
      </w:r>
      <w:r>
        <w:rPr>
          <w:color w:val="000000"/>
          <w:sz w:val="22"/>
          <w:szCs w:val="22"/>
          <w:lang w:eastAsia="en-AU"/>
        </w:rPr>
        <w:t>.</w:t>
      </w:r>
      <w:r w:rsidRPr="00555DF0">
        <w:rPr>
          <w:color w:val="000000"/>
          <w:sz w:val="22"/>
          <w:szCs w:val="22"/>
          <w:lang w:eastAsia="en-AU"/>
        </w:rPr>
        <w:t>E. 2019. Do spatial scale and life history affect fish</w:t>
      </w:r>
      <w:r>
        <w:rPr>
          <w:color w:val="000000"/>
          <w:sz w:val="22"/>
          <w:szCs w:val="22"/>
          <w:lang w:eastAsia="en-AU"/>
        </w:rPr>
        <w:t>–</w:t>
      </w:r>
      <w:r w:rsidRPr="00555DF0">
        <w:rPr>
          <w:color w:val="000000"/>
          <w:sz w:val="22"/>
          <w:szCs w:val="22"/>
          <w:lang w:eastAsia="en-AU"/>
        </w:rPr>
        <w:t xml:space="preserve">habitat relationships? </w:t>
      </w:r>
      <w:r w:rsidRPr="0070509D">
        <w:rPr>
          <w:i/>
          <w:iCs/>
          <w:color w:val="000000"/>
          <w:sz w:val="22"/>
          <w:szCs w:val="22"/>
          <w:lang w:eastAsia="en-AU"/>
        </w:rPr>
        <w:t>Journal of Animal Ecology</w:t>
      </w:r>
      <w:r w:rsidRPr="00555DF0">
        <w:rPr>
          <w:color w:val="000000"/>
          <w:sz w:val="22"/>
          <w:szCs w:val="22"/>
          <w:lang w:eastAsia="en-AU"/>
        </w:rPr>
        <w:t xml:space="preserve"> </w:t>
      </w:r>
      <w:r w:rsidRPr="00874504">
        <w:rPr>
          <w:b/>
          <w:color w:val="000000"/>
          <w:sz w:val="22"/>
          <w:szCs w:val="22"/>
          <w:lang w:eastAsia="en-AU"/>
        </w:rPr>
        <w:t>88</w:t>
      </w:r>
      <w:r>
        <w:rPr>
          <w:color w:val="000000"/>
          <w:sz w:val="22"/>
          <w:szCs w:val="22"/>
          <w:lang w:eastAsia="en-AU"/>
        </w:rPr>
        <w:t>,</w:t>
      </w:r>
      <w:r w:rsidRPr="00555DF0">
        <w:rPr>
          <w:color w:val="000000"/>
          <w:sz w:val="22"/>
          <w:szCs w:val="22"/>
          <w:lang w:eastAsia="en-AU"/>
        </w:rPr>
        <w:t xml:space="preserve"> 439</w:t>
      </w:r>
      <w:r>
        <w:rPr>
          <w:color w:val="000000"/>
          <w:sz w:val="22"/>
          <w:szCs w:val="22"/>
          <w:lang w:eastAsia="en-AU"/>
        </w:rPr>
        <w:t>–</w:t>
      </w:r>
      <w:r w:rsidRPr="00555DF0">
        <w:rPr>
          <w:color w:val="000000"/>
          <w:sz w:val="22"/>
          <w:szCs w:val="22"/>
          <w:lang w:eastAsia="en-AU"/>
        </w:rPr>
        <w:t>449</w:t>
      </w:r>
      <w:r>
        <w:rPr>
          <w:color w:val="000000"/>
          <w:sz w:val="22"/>
          <w:szCs w:val="22"/>
          <w:lang w:eastAsia="en-AU"/>
        </w:rPr>
        <w:t>.</w:t>
      </w:r>
    </w:p>
    <w:p w14:paraId="62A41D1A" w14:textId="5A52B0D9" w:rsidR="00491210" w:rsidRPr="00555DF0" w:rsidRDefault="00EE200C" w:rsidP="00A94F87">
      <w:pPr>
        <w:spacing w:before="240" w:after="240"/>
        <w:ind w:left="567" w:hanging="567"/>
        <w:rPr>
          <w:color w:val="000000"/>
          <w:sz w:val="22"/>
          <w:szCs w:val="22"/>
          <w:lang w:eastAsia="en-AU"/>
        </w:rPr>
      </w:pPr>
      <w:r w:rsidRPr="00874504">
        <w:rPr>
          <w:b/>
          <w:color w:val="000000"/>
          <w:sz w:val="22"/>
          <w:szCs w:val="22"/>
          <w:lang w:eastAsia="en-AU"/>
        </w:rPr>
        <w:t>Hale, R.</w:t>
      </w:r>
      <w:r w:rsidRPr="00555DF0">
        <w:rPr>
          <w:color w:val="000000"/>
          <w:sz w:val="22"/>
          <w:szCs w:val="22"/>
          <w:lang w:eastAsia="en-AU"/>
        </w:rPr>
        <w:t>, Brooks</w:t>
      </w:r>
      <w:r>
        <w:rPr>
          <w:color w:val="000000"/>
          <w:sz w:val="22"/>
          <w:szCs w:val="22"/>
          <w:lang w:eastAsia="en-AU"/>
        </w:rPr>
        <w:t>,</w:t>
      </w:r>
      <w:r w:rsidRPr="00555DF0">
        <w:rPr>
          <w:color w:val="000000"/>
          <w:sz w:val="22"/>
          <w:szCs w:val="22"/>
          <w:lang w:eastAsia="en-AU"/>
        </w:rPr>
        <w:t xml:space="preserve"> S</w:t>
      </w:r>
      <w:r>
        <w:rPr>
          <w:color w:val="000000"/>
          <w:sz w:val="22"/>
          <w:szCs w:val="22"/>
          <w:lang w:eastAsia="en-AU"/>
        </w:rPr>
        <w:t>.</w:t>
      </w:r>
      <w:r w:rsidRPr="00555DF0">
        <w:rPr>
          <w:color w:val="000000"/>
          <w:sz w:val="22"/>
          <w:szCs w:val="22"/>
          <w:lang w:eastAsia="en-AU"/>
        </w:rPr>
        <w:t>, Crowther</w:t>
      </w:r>
      <w:r>
        <w:rPr>
          <w:color w:val="000000"/>
          <w:sz w:val="22"/>
          <w:szCs w:val="22"/>
          <w:lang w:eastAsia="en-AU"/>
        </w:rPr>
        <w:t>,</w:t>
      </w:r>
      <w:r w:rsidRPr="00555DF0">
        <w:rPr>
          <w:color w:val="000000"/>
          <w:sz w:val="22"/>
          <w:szCs w:val="22"/>
          <w:lang w:eastAsia="en-AU"/>
        </w:rPr>
        <w:t xml:space="preserve"> D</w:t>
      </w:r>
      <w:r>
        <w:rPr>
          <w:color w:val="000000"/>
          <w:sz w:val="22"/>
          <w:szCs w:val="22"/>
          <w:lang w:eastAsia="en-AU"/>
        </w:rPr>
        <w:t>. and</w:t>
      </w:r>
      <w:r w:rsidRPr="00555DF0">
        <w:rPr>
          <w:color w:val="000000"/>
          <w:sz w:val="22"/>
          <w:szCs w:val="22"/>
          <w:lang w:eastAsia="en-AU"/>
        </w:rPr>
        <w:t xml:space="preserve"> Papas</w:t>
      </w:r>
      <w:r>
        <w:rPr>
          <w:color w:val="000000"/>
          <w:sz w:val="22"/>
          <w:szCs w:val="22"/>
          <w:lang w:eastAsia="en-AU"/>
        </w:rPr>
        <w:t>,</w:t>
      </w:r>
      <w:r w:rsidRPr="00555DF0">
        <w:rPr>
          <w:color w:val="000000"/>
          <w:sz w:val="22"/>
          <w:szCs w:val="22"/>
          <w:lang w:eastAsia="en-AU"/>
        </w:rPr>
        <w:t xml:space="preserve"> P. </w:t>
      </w:r>
      <w:r>
        <w:rPr>
          <w:color w:val="000000"/>
          <w:sz w:val="22"/>
          <w:szCs w:val="22"/>
          <w:lang w:eastAsia="en-AU"/>
        </w:rPr>
        <w:t>(</w:t>
      </w:r>
      <w:r w:rsidRPr="00555DF0">
        <w:rPr>
          <w:color w:val="000000"/>
          <w:sz w:val="22"/>
          <w:szCs w:val="22"/>
          <w:lang w:eastAsia="en-AU"/>
        </w:rPr>
        <w:t>2018</w:t>
      </w:r>
      <w:r>
        <w:rPr>
          <w:color w:val="000000"/>
          <w:sz w:val="22"/>
          <w:szCs w:val="22"/>
          <w:lang w:eastAsia="en-AU"/>
        </w:rPr>
        <w:t>)</w:t>
      </w:r>
      <w:r w:rsidRPr="00555DF0">
        <w:rPr>
          <w:color w:val="000000"/>
          <w:sz w:val="22"/>
          <w:szCs w:val="22"/>
          <w:lang w:eastAsia="en-AU"/>
        </w:rPr>
        <w:t>. Riparian and Aquatic Health Monitoring Program Years 1</w:t>
      </w:r>
      <w:r>
        <w:rPr>
          <w:color w:val="000000"/>
          <w:sz w:val="22"/>
          <w:szCs w:val="22"/>
          <w:lang w:eastAsia="en-AU"/>
        </w:rPr>
        <w:t>–</w:t>
      </w:r>
      <w:r w:rsidRPr="00555DF0">
        <w:rPr>
          <w:color w:val="000000"/>
          <w:sz w:val="22"/>
          <w:szCs w:val="22"/>
          <w:lang w:eastAsia="en-AU"/>
        </w:rPr>
        <w:t xml:space="preserve">3: South-West Slopes of NSW. Arthur Rylah Institute for Environmental </w:t>
      </w:r>
      <w:r w:rsidRPr="00555DF0">
        <w:rPr>
          <w:color w:val="000000"/>
          <w:sz w:val="22"/>
          <w:szCs w:val="22"/>
          <w:lang w:eastAsia="en-AU"/>
        </w:rPr>
        <w:lastRenderedPageBreak/>
        <w:t>Research Technical Report. Department of Environment, Water, Land and Planning. Heidelberg, Victoria. 61 pp.</w:t>
      </w:r>
    </w:p>
    <w:p w14:paraId="7C143410" w14:textId="7F4D1D91" w:rsidR="00491210" w:rsidRDefault="00EE200C" w:rsidP="00A94F87">
      <w:pPr>
        <w:spacing w:before="240" w:after="240"/>
        <w:ind w:left="567" w:hanging="567"/>
        <w:rPr>
          <w:color w:val="000000"/>
          <w:sz w:val="22"/>
          <w:szCs w:val="22"/>
          <w:lang w:eastAsia="en-AU"/>
        </w:rPr>
      </w:pPr>
      <w:r w:rsidRPr="00555DF0">
        <w:rPr>
          <w:color w:val="000000"/>
          <w:sz w:val="22"/>
          <w:szCs w:val="22"/>
          <w:lang w:eastAsia="en-AU"/>
        </w:rPr>
        <w:t>Sievers</w:t>
      </w:r>
      <w:r>
        <w:rPr>
          <w:color w:val="000000"/>
          <w:sz w:val="22"/>
          <w:szCs w:val="22"/>
          <w:lang w:eastAsia="en-AU"/>
        </w:rPr>
        <w:t>,</w:t>
      </w:r>
      <w:r w:rsidRPr="00555DF0">
        <w:rPr>
          <w:color w:val="000000"/>
          <w:sz w:val="22"/>
          <w:szCs w:val="22"/>
          <w:lang w:eastAsia="en-AU"/>
        </w:rPr>
        <w:t xml:space="preserve"> M</w:t>
      </w:r>
      <w:r>
        <w:rPr>
          <w:color w:val="000000"/>
          <w:sz w:val="22"/>
          <w:szCs w:val="22"/>
          <w:lang w:eastAsia="en-AU"/>
        </w:rPr>
        <w:t>.</w:t>
      </w:r>
      <w:r w:rsidRPr="00555DF0">
        <w:rPr>
          <w:color w:val="000000"/>
          <w:sz w:val="22"/>
          <w:szCs w:val="22"/>
          <w:lang w:eastAsia="en-AU"/>
        </w:rPr>
        <w:t xml:space="preserve">, </w:t>
      </w:r>
      <w:r w:rsidRPr="00874504">
        <w:rPr>
          <w:b/>
          <w:color w:val="000000"/>
          <w:sz w:val="22"/>
          <w:szCs w:val="22"/>
          <w:lang w:eastAsia="en-AU"/>
        </w:rPr>
        <w:t>Hale, R.</w:t>
      </w:r>
      <w:r>
        <w:rPr>
          <w:color w:val="000000"/>
          <w:sz w:val="22"/>
          <w:szCs w:val="22"/>
          <w:lang w:eastAsia="en-AU"/>
        </w:rPr>
        <w:t xml:space="preserve"> and</w:t>
      </w:r>
      <w:r w:rsidRPr="00555DF0">
        <w:rPr>
          <w:color w:val="000000"/>
          <w:sz w:val="22"/>
          <w:szCs w:val="22"/>
          <w:lang w:eastAsia="en-AU"/>
        </w:rPr>
        <w:t xml:space="preserve"> Morrongiello</w:t>
      </w:r>
      <w:r>
        <w:rPr>
          <w:color w:val="000000"/>
          <w:sz w:val="22"/>
          <w:szCs w:val="22"/>
          <w:lang w:eastAsia="en-AU"/>
        </w:rPr>
        <w:t>,</w:t>
      </w:r>
      <w:r w:rsidRPr="00555DF0">
        <w:rPr>
          <w:color w:val="000000"/>
          <w:sz w:val="22"/>
          <w:szCs w:val="22"/>
          <w:lang w:eastAsia="en-AU"/>
        </w:rPr>
        <w:t xml:space="preserve"> J</w:t>
      </w:r>
      <w:r>
        <w:rPr>
          <w:color w:val="000000"/>
          <w:sz w:val="22"/>
          <w:szCs w:val="22"/>
          <w:lang w:eastAsia="en-AU"/>
        </w:rPr>
        <w:t>.</w:t>
      </w:r>
      <w:r w:rsidRPr="00555DF0">
        <w:rPr>
          <w:color w:val="000000"/>
          <w:sz w:val="22"/>
          <w:szCs w:val="22"/>
          <w:lang w:eastAsia="en-AU"/>
        </w:rPr>
        <w:t xml:space="preserve">R. </w:t>
      </w:r>
      <w:r>
        <w:rPr>
          <w:color w:val="000000"/>
          <w:sz w:val="22"/>
          <w:szCs w:val="22"/>
          <w:lang w:eastAsia="en-AU"/>
        </w:rPr>
        <w:t>(</w:t>
      </w:r>
      <w:r w:rsidRPr="00555DF0">
        <w:rPr>
          <w:color w:val="000000"/>
          <w:sz w:val="22"/>
          <w:szCs w:val="22"/>
          <w:lang w:eastAsia="en-AU"/>
        </w:rPr>
        <w:t>2017</w:t>
      </w:r>
      <w:r>
        <w:rPr>
          <w:color w:val="000000"/>
          <w:sz w:val="22"/>
          <w:szCs w:val="22"/>
          <w:lang w:eastAsia="en-AU"/>
        </w:rPr>
        <w:t>)</w:t>
      </w:r>
      <w:r w:rsidRPr="00555DF0">
        <w:rPr>
          <w:color w:val="000000"/>
          <w:sz w:val="22"/>
          <w:szCs w:val="22"/>
          <w:lang w:eastAsia="en-AU"/>
        </w:rPr>
        <w:t xml:space="preserve">. Do trout respond to riparian change? A systematic review and meta-analysis with implications for restoration and management. </w:t>
      </w:r>
      <w:r w:rsidRPr="0070509D">
        <w:rPr>
          <w:i/>
          <w:iCs/>
          <w:color w:val="000000"/>
          <w:sz w:val="22"/>
          <w:szCs w:val="22"/>
          <w:lang w:eastAsia="en-AU"/>
        </w:rPr>
        <w:t>Freshwater Biology</w:t>
      </w:r>
      <w:r w:rsidRPr="00555DF0">
        <w:rPr>
          <w:color w:val="000000"/>
          <w:sz w:val="22"/>
          <w:szCs w:val="22"/>
          <w:lang w:eastAsia="en-AU"/>
        </w:rPr>
        <w:t xml:space="preserve"> </w:t>
      </w:r>
      <w:r w:rsidRPr="00874504">
        <w:rPr>
          <w:b/>
          <w:color w:val="000000"/>
          <w:sz w:val="22"/>
          <w:szCs w:val="22"/>
          <w:lang w:eastAsia="en-AU"/>
        </w:rPr>
        <w:t>62</w:t>
      </w:r>
      <w:r>
        <w:rPr>
          <w:color w:val="000000"/>
          <w:sz w:val="22"/>
          <w:szCs w:val="22"/>
          <w:lang w:eastAsia="en-AU"/>
        </w:rPr>
        <w:t>,</w:t>
      </w:r>
      <w:r w:rsidRPr="00555DF0">
        <w:rPr>
          <w:color w:val="000000"/>
          <w:sz w:val="22"/>
          <w:szCs w:val="22"/>
          <w:lang w:eastAsia="en-AU"/>
        </w:rPr>
        <w:t xml:space="preserve"> 445</w:t>
      </w:r>
      <w:r>
        <w:rPr>
          <w:color w:val="000000"/>
          <w:sz w:val="22"/>
          <w:szCs w:val="22"/>
          <w:lang w:eastAsia="en-AU"/>
        </w:rPr>
        <w:t>–</w:t>
      </w:r>
      <w:r w:rsidRPr="00555DF0">
        <w:rPr>
          <w:color w:val="000000"/>
          <w:sz w:val="22"/>
          <w:szCs w:val="22"/>
          <w:lang w:eastAsia="en-AU"/>
        </w:rPr>
        <w:t>457</w:t>
      </w:r>
      <w:r>
        <w:rPr>
          <w:color w:val="000000"/>
          <w:sz w:val="22"/>
          <w:szCs w:val="22"/>
          <w:lang w:eastAsia="en-AU"/>
        </w:rPr>
        <w:t>.</w:t>
      </w:r>
    </w:p>
    <w:p w14:paraId="3142CB36" w14:textId="4E6940C5" w:rsidR="00491210" w:rsidRPr="00555DF0" w:rsidRDefault="00EE200C" w:rsidP="00A94F87">
      <w:pPr>
        <w:spacing w:before="240" w:after="240"/>
        <w:ind w:left="567" w:hanging="567"/>
        <w:rPr>
          <w:color w:val="000000"/>
          <w:sz w:val="22"/>
          <w:szCs w:val="22"/>
          <w:lang w:eastAsia="en-AU"/>
        </w:rPr>
      </w:pPr>
      <w:r w:rsidRPr="00555DF0">
        <w:rPr>
          <w:color w:val="000000"/>
          <w:sz w:val="22"/>
          <w:szCs w:val="22"/>
          <w:lang w:eastAsia="en-AU"/>
        </w:rPr>
        <w:t>O</w:t>
      </w:r>
      <w:r>
        <w:rPr>
          <w:color w:val="000000"/>
          <w:sz w:val="22"/>
          <w:szCs w:val="22"/>
          <w:lang w:eastAsia="en-AU"/>
        </w:rPr>
        <w:t>’</w:t>
      </w:r>
      <w:r w:rsidRPr="00555DF0">
        <w:rPr>
          <w:color w:val="000000"/>
          <w:sz w:val="22"/>
          <w:szCs w:val="22"/>
          <w:lang w:eastAsia="en-AU"/>
        </w:rPr>
        <w:t>Brien</w:t>
      </w:r>
      <w:r>
        <w:rPr>
          <w:color w:val="000000"/>
          <w:sz w:val="22"/>
          <w:szCs w:val="22"/>
          <w:lang w:eastAsia="en-AU"/>
        </w:rPr>
        <w:t>,</w:t>
      </w:r>
      <w:r w:rsidRPr="00555DF0">
        <w:rPr>
          <w:color w:val="000000"/>
          <w:sz w:val="22"/>
          <w:szCs w:val="22"/>
          <w:lang w:eastAsia="en-AU"/>
        </w:rPr>
        <w:t xml:space="preserve"> A</w:t>
      </w:r>
      <w:r>
        <w:rPr>
          <w:color w:val="000000"/>
          <w:sz w:val="22"/>
          <w:szCs w:val="22"/>
          <w:lang w:eastAsia="en-AU"/>
        </w:rPr>
        <w:t>.</w:t>
      </w:r>
      <w:r w:rsidRPr="00555DF0">
        <w:rPr>
          <w:color w:val="000000"/>
          <w:sz w:val="22"/>
          <w:szCs w:val="22"/>
          <w:lang w:eastAsia="en-AU"/>
        </w:rPr>
        <w:t>, Townsend</w:t>
      </w:r>
      <w:r>
        <w:rPr>
          <w:color w:val="000000"/>
          <w:sz w:val="22"/>
          <w:szCs w:val="22"/>
          <w:lang w:eastAsia="en-AU"/>
        </w:rPr>
        <w:t>,</w:t>
      </w:r>
      <w:r w:rsidRPr="00555DF0">
        <w:rPr>
          <w:color w:val="000000"/>
          <w:sz w:val="22"/>
          <w:szCs w:val="22"/>
          <w:lang w:eastAsia="en-AU"/>
        </w:rPr>
        <w:t xml:space="preserve"> K</w:t>
      </w:r>
      <w:r>
        <w:rPr>
          <w:color w:val="000000"/>
          <w:sz w:val="22"/>
          <w:szCs w:val="22"/>
          <w:lang w:eastAsia="en-AU"/>
        </w:rPr>
        <w:t>.</w:t>
      </w:r>
      <w:r w:rsidRPr="00555DF0">
        <w:rPr>
          <w:color w:val="000000"/>
          <w:sz w:val="22"/>
          <w:szCs w:val="22"/>
          <w:lang w:eastAsia="en-AU"/>
        </w:rPr>
        <w:t xml:space="preserve">, </w:t>
      </w:r>
      <w:r w:rsidRPr="00874504">
        <w:rPr>
          <w:b/>
          <w:color w:val="000000"/>
          <w:sz w:val="22"/>
          <w:szCs w:val="22"/>
          <w:lang w:eastAsia="en-AU"/>
        </w:rPr>
        <w:t>Hale, R.</w:t>
      </w:r>
      <w:r w:rsidRPr="00555DF0">
        <w:rPr>
          <w:color w:val="000000"/>
          <w:sz w:val="22"/>
          <w:szCs w:val="22"/>
          <w:lang w:eastAsia="en-AU"/>
        </w:rPr>
        <w:t>, Sharley</w:t>
      </w:r>
      <w:r>
        <w:rPr>
          <w:color w:val="000000"/>
          <w:sz w:val="22"/>
          <w:szCs w:val="22"/>
          <w:lang w:eastAsia="en-AU"/>
        </w:rPr>
        <w:t>,</w:t>
      </w:r>
      <w:r w:rsidRPr="00555DF0">
        <w:rPr>
          <w:color w:val="000000"/>
          <w:sz w:val="22"/>
          <w:szCs w:val="22"/>
          <w:lang w:eastAsia="en-AU"/>
        </w:rPr>
        <w:t xml:space="preserve"> D</w:t>
      </w:r>
      <w:r>
        <w:rPr>
          <w:color w:val="000000"/>
          <w:sz w:val="22"/>
          <w:szCs w:val="22"/>
          <w:lang w:eastAsia="en-AU"/>
        </w:rPr>
        <w:t>.</w:t>
      </w:r>
      <w:r w:rsidRPr="00555DF0">
        <w:rPr>
          <w:color w:val="000000"/>
          <w:sz w:val="22"/>
          <w:szCs w:val="22"/>
          <w:lang w:eastAsia="en-AU"/>
        </w:rPr>
        <w:t xml:space="preserve"> </w:t>
      </w:r>
      <w:r>
        <w:rPr>
          <w:color w:val="000000"/>
          <w:sz w:val="22"/>
          <w:szCs w:val="22"/>
          <w:lang w:eastAsia="en-AU"/>
        </w:rPr>
        <w:t xml:space="preserve">and </w:t>
      </w:r>
      <w:r w:rsidRPr="00555DF0">
        <w:rPr>
          <w:color w:val="000000"/>
          <w:sz w:val="22"/>
          <w:szCs w:val="22"/>
          <w:lang w:eastAsia="en-AU"/>
        </w:rPr>
        <w:t>Pettigrove</w:t>
      </w:r>
      <w:r>
        <w:rPr>
          <w:color w:val="000000"/>
          <w:sz w:val="22"/>
          <w:szCs w:val="22"/>
          <w:lang w:eastAsia="en-AU"/>
        </w:rPr>
        <w:t>,</w:t>
      </w:r>
      <w:r w:rsidRPr="00555DF0">
        <w:rPr>
          <w:color w:val="000000"/>
          <w:sz w:val="22"/>
          <w:szCs w:val="22"/>
          <w:lang w:eastAsia="en-AU"/>
        </w:rPr>
        <w:t xml:space="preserve"> V. </w:t>
      </w:r>
      <w:r>
        <w:rPr>
          <w:color w:val="000000"/>
          <w:sz w:val="22"/>
          <w:szCs w:val="22"/>
          <w:lang w:eastAsia="en-AU"/>
        </w:rPr>
        <w:t>(</w:t>
      </w:r>
      <w:r w:rsidRPr="00555DF0">
        <w:rPr>
          <w:color w:val="000000"/>
          <w:sz w:val="22"/>
          <w:szCs w:val="22"/>
          <w:lang w:eastAsia="en-AU"/>
        </w:rPr>
        <w:t>2016</w:t>
      </w:r>
      <w:r>
        <w:rPr>
          <w:color w:val="000000"/>
          <w:sz w:val="22"/>
          <w:szCs w:val="22"/>
          <w:lang w:eastAsia="en-AU"/>
        </w:rPr>
        <w:t>)</w:t>
      </w:r>
      <w:r w:rsidRPr="00555DF0">
        <w:rPr>
          <w:color w:val="000000"/>
          <w:sz w:val="22"/>
          <w:szCs w:val="22"/>
          <w:lang w:eastAsia="en-AU"/>
        </w:rPr>
        <w:t xml:space="preserve">. How is ecosystem health defined and measured? A critical review of freshwater and estuarine studies. </w:t>
      </w:r>
      <w:r w:rsidRPr="0070509D">
        <w:rPr>
          <w:i/>
          <w:iCs/>
          <w:color w:val="000000"/>
          <w:sz w:val="22"/>
          <w:szCs w:val="22"/>
          <w:lang w:eastAsia="en-AU"/>
        </w:rPr>
        <w:t>Ecological Indicators</w:t>
      </w:r>
      <w:r w:rsidRPr="00555DF0">
        <w:rPr>
          <w:color w:val="000000"/>
          <w:sz w:val="22"/>
          <w:szCs w:val="22"/>
          <w:lang w:eastAsia="en-AU"/>
        </w:rPr>
        <w:t xml:space="preserve"> </w:t>
      </w:r>
      <w:r w:rsidRPr="00874504">
        <w:rPr>
          <w:b/>
          <w:color w:val="000000"/>
          <w:sz w:val="22"/>
          <w:szCs w:val="22"/>
          <w:lang w:eastAsia="en-AU"/>
        </w:rPr>
        <w:t>69</w:t>
      </w:r>
      <w:r>
        <w:rPr>
          <w:color w:val="000000"/>
          <w:sz w:val="22"/>
          <w:szCs w:val="22"/>
          <w:lang w:eastAsia="en-AU"/>
        </w:rPr>
        <w:t>,</w:t>
      </w:r>
      <w:r w:rsidRPr="00555DF0">
        <w:rPr>
          <w:color w:val="000000"/>
          <w:sz w:val="22"/>
          <w:szCs w:val="22"/>
          <w:lang w:eastAsia="en-AU"/>
        </w:rPr>
        <w:t xml:space="preserve"> 722</w:t>
      </w:r>
      <w:r>
        <w:rPr>
          <w:color w:val="000000"/>
          <w:sz w:val="22"/>
          <w:szCs w:val="22"/>
          <w:lang w:eastAsia="en-AU"/>
        </w:rPr>
        <w:t>–</w:t>
      </w:r>
      <w:r w:rsidRPr="00555DF0">
        <w:rPr>
          <w:color w:val="000000"/>
          <w:sz w:val="22"/>
          <w:szCs w:val="22"/>
          <w:lang w:eastAsia="en-AU"/>
        </w:rPr>
        <w:t>729</w:t>
      </w:r>
      <w:r>
        <w:rPr>
          <w:color w:val="000000"/>
          <w:sz w:val="22"/>
          <w:szCs w:val="22"/>
          <w:lang w:eastAsia="en-AU"/>
        </w:rPr>
        <w:t>.</w:t>
      </w:r>
    </w:p>
    <w:p w14:paraId="74C16F14" w14:textId="7A07B747" w:rsidR="00491210" w:rsidRPr="00874504" w:rsidRDefault="00EE200C" w:rsidP="00874504">
      <w:pPr>
        <w:pStyle w:val="PopModProjectTeam"/>
        <w:rPr>
          <w:b w:val="0"/>
          <w:bCs w:val="0"/>
        </w:rPr>
      </w:pPr>
      <w:r w:rsidRPr="00874504">
        <w:t>Dr Ben Fanson</w:t>
      </w:r>
    </w:p>
    <w:p w14:paraId="6D07AF26" w14:textId="4AA789F8" w:rsidR="00491210" w:rsidRPr="00874504" w:rsidRDefault="00EE200C" w:rsidP="00874504">
      <w:pPr>
        <w:pStyle w:val="PopModCVheading"/>
      </w:pPr>
      <w:r w:rsidRPr="00874504">
        <w:t>Scientist, Biometrician – Wildlife Ecology</w:t>
      </w:r>
    </w:p>
    <w:p w14:paraId="2122E1FE" w14:textId="77777777" w:rsidR="00491210" w:rsidRPr="00874504" w:rsidRDefault="00EE200C" w:rsidP="00874504">
      <w:pPr>
        <w:pStyle w:val="PopModCVheading"/>
        <w:rPr>
          <w:b w:val="0"/>
          <w:bCs w:val="0"/>
        </w:rPr>
      </w:pPr>
      <w:r w:rsidRPr="00874504">
        <w:t>Qualifications</w:t>
      </w:r>
    </w:p>
    <w:p w14:paraId="5244888A" w14:textId="77777777" w:rsidR="00491210" w:rsidRPr="00FB51B7" w:rsidRDefault="00EE200C" w:rsidP="00FB51B7">
      <w:pPr>
        <w:spacing w:before="240" w:after="240"/>
        <w:rPr>
          <w:color w:val="000000"/>
          <w:sz w:val="22"/>
          <w:szCs w:val="22"/>
          <w:lang w:val="en-GB" w:eastAsia="en-AU"/>
        </w:rPr>
      </w:pPr>
      <w:r w:rsidRPr="00FB51B7">
        <w:rPr>
          <w:color w:val="000000"/>
          <w:sz w:val="22"/>
          <w:szCs w:val="22"/>
          <w:lang w:val="en-GB" w:eastAsia="en-AU"/>
        </w:rPr>
        <w:t>Bachelor of Arts, Kalamazoo College, USA</w:t>
      </w:r>
    </w:p>
    <w:p w14:paraId="2A3709F9" w14:textId="0D966122" w:rsidR="00491210" w:rsidRPr="00FB51B7" w:rsidRDefault="00EE200C" w:rsidP="00FB51B7">
      <w:pPr>
        <w:spacing w:before="240" w:after="240"/>
        <w:rPr>
          <w:color w:val="000000"/>
          <w:sz w:val="22"/>
          <w:szCs w:val="22"/>
          <w:lang w:val="en-GB" w:eastAsia="en-AU"/>
        </w:rPr>
      </w:pPr>
      <w:r w:rsidRPr="00FB51B7">
        <w:rPr>
          <w:color w:val="000000"/>
          <w:sz w:val="22"/>
          <w:szCs w:val="22"/>
          <w:lang w:val="en-GB" w:eastAsia="en-AU"/>
        </w:rPr>
        <w:t>Master of Applied Statistics, Purdue University, USA</w:t>
      </w:r>
    </w:p>
    <w:p w14:paraId="1C866841" w14:textId="77777777" w:rsidR="00491210" w:rsidRPr="00FB51B7" w:rsidRDefault="00EE200C" w:rsidP="00FB51B7">
      <w:pPr>
        <w:spacing w:before="240" w:after="240"/>
        <w:rPr>
          <w:color w:val="000000"/>
          <w:sz w:val="22"/>
          <w:szCs w:val="22"/>
          <w:lang w:val="en-GB" w:eastAsia="en-AU"/>
        </w:rPr>
      </w:pPr>
      <w:r w:rsidRPr="00FB51B7">
        <w:rPr>
          <w:color w:val="000000"/>
          <w:sz w:val="22"/>
          <w:szCs w:val="22"/>
          <w:lang w:val="en-GB" w:eastAsia="en-AU"/>
        </w:rPr>
        <w:t>Master of Biological Sciences, Purdue University, USA</w:t>
      </w:r>
    </w:p>
    <w:p w14:paraId="6B5A546F" w14:textId="62DA2271" w:rsidR="00491210" w:rsidRPr="00FB51B7" w:rsidRDefault="00EE200C" w:rsidP="00FB51B7">
      <w:pPr>
        <w:spacing w:before="240" w:after="240"/>
        <w:rPr>
          <w:color w:val="000000"/>
          <w:sz w:val="22"/>
          <w:szCs w:val="22"/>
          <w:lang w:val="en-GB" w:eastAsia="en-AU"/>
        </w:rPr>
      </w:pPr>
      <w:r w:rsidRPr="00FB51B7">
        <w:rPr>
          <w:color w:val="000000"/>
          <w:sz w:val="22"/>
          <w:szCs w:val="22"/>
          <w:lang w:val="en-GB" w:eastAsia="en-AU"/>
        </w:rPr>
        <w:t>PhD in Ecology and Evolution, Macquarie University, Sydney, Australia</w:t>
      </w:r>
    </w:p>
    <w:p w14:paraId="036629D4" w14:textId="705BD63B" w:rsidR="00491210" w:rsidRPr="00874504" w:rsidRDefault="00EE200C" w:rsidP="00874504">
      <w:pPr>
        <w:pStyle w:val="PopModCVheading"/>
        <w:rPr>
          <w:b w:val="0"/>
          <w:bCs w:val="0"/>
        </w:rPr>
      </w:pPr>
      <w:r w:rsidRPr="00874504">
        <w:t>Relevant expertise</w:t>
      </w:r>
    </w:p>
    <w:p w14:paraId="2E1E3E54" w14:textId="5151EE3B" w:rsidR="00491210" w:rsidRDefault="00EE200C" w:rsidP="00836EC5">
      <w:pPr>
        <w:pStyle w:val="ListParagraph"/>
        <w:numPr>
          <w:ilvl w:val="0"/>
          <w:numId w:val="9"/>
        </w:numPr>
        <w:spacing w:before="240" w:after="240"/>
        <w:rPr>
          <w:rFonts w:ascii="Arial" w:eastAsia="Arial" w:hAnsi="Arial"/>
          <w:color w:val="000000"/>
          <w:sz w:val="22"/>
          <w:szCs w:val="22"/>
        </w:rPr>
      </w:pPr>
      <w:r w:rsidRPr="358D0A8B">
        <w:rPr>
          <w:rFonts w:ascii="Arial" w:eastAsia="Arial" w:hAnsi="Arial"/>
          <w:color w:val="000000"/>
          <w:sz w:val="22"/>
          <w:szCs w:val="22"/>
        </w:rPr>
        <w:t>Biometric/statistical analysis</w:t>
      </w:r>
    </w:p>
    <w:p w14:paraId="41508AEE" w14:textId="77777777" w:rsidR="00491210" w:rsidRPr="00FB51B7" w:rsidRDefault="00EE200C" w:rsidP="00836EC5">
      <w:pPr>
        <w:pStyle w:val="ListParagraph"/>
        <w:numPr>
          <w:ilvl w:val="0"/>
          <w:numId w:val="9"/>
        </w:numPr>
        <w:spacing w:before="240" w:after="240"/>
        <w:rPr>
          <w:rFonts w:ascii="Arial" w:eastAsia="Arial" w:hAnsi="Arial"/>
          <w:color w:val="000000"/>
          <w:sz w:val="22"/>
          <w:szCs w:val="22"/>
          <w:lang w:val="en-GB"/>
        </w:rPr>
      </w:pPr>
      <w:r w:rsidRPr="358D0A8B">
        <w:rPr>
          <w:rFonts w:ascii="Arial" w:eastAsia="Arial" w:hAnsi="Arial"/>
          <w:color w:val="000000"/>
          <w:sz w:val="22"/>
          <w:szCs w:val="22"/>
        </w:rPr>
        <w:t>Experimental design</w:t>
      </w:r>
    </w:p>
    <w:p w14:paraId="49EEA70D" w14:textId="77777777" w:rsidR="00491210" w:rsidRPr="00FB51B7" w:rsidRDefault="00EE200C" w:rsidP="00836EC5">
      <w:pPr>
        <w:pStyle w:val="ListParagraph"/>
        <w:numPr>
          <w:ilvl w:val="0"/>
          <w:numId w:val="9"/>
        </w:numPr>
        <w:spacing w:before="240" w:after="240"/>
        <w:rPr>
          <w:rFonts w:ascii="Arial" w:eastAsia="Arial" w:hAnsi="Arial"/>
          <w:color w:val="000000"/>
          <w:sz w:val="22"/>
          <w:szCs w:val="22"/>
          <w:lang w:val="en-GB"/>
        </w:rPr>
      </w:pPr>
      <w:r w:rsidRPr="358D0A8B">
        <w:rPr>
          <w:rFonts w:ascii="Arial" w:eastAsia="Arial" w:hAnsi="Arial"/>
          <w:color w:val="000000"/>
          <w:sz w:val="22"/>
          <w:szCs w:val="22"/>
        </w:rPr>
        <w:t>Nutritional ecology</w:t>
      </w:r>
    </w:p>
    <w:p w14:paraId="638B73D0" w14:textId="77777777" w:rsidR="00491210" w:rsidRPr="00FB51B7" w:rsidRDefault="00EE200C" w:rsidP="00836EC5">
      <w:pPr>
        <w:pStyle w:val="ListParagraph"/>
        <w:numPr>
          <w:ilvl w:val="0"/>
          <w:numId w:val="9"/>
        </w:numPr>
        <w:spacing w:before="240" w:after="240"/>
        <w:rPr>
          <w:rFonts w:ascii="Arial" w:eastAsia="Arial" w:hAnsi="Arial"/>
          <w:color w:val="000000"/>
          <w:sz w:val="22"/>
          <w:szCs w:val="22"/>
          <w:lang w:val="en-GB"/>
        </w:rPr>
      </w:pPr>
      <w:r w:rsidRPr="358D0A8B">
        <w:rPr>
          <w:rFonts w:ascii="Arial" w:eastAsia="Arial" w:hAnsi="Arial"/>
          <w:color w:val="000000"/>
          <w:sz w:val="22"/>
          <w:szCs w:val="22"/>
        </w:rPr>
        <w:t>Life history theory</w:t>
      </w:r>
    </w:p>
    <w:p w14:paraId="18743B5C" w14:textId="77777777" w:rsidR="00491210" w:rsidRPr="00874504" w:rsidRDefault="00EE200C" w:rsidP="00874504">
      <w:pPr>
        <w:pStyle w:val="PopModCVheading"/>
        <w:rPr>
          <w:b w:val="0"/>
          <w:bCs w:val="0"/>
        </w:rPr>
      </w:pPr>
      <w:r w:rsidRPr="00874504">
        <w:t>Summary of competencies</w:t>
      </w:r>
    </w:p>
    <w:p w14:paraId="3E15F7F6" w14:textId="37510513" w:rsidR="00491210" w:rsidRPr="005968A4" w:rsidRDefault="00EE200C" w:rsidP="005968A4">
      <w:pPr>
        <w:spacing w:before="240" w:after="240"/>
        <w:rPr>
          <w:color w:val="000000"/>
          <w:sz w:val="22"/>
          <w:szCs w:val="22"/>
          <w:lang w:val="en-GB" w:eastAsia="en-AU"/>
        </w:rPr>
      </w:pPr>
      <w:r w:rsidRPr="4F8AEDB5">
        <w:rPr>
          <w:color w:val="000000"/>
          <w:sz w:val="22"/>
          <w:szCs w:val="22"/>
          <w:lang w:val="en-GB" w:eastAsia="en-AU"/>
        </w:rPr>
        <w:t xml:space="preserve">Ben Fanson began his ecologist training as a field technician, assisting </w:t>
      </w:r>
      <w:r>
        <w:rPr>
          <w:color w:val="000000"/>
          <w:sz w:val="22"/>
          <w:szCs w:val="22"/>
          <w:lang w:val="en-GB" w:eastAsia="en-AU"/>
        </w:rPr>
        <w:t>i</w:t>
      </w:r>
      <w:r w:rsidRPr="4F8AEDB5">
        <w:rPr>
          <w:color w:val="000000"/>
          <w:sz w:val="22"/>
          <w:szCs w:val="22"/>
          <w:lang w:val="en-GB" w:eastAsia="en-AU"/>
        </w:rPr>
        <w:t xml:space="preserve">n wildlife studies ranging from occupancy patterns in </w:t>
      </w:r>
      <w:r>
        <w:rPr>
          <w:color w:val="000000"/>
          <w:sz w:val="22"/>
          <w:szCs w:val="22"/>
          <w:lang w:val="en-GB" w:eastAsia="en-AU"/>
        </w:rPr>
        <w:t>S</w:t>
      </w:r>
      <w:r w:rsidRPr="4F8AEDB5">
        <w:rPr>
          <w:color w:val="000000"/>
          <w:sz w:val="22"/>
          <w:szCs w:val="22"/>
          <w:lang w:val="en-GB" w:eastAsia="en-AU"/>
        </w:rPr>
        <w:t xml:space="preserve">potted </w:t>
      </w:r>
      <w:r>
        <w:rPr>
          <w:color w:val="000000"/>
          <w:sz w:val="22"/>
          <w:szCs w:val="22"/>
          <w:lang w:val="en-GB" w:eastAsia="en-AU"/>
        </w:rPr>
        <w:t>O</w:t>
      </w:r>
      <w:r w:rsidRPr="4F8AEDB5">
        <w:rPr>
          <w:color w:val="000000"/>
          <w:sz w:val="22"/>
          <w:szCs w:val="22"/>
          <w:lang w:val="en-GB" w:eastAsia="en-AU"/>
        </w:rPr>
        <w:t xml:space="preserve">wls to optimal foraging patterns in </w:t>
      </w:r>
      <w:r>
        <w:rPr>
          <w:color w:val="000000"/>
          <w:sz w:val="22"/>
          <w:szCs w:val="22"/>
          <w:lang w:val="en-GB" w:eastAsia="en-AU"/>
        </w:rPr>
        <w:t>B</w:t>
      </w:r>
      <w:r w:rsidRPr="4F8AEDB5">
        <w:rPr>
          <w:color w:val="000000"/>
          <w:sz w:val="22"/>
          <w:szCs w:val="22"/>
          <w:lang w:val="en-GB" w:eastAsia="en-AU"/>
        </w:rPr>
        <w:t xml:space="preserve">lack </w:t>
      </w:r>
      <w:r>
        <w:rPr>
          <w:color w:val="000000"/>
          <w:sz w:val="22"/>
          <w:szCs w:val="22"/>
          <w:lang w:val="en-GB" w:eastAsia="en-AU"/>
        </w:rPr>
        <w:t>R</w:t>
      </w:r>
      <w:r w:rsidRPr="4F8AEDB5">
        <w:rPr>
          <w:color w:val="000000"/>
          <w:sz w:val="22"/>
          <w:szCs w:val="22"/>
          <w:lang w:val="en-GB" w:eastAsia="en-AU"/>
        </w:rPr>
        <w:t>hinoceros in Kenya to mark</w:t>
      </w:r>
      <w:r>
        <w:rPr>
          <w:color w:val="000000"/>
          <w:sz w:val="22"/>
          <w:szCs w:val="22"/>
          <w:lang w:val="en-GB" w:eastAsia="en-AU"/>
        </w:rPr>
        <w:t>–</w:t>
      </w:r>
      <w:r w:rsidRPr="4F8AEDB5">
        <w:rPr>
          <w:color w:val="000000"/>
          <w:sz w:val="22"/>
          <w:szCs w:val="22"/>
          <w:lang w:val="en-GB" w:eastAsia="en-AU"/>
        </w:rPr>
        <w:t xml:space="preserve">recapture estimates of </w:t>
      </w:r>
      <w:r>
        <w:rPr>
          <w:color w:val="000000"/>
          <w:sz w:val="22"/>
          <w:szCs w:val="22"/>
          <w:lang w:val="en-GB" w:eastAsia="en-AU"/>
        </w:rPr>
        <w:t>B</w:t>
      </w:r>
      <w:r w:rsidRPr="4F8AEDB5">
        <w:rPr>
          <w:color w:val="000000"/>
          <w:sz w:val="22"/>
          <w:szCs w:val="22"/>
          <w:lang w:val="en-GB" w:eastAsia="en-AU"/>
        </w:rPr>
        <w:t xml:space="preserve">lack </w:t>
      </w:r>
      <w:r>
        <w:rPr>
          <w:color w:val="000000"/>
          <w:sz w:val="22"/>
          <w:szCs w:val="22"/>
          <w:lang w:val="en-GB" w:eastAsia="en-AU"/>
        </w:rPr>
        <w:t>B</w:t>
      </w:r>
      <w:r w:rsidRPr="4F8AEDB5">
        <w:rPr>
          <w:color w:val="000000"/>
          <w:sz w:val="22"/>
          <w:szCs w:val="22"/>
          <w:lang w:val="en-GB" w:eastAsia="en-AU"/>
        </w:rPr>
        <w:t>ears in Alaska, USA.</w:t>
      </w:r>
      <w:r>
        <w:rPr>
          <w:color w:val="000000"/>
          <w:sz w:val="22"/>
          <w:szCs w:val="22"/>
          <w:lang w:val="en-GB" w:eastAsia="en-AU"/>
        </w:rPr>
        <w:t xml:space="preserve"> </w:t>
      </w:r>
      <w:r w:rsidRPr="4F8AEDB5">
        <w:rPr>
          <w:color w:val="000000"/>
          <w:sz w:val="22"/>
          <w:szCs w:val="22"/>
          <w:lang w:val="en-GB" w:eastAsia="en-AU"/>
        </w:rPr>
        <w:t>Ben then obtained separate Masters in Biological Sciences and Applied Statistics from Purdue University (USA) in 2007, followed by a PhD in Ecology and Evolution from Macquarie University (AU) in 2012.</w:t>
      </w:r>
      <w:r>
        <w:rPr>
          <w:color w:val="000000"/>
          <w:sz w:val="22"/>
          <w:szCs w:val="22"/>
          <w:lang w:val="en-GB" w:eastAsia="en-AU"/>
        </w:rPr>
        <w:t xml:space="preserve"> </w:t>
      </w:r>
      <w:r w:rsidRPr="4F8AEDB5">
        <w:rPr>
          <w:color w:val="000000"/>
          <w:sz w:val="22"/>
          <w:szCs w:val="22"/>
          <w:lang w:val="en-GB" w:eastAsia="en-AU"/>
        </w:rPr>
        <w:t xml:space="preserve">During his studies and postdoctoral work at Deakin University, Ben researched the effect of the nutritional environment on life history traits (e.g. longevity, reproduction), </w:t>
      </w:r>
      <w:r>
        <w:rPr>
          <w:color w:val="000000"/>
          <w:sz w:val="22"/>
          <w:szCs w:val="22"/>
          <w:lang w:val="en-GB" w:eastAsia="en-AU"/>
        </w:rPr>
        <w:t>and also</w:t>
      </w:r>
      <w:r w:rsidRPr="4F8AEDB5">
        <w:rPr>
          <w:color w:val="000000"/>
          <w:sz w:val="22"/>
          <w:szCs w:val="22"/>
          <w:lang w:val="en-GB" w:eastAsia="en-AU"/>
        </w:rPr>
        <w:t xml:space="preserve"> worked as statistical consultant on over a dozen other projects.</w:t>
      </w:r>
      <w:r>
        <w:rPr>
          <w:color w:val="000000"/>
          <w:sz w:val="22"/>
          <w:szCs w:val="22"/>
          <w:lang w:val="en-GB" w:eastAsia="en-AU"/>
        </w:rPr>
        <w:t xml:space="preserve"> </w:t>
      </w:r>
      <w:r w:rsidRPr="4F8AEDB5">
        <w:rPr>
          <w:color w:val="000000"/>
          <w:sz w:val="22"/>
          <w:szCs w:val="22"/>
          <w:lang w:val="en-GB" w:eastAsia="en-AU"/>
        </w:rPr>
        <w:t>Currently, Ben works as a biometrician at ARI, providing statistical guidance on project design and analysis of multiple of projects utili</w:t>
      </w:r>
      <w:r>
        <w:rPr>
          <w:color w:val="000000"/>
          <w:sz w:val="22"/>
          <w:szCs w:val="22"/>
          <w:lang w:val="en-GB" w:eastAsia="en-AU"/>
        </w:rPr>
        <w:t>s</w:t>
      </w:r>
      <w:r w:rsidRPr="4F8AEDB5">
        <w:rPr>
          <w:color w:val="000000"/>
          <w:sz w:val="22"/>
          <w:szCs w:val="22"/>
          <w:lang w:val="en-GB" w:eastAsia="en-AU"/>
        </w:rPr>
        <w:t>ing a myriad of statistical approaches.</w:t>
      </w:r>
      <w:r>
        <w:rPr>
          <w:color w:val="000000"/>
          <w:sz w:val="22"/>
          <w:szCs w:val="22"/>
          <w:lang w:val="en-GB" w:eastAsia="en-AU"/>
        </w:rPr>
        <w:t xml:space="preserve"> </w:t>
      </w:r>
      <w:r w:rsidRPr="4F8AEDB5">
        <w:rPr>
          <w:color w:val="000000"/>
          <w:sz w:val="22"/>
          <w:szCs w:val="22"/>
          <w:lang w:val="en-GB" w:eastAsia="en-AU"/>
        </w:rPr>
        <w:t>Ben provides scientific and statistical support across a range of ecological fields (fish ecology, community ecology, and wildlife biology).</w:t>
      </w:r>
      <w:r>
        <w:rPr>
          <w:color w:val="000000"/>
          <w:sz w:val="22"/>
          <w:szCs w:val="22"/>
          <w:lang w:val="en-GB" w:eastAsia="en-AU"/>
        </w:rPr>
        <w:t xml:space="preserve"> </w:t>
      </w:r>
      <w:r w:rsidRPr="4F8AEDB5">
        <w:rPr>
          <w:color w:val="000000"/>
          <w:sz w:val="22"/>
          <w:szCs w:val="22"/>
          <w:lang w:val="en-GB" w:eastAsia="en-AU"/>
        </w:rPr>
        <w:t>Ben uses a diverse array of statistical methods, such as mark</w:t>
      </w:r>
      <w:r>
        <w:rPr>
          <w:color w:val="000000"/>
          <w:sz w:val="22"/>
          <w:szCs w:val="22"/>
          <w:lang w:val="en-GB" w:eastAsia="en-AU"/>
        </w:rPr>
        <w:t>–</w:t>
      </w:r>
      <w:r w:rsidRPr="4F8AEDB5">
        <w:rPr>
          <w:color w:val="000000"/>
          <w:sz w:val="22"/>
          <w:szCs w:val="22"/>
          <w:lang w:val="en-GB" w:eastAsia="en-AU"/>
        </w:rPr>
        <w:t>recapture state-based models, hierarchical mixed models, and Bayesian methods. Recently, Ben has been involved in numerous fish projects relating environmental flows to fish life history traits across the Murray</w:t>
      </w:r>
      <w:r>
        <w:rPr>
          <w:color w:val="000000"/>
          <w:sz w:val="22"/>
          <w:szCs w:val="22"/>
          <w:lang w:val="en-GB" w:eastAsia="en-AU"/>
        </w:rPr>
        <w:t>–</w:t>
      </w:r>
      <w:r w:rsidRPr="4F8AEDB5">
        <w:rPr>
          <w:color w:val="000000"/>
          <w:sz w:val="22"/>
          <w:szCs w:val="22"/>
          <w:lang w:val="en-GB" w:eastAsia="en-AU"/>
        </w:rPr>
        <w:t>Darling Basin (e.g. Flow-MER).</w:t>
      </w:r>
    </w:p>
    <w:p w14:paraId="6BD67367" w14:textId="5DA15C9A" w:rsidR="00491210" w:rsidRPr="00874504" w:rsidRDefault="00EE200C" w:rsidP="00874504">
      <w:pPr>
        <w:pStyle w:val="PopModCVheading"/>
        <w:rPr>
          <w:b w:val="0"/>
          <w:bCs w:val="0"/>
        </w:rPr>
      </w:pPr>
      <w:r w:rsidRPr="00874504">
        <w:t>Relevant experience</w:t>
      </w:r>
    </w:p>
    <w:p w14:paraId="1D162ADC" w14:textId="77777777" w:rsidR="00491210" w:rsidRPr="005968A4" w:rsidRDefault="00EE200C" w:rsidP="005968A4">
      <w:pPr>
        <w:spacing w:before="240" w:after="240"/>
        <w:rPr>
          <w:color w:val="000000"/>
          <w:sz w:val="22"/>
          <w:szCs w:val="22"/>
          <w:lang w:val="en-GB" w:eastAsia="en-AU"/>
        </w:rPr>
      </w:pPr>
      <w:r w:rsidRPr="005968A4">
        <w:rPr>
          <w:color w:val="000000"/>
          <w:sz w:val="22"/>
          <w:szCs w:val="22"/>
          <w:lang w:val="en-GB" w:eastAsia="en-AU"/>
        </w:rPr>
        <w:t>Provided statistical analysis and training across all sections at ARI</w:t>
      </w:r>
    </w:p>
    <w:p w14:paraId="7676F7E2" w14:textId="77777777" w:rsidR="00491210" w:rsidRPr="005968A4" w:rsidRDefault="00EE200C" w:rsidP="005968A4">
      <w:pPr>
        <w:spacing w:before="240" w:after="240"/>
        <w:rPr>
          <w:color w:val="000000"/>
          <w:sz w:val="22"/>
          <w:szCs w:val="22"/>
          <w:lang w:val="en-GB" w:eastAsia="en-AU"/>
        </w:rPr>
      </w:pPr>
      <w:r w:rsidRPr="005968A4">
        <w:rPr>
          <w:color w:val="000000"/>
          <w:sz w:val="22"/>
          <w:szCs w:val="22"/>
          <w:lang w:val="en-GB" w:eastAsia="en-AU"/>
        </w:rPr>
        <w:t>Analysed temporal patterns in shorebird abundance in Victoria using advanced statistical techniques</w:t>
      </w:r>
    </w:p>
    <w:p w14:paraId="4D10A19F" w14:textId="75B2EEF0" w:rsidR="00491210" w:rsidRPr="005968A4" w:rsidRDefault="00EE200C" w:rsidP="005968A4">
      <w:pPr>
        <w:spacing w:before="240" w:after="240"/>
        <w:rPr>
          <w:color w:val="000000"/>
          <w:sz w:val="22"/>
          <w:szCs w:val="22"/>
          <w:lang w:val="en-GB" w:eastAsia="en-AU"/>
        </w:rPr>
      </w:pPr>
      <w:r w:rsidRPr="4F8AEDB5">
        <w:rPr>
          <w:color w:val="000000"/>
          <w:sz w:val="22"/>
          <w:szCs w:val="22"/>
          <w:lang w:val="en-GB" w:eastAsia="en-AU"/>
        </w:rPr>
        <w:lastRenderedPageBreak/>
        <w:t xml:space="preserve">Collaborated with dozens of researchers analysing temporal patterns in hormones from Tasmanian </w:t>
      </w:r>
      <w:r>
        <w:rPr>
          <w:color w:val="000000"/>
          <w:sz w:val="22"/>
          <w:szCs w:val="22"/>
          <w:lang w:val="en-GB" w:eastAsia="en-AU"/>
        </w:rPr>
        <w:t>D</w:t>
      </w:r>
      <w:r w:rsidRPr="4F8AEDB5">
        <w:rPr>
          <w:color w:val="000000"/>
          <w:sz w:val="22"/>
          <w:szCs w:val="22"/>
          <w:lang w:val="en-GB" w:eastAsia="en-AU"/>
        </w:rPr>
        <w:t>evils</w:t>
      </w:r>
      <w:r>
        <w:rPr>
          <w:color w:val="000000"/>
          <w:sz w:val="22"/>
          <w:szCs w:val="22"/>
          <w:lang w:val="en-GB" w:eastAsia="en-AU"/>
        </w:rPr>
        <w:t>,</w:t>
      </w:r>
      <w:r w:rsidRPr="4F8AEDB5">
        <w:rPr>
          <w:color w:val="000000"/>
          <w:sz w:val="22"/>
          <w:szCs w:val="22"/>
          <w:lang w:val="en-GB" w:eastAsia="en-AU"/>
        </w:rPr>
        <w:t xml:space="preserve"> </w:t>
      </w:r>
      <w:r>
        <w:rPr>
          <w:color w:val="000000"/>
          <w:sz w:val="22"/>
          <w:szCs w:val="22"/>
          <w:lang w:val="en-GB" w:eastAsia="en-AU"/>
        </w:rPr>
        <w:t>Z</w:t>
      </w:r>
      <w:r w:rsidRPr="4F8AEDB5">
        <w:rPr>
          <w:color w:val="000000"/>
          <w:sz w:val="22"/>
          <w:szCs w:val="22"/>
          <w:lang w:val="en-GB" w:eastAsia="en-AU"/>
        </w:rPr>
        <w:t xml:space="preserve">ebra </w:t>
      </w:r>
      <w:r>
        <w:rPr>
          <w:color w:val="000000"/>
          <w:sz w:val="22"/>
          <w:szCs w:val="22"/>
          <w:lang w:val="en-GB" w:eastAsia="en-AU"/>
        </w:rPr>
        <w:t>F</w:t>
      </w:r>
      <w:r w:rsidRPr="4F8AEDB5">
        <w:rPr>
          <w:color w:val="000000"/>
          <w:sz w:val="22"/>
          <w:szCs w:val="22"/>
          <w:lang w:val="en-GB" w:eastAsia="en-AU"/>
        </w:rPr>
        <w:t xml:space="preserve">inches </w:t>
      </w:r>
      <w:r>
        <w:rPr>
          <w:color w:val="000000"/>
          <w:sz w:val="22"/>
          <w:szCs w:val="22"/>
          <w:lang w:val="en-GB" w:eastAsia="en-AU"/>
        </w:rPr>
        <w:t>and</w:t>
      </w:r>
      <w:r w:rsidRPr="4F8AEDB5">
        <w:rPr>
          <w:color w:val="000000"/>
          <w:sz w:val="22"/>
          <w:szCs w:val="22"/>
          <w:lang w:val="en-GB" w:eastAsia="en-AU"/>
        </w:rPr>
        <w:t xml:space="preserve"> Asian </w:t>
      </w:r>
      <w:r>
        <w:rPr>
          <w:color w:val="000000"/>
          <w:sz w:val="22"/>
          <w:szCs w:val="22"/>
          <w:lang w:val="en-GB" w:eastAsia="en-AU"/>
        </w:rPr>
        <w:t>E</w:t>
      </w:r>
      <w:r w:rsidRPr="4F8AEDB5">
        <w:rPr>
          <w:color w:val="000000"/>
          <w:sz w:val="22"/>
          <w:szCs w:val="22"/>
          <w:lang w:val="en-GB" w:eastAsia="en-AU"/>
        </w:rPr>
        <w:t>lephants.</w:t>
      </w:r>
    </w:p>
    <w:p w14:paraId="121528CE" w14:textId="31F3EAAC" w:rsidR="00491210" w:rsidRPr="005968A4" w:rsidRDefault="00EE200C" w:rsidP="005968A4">
      <w:pPr>
        <w:spacing w:before="240" w:after="240"/>
        <w:rPr>
          <w:color w:val="000000"/>
          <w:sz w:val="22"/>
          <w:szCs w:val="22"/>
          <w:lang w:val="en-GB" w:eastAsia="en-AU"/>
        </w:rPr>
      </w:pPr>
      <w:r w:rsidRPr="005968A4">
        <w:rPr>
          <w:color w:val="000000"/>
          <w:sz w:val="22"/>
          <w:szCs w:val="22"/>
          <w:lang w:val="en-GB" w:eastAsia="en-AU"/>
        </w:rPr>
        <w:t>Co-authored an R package (hormLong) to facilitate analysis of hormonal data for wildlife endocrinologist</w:t>
      </w:r>
    </w:p>
    <w:p w14:paraId="50CB2AB8" w14:textId="77777777" w:rsidR="00491210" w:rsidRPr="005968A4" w:rsidRDefault="00EE200C" w:rsidP="005968A4">
      <w:pPr>
        <w:spacing w:before="240" w:after="240"/>
        <w:rPr>
          <w:color w:val="000000"/>
          <w:sz w:val="22"/>
          <w:szCs w:val="22"/>
          <w:lang w:val="en-GB" w:eastAsia="en-AU"/>
        </w:rPr>
      </w:pPr>
      <w:r w:rsidRPr="005968A4">
        <w:rPr>
          <w:color w:val="000000"/>
          <w:sz w:val="22"/>
          <w:szCs w:val="22"/>
          <w:lang w:val="en-GB" w:eastAsia="en-AU"/>
        </w:rPr>
        <w:t>Researched the effect of nutritional environmental on the life history of animals, focusing on movement rates, immune function, reproductive output and survival</w:t>
      </w:r>
    </w:p>
    <w:p w14:paraId="3FA5DBBE" w14:textId="54098101" w:rsidR="00491210" w:rsidRPr="00874504" w:rsidRDefault="00EE200C" w:rsidP="00874504">
      <w:pPr>
        <w:pStyle w:val="PopModCVheading"/>
        <w:rPr>
          <w:b w:val="0"/>
          <w:bCs w:val="0"/>
        </w:rPr>
      </w:pPr>
      <w:r w:rsidRPr="00874504">
        <w:t>Selected publications</w:t>
      </w:r>
    </w:p>
    <w:p w14:paraId="58EBDB91" w14:textId="1255B8A3" w:rsidR="00491210" w:rsidRPr="005968A4" w:rsidRDefault="00EE200C" w:rsidP="00A94F87">
      <w:pPr>
        <w:spacing w:before="240" w:after="240"/>
        <w:ind w:left="567" w:hanging="567"/>
        <w:rPr>
          <w:color w:val="000000"/>
          <w:sz w:val="22"/>
          <w:szCs w:val="22"/>
          <w:lang w:val="en-GB" w:eastAsia="en-AU"/>
        </w:rPr>
      </w:pPr>
      <w:r w:rsidRPr="005968A4">
        <w:rPr>
          <w:color w:val="000000"/>
          <w:sz w:val="22"/>
          <w:szCs w:val="22"/>
          <w:lang w:val="en-GB" w:eastAsia="en-AU"/>
        </w:rPr>
        <w:t xml:space="preserve">Dominiak, B.C. and </w:t>
      </w:r>
      <w:r w:rsidRPr="005968A4">
        <w:rPr>
          <w:b/>
          <w:bCs/>
          <w:color w:val="000000"/>
          <w:sz w:val="22"/>
          <w:szCs w:val="22"/>
          <w:lang w:val="en-GB" w:eastAsia="en-AU"/>
        </w:rPr>
        <w:t>Fanson</w:t>
      </w:r>
      <w:r>
        <w:rPr>
          <w:b/>
          <w:bCs/>
          <w:color w:val="000000"/>
          <w:sz w:val="22"/>
          <w:szCs w:val="22"/>
          <w:lang w:val="en-GB" w:eastAsia="en-AU"/>
        </w:rPr>
        <w:t>, B</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2021</w:t>
      </w:r>
      <w:r>
        <w:rPr>
          <w:color w:val="000000"/>
          <w:sz w:val="22"/>
          <w:szCs w:val="22"/>
          <w:lang w:val="en-GB" w:eastAsia="en-AU"/>
        </w:rPr>
        <w:t>)</w:t>
      </w:r>
      <w:r w:rsidRPr="005968A4">
        <w:rPr>
          <w:color w:val="000000"/>
          <w:sz w:val="22"/>
          <w:szCs w:val="22"/>
          <w:lang w:val="en-GB" w:eastAsia="en-AU"/>
        </w:rPr>
        <w:t xml:space="preserve">. Transport from production facility to release locations caused a decline in quality of sterile Queensland fruit fly received for SIT application. </w:t>
      </w:r>
      <w:r w:rsidRPr="005968A4">
        <w:rPr>
          <w:i/>
          <w:iCs/>
          <w:color w:val="000000"/>
          <w:sz w:val="22"/>
          <w:szCs w:val="22"/>
          <w:lang w:val="en-GB" w:eastAsia="en-AU"/>
        </w:rPr>
        <w:t>Entomologia</w:t>
      </w:r>
      <w:r w:rsidRPr="005968A4">
        <w:rPr>
          <w:color w:val="000000"/>
          <w:sz w:val="22"/>
          <w:szCs w:val="22"/>
          <w:lang w:val="en-GB" w:eastAsia="en-AU"/>
        </w:rPr>
        <w:t xml:space="preserve"> </w:t>
      </w:r>
      <w:r w:rsidRPr="005968A4">
        <w:rPr>
          <w:i/>
          <w:iCs/>
          <w:color w:val="000000"/>
          <w:sz w:val="22"/>
          <w:szCs w:val="22"/>
          <w:lang w:val="en-GB" w:eastAsia="en-AU"/>
        </w:rPr>
        <w:t>Experimentalis et Applicata.</w:t>
      </w:r>
    </w:p>
    <w:p w14:paraId="6B5337D1" w14:textId="4ABE20E9" w:rsidR="00491210" w:rsidRPr="005968A4" w:rsidRDefault="00EE200C" w:rsidP="00A94F87">
      <w:pPr>
        <w:spacing w:before="240" w:after="240"/>
        <w:ind w:left="567" w:hanging="567"/>
        <w:rPr>
          <w:color w:val="000000"/>
          <w:sz w:val="22"/>
          <w:szCs w:val="22"/>
          <w:lang w:val="en-GB" w:eastAsia="en-AU"/>
        </w:rPr>
      </w:pPr>
      <w:r w:rsidRPr="005968A4">
        <w:rPr>
          <w:b/>
          <w:bCs/>
          <w:color w:val="000000"/>
          <w:sz w:val="22"/>
          <w:szCs w:val="22"/>
          <w:lang w:val="en-GB" w:eastAsia="en-AU"/>
        </w:rPr>
        <w:t>Fanson, B.G</w:t>
      </w:r>
      <w:r w:rsidRPr="005968A4">
        <w:rPr>
          <w:color w:val="000000"/>
          <w:sz w:val="22"/>
          <w:szCs w:val="22"/>
          <w:lang w:val="en-GB" w:eastAsia="en-AU"/>
        </w:rPr>
        <w:t xml:space="preserve">., Fanson, </w:t>
      </w:r>
      <w:r>
        <w:rPr>
          <w:color w:val="000000"/>
          <w:sz w:val="22"/>
          <w:szCs w:val="22"/>
          <w:lang w:val="en-GB" w:eastAsia="en-AU"/>
        </w:rPr>
        <w:t xml:space="preserve">K.V. </w:t>
      </w:r>
      <w:r w:rsidRPr="005968A4">
        <w:rPr>
          <w:color w:val="000000"/>
          <w:sz w:val="22"/>
          <w:szCs w:val="22"/>
          <w:lang w:val="en-GB" w:eastAsia="en-AU"/>
        </w:rPr>
        <w:t>and Biro</w:t>
      </w:r>
      <w:r>
        <w:rPr>
          <w:color w:val="000000"/>
          <w:sz w:val="22"/>
          <w:szCs w:val="22"/>
          <w:lang w:val="en-GB" w:eastAsia="en-AU"/>
        </w:rPr>
        <w:t>, P.A</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2021</w:t>
      </w:r>
      <w:r>
        <w:rPr>
          <w:color w:val="000000"/>
          <w:sz w:val="22"/>
          <w:szCs w:val="22"/>
          <w:lang w:val="en-GB" w:eastAsia="en-AU"/>
        </w:rPr>
        <w:t>)</w:t>
      </w:r>
      <w:r w:rsidRPr="005968A4">
        <w:rPr>
          <w:color w:val="000000"/>
          <w:sz w:val="22"/>
          <w:szCs w:val="22"/>
          <w:lang w:val="en-GB" w:eastAsia="en-AU"/>
        </w:rPr>
        <w:t>. Macronutrient composition and availability affects repeatability of fly activity through changes in among-</w:t>
      </w:r>
      <w:r>
        <w:rPr>
          <w:color w:val="000000"/>
          <w:sz w:val="22"/>
          <w:szCs w:val="22"/>
          <w:lang w:val="en-GB" w:eastAsia="en-AU"/>
        </w:rPr>
        <w:t xml:space="preserve"> </w:t>
      </w:r>
      <w:r w:rsidRPr="005968A4">
        <w:rPr>
          <w:color w:val="000000"/>
          <w:sz w:val="22"/>
          <w:szCs w:val="22"/>
          <w:lang w:val="en-GB" w:eastAsia="en-AU"/>
        </w:rPr>
        <w:t xml:space="preserve">and within-individual (residual) variation. </w:t>
      </w:r>
      <w:r w:rsidRPr="005968A4">
        <w:rPr>
          <w:i/>
          <w:iCs/>
          <w:color w:val="000000"/>
          <w:sz w:val="22"/>
          <w:szCs w:val="22"/>
          <w:lang w:val="en-GB" w:eastAsia="en-AU"/>
        </w:rPr>
        <w:t>Evolutionary Ecology</w:t>
      </w:r>
      <w:r w:rsidRPr="005968A4">
        <w:rPr>
          <w:color w:val="000000"/>
          <w:sz w:val="22"/>
          <w:szCs w:val="22"/>
          <w:lang w:val="en-GB" w:eastAsia="en-AU"/>
        </w:rPr>
        <w:t xml:space="preserve"> </w:t>
      </w:r>
      <w:r w:rsidRPr="00874504">
        <w:rPr>
          <w:b/>
          <w:color w:val="000000"/>
          <w:sz w:val="22"/>
          <w:szCs w:val="22"/>
          <w:lang w:val="en-GB" w:eastAsia="en-AU"/>
        </w:rPr>
        <w:t>35</w:t>
      </w:r>
      <w:r>
        <w:rPr>
          <w:color w:val="000000"/>
          <w:sz w:val="22"/>
          <w:szCs w:val="22"/>
          <w:lang w:val="en-GB" w:eastAsia="en-AU"/>
        </w:rPr>
        <w:t xml:space="preserve">, </w:t>
      </w:r>
      <w:r w:rsidRPr="005968A4">
        <w:rPr>
          <w:color w:val="000000"/>
          <w:sz w:val="22"/>
          <w:szCs w:val="22"/>
          <w:lang w:val="en-GB" w:eastAsia="en-AU"/>
        </w:rPr>
        <w:t>387</w:t>
      </w:r>
      <w:r>
        <w:rPr>
          <w:color w:val="000000"/>
          <w:sz w:val="22"/>
          <w:szCs w:val="22"/>
          <w:lang w:val="en-GB" w:eastAsia="en-AU"/>
        </w:rPr>
        <w:t>–</w:t>
      </w:r>
      <w:r w:rsidRPr="005968A4">
        <w:rPr>
          <w:color w:val="000000"/>
          <w:sz w:val="22"/>
          <w:szCs w:val="22"/>
          <w:lang w:val="en-GB" w:eastAsia="en-AU"/>
        </w:rPr>
        <w:t>399.</w:t>
      </w:r>
    </w:p>
    <w:p w14:paraId="72914D93" w14:textId="0EF2875C" w:rsidR="00491210" w:rsidRPr="005968A4" w:rsidRDefault="00EE200C" w:rsidP="00A94F87">
      <w:pPr>
        <w:spacing w:before="240" w:after="240"/>
        <w:ind w:left="567" w:hanging="567"/>
        <w:rPr>
          <w:color w:val="000000"/>
          <w:sz w:val="22"/>
          <w:szCs w:val="22"/>
          <w:lang w:val="en-GB" w:eastAsia="en-AU"/>
        </w:rPr>
      </w:pPr>
      <w:r w:rsidRPr="005968A4">
        <w:rPr>
          <w:color w:val="000000"/>
          <w:sz w:val="22"/>
          <w:szCs w:val="22"/>
          <w:lang w:val="en-GB" w:eastAsia="en-AU"/>
        </w:rPr>
        <w:t>Zampatti, B.P.,</w:t>
      </w:r>
      <w:r w:rsidRPr="005968A4">
        <w:rPr>
          <w:b/>
          <w:bCs/>
          <w:color w:val="000000"/>
          <w:sz w:val="22"/>
          <w:szCs w:val="22"/>
          <w:lang w:val="en-GB" w:eastAsia="en-AU"/>
        </w:rPr>
        <w:t xml:space="preserve"> Fanson</w:t>
      </w:r>
      <w:r w:rsidRPr="00874504">
        <w:rPr>
          <w:b/>
          <w:color w:val="000000"/>
          <w:sz w:val="22"/>
          <w:szCs w:val="22"/>
          <w:lang w:val="en-GB" w:eastAsia="en-AU"/>
        </w:rPr>
        <w:t>, B.G.</w:t>
      </w:r>
      <w:r>
        <w:rPr>
          <w:color w:val="000000"/>
          <w:sz w:val="22"/>
          <w:szCs w:val="22"/>
          <w:lang w:val="en-GB" w:eastAsia="en-AU"/>
        </w:rPr>
        <w:t xml:space="preserve">, </w:t>
      </w:r>
      <w:r w:rsidRPr="005968A4">
        <w:rPr>
          <w:color w:val="000000"/>
          <w:sz w:val="22"/>
          <w:szCs w:val="22"/>
          <w:lang w:val="en-GB" w:eastAsia="en-AU"/>
        </w:rPr>
        <w:t xml:space="preserve">Baumgartner, </w:t>
      </w:r>
      <w:r>
        <w:rPr>
          <w:color w:val="000000"/>
          <w:sz w:val="22"/>
          <w:szCs w:val="22"/>
          <w:lang w:val="en-GB" w:eastAsia="en-AU"/>
        </w:rPr>
        <w:t xml:space="preserve">L.J., </w:t>
      </w:r>
      <w:r w:rsidRPr="005968A4">
        <w:rPr>
          <w:color w:val="000000"/>
          <w:sz w:val="22"/>
          <w:szCs w:val="22"/>
          <w:lang w:val="en-GB" w:eastAsia="en-AU"/>
        </w:rPr>
        <w:t xml:space="preserve">Butler, </w:t>
      </w:r>
      <w:r>
        <w:rPr>
          <w:color w:val="000000"/>
          <w:sz w:val="22"/>
          <w:szCs w:val="22"/>
          <w:lang w:val="en-GB" w:eastAsia="en-AU"/>
        </w:rPr>
        <w:t xml:space="preserve">G.L., </w:t>
      </w:r>
      <w:r w:rsidRPr="005968A4">
        <w:rPr>
          <w:color w:val="000000"/>
          <w:sz w:val="22"/>
          <w:szCs w:val="22"/>
          <w:lang w:val="en-GB" w:eastAsia="en-AU"/>
        </w:rPr>
        <w:t xml:space="preserve">Brooks, </w:t>
      </w:r>
      <w:r>
        <w:rPr>
          <w:color w:val="000000"/>
          <w:sz w:val="22"/>
          <w:szCs w:val="22"/>
          <w:lang w:val="en-GB" w:eastAsia="en-AU"/>
        </w:rPr>
        <w:t xml:space="preserve">S.G., </w:t>
      </w:r>
      <w:r w:rsidRPr="005968A4">
        <w:rPr>
          <w:color w:val="000000"/>
          <w:sz w:val="22"/>
          <w:szCs w:val="22"/>
          <w:lang w:val="en-GB" w:eastAsia="en-AU"/>
        </w:rPr>
        <w:t xml:space="preserve">Crook, </w:t>
      </w:r>
      <w:r>
        <w:rPr>
          <w:color w:val="000000"/>
          <w:sz w:val="22"/>
          <w:szCs w:val="22"/>
          <w:lang w:val="en-GB" w:eastAsia="en-AU"/>
        </w:rPr>
        <w:t xml:space="preserve">D.A., </w:t>
      </w:r>
      <w:r w:rsidRPr="005968A4">
        <w:rPr>
          <w:color w:val="000000"/>
          <w:sz w:val="22"/>
          <w:szCs w:val="22"/>
          <w:lang w:val="en-GB" w:eastAsia="en-AU"/>
        </w:rPr>
        <w:t>Doyle,</w:t>
      </w:r>
      <w:r>
        <w:rPr>
          <w:color w:val="000000"/>
          <w:sz w:val="22"/>
          <w:szCs w:val="22"/>
          <w:lang w:val="en-GB" w:eastAsia="en-AU"/>
        </w:rPr>
        <w:t xml:space="preserve"> K., </w:t>
      </w:r>
      <w:r w:rsidRPr="005968A4">
        <w:rPr>
          <w:color w:val="000000"/>
          <w:sz w:val="22"/>
          <w:szCs w:val="22"/>
          <w:lang w:val="en-GB" w:eastAsia="en-AU"/>
        </w:rPr>
        <w:t xml:space="preserve">King, </w:t>
      </w:r>
      <w:r>
        <w:rPr>
          <w:color w:val="000000"/>
          <w:sz w:val="22"/>
          <w:szCs w:val="22"/>
          <w:lang w:val="en-GB" w:eastAsia="en-AU"/>
        </w:rPr>
        <w:t xml:space="preserve">A.J., </w:t>
      </w:r>
      <w:r w:rsidRPr="005968A4">
        <w:rPr>
          <w:color w:val="000000"/>
          <w:sz w:val="22"/>
          <w:szCs w:val="22"/>
          <w:lang w:val="en-GB" w:eastAsia="en-AU"/>
        </w:rPr>
        <w:t xml:space="preserve">Koster, </w:t>
      </w:r>
      <w:r>
        <w:rPr>
          <w:color w:val="000000"/>
          <w:sz w:val="22"/>
          <w:szCs w:val="22"/>
          <w:lang w:val="en-GB" w:eastAsia="en-AU"/>
        </w:rPr>
        <w:t>W.M.,</w:t>
      </w:r>
      <w:r w:rsidRPr="005968A4">
        <w:rPr>
          <w:color w:val="000000"/>
          <w:sz w:val="22"/>
          <w:szCs w:val="22"/>
          <w:lang w:val="en-GB" w:eastAsia="en-AU"/>
        </w:rPr>
        <w:t xml:space="preserve"> Maas</w:t>
      </w:r>
      <w:r>
        <w:rPr>
          <w:color w:val="000000"/>
          <w:sz w:val="22"/>
          <w:szCs w:val="22"/>
          <w:lang w:val="en-GB" w:eastAsia="en-AU"/>
        </w:rPr>
        <w:t>, R</w:t>
      </w:r>
      <w:r w:rsidRPr="005968A4">
        <w:rPr>
          <w:color w:val="000000"/>
          <w:sz w:val="22"/>
          <w:szCs w:val="22"/>
          <w:lang w:val="en-GB" w:eastAsia="en-AU"/>
        </w:rPr>
        <w:t>.</w:t>
      </w:r>
      <w:r>
        <w:rPr>
          <w:color w:val="000000"/>
          <w:sz w:val="22"/>
          <w:szCs w:val="22"/>
          <w:lang w:val="en-GB" w:eastAsia="en-AU"/>
        </w:rPr>
        <w:t>, Sadekov, A., Scott, P., Strawbridge, A., Thiem, J.D., Tonkin, Z. and Wilson, P.J.</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202</w:t>
      </w:r>
      <w:r>
        <w:rPr>
          <w:color w:val="000000"/>
          <w:sz w:val="22"/>
          <w:szCs w:val="22"/>
          <w:lang w:val="en-GB" w:eastAsia="en-AU"/>
        </w:rPr>
        <w:t>2)</w:t>
      </w:r>
      <w:r w:rsidRPr="005968A4">
        <w:rPr>
          <w:color w:val="000000"/>
          <w:sz w:val="22"/>
          <w:szCs w:val="22"/>
          <w:lang w:val="en-GB" w:eastAsia="en-AU"/>
        </w:rPr>
        <w:t>. Population demographics of golden perch (</w:t>
      </w:r>
      <w:r w:rsidRPr="005968A4">
        <w:rPr>
          <w:i/>
          <w:iCs/>
          <w:color w:val="000000"/>
          <w:sz w:val="22"/>
          <w:szCs w:val="22"/>
          <w:lang w:val="en-GB" w:eastAsia="en-AU"/>
        </w:rPr>
        <w:t>Macquaria</w:t>
      </w:r>
      <w:r w:rsidRPr="005968A4">
        <w:rPr>
          <w:color w:val="000000"/>
          <w:sz w:val="22"/>
          <w:szCs w:val="22"/>
          <w:lang w:val="en-GB" w:eastAsia="en-AU"/>
        </w:rPr>
        <w:t xml:space="preserve"> </w:t>
      </w:r>
      <w:r w:rsidRPr="005968A4">
        <w:rPr>
          <w:i/>
          <w:iCs/>
          <w:color w:val="000000"/>
          <w:sz w:val="22"/>
          <w:szCs w:val="22"/>
          <w:lang w:val="en-GB" w:eastAsia="en-AU"/>
        </w:rPr>
        <w:t>ambigua</w:t>
      </w:r>
      <w:r w:rsidRPr="005968A4">
        <w:rPr>
          <w:color w:val="000000"/>
          <w:sz w:val="22"/>
          <w:szCs w:val="22"/>
          <w:lang w:val="en-GB" w:eastAsia="en-AU"/>
        </w:rPr>
        <w:t xml:space="preserve">) in the Darling River prior to a major fish kill: a guide for rehabilitation. </w:t>
      </w:r>
      <w:r w:rsidRPr="005968A4">
        <w:rPr>
          <w:i/>
          <w:iCs/>
          <w:color w:val="000000"/>
          <w:sz w:val="22"/>
          <w:szCs w:val="22"/>
          <w:lang w:val="en-GB" w:eastAsia="en-AU"/>
        </w:rPr>
        <w:t>Marine and Freshwater Research</w:t>
      </w:r>
      <w:r>
        <w:rPr>
          <w:color w:val="000000"/>
          <w:sz w:val="22"/>
          <w:szCs w:val="22"/>
          <w:lang w:val="en-GB" w:eastAsia="en-AU"/>
        </w:rPr>
        <w:t xml:space="preserve"> </w:t>
      </w:r>
      <w:r w:rsidRPr="00874504">
        <w:rPr>
          <w:b/>
          <w:color w:val="000000"/>
          <w:sz w:val="22"/>
          <w:szCs w:val="22"/>
          <w:lang w:val="en-GB" w:eastAsia="en-AU"/>
        </w:rPr>
        <w:t>73</w:t>
      </w:r>
      <w:r>
        <w:rPr>
          <w:color w:val="000000"/>
          <w:sz w:val="22"/>
          <w:szCs w:val="22"/>
          <w:lang w:val="en-GB" w:eastAsia="en-AU"/>
        </w:rPr>
        <w:t>, 223–236.</w:t>
      </w:r>
    </w:p>
    <w:p w14:paraId="4B59FBF5" w14:textId="61BBF162" w:rsidR="00491210" w:rsidRPr="005968A4" w:rsidRDefault="00EE200C" w:rsidP="00A94F87">
      <w:pPr>
        <w:spacing w:before="240" w:after="240"/>
        <w:ind w:left="567" w:hanging="567"/>
        <w:rPr>
          <w:color w:val="000000"/>
          <w:sz w:val="22"/>
          <w:szCs w:val="22"/>
          <w:lang w:val="en-GB" w:eastAsia="en-AU"/>
        </w:rPr>
      </w:pPr>
      <w:r w:rsidRPr="005968A4">
        <w:rPr>
          <w:color w:val="000000"/>
          <w:sz w:val="22"/>
          <w:szCs w:val="22"/>
          <w:lang w:val="en-GB" w:eastAsia="en-AU"/>
        </w:rPr>
        <w:t xml:space="preserve">Stuart, I., </w:t>
      </w:r>
      <w:r w:rsidRPr="005968A4">
        <w:rPr>
          <w:b/>
          <w:bCs/>
          <w:color w:val="000000"/>
          <w:sz w:val="22"/>
          <w:szCs w:val="22"/>
          <w:lang w:val="en-GB" w:eastAsia="en-AU"/>
        </w:rPr>
        <w:t>Fanson</w:t>
      </w:r>
      <w:r w:rsidRPr="00874504">
        <w:rPr>
          <w:b/>
          <w:color w:val="000000"/>
          <w:sz w:val="22"/>
          <w:szCs w:val="22"/>
          <w:lang w:val="en-GB" w:eastAsia="en-AU"/>
        </w:rPr>
        <w:t>, B.</w:t>
      </w:r>
      <w:r>
        <w:rPr>
          <w:color w:val="000000"/>
          <w:sz w:val="22"/>
          <w:szCs w:val="22"/>
          <w:lang w:val="en-GB" w:eastAsia="en-AU"/>
        </w:rPr>
        <w:t xml:space="preserve">, </w:t>
      </w:r>
      <w:r w:rsidRPr="005968A4">
        <w:rPr>
          <w:color w:val="000000"/>
          <w:sz w:val="22"/>
          <w:szCs w:val="22"/>
          <w:lang w:val="en-GB" w:eastAsia="en-AU"/>
        </w:rPr>
        <w:t xml:space="preserve">Lyon, </w:t>
      </w:r>
      <w:r>
        <w:rPr>
          <w:color w:val="000000"/>
          <w:sz w:val="22"/>
          <w:szCs w:val="22"/>
          <w:lang w:val="en-GB" w:eastAsia="en-AU"/>
        </w:rPr>
        <w:t xml:space="preserve">J., </w:t>
      </w:r>
      <w:r w:rsidRPr="005968A4">
        <w:rPr>
          <w:color w:val="000000"/>
          <w:sz w:val="22"/>
          <w:szCs w:val="22"/>
          <w:lang w:val="en-GB" w:eastAsia="en-AU"/>
        </w:rPr>
        <w:t xml:space="preserve">Stocks, </w:t>
      </w:r>
      <w:r>
        <w:rPr>
          <w:color w:val="000000"/>
          <w:sz w:val="22"/>
          <w:szCs w:val="22"/>
          <w:lang w:val="en-GB" w:eastAsia="en-AU"/>
        </w:rPr>
        <w:t xml:space="preserve">J., </w:t>
      </w:r>
      <w:r w:rsidRPr="005968A4">
        <w:rPr>
          <w:color w:val="000000"/>
          <w:sz w:val="22"/>
          <w:szCs w:val="22"/>
          <w:lang w:val="en-GB" w:eastAsia="en-AU"/>
        </w:rPr>
        <w:t xml:space="preserve">Brooks, </w:t>
      </w:r>
      <w:r>
        <w:rPr>
          <w:color w:val="000000"/>
          <w:sz w:val="22"/>
          <w:szCs w:val="22"/>
          <w:lang w:val="en-GB" w:eastAsia="en-AU"/>
        </w:rPr>
        <w:t xml:space="preserve">S., </w:t>
      </w:r>
      <w:r w:rsidRPr="005968A4">
        <w:rPr>
          <w:color w:val="000000"/>
          <w:sz w:val="22"/>
          <w:szCs w:val="22"/>
          <w:lang w:val="en-GB" w:eastAsia="en-AU"/>
        </w:rPr>
        <w:t xml:space="preserve">Norris, </w:t>
      </w:r>
      <w:r>
        <w:rPr>
          <w:color w:val="000000"/>
          <w:sz w:val="22"/>
          <w:szCs w:val="22"/>
          <w:lang w:val="en-GB" w:eastAsia="en-AU"/>
        </w:rPr>
        <w:t xml:space="preserve">A., </w:t>
      </w:r>
      <w:r w:rsidRPr="005968A4">
        <w:rPr>
          <w:color w:val="000000"/>
          <w:sz w:val="22"/>
          <w:szCs w:val="22"/>
          <w:lang w:val="en-GB" w:eastAsia="en-AU"/>
        </w:rPr>
        <w:t xml:space="preserve">Thwaites, </w:t>
      </w:r>
      <w:r>
        <w:rPr>
          <w:color w:val="000000"/>
          <w:sz w:val="22"/>
          <w:szCs w:val="22"/>
          <w:lang w:val="en-GB" w:eastAsia="en-AU"/>
        </w:rPr>
        <w:t xml:space="preserve">L., </w:t>
      </w:r>
      <w:r w:rsidRPr="005968A4">
        <w:rPr>
          <w:color w:val="000000"/>
          <w:sz w:val="22"/>
          <w:szCs w:val="22"/>
          <w:lang w:val="en-GB" w:eastAsia="en-AU"/>
        </w:rPr>
        <w:t xml:space="preserve">Beitzel, </w:t>
      </w:r>
      <w:r>
        <w:rPr>
          <w:color w:val="000000"/>
          <w:sz w:val="22"/>
          <w:szCs w:val="22"/>
          <w:lang w:val="en-GB" w:eastAsia="en-AU"/>
        </w:rPr>
        <w:t xml:space="preserve">M., </w:t>
      </w:r>
      <w:r w:rsidRPr="005968A4">
        <w:rPr>
          <w:color w:val="000000"/>
          <w:sz w:val="22"/>
          <w:szCs w:val="22"/>
          <w:lang w:val="en-GB" w:eastAsia="en-AU"/>
        </w:rPr>
        <w:t xml:space="preserve">Hutchison, </w:t>
      </w:r>
      <w:r>
        <w:rPr>
          <w:color w:val="000000"/>
          <w:sz w:val="22"/>
          <w:szCs w:val="22"/>
          <w:lang w:val="en-GB" w:eastAsia="en-AU"/>
        </w:rPr>
        <w:t xml:space="preserve">M. </w:t>
      </w:r>
      <w:r w:rsidRPr="005968A4">
        <w:rPr>
          <w:color w:val="000000"/>
          <w:sz w:val="22"/>
          <w:szCs w:val="22"/>
          <w:lang w:val="en-GB" w:eastAsia="en-AU"/>
        </w:rPr>
        <w:t>and Ye</w:t>
      </w:r>
      <w:r>
        <w:rPr>
          <w:color w:val="000000"/>
          <w:sz w:val="22"/>
          <w:szCs w:val="22"/>
          <w:lang w:val="en-GB" w:eastAsia="en-AU"/>
        </w:rPr>
        <w:t>, Q</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2021</w:t>
      </w:r>
      <w:r>
        <w:rPr>
          <w:color w:val="000000"/>
          <w:sz w:val="22"/>
          <w:szCs w:val="22"/>
          <w:lang w:val="en-GB" w:eastAsia="en-AU"/>
        </w:rPr>
        <w:t>)</w:t>
      </w:r>
      <w:r w:rsidRPr="005968A4">
        <w:rPr>
          <w:color w:val="000000"/>
          <w:sz w:val="22"/>
          <w:szCs w:val="22"/>
          <w:lang w:val="en-GB" w:eastAsia="en-AU"/>
        </w:rPr>
        <w:t xml:space="preserve">. Continental threat: </w:t>
      </w:r>
      <w:r>
        <w:rPr>
          <w:color w:val="000000"/>
          <w:sz w:val="22"/>
          <w:szCs w:val="22"/>
          <w:lang w:val="en-GB" w:eastAsia="en-AU"/>
        </w:rPr>
        <w:t>h</w:t>
      </w:r>
      <w:r w:rsidRPr="005968A4">
        <w:rPr>
          <w:color w:val="000000"/>
          <w:sz w:val="22"/>
          <w:szCs w:val="22"/>
          <w:lang w:val="en-GB" w:eastAsia="en-AU"/>
        </w:rPr>
        <w:t>ow many common carp (</w:t>
      </w:r>
      <w:r w:rsidRPr="005968A4">
        <w:rPr>
          <w:i/>
          <w:iCs/>
          <w:color w:val="000000"/>
          <w:sz w:val="22"/>
          <w:szCs w:val="22"/>
          <w:lang w:val="en-GB" w:eastAsia="en-AU"/>
        </w:rPr>
        <w:t>Cyprinus</w:t>
      </w:r>
      <w:r w:rsidRPr="005968A4">
        <w:rPr>
          <w:color w:val="000000"/>
          <w:sz w:val="22"/>
          <w:szCs w:val="22"/>
          <w:lang w:val="en-GB" w:eastAsia="en-AU"/>
        </w:rPr>
        <w:t xml:space="preserve"> </w:t>
      </w:r>
      <w:r w:rsidRPr="005968A4">
        <w:rPr>
          <w:i/>
          <w:iCs/>
          <w:color w:val="000000"/>
          <w:sz w:val="22"/>
          <w:szCs w:val="22"/>
          <w:lang w:val="en-GB" w:eastAsia="en-AU"/>
        </w:rPr>
        <w:t>carpio</w:t>
      </w:r>
      <w:r w:rsidRPr="005968A4">
        <w:rPr>
          <w:color w:val="000000"/>
          <w:sz w:val="22"/>
          <w:szCs w:val="22"/>
          <w:lang w:val="en-GB" w:eastAsia="en-AU"/>
        </w:rPr>
        <w:t xml:space="preserve">) are there in Australia? </w:t>
      </w:r>
      <w:r w:rsidRPr="005968A4">
        <w:rPr>
          <w:i/>
          <w:iCs/>
          <w:color w:val="000000"/>
          <w:sz w:val="22"/>
          <w:szCs w:val="22"/>
          <w:lang w:val="en-GB" w:eastAsia="en-AU"/>
        </w:rPr>
        <w:t xml:space="preserve">Biological </w:t>
      </w:r>
      <w:r w:rsidRPr="3C439C7B">
        <w:rPr>
          <w:i/>
          <w:iCs/>
          <w:color w:val="000000"/>
          <w:sz w:val="22"/>
          <w:szCs w:val="22"/>
          <w:lang w:val="en-GB" w:eastAsia="en-AU"/>
        </w:rPr>
        <w:t>Conservation</w:t>
      </w:r>
      <w:r w:rsidRPr="005968A4">
        <w:rPr>
          <w:color w:val="000000"/>
          <w:sz w:val="22"/>
          <w:szCs w:val="22"/>
          <w:lang w:val="en-GB" w:eastAsia="en-AU"/>
        </w:rPr>
        <w:t xml:space="preserve"> </w:t>
      </w:r>
      <w:r w:rsidRPr="00874504">
        <w:rPr>
          <w:b/>
          <w:color w:val="000000"/>
          <w:sz w:val="22"/>
          <w:szCs w:val="22"/>
          <w:lang w:val="en-GB" w:eastAsia="en-AU"/>
        </w:rPr>
        <w:t>254</w:t>
      </w:r>
      <w:r>
        <w:rPr>
          <w:color w:val="000000"/>
          <w:sz w:val="22"/>
          <w:szCs w:val="22"/>
          <w:lang w:val="en-GB" w:eastAsia="en-AU"/>
        </w:rPr>
        <w:t xml:space="preserve">, </w:t>
      </w:r>
      <w:r w:rsidRPr="005968A4">
        <w:rPr>
          <w:color w:val="000000"/>
          <w:sz w:val="22"/>
          <w:szCs w:val="22"/>
          <w:lang w:val="en-GB" w:eastAsia="en-AU"/>
        </w:rPr>
        <w:t>108942.</w:t>
      </w:r>
    </w:p>
    <w:p w14:paraId="5623D413" w14:textId="60C3680D" w:rsidR="00491210" w:rsidRPr="00105A0B" w:rsidRDefault="00EE200C" w:rsidP="00A94F87">
      <w:pPr>
        <w:spacing w:before="240" w:after="240"/>
        <w:ind w:left="567" w:hanging="567"/>
        <w:rPr>
          <w:color w:val="000000"/>
          <w:sz w:val="22"/>
          <w:szCs w:val="22"/>
          <w:lang w:val="en-GB" w:eastAsia="en-AU"/>
        </w:rPr>
      </w:pPr>
      <w:r w:rsidRPr="005968A4">
        <w:rPr>
          <w:color w:val="000000"/>
          <w:sz w:val="22"/>
          <w:szCs w:val="22"/>
          <w:lang w:val="en-GB" w:eastAsia="en-AU"/>
        </w:rPr>
        <w:t xml:space="preserve">Thiem, J.D., Baumgartner, </w:t>
      </w:r>
      <w:r>
        <w:rPr>
          <w:color w:val="000000"/>
          <w:sz w:val="22"/>
          <w:szCs w:val="22"/>
          <w:lang w:val="en-GB" w:eastAsia="en-AU"/>
        </w:rPr>
        <w:t xml:space="preserve">L.J., </w:t>
      </w:r>
      <w:r w:rsidRPr="005968A4">
        <w:rPr>
          <w:b/>
          <w:bCs/>
          <w:color w:val="000000"/>
          <w:sz w:val="22"/>
          <w:szCs w:val="22"/>
          <w:lang w:val="en-GB" w:eastAsia="en-AU"/>
        </w:rPr>
        <w:t>Fanson</w:t>
      </w:r>
      <w:r w:rsidRPr="00874504">
        <w:rPr>
          <w:b/>
          <w:color w:val="000000"/>
          <w:sz w:val="22"/>
          <w:szCs w:val="22"/>
          <w:lang w:val="en-GB" w:eastAsia="en-AU"/>
        </w:rPr>
        <w:t>, B.</w:t>
      </w:r>
      <w:r>
        <w:rPr>
          <w:color w:val="000000"/>
          <w:sz w:val="22"/>
          <w:szCs w:val="22"/>
          <w:lang w:val="en-GB" w:eastAsia="en-AU"/>
        </w:rPr>
        <w:t xml:space="preserve">, </w:t>
      </w:r>
      <w:r w:rsidRPr="005968A4">
        <w:rPr>
          <w:color w:val="000000"/>
          <w:sz w:val="22"/>
          <w:szCs w:val="22"/>
          <w:lang w:val="en-GB" w:eastAsia="en-AU"/>
        </w:rPr>
        <w:t xml:space="preserve">Sadekov, </w:t>
      </w:r>
      <w:r>
        <w:rPr>
          <w:color w:val="000000"/>
          <w:sz w:val="22"/>
          <w:szCs w:val="22"/>
          <w:lang w:val="en-GB" w:eastAsia="en-AU"/>
        </w:rPr>
        <w:t xml:space="preserve">A., </w:t>
      </w:r>
      <w:r w:rsidRPr="005968A4">
        <w:rPr>
          <w:color w:val="000000"/>
          <w:sz w:val="22"/>
          <w:szCs w:val="22"/>
          <w:lang w:val="en-GB" w:eastAsia="en-AU"/>
        </w:rPr>
        <w:t xml:space="preserve">Tonkin, </w:t>
      </w:r>
      <w:r>
        <w:rPr>
          <w:color w:val="000000"/>
          <w:sz w:val="22"/>
          <w:szCs w:val="22"/>
          <w:lang w:val="en-GB" w:eastAsia="en-AU"/>
        </w:rPr>
        <w:t xml:space="preserve">Z. </w:t>
      </w:r>
      <w:r w:rsidRPr="005968A4">
        <w:rPr>
          <w:color w:val="000000"/>
          <w:sz w:val="22"/>
          <w:szCs w:val="22"/>
          <w:lang w:val="en-GB" w:eastAsia="en-AU"/>
        </w:rPr>
        <w:t>and Zampatti</w:t>
      </w:r>
      <w:r>
        <w:rPr>
          <w:color w:val="000000"/>
          <w:sz w:val="22"/>
          <w:szCs w:val="22"/>
          <w:lang w:val="en-GB" w:eastAsia="en-AU"/>
        </w:rPr>
        <w:t>, B.P</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202</w:t>
      </w:r>
      <w:r>
        <w:rPr>
          <w:color w:val="000000"/>
          <w:sz w:val="22"/>
          <w:szCs w:val="22"/>
          <w:lang w:val="en-GB" w:eastAsia="en-AU"/>
        </w:rPr>
        <w:t>2)</w:t>
      </w:r>
      <w:r w:rsidRPr="005968A4">
        <w:rPr>
          <w:color w:val="000000"/>
          <w:sz w:val="22"/>
          <w:szCs w:val="22"/>
          <w:lang w:val="en-GB" w:eastAsia="en-AU"/>
        </w:rPr>
        <w:t xml:space="preserve">. Contrasting natal origin and movement history informs recovery pathways for three lowland river species following a mass fish kill. </w:t>
      </w:r>
      <w:r w:rsidRPr="005968A4">
        <w:rPr>
          <w:i/>
          <w:iCs/>
          <w:color w:val="000000"/>
          <w:sz w:val="22"/>
          <w:szCs w:val="22"/>
          <w:lang w:val="en-GB" w:eastAsia="en-AU"/>
        </w:rPr>
        <w:t>Marine and Freshwater Research</w:t>
      </w:r>
      <w:r>
        <w:rPr>
          <w:color w:val="000000"/>
          <w:sz w:val="22"/>
          <w:szCs w:val="22"/>
          <w:lang w:val="en-GB" w:eastAsia="en-AU"/>
        </w:rPr>
        <w:t xml:space="preserve"> </w:t>
      </w:r>
      <w:r w:rsidRPr="00874504">
        <w:rPr>
          <w:b/>
          <w:color w:val="000000"/>
          <w:sz w:val="22"/>
          <w:szCs w:val="22"/>
          <w:lang w:val="en-GB" w:eastAsia="en-AU"/>
        </w:rPr>
        <w:t>73</w:t>
      </w:r>
      <w:r>
        <w:rPr>
          <w:color w:val="000000"/>
          <w:sz w:val="22"/>
          <w:szCs w:val="22"/>
          <w:lang w:val="en-GB" w:eastAsia="en-AU"/>
        </w:rPr>
        <w:t>, 237–246.</w:t>
      </w:r>
    </w:p>
    <w:p w14:paraId="378BB039" w14:textId="42F82DAF" w:rsidR="00491210" w:rsidRPr="005968A4" w:rsidRDefault="00EE200C" w:rsidP="00A94F87">
      <w:pPr>
        <w:spacing w:before="240" w:after="240"/>
        <w:ind w:left="567" w:hanging="567"/>
        <w:rPr>
          <w:color w:val="000000"/>
          <w:sz w:val="22"/>
          <w:szCs w:val="22"/>
          <w:lang w:val="en-GB" w:eastAsia="en-AU"/>
        </w:rPr>
      </w:pPr>
      <w:r w:rsidRPr="005968A4">
        <w:rPr>
          <w:color w:val="000000"/>
          <w:sz w:val="22"/>
          <w:szCs w:val="22"/>
          <w:lang w:val="en-GB" w:eastAsia="en-AU"/>
        </w:rPr>
        <w:t>Koster, W.</w:t>
      </w:r>
      <w:r>
        <w:rPr>
          <w:color w:val="000000"/>
          <w:sz w:val="22"/>
          <w:szCs w:val="22"/>
          <w:lang w:val="en-GB" w:eastAsia="en-AU"/>
        </w:rPr>
        <w:t>M.</w:t>
      </w:r>
      <w:r w:rsidRPr="005968A4">
        <w:rPr>
          <w:color w:val="000000"/>
          <w:sz w:val="22"/>
          <w:szCs w:val="22"/>
          <w:lang w:val="en-GB" w:eastAsia="en-AU"/>
        </w:rPr>
        <w:t xml:space="preserve">, Stuart, </w:t>
      </w:r>
      <w:r>
        <w:rPr>
          <w:color w:val="000000"/>
          <w:sz w:val="22"/>
          <w:szCs w:val="22"/>
          <w:lang w:val="en-GB" w:eastAsia="en-AU"/>
        </w:rPr>
        <w:t xml:space="preserve">I., </w:t>
      </w:r>
      <w:r w:rsidRPr="005968A4">
        <w:rPr>
          <w:color w:val="000000"/>
          <w:sz w:val="22"/>
          <w:szCs w:val="22"/>
          <w:lang w:val="en-GB" w:eastAsia="en-AU"/>
        </w:rPr>
        <w:t xml:space="preserve">Tonkin, </w:t>
      </w:r>
      <w:r>
        <w:rPr>
          <w:color w:val="000000"/>
          <w:sz w:val="22"/>
          <w:szCs w:val="22"/>
          <w:lang w:val="en-GB" w:eastAsia="en-AU"/>
        </w:rPr>
        <w:t xml:space="preserve">Z., </w:t>
      </w:r>
      <w:r w:rsidRPr="005968A4">
        <w:rPr>
          <w:color w:val="000000"/>
          <w:sz w:val="22"/>
          <w:szCs w:val="22"/>
          <w:lang w:val="en-GB" w:eastAsia="en-AU"/>
        </w:rPr>
        <w:t xml:space="preserve">Dawson, </w:t>
      </w:r>
      <w:r>
        <w:rPr>
          <w:color w:val="000000"/>
          <w:sz w:val="22"/>
          <w:szCs w:val="22"/>
          <w:lang w:val="en-GB" w:eastAsia="en-AU"/>
        </w:rPr>
        <w:t xml:space="preserve">D. </w:t>
      </w:r>
      <w:r w:rsidRPr="005968A4">
        <w:rPr>
          <w:color w:val="000000"/>
          <w:sz w:val="22"/>
          <w:szCs w:val="22"/>
          <w:lang w:val="en-GB" w:eastAsia="en-AU"/>
        </w:rPr>
        <w:t xml:space="preserve">and </w:t>
      </w:r>
      <w:r w:rsidRPr="005968A4">
        <w:rPr>
          <w:b/>
          <w:bCs/>
          <w:color w:val="000000"/>
          <w:sz w:val="22"/>
          <w:szCs w:val="22"/>
          <w:lang w:val="en-GB" w:eastAsia="en-AU"/>
        </w:rPr>
        <w:t>Fanson</w:t>
      </w:r>
      <w:r>
        <w:rPr>
          <w:b/>
          <w:bCs/>
          <w:color w:val="000000"/>
          <w:sz w:val="22"/>
          <w:szCs w:val="22"/>
          <w:lang w:val="en-GB" w:eastAsia="en-AU"/>
        </w:rPr>
        <w:t>, B</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202</w:t>
      </w:r>
      <w:r>
        <w:rPr>
          <w:color w:val="000000"/>
          <w:sz w:val="22"/>
          <w:szCs w:val="22"/>
          <w:lang w:val="en-GB" w:eastAsia="en-AU"/>
        </w:rPr>
        <w:t>1)</w:t>
      </w:r>
      <w:r w:rsidRPr="005968A4">
        <w:rPr>
          <w:color w:val="000000"/>
          <w:sz w:val="22"/>
          <w:szCs w:val="22"/>
          <w:lang w:val="en-GB" w:eastAsia="en-AU"/>
        </w:rPr>
        <w:t xml:space="preserve">. Environmental influences on migration patterns and pathways of a threatened potamodromous fish in a regulated lowland river network. </w:t>
      </w:r>
      <w:r w:rsidRPr="005968A4">
        <w:rPr>
          <w:i/>
          <w:iCs/>
          <w:color w:val="000000"/>
          <w:sz w:val="22"/>
          <w:szCs w:val="22"/>
          <w:lang w:val="en-GB" w:eastAsia="en-AU"/>
        </w:rPr>
        <w:t>Ecohydrology</w:t>
      </w:r>
      <w:r>
        <w:rPr>
          <w:color w:val="000000"/>
          <w:sz w:val="22"/>
          <w:szCs w:val="22"/>
          <w:lang w:val="en-GB" w:eastAsia="en-AU"/>
        </w:rPr>
        <w:t xml:space="preserve"> </w:t>
      </w:r>
      <w:r w:rsidRPr="00874504">
        <w:rPr>
          <w:b/>
          <w:color w:val="000000"/>
          <w:sz w:val="22"/>
          <w:szCs w:val="22"/>
          <w:lang w:val="en-GB" w:eastAsia="en-AU"/>
        </w:rPr>
        <w:t>14</w:t>
      </w:r>
      <w:r>
        <w:rPr>
          <w:color w:val="000000"/>
          <w:sz w:val="22"/>
          <w:szCs w:val="22"/>
          <w:lang w:val="en-GB" w:eastAsia="en-AU"/>
        </w:rPr>
        <w:t xml:space="preserve">, </w:t>
      </w:r>
      <w:r w:rsidRPr="005968A4">
        <w:rPr>
          <w:color w:val="000000"/>
          <w:sz w:val="22"/>
          <w:szCs w:val="22"/>
          <w:lang w:val="en-GB" w:eastAsia="en-AU"/>
        </w:rPr>
        <w:t>e2260.</w:t>
      </w:r>
    </w:p>
    <w:p w14:paraId="04F453F3" w14:textId="191FA9CC" w:rsidR="00491210" w:rsidRPr="005968A4" w:rsidRDefault="00EE200C" w:rsidP="00A94F87">
      <w:pPr>
        <w:spacing w:before="240" w:after="240"/>
        <w:ind w:left="567" w:hanging="567"/>
        <w:rPr>
          <w:color w:val="000000"/>
          <w:sz w:val="22"/>
          <w:szCs w:val="22"/>
          <w:lang w:val="en-GB" w:eastAsia="en-AU"/>
        </w:rPr>
      </w:pPr>
      <w:r w:rsidRPr="005968A4">
        <w:rPr>
          <w:color w:val="000000"/>
          <w:sz w:val="22"/>
          <w:szCs w:val="22"/>
          <w:lang w:val="en-GB" w:eastAsia="en-AU"/>
        </w:rPr>
        <w:t xml:space="preserve">Dominiak, B.C. and </w:t>
      </w:r>
      <w:r w:rsidRPr="005968A4">
        <w:rPr>
          <w:b/>
          <w:bCs/>
          <w:color w:val="000000"/>
          <w:sz w:val="22"/>
          <w:szCs w:val="22"/>
          <w:lang w:val="en-GB" w:eastAsia="en-AU"/>
        </w:rPr>
        <w:t>Fanson</w:t>
      </w:r>
      <w:r>
        <w:rPr>
          <w:b/>
          <w:bCs/>
          <w:color w:val="000000"/>
          <w:sz w:val="22"/>
          <w:szCs w:val="22"/>
          <w:lang w:val="en-GB" w:eastAsia="en-AU"/>
        </w:rPr>
        <w:t>, B.G</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2020</w:t>
      </w:r>
      <w:r>
        <w:rPr>
          <w:color w:val="000000"/>
          <w:sz w:val="22"/>
          <w:szCs w:val="22"/>
          <w:lang w:val="en-GB" w:eastAsia="en-AU"/>
        </w:rPr>
        <w:t>)</w:t>
      </w:r>
      <w:r w:rsidRPr="005968A4">
        <w:rPr>
          <w:color w:val="000000"/>
          <w:sz w:val="22"/>
          <w:szCs w:val="22"/>
          <w:lang w:val="en-GB" w:eastAsia="en-AU"/>
        </w:rPr>
        <w:t>. Current quarantine and suspension distances are excessive for incipient populations of Queensland fruit fly (</w:t>
      </w:r>
      <w:r w:rsidRPr="3C439C7B">
        <w:rPr>
          <w:i/>
          <w:color w:val="000000"/>
          <w:sz w:val="22"/>
          <w:szCs w:val="22"/>
          <w:lang w:val="en-GB" w:eastAsia="en-AU"/>
        </w:rPr>
        <w:t xml:space="preserve">Bactrocera tryoni </w:t>
      </w:r>
      <w:r w:rsidRPr="005968A4">
        <w:rPr>
          <w:color w:val="000000"/>
          <w:sz w:val="22"/>
          <w:szCs w:val="22"/>
          <w:lang w:val="en-GB" w:eastAsia="en-AU"/>
        </w:rPr>
        <w:t xml:space="preserve">(Froggatt))(Diptera: Tephritidae) in southern New South Wales, Australia. </w:t>
      </w:r>
      <w:r w:rsidRPr="005968A4">
        <w:rPr>
          <w:i/>
          <w:iCs/>
          <w:color w:val="000000"/>
          <w:sz w:val="22"/>
          <w:szCs w:val="22"/>
          <w:lang w:val="en-GB" w:eastAsia="en-AU"/>
        </w:rPr>
        <w:t>Crop Protection</w:t>
      </w:r>
      <w:r w:rsidRPr="005968A4">
        <w:rPr>
          <w:color w:val="000000"/>
          <w:sz w:val="22"/>
          <w:szCs w:val="22"/>
          <w:lang w:val="en-GB" w:eastAsia="en-AU"/>
        </w:rPr>
        <w:t xml:space="preserve"> </w:t>
      </w:r>
      <w:r w:rsidRPr="00874504">
        <w:rPr>
          <w:b/>
          <w:color w:val="000000"/>
          <w:sz w:val="22"/>
          <w:szCs w:val="22"/>
          <w:lang w:val="en-GB" w:eastAsia="en-AU"/>
        </w:rPr>
        <w:t>138</w:t>
      </w:r>
      <w:r>
        <w:rPr>
          <w:color w:val="000000"/>
          <w:sz w:val="22"/>
          <w:szCs w:val="22"/>
          <w:lang w:val="en-GB" w:eastAsia="en-AU"/>
        </w:rPr>
        <w:t xml:space="preserve">, </w:t>
      </w:r>
      <w:r w:rsidRPr="005968A4">
        <w:rPr>
          <w:color w:val="000000"/>
          <w:sz w:val="22"/>
          <w:szCs w:val="22"/>
          <w:lang w:val="en-GB" w:eastAsia="en-AU"/>
        </w:rPr>
        <w:t>105341.</w:t>
      </w:r>
    </w:p>
    <w:p w14:paraId="2C455191" w14:textId="0FB469FD" w:rsidR="00491210" w:rsidRPr="005968A4" w:rsidRDefault="00EE200C" w:rsidP="00A94F87">
      <w:pPr>
        <w:spacing w:before="240" w:after="240"/>
        <w:ind w:left="567" w:hanging="567"/>
        <w:rPr>
          <w:color w:val="000000"/>
          <w:sz w:val="22"/>
          <w:szCs w:val="22"/>
          <w:lang w:val="en-GB" w:eastAsia="en-AU"/>
        </w:rPr>
      </w:pPr>
      <w:r w:rsidRPr="005968A4">
        <w:rPr>
          <w:color w:val="000000"/>
          <w:sz w:val="22"/>
          <w:szCs w:val="22"/>
          <w:lang w:val="en-GB" w:eastAsia="en-AU"/>
        </w:rPr>
        <w:t xml:space="preserve">Tonkin, Z., Kitchingman, </w:t>
      </w:r>
      <w:r>
        <w:rPr>
          <w:color w:val="000000"/>
          <w:sz w:val="22"/>
          <w:szCs w:val="22"/>
          <w:lang w:val="en-GB" w:eastAsia="en-AU"/>
        </w:rPr>
        <w:t xml:space="preserve">A., </w:t>
      </w:r>
      <w:r w:rsidRPr="005968A4">
        <w:rPr>
          <w:b/>
          <w:bCs/>
          <w:color w:val="000000"/>
          <w:sz w:val="22"/>
          <w:szCs w:val="22"/>
          <w:lang w:val="en-GB" w:eastAsia="en-AU"/>
        </w:rPr>
        <w:t>Fanson</w:t>
      </w:r>
      <w:r w:rsidRPr="00874504">
        <w:rPr>
          <w:b/>
          <w:color w:val="000000"/>
          <w:sz w:val="22"/>
          <w:szCs w:val="22"/>
          <w:lang w:val="en-GB" w:eastAsia="en-AU"/>
        </w:rPr>
        <w:t>, B.</w:t>
      </w:r>
      <w:r>
        <w:rPr>
          <w:color w:val="000000"/>
          <w:sz w:val="22"/>
          <w:szCs w:val="22"/>
          <w:lang w:val="en-GB" w:eastAsia="en-AU"/>
        </w:rPr>
        <w:t xml:space="preserve">, </w:t>
      </w:r>
      <w:r w:rsidRPr="005968A4">
        <w:rPr>
          <w:color w:val="000000"/>
          <w:sz w:val="22"/>
          <w:szCs w:val="22"/>
          <w:lang w:val="en-GB" w:eastAsia="en-AU"/>
        </w:rPr>
        <w:t xml:space="preserve">Lyon, </w:t>
      </w:r>
      <w:r>
        <w:rPr>
          <w:color w:val="000000"/>
          <w:sz w:val="22"/>
          <w:szCs w:val="22"/>
          <w:lang w:val="en-GB" w:eastAsia="en-AU"/>
        </w:rPr>
        <w:t xml:space="preserve">J., </w:t>
      </w:r>
      <w:r w:rsidRPr="005968A4">
        <w:rPr>
          <w:color w:val="000000"/>
          <w:sz w:val="22"/>
          <w:szCs w:val="22"/>
          <w:lang w:val="en-GB" w:eastAsia="en-AU"/>
        </w:rPr>
        <w:t xml:space="preserve">Ayres, </w:t>
      </w:r>
      <w:r>
        <w:rPr>
          <w:color w:val="000000"/>
          <w:sz w:val="22"/>
          <w:szCs w:val="22"/>
          <w:lang w:val="en-GB" w:eastAsia="en-AU"/>
        </w:rPr>
        <w:t xml:space="preserve">R., </w:t>
      </w:r>
      <w:r w:rsidRPr="005968A4">
        <w:rPr>
          <w:color w:val="000000"/>
          <w:sz w:val="22"/>
          <w:szCs w:val="22"/>
          <w:lang w:val="en-GB" w:eastAsia="en-AU"/>
        </w:rPr>
        <w:t xml:space="preserve">Sharley, </w:t>
      </w:r>
      <w:r>
        <w:rPr>
          <w:color w:val="000000"/>
          <w:sz w:val="22"/>
          <w:szCs w:val="22"/>
          <w:lang w:val="en-GB" w:eastAsia="en-AU"/>
        </w:rPr>
        <w:t xml:space="preserve">J., </w:t>
      </w:r>
      <w:r w:rsidRPr="005968A4">
        <w:rPr>
          <w:color w:val="000000"/>
          <w:sz w:val="22"/>
          <w:szCs w:val="22"/>
          <w:lang w:val="en-GB" w:eastAsia="en-AU"/>
        </w:rPr>
        <w:t xml:space="preserve">Koster, </w:t>
      </w:r>
      <w:r>
        <w:rPr>
          <w:color w:val="000000"/>
          <w:sz w:val="22"/>
          <w:szCs w:val="22"/>
          <w:lang w:val="en-GB" w:eastAsia="en-AU"/>
        </w:rPr>
        <w:t xml:space="preserve">W.M., </w:t>
      </w:r>
      <w:r w:rsidRPr="005968A4">
        <w:rPr>
          <w:color w:val="000000"/>
          <w:sz w:val="22"/>
          <w:szCs w:val="22"/>
          <w:lang w:val="en-GB" w:eastAsia="en-AU"/>
        </w:rPr>
        <w:t>O</w:t>
      </w:r>
      <w:r>
        <w:rPr>
          <w:color w:val="000000"/>
          <w:sz w:val="22"/>
          <w:szCs w:val="22"/>
          <w:lang w:val="en-GB" w:eastAsia="en-AU"/>
        </w:rPr>
        <w:t>‘</w:t>
      </w:r>
      <w:r w:rsidRPr="005968A4">
        <w:rPr>
          <w:color w:val="000000"/>
          <w:sz w:val="22"/>
          <w:szCs w:val="22"/>
          <w:lang w:val="en-GB" w:eastAsia="en-AU"/>
        </w:rPr>
        <w:t>Mahony,</w:t>
      </w:r>
      <w:r>
        <w:rPr>
          <w:color w:val="000000"/>
          <w:sz w:val="22"/>
          <w:szCs w:val="22"/>
          <w:lang w:val="en-GB" w:eastAsia="en-AU"/>
        </w:rPr>
        <w:t xml:space="preserve"> J., </w:t>
      </w:r>
      <w:r w:rsidRPr="005968A4">
        <w:rPr>
          <w:color w:val="000000"/>
          <w:sz w:val="22"/>
          <w:szCs w:val="22"/>
          <w:lang w:val="en-GB" w:eastAsia="en-AU"/>
        </w:rPr>
        <w:t xml:space="preserve">Hackett, </w:t>
      </w:r>
      <w:r>
        <w:rPr>
          <w:color w:val="000000"/>
          <w:sz w:val="22"/>
          <w:szCs w:val="22"/>
          <w:lang w:val="en-GB" w:eastAsia="en-AU"/>
        </w:rPr>
        <w:t xml:space="preserve">G. </w:t>
      </w:r>
      <w:r w:rsidRPr="005968A4">
        <w:rPr>
          <w:color w:val="000000"/>
          <w:sz w:val="22"/>
          <w:szCs w:val="22"/>
          <w:lang w:val="en-GB" w:eastAsia="en-AU"/>
        </w:rPr>
        <w:t>and Reich</w:t>
      </w:r>
      <w:r>
        <w:rPr>
          <w:color w:val="000000"/>
          <w:sz w:val="22"/>
          <w:szCs w:val="22"/>
          <w:lang w:val="en-GB" w:eastAsia="en-AU"/>
        </w:rPr>
        <w:t>, P</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2020</w:t>
      </w:r>
      <w:r>
        <w:rPr>
          <w:color w:val="000000"/>
          <w:sz w:val="22"/>
          <w:szCs w:val="22"/>
          <w:lang w:val="en-GB" w:eastAsia="en-AU"/>
        </w:rPr>
        <w:t>)</w:t>
      </w:r>
      <w:r w:rsidRPr="005968A4">
        <w:rPr>
          <w:color w:val="000000"/>
          <w:sz w:val="22"/>
          <w:szCs w:val="22"/>
          <w:lang w:val="en-GB" w:eastAsia="en-AU"/>
        </w:rPr>
        <w:t>. Quantifying links between instream woody habitat and freshwater fish species in south</w:t>
      </w:r>
      <w:r w:rsidRPr="005968A4">
        <w:rPr>
          <w:rFonts w:ascii="Cambria Math" w:hAnsi="Cambria Math" w:cs="Cambria Math"/>
          <w:color w:val="000000"/>
          <w:sz w:val="22"/>
          <w:szCs w:val="22"/>
          <w:lang w:val="en-GB" w:eastAsia="en-AU"/>
        </w:rPr>
        <w:t>‐</w:t>
      </w:r>
      <w:r w:rsidRPr="005968A4">
        <w:rPr>
          <w:color w:val="000000"/>
          <w:sz w:val="22"/>
          <w:szCs w:val="22"/>
          <w:lang w:val="en-GB" w:eastAsia="en-AU"/>
        </w:rPr>
        <w:t xml:space="preserve">eastern Australia to inform waterway restoration. </w:t>
      </w:r>
      <w:r w:rsidRPr="00874504">
        <w:rPr>
          <w:i/>
          <w:color w:val="000000"/>
          <w:sz w:val="22"/>
          <w:szCs w:val="22"/>
          <w:lang w:val="en-GB" w:eastAsia="en-AU"/>
        </w:rPr>
        <w:t xml:space="preserve">Aquatic Conservation: Marine and Freshwater </w:t>
      </w:r>
      <w:r w:rsidRPr="005968A4">
        <w:rPr>
          <w:i/>
          <w:iCs/>
          <w:color w:val="000000"/>
          <w:sz w:val="22"/>
          <w:szCs w:val="22"/>
          <w:lang w:val="en-GB" w:eastAsia="en-AU"/>
        </w:rPr>
        <w:t>Ecosystems</w:t>
      </w:r>
      <w:r w:rsidRPr="005968A4">
        <w:rPr>
          <w:color w:val="000000"/>
          <w:sz w:val="22"/>
          <w:szCs w:val="22"/>
          <w:lang w:val="en-GB" w:eastAsia="en-AU"/>
        </w:rPr>
        <w:t xml:space="preserve"> </w:t>
      </w:r>
      <w:r w:rsidRPr="00874504">
        <w:rPr>
          <w:b/>
          <w:color w:val="000000"/>
          <w:sz w:val="22"/>
          <w:szCs w:val="22"/>
          <w:lang w:val="en-GB" w:eastAsia="en-AU"/>
        </w:rPr>
        <w:t>30</w:t>
      </w:r>
      <w:r>
        <w:rPr>
          <w:color w:val="000000"/>
          <w:sz w:val="22"/>
          <w:szCs w:val="22"/>
          <w:lang w:val="en-GB" w:eastAsia="en-AU"/>
        </w:rPr>
        <w:t xml:space="preserve">, </w:t>
      </w:r>
      <w:r w:rsidRPr="005968A4">
        <w:rPr>
          <w:color w:val="000000"/>
          <w:sz w:val="22"/>
          <w:szCs w:val="22"/>
          <w:lang w:val="en-GB" w:eastAsia="en-AU"/>
        </w:rPr>
        <w:t>1385</w:t>
      </w:r>
      <w:r>
        <w:rPr>
          <w:color w:val="000000"/>
          <w:sz w:val="22"/>
          <w:szCs w:val="22"/>
          <w:lang w:val="en-GB" w:eastAsia="en-AU"/>
        </w:rPr>
        <w:t>–</w:t>
      </w:r>
      <w:r w:rsidRPr="005968A4">
        <w:rPr>
          <w:color w:val="000000"/>
          <w:sz w:val="22"/>
          <w:szCs w:val="22"/>
          <w:lang w:val="en-GB" w:eastAsia="en-AU"/>
        </w:rPr>
        <w:t>1396.</w:t>
      </w:r>
    </w:p>
    <w:p w14:paraId="7A56FBAB" w14:textId="5ED4F021" w:rsidR="00491210" w:rsidRPr="005968A4" w:rsidRDefault="00EE200C" w:rsidP="00A94F87">
      <w:pPr>
        <w:spacing w:before="240" w:after="240"/>
        <w:ind w:left="567" w:hanging="567"/>
        <w:rPr>
          <w:color w:val="000000"/>
          <w:sz w:val="22"/>
          <w:szCs w:val="22"/>
          <w:lang w:val="en-GB" w:eastAsia="en-AU"/>
        </w:rPr>
      </w:pPr>
      <w:r w:rsidRPr="005968A4">
        <w:rPr>
          <w:color w:val="000000"/>
          <w:sz w:val="22"/>
          <w:szCs w:val="22"/>
          <w:lang w:val="en-GB" w:eastAsia="en-AU"/>
        </w:rPr>
        <w:t xml:space="preserve">Wright, D.W., Zampatti, </w:t>
      </w:r>
      <w:r>
        <w:rPr>
          <w:color w:val="000000"/>
          <w:sz w:val="22"/>
          <w:szCs w:val="22"/>
          <w:lang w:val="en-GB" w:eastAsia="en-AU"/>
        </w:rPr>
        <w:t xml:space="preserve">B.P., </w:t>
      </w:r>
      <w:r w:rsidRPr="005968A4">
        <w:rPr>
          <w:color w:val="000000"/>
          <w:sz w:val="22"/>
          <w:szCs w:val="22"/>
          <w:lang w:val="en-GB" w:eastAsia="en-AU"/>
        </w:rPr>
        <w:t xml:space="preserve">Baumgartner, </w:t>
      </w:r>
      <w:r>
        <w:rPr>
          <w:color w:val="000000"/>
          <w:sz w:val="22"/>
          <w:szCs w:val="22"/>
          <w:lang w:val="en-GB" w:eastAsia="en-AU"/>
        </w:rPr>
        <w:t xml:space="preserve">L.J., </w:t>
      </w:r>
      <w:r w:rsidRPr="005968A4">
        <w:rPr>
          <w:color w:val="000000"/>
          <w:sz w:val="22"/>
          <w:szCs w:val="22"/>
          <w:lang w:val="en-GB" w:eastAsia="en-AU"/>
        </w:rPr>
        <w:t xml:space="preserve">Brooks, </w:t>
      </w:r>
      <w:r>
        <w:rPr>
          <w:color w:val="000000"/>
          <w:sz w:val="22"/>
          <w:szCs w:val="22"/>
          <w:lang w:val="en-GB" w:eastAsia="en-AU"/>
        </w:rPr>
        <w:t xml:space="preserve">S., </w:t>
      </w:r>
      <w:r w:rsidRPr="005968A4">
        <w:rPr>
          <w:color w:val="000000"/>
          <w:sz w:val="22"/>
          <w:szCs w:val="22"/>
          <w:lang w:val="en-GB" w:eastAsia="en-AU"/>
        </w:rPr>
        <w:t xml:space="preserve">Butler, </w:t>
      </w:r>
      <w:r>
        <w:rPr>
          <w:color w:val="000000"/>
          <w:sz w:val="22"/>
          <w:szCs w:val="22"/>
          <w:lang w:val="en-GB" w:eastAsia="en-AU"/>
        </w:rPr>
        <w:t xml:space="preserve">G.L., </w:t>
      </w:r>
      <w:r w:rsidRPr="005968A4">
        <w:rPr>
          <w:color w:val="000000"/>
          <w:sz w:val="22"/>
          <w:szCs w:val="22"/>
          <w:lang w:val="en-GB" w:eastAsia="en-AU"/>
        </w:rPr>
        <w:t xml:space="preserve">D. A. Crook, </w:t>
      </w:r>
      <w:r>
        <w:rPr>
          <w:color w:val="000000"/>
          <w:sz w:val="22"/>
          <w:szCs w:val="22"/>
          <w:lang w:val="en-GB" w:eastAsia="en-AU"/>
        </w:rPr>
        <w:t xml:space="preserve">D.A., </w:t>
      </w:r>
      <w:r w:rsidRPr="005968A4">
        <w:rPr>
          <w:b/>
          <w:bCs/>
          <w:color w:val="000000"/>
          <w:sz w:val="22"/>
          <w:szCs w:val="22"/>
          <w:lang w:val="en-GB" w:eastAsia="en-AU"/>
        </w:rPr>
        <w:t>Fanson</w:t>
      </w:r>
      <w:r w:rsidRPr="00874504">
        <w:rPr>
          <w:b/>
          <w:color w:val="000000"/>
          <w:sz w:val="22"/>
          <w:szCs w:val="22"/>
          <w:lang w:val="en-GB" w:eastAsia="en-AU"/>
        </w:rPr>
        <w:t>, B.G.</w:t>
      </w:r>
      <w:r>
        <w:rPr>
          <w:color w:val="000000"/>
          <w:sz w:val="22"/>
          <w:szCs w:val="22"/>
          <w:lang w:val="en-GB" w:eastAsia="en-AU"/>
        </w:rPr>
        <w:t xml:space="preserve">, </w:t>
      </w:r>
      <w:r w:rsidRPr="005968A4">
        <w:rPr>
          <w:color w:val="000000"/>
          <w:sz w:val="22"/>
          <w:szCs w:val="22"/>
          <w:lang w:val="en-GB" w:eastAsia="en-AU"/>
        </w:rPr>
        <w:t xml:space="preserve">Koster, </w:t>
      </w:r>
      <w:r>
        <w:rPr>
          <w:color w:val="000000"/>
          <w:sz w:val="22"/>
          <w:szCs w:val="22"/>
          <w:lang w:val="en-GB" w:eastAsia="en-AU"/>
        </w:rPr>
        <w:t xml:space="preserve">W.M., </w:t>
      </w:r>
      <w:r w:rsidRPr="005968A4">
        <w:rPr>
          <w:color w:val="000000"/>
          <w:sz w:val="22"/>
          <w:szCs w:val="22"/>
          <w:lang w:val="en-GB" w:eastAsia="en-AU"/>
        </w:rPr>
        <w:t xml:space="preserve">Lyon, </w:t>
      </w:r>
      <w:r>
        <w:rPr>
          <w:color w:val="000000"/>
          <w:sz w:val="22"/>
          <w:szCs w:val="22"/>
          <w:lang w:val="en-GB" w:eastAsia="en-AU"/>
        </w:rPr>
        <w:t xml:space="preserve">J., </w:t>
      </w:r>
      <w:r w:rsidRPr="005968A4">
        <w:rPr>
          <w:color w:val="000000"/>
          <w:sz w:val="22"/>
          <w:szCs w:val="22"/>
          <w:lang w:val="en-GB" w:eastAsia="en-AU"/>
        </w:rPr>
        <w:t>and Strawbridge</w:t>
      </w:r>
      <w:r>
        <w:rPr>
          <w:color w:val="000000"/>
          <w:sz w:val="22"/>
          <w:szCs w:val="22"/>
          <w:lang w:val="en-GB" w:eastAsia="en-AU"/>
        </w:rPr>
        <w:t>, A</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2020</w:t>
      </w:r>
      <w:r>
        <w:rPr>
          <w:color w:val="000000"/>
          <w:sz w:val="22"/>
          <w:szCs w:val="22"/>
          <w:lang w:val="en-GB" w:eastAsia="en-AU"/>
        </w:rPr>
        <w:t>)</w:t>
      </w:r>
      <w:r w:rsidRPr="005968A4">
        <w:rPr>
          <w:color w:val="000000"/>
          <w:sz w:val="22"/>
          <w:szCs w:val="22"/>
          <w:lang w:val="en-GB" w:eastAsia="en-AU"/>
        </w:rPr>
        <w:t>. Size, growth and mortality of riverine golden perch (</w:t>
      </w:r>
      <w:r w:rsidRPr="005968A4">
        <w:rPr>
          <w:i/>
          <w:iCs/>
          <w:color w:val="000000"/>
          <w:sz w:val="22"/>
          <w:szCs w:val="22"/>
          <w:lang w:val="en-GB" w:eastAsia="en-AU"/>
        </w:rPr>
        <w:t>Macquaria</w:t>
      </w:r>
      <w:r w:rsidRPr="005968A4">
        <w:rPr>
          <w:color w:val="000000"/>
          <w:sz w:val="22"/>
          <w:szCs w:val="22"/>
          <w:lang w:val="en-GB" w:eastAsia="en-AU"/>
        </w:rPr>
        <w:t xml:space="preserve"> </w:t>
      </w:r>
      <w:r w:rsidRPr="005968A4">
        <w:rPr>
          <w:i/>
          <w:iCs/>
          <w:color w:val="000000"/>
          <w:sz w:val="22"/>
          <w:szCs w:val="22"/>
          <w:lang w:val="en-GB" w:eastAsia="en-AU"/>
        </w:rPr>
        <w:t>ambigua</w:t>
      </w:r>
      <w:r w:rsidRPr="005968A4">
        <w:rPr>
          <w:color w:val="000000"/>
          <w:sz w:val="22"/>
          <w:szCs w:val="22"/>
          <w:lang w:val="en-GB" w:eastAsia="en-AU"/>
        </w:rPr>
        <w:t xml:space="preserve">) across a latitudinal gradient. </w:t>
      </w:r>
      <w:r w:rsidRPr="005968A4">
        <w:rPr>
          <w:i/>
          <w:iCs/>
          <w:color w:val="000000"/>
          <w:sz w:val="22"/>
          <w:szCs w:val="22"/>
          <w:lang w:val="en-GB" w:eastAsia="en-AU"/>
        </w:rPr>
        <w:t>Marine and Freshwater Research</w:t>
      </w:r>
      <w:r w:rsidRPr="005968A4">
        <w:rPr>
          <w:color w:val="000000"/>
          <w:sz w:val="22"/>
          <w:szCs w:val="22"/>
          <w:lang w:val="en-GB" w:eastAsia="en-AU"/>
        </w:rPr>
        <w:t xml:space="preserve"> </w:t>
      </w:r>
      <w:r w:rsidRPr="00874504">
        <w:rPr>
          <w:b/>
          <w:color w:val="000000"/>
          <w:sz w:val="22"/>
          <w:szCs w:val="22"/>
          <w:lang w:val="en-GB" w:eastAsia="en-AU"/>
        </w:rPr>
        <w:t>71</w:t>
      </w:r>
      <w:r>
        <w:rPr>
          <w:color w:val="000000"/>
          <w:sz w:val="22"/>
          <w:szCs w:val="22"/>
          <w:lang w:val="en-GB" w:eastAsia="en-AU"/>
        </w:rPr>
        <w:t xml:space="preserve">, </w:t>
      </w:r>
      <w:r w:rsidRPr="005968A4">
        <w:rPr>
          <w:color w:val="000000"/>
          <w:sz w:val="22"/>
          <w:szCs w:val="22"/>
          <w:lang w:val="en-GB" w:eastAsia="en-AU"/>
        </w:rPr>
        <w:t>1651</w:t>
      </w:r>
      <w:r>
        <w:rPr>
          <w:color w:val="000000"/>
          <w:sz w:val="22"/>
          <w:szCs w:val="22"/>
          <w:lang w:val="en-GB" w:eastAsia="en-AU"/>
        </w:rPr>
        <w:t>–</w:t>
      </w:r>
      <w:r w:rsidRPr="005968A4">
        <w:rPr>
          <w:color w:val="000000"/>
          <w:sz w:val="22"/>
          <w:szCs w:val="22"/>
          <w:lang w:val="en-GB" w:eastAsia="en-AU"/>
        </w:rPr>
        <w:t>1661.</w:t>
      </w:r>
    </w:p>
    <w:p w14:paraId="7601C0B6" w14:textId="455BB40C" w:rsidR="00491210" w:rsidRPr="005968A4" w:rsidRDefault="00EE200C" w:rsidP="00A94F87">
      <w:pPr>
        <w:spacing w:before="240" w:after="240"/>
        <w:ind w:left="567" w:hanging="567"/>
        <w:rPr>
          <w:color w:val="000000"/>
          <w:sz w:val="22"/>
          <w:szCs w:val="22"/>
          <w:lang w:val="en-GB" w:eastAsia="en-AU"/>
        </w:rPr>
      </w:pPr>
      <w:r w:rsidRPr="005968A4">
        <w:rPr>
          <w:color w:val="000000"/>
          <w:sz w:val="22"/>
          <w:szCs w:val="22"/>
          <w:lang w:val="en-GB" w:eastAsia="en-AU"/>
        </w:rPr>
        <w:t xml:space="preserve">Brown, G.W., Robertson, </w:t>
      </w:r>
      <w:r>
        <w:rPr>
          <w:color w:val="000000"/>
          <w:sz w:val="22"/>
          <w:szCs w:val="22"/>
          <w:lang w:val="en-GB" w:eastAsia="en-AU"/>
        </w:rPr>
        <w:t xml:space="preserve">P. </w:t>
      </w:r>
      <w:r w:rsidRPr="005968A4">
        <w:rPr>
          <w:color w:val="000000"/>
          <w:sz w:val="22"/>
          <w:szCs w:val="22"/>
          <w:lang w:val="en-GB" w:eastAsia="en-AU"/>
        </w:rPr>
        <w:t xml:space="preserve">and </w:t>
      </w:r>
      <w:r w:rsidRPr="005968A4">
        <w:rPr>
          <w:b/>
          <w:bCs/>
          <w:color w:val="000000"/>
          <w:sz w:val="22"/>
          <w:szCs w:val="22"/>
          <w:lang w:val="en-GB" w:eastAsia="en-AU"/>
        </w:rPr>
        <w:t>Fanson</w:t>
      </w:r>
      <w:r>
        <w:rPr>
          <w:b/>
          <w:bCs/>
          <w:color w:val="000000"/>
          <w:sz w:val="22"/>
          <w:szCs w:val="22"/>
          <w:lang w:val="en-GB" w:eastAsia="en-AU"/>
        </w:rPr>
        <w:t>, B</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2020</w:t>
      </w:r>
      <w:r>
        <w:rPr>
          <w:color w:val="000000"/>
          <w:sz w:val="22"/>
          <w:szCs w:val="22"/>
          <w:lang w:val="en-GB" w:eastAsia="en-AU"/>
        </w:rPr>
        <w:t>)</w:t>
      </w:r>
      <w:r w:rsidRPr="005968A4">
        <w:rPr>
          <w:color w:val="000000"/>
          <w:sz w:val="22"/>
          <w:szCs w:val="22"/>
          <w:lang w:val="en-GB" w:eastAsia="en-AU"/>
        </w:rPr>
        <w:t xml:space="preserve">. Identifying a surrogate metric for monitoring the population status of a secretive habitat specialist, the heath skink </w:t>
      </w:r>
      <w:r w:rsidRPr="005968A4">
        <w:rPr>
          <w:i/>
          <w:iCs/>
          <w:color w:val="000000"/>
          <w:sz w:val="22"/>
          <w:szCs w:val="22"/>
          <w:lang w:val="en-GB" w:eastAsia="en-AU"/>
        </w:rPr>
        <w:t>Liopholis</w:t>
      </w:r>
      <w:r w:rsidRPr="005968A4">
        <w:rPr>
          <w:color w:val="000000"/>
          <w:sz w:val="22"/>
          <w:szCs w:val="22"/>
          <w:lang w:val="en-GB" w:eastAsia="en-AU"/>
        </w:rPr>
        <w:t xml:space="preserve"> </w:t>
      </w:r>
      <w:r w:rsidRPr="005968A4">
        <w:rPr>
          <w:i/>
          <w:iCs/>
          <w:color w:val="000000"/>
          <w:sz w:val="22"/>
          <w:szCs w:val="22"/>
          <w:lang w:val="en-GB" w:eastAsia="en-AU"/>
        </w:rPr>
        <w:t>multiscutata</w:t>
      </w:r>
      <w:r w:rsidRPr="005968A4">
        <w:rPr>
          <w:color w:val="000000"/>
          <w:sz w:val="22"/>
          <w:szCs w:val="22"/>
          <w:lang w:val="en-GB" w:eastAsia="en-AU"/>
        </w:rPr>
        <w:t>, in south</w:t>
      </w:r>
      <w:r w:rsidRPr="005968A4">
        <w:rPr>
          <w:rFonts w:ascii="Cambria Math" w:hAnsi="Cambria Math" w:cs="Cambria Math"/>
          <w:color w:val="000000"/>
          <w:sz w:val="22"/>
          <w:szCs w:val="22"/>
          <w:lang w:val="en-GB" w:eastAsia="en-AU"/>
        </w:rPr>
        <w:t>‐</w:t>
      </w:r>
      <w:r w:rsidRPr="005968A4">
        <w:rPr>
          <w:color w:val="000000"/>
          <w:sz w:val="22"/>
          <w:szCs w:val="22"/>
          <w:lang w:val="en-GB" w:eastAsia="en-AU"/>
        </w:rPr>
        <w:t xml:space="preserve">eastern Australia. </w:t>
      </w:r>
      <w:r w:rsidRPr="005968A4">
        <w:rPr>
          <w:i/>
          <w:iCs/>
          <w:color w:val="000000"/>
          <w:sz w:val="22"/>
          <w:szCs w:val="22"/>
          <w:lang w:val="en-GB" w:eastAsia="en-AU"/>
        </w:rPr>
        <w:t>Austral Ecology</w:t>
      </w:r>
      <w:r w:rsidRPr="005968A4">
        <w:rPr>
          <w:color w:val="000000"/>
          <w:sz w:val="22"/>
          <w:szCs w:val="22"/>
          <w:lang w:val="en-GB" w:eastAsia="en-AU"/>
        </w:rPr>
        <w:t xml:space="preserve"> </w:t>
      </w:r>
      <w:r w:rsidRPr="00874504">
        <w:rPr>
          <w:b/>
          <w:color w:val="000000"/>
          <w:sz w:val="22"/>
          <w:szCs w:val="22"/>
          <w:lang w:val="en-GB" w:eastAsia="en-AU"/>
        </w:rPr>
        <w:t>45</w:t>
      </w:r>
      <w:r>
        <w:rPr>
          <w:color w:val="000000"/>
          <w:sz w:val="22"/>
          <w:szCs w:val="22"/>
          <w:lang w:val="en-GB" w:eastAsia="en-AU"/>
        </w:rPr>
        <w:t xml:space="preserve">, </w:t>
      </w:r>
      <w:r w:rsidRPr="005968A4">
        <w:rPr>
          <w:color w:val="000000"/>
          <w:sz w:val="22"/>
          <w:szCs w:val="22"/>
          <w:lang w:val="en-GB" w:eastAsia="en-AU"/>
        </w:rPr>
        <w:t>206</w:t>
      </w:r>
      <w:r>
        <w:rPr>
          <w:color w:val="000000"/>
          <w:sz w:val="22"/>
          <w:szCs w:val="22"/>
          <w:lang w:val="en-GB" w:eastAsia="en-AU"/>
        </w:rPr>
        <w:t>–</w:t>
      </w:r>
      <w:r w:rsidRPr="005968A4">
        <w:rPr>
          <w:color w:val="000000"/>
          <w:sz w:val="22"/>
          <w:szCs w:val="22"/>
          <w:lang w:val="en-GB" w:eastAsia="en-AU"/>
        </w:rPr>
        <w:t>214.</w:t>
      </w:r>
    </w:p>
    <w:p w14:paraId="3C4AEE0B" w14:textId="13A6B158" w:rsidR="00491210" w:rsidRPr="005968A4" w:rsidRDefault="00EE200C" w:rsidP="00A94F87">
      <w:pPr>
        <w:spacing w:before="240" w:after="240"/>
        <w:ind w:left="567" w:hanging="567"/>
        <w:rPr>
          <w:color w:val="000000"/>
          <w:sz w:val="22"/>
          <w:szCs w:val="22"/>
          <w:lang w:val="en-GB" w:eastAsia="en-AU"/>
        </w:rPr>
      </w:pPr>
      <w:r w:rsidRPr="005968A4">
        <w:rPr>
          <w:color w:val="000000"/>
          <w:sz w:val="22"/>
          <w:szCs w:val="22"/>
          <w:lang w:val="en-GB" w:eastAsia="en-AU"/>
        </w:rPr>
        <w:lastRenderedPageBreak/>
        <w:t xml:space="preserve">Zampatti, B.P., </w:t>
      </w:r>
      <w:r w:rsidRPr="005968A4">
        <w:rPr>
          <w:b/>
          <w:bCs/>
          <w:color w:val="000000"/>
          <w:sz w:val="22"/>
          <w:szCs w:val="22"/>
          <w:lang w:val="en-GB" w:eastAsia="en-AU"/>
        </w:rPr>
        <w:t>Fanson</w:t>
      </w:r>
      <w:r w:rsidRPr="00874504">
        <w:rPr>
          <w:b/>
          <w:color w:val="000000"/>
          <w:sz w:val="22"/>
          <w:szCs w:val="22"/>
          <w:lang w:val="en-GB" w:eastAsia="en-AU"/>
        </w:rPr>
        <w:t>, B.G.</w:t>
      </w:r>
      <w:r>
        <w:rPr>
          <w:color w:val="000000"/>
          <w:sz w:val="22"/>
          <w:szCs w:val="22"/>
          <w:lang w:val="en-GB" w:eastAsia="en-AU"/>
        </w:rPr>
        <w:t xml:space="preserve">, </w:t>
      </w:r>
      <w:r w:rsidRPr="005968A4">
        <w:rPr>
          <w:color w:val="000000"/>
          <w:sz w:val="22"/>
          <w:szCs w:val="22"/>
          <w:lang w:val="en-GB" w:eastAsia="en-AU"/>
        </w:rPr>
        <w:t xml:space="preserve">Strawbridge, </w:t>
      </w:r>
      <w:r>
        <w:rPr>
          <w:color w:val="000000"/>
          <w:sz w:val="22"/>
          <w:szCs w:val="22"/>
          <w:lang w:val="en-GB" w:eastAsia="en-AU"/>
        </w:rPr>
        <w:t xml:space="preserve">A., </w:t>
      </w:r>
      <w:r w:rsidRPr="005968A4">
        <w:rPr>
          <w:color w:val="000000"/>
          <w:sz w:val="22"/>
          <w:szCs w:val="22"/>
          <w:lang w:val="en-GB" w:eastAsia="en-AU"/>
        </w:rPr>
        <w:t xml:space="preserve">Tonkin, </w:t>
      </w:r>
      <w:r>
        <w:rPr>
          <w:color w:val="000000"/>
          <w:sz w:val="22"/>
          <w:szCs w:val="22"/>
          <w:lang w:val="en-GB" w:eastAsia="en-AU"/>
        </w:rPr>
        <w:t xml:space="preserve">Z., </w:t>
      </w:r>
      <w:r w:rsidRPr="005968A4">
        <w:rPr>
          <w:color w:val="000000"/>
          <w:sz w:val="22"/>
          <w:szCs w:val="22"/>
          <w:lang w:val="en-GB" w:eastAsia="en-AU"/>
        </w:rPr>
        <w:t xml:space="preserve">Thiem, </w:t>
      </w:r>
      <w:r>
        <w:rPr>
          <w:color w:val="000000"/>
          <w:sz w:val="22"/>
          <w:szCs w:val="22"/>
          <w:lang w:val="en-GB" w:eastAsia="en-AU"/>
        </w:rPr>
        <w:t xml:space="preserve">J., </w:t>
      </w:r>
      <w:r w:rsidRPr="005968A4">
        <w:rPr>
          <w:color w:val="000000"/>
          <w:sz w:val="22"/>
          <w:szCs w:val="22"/>
          <w:lang w:val="en-GB" w:eastAsia="en-AU"/>
        </w:rPr>
        <w:t xml:space="preserve">Crook, </w:t>
      </w:r>
      <w:r>
        <w:rPr>
          <w:color w:val="000000"/>
          <w:sz w:val="22"/>
          <w:szCs w:val="22"/>
          <w:lang w:val="en-GB" w:eastAsia="en-AU"/>
        </w:rPr>
        <w:t xml:space="preserve">D., </w:t>
      </w:r>
      <w:r w:rsidRPr="005968A4">
        <w:rPr>
          <w:color w:val="000000"/>
          <w:sz w:val="22"/>
          <w:szCs w:val="22"/>
          <w:lang w:val="en-GB" w:eastAsia="en-AU"/>
        </w:rPr>
        <w:t xml:space="preserve">Butler, </w:t>
      </w:r>
      <w:r>
        <w:rPr>
          <w:color w:val="000000"/>
          <w:sz w:val="22"/>
          <w:szCs w:val="22"/>
          <w:lang w:val="en-GB" w:eastAsia="en-AU"/>
        </w:rPr>
        <w:t xml:space="preserve">G.L., </w:t>
      </w:r>
      <w:r w:rsidRPr="005968A4">
        <w:rPr>
          <w:color w:val="000000"/>
          <w:sz w:val="22"/>
          <w:szCs w:val="22"/>
          <w:lang w:val="en-GB" w:eastAsia="en-AU"/>
        </w:rPr>
        <w:t xml:space="preserve">Balcombe, </w:t>
      </w:r>
      <w:r>
        <w:rPr>
          <w:color w:val="000000"/>
          <w:sz w:val="22"/>
          <w:szCs w:val="22"/>
          <w:lang w:val="en-GB" w:eastAsia="en-AU"/>
        </w:rPr>
        <w:t xml:space="preserve">S., </w:t>
      </w:r>
      <w:r w:rsidRPr="005968A4">
        <w:rPr>
          <w:color w:val="000000"/>
          <w:sz w:val="22"/>
          <w:szCs w:val="22"/>
          <w:lang w:val="en-GB" w:eastAsia="en-AU"/>
        </w:rPr>
        <w:t xml:space="preserve">Koster, </w:t>
      </w:r>
      <w:r>
        <w:rPr>
          <w:color w:val="000000"/>
          <w:sz w:val="22"/>
          <w:szCs w:val="22"/>
          <w:lang w:val="en-GB" w:eastAsia="en-AU"/>
        </w:rPr>
        <w:t xml:space="preserve">W., </w:t>
      </w:r>
      <w:r w:rsidRPr="005968A4">
        <w:rPr>
          <w:color w:val="000000"/>
          <w:sz w:val="22"/>
          <w:szCs w:val="22"/>
          <w:lang w:val="en-GB" w:eastAsia="en-AU"/>
        </w:rPr>
        <w:t>King</w:t>
      </w:r>
      <w:r>
        <w:rPr>
          <w:color w:val="000000"/>
          <w:sz w:val="22"/>
          <w:szCs w:val="22"/>
          <w:lang w:val="en-GB" w:eastAsia="en-AU"/>
        </w:rPr>
        <w:t>, A., Crook, D., Woods, R., Brooks, S., Lyon, J., Baumgartner, L.J. and Doyle, K.</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2019</w:t>
      </w:r>
      <w:r>
        <w:rPr>
          <w:color w:val="000000"/>
          <w:sz w:val="22"/>
          <w:szCs w:val="22"/>
          <w:lang w:val="en-GB" w:eastAsia="en-AU"/>
        </w:rPr>
        <w:t>)</w:t>
      </w:r>
      <w:r w:rsidRPr="005968A4">
        <w:rPr>
          <w:color w:val="000000"/>
          <w:sz w:val="22"/>
          <w:szCs w:val="22"/>
          <w:lang w:val="en-GB" w:eastAsia="en-AU"/>
        </w:rPr>
        <w:t>. Basin-scale population dynamics of Golden Perch and Murray Cod: relating flow to provenance, movement and recruitment in the Murray–Darling Basin: In Murray‒Darling Basin Environmental Water Knowledge and Research Project—Fish Theme Research Rep</w:t>
      </w:r>
      <w:r>
        <w:rPr>
          <w:color w:val="000000"/>
          <w:sz w:val="22"/>
          <w:szCs w:val="22"/>
          <w:lang w:val="en-GB" w:eastAsia="en-AU"/>
        </w:rPr>
        <w:t>ort. Centre for Freshwater Ecosystems No. 223. Commonwealth Environmental Water Office, Canberra, ACT.</w:t>
      </w:r>
    </w:p>
    <w:p w14:paraId="219AF371" w14:textId="5804BFC0" w:rsidR="00491210" w:rsidRPr="005968A4" w:rsidRDefault="00EE200C" w:rsidP="00A94F87">
      <w:pPr>
        <w:spacing w:before="240" w:after="240"/>
        <w:ind w:left="567" w:hanging="567"/>
        <w:rPr>
          <w:color w:val="000000"/>
          <w:sz w:val="22"/>
          <w:szCs w:val="22"/>
          <w:lang w:val="en-GB" w:eastAsia="en-AU"/>
        </w:rPr>
      </w:pPr>
      <w:r w:rsidRPr="005968A4">
        <w:rPr>
          <w:color w:val="000000"/>
          <w:sz w:val="22"/>
          <w:szCs w:val="22"/>
          <w:lang w:val="en-GB" w:eastAsia="en-AU"/>
        </w:rPr>
        <w:t xml:space="preserve">Forsyth, D.M., Pople, </w:t>
      </w:r>
      <w:r>
        <w:rPr>
          <w:color w:val="000000"/>
          <w:sz w:val="22"/>
          <w:szCs w:val="22"/>
          <w:lang w:val="en-GB" w:eastAsia="en-AU"/>
        </w:rPr>
        <w:t xml:space="preserve">A., </w:t>
      </w:r>
      <w:r w:rsidRPr="005968A4">
        <w:rPr>
          <w:color w:val="000000"/>
          <w:sz w:val="22"/>
          <w:szCs w:val="22"/>
          <w:lang w:val="en-GB" w:eastAsia="en-AU"/>
        </w:rPr>
        <w:t xml:space="preserve">Woodford, </w:t>
      </w:r>
      <w:r>
        <w:rPr>
          <w:color w:val="000000"/>
          <w:sz w:val="22"/>
          <w:szCs w:val="22"/>
          <w:lang w:val="en-GB" w:eastAsia="en-AU"/>
        </w:rPr>
        <w:t xml:space="preserve">L., </w:t>
      </w:r>
      <w:r w:rsidRPr="005968A4">
        <w:rPr>
          <w:color w:val="000000"/>
          <w:sz w:val="22"/>
          <w:szCs w:val="22"/>
          <w:lang w:val="en-GB" w:eastAsia="en-AU"/>
        </w:rPr>
        <w:t xml:space="preserve">Brennan, </w:t>
      </w:r>
      <w:r>
        <w:rPr>
          <w:color w:val="000000"/>
          <w:sz w:val="22"/>
          <w:szCs w:val="22"/>
          <w:lang w:val="en-GB" w:eastAsia="en-AU"/>
        </w:rPr>
        <w:t xml:space="preserve">M., </w:t>
      </w:r>
      <w:r w:rsidRPr="005968A4">
        <w:rPr>
          <w:color w:val="000000"/>
          <w:sz w:val="22"/>
          <w:szCs w:val="22"/>
          <w:lang w:val="en-GB" w:eastAsia="en-AU"/>
        </w:rPr>
        <w:t xml:space="preserve">Amos, </w:t>
      </w:r>
      <w:r>
        <w:rPr>
          <w:color w:val="000000"/>
          <w:sz w:val="22"/>
          <w:szCs w:val="22"/>
          <w:lang w:val="en-GB" w:eastAsia="en-AU"/>
        </w:rPr>
        <w:t xml:space="preserve">M., </w:t>
      </w:r>
      <w:r w:rsidRPr="005968A4">
        <w:rPr>
          <w:color w:val="000000"/>
          <w:sz w:val="22"/>
          <w:szCs w:val="22"/>
          <w:lang w:val="en-GB" w:eastAsia="en-AU"/>
        </w:rPr>
        <w:t xml:space="preserve">Moloney, </w:t>
      </w:r>
      <w:r>
        <w:rPr>
          <w:color w:val="000000"/>
          <w:sz w:val="22"/>
          <w:szCs w:val="22"/>
          <w:lang w:val="en-GB" w:eastAsia="en-AU"/>
        </w:rPr>
        <w:t xml:space="preserve">P.D., </w:t>
      </w:r>
      <w:r w:rsidRPr="005968A4">
        <w:rPr>
          <w:b/>
          <w:bCs/>
          <w:color w:val="000000"/>
          <w:sz w:val="22"/>
          <w:szCs w:val="22"/>
          <w:lang w:val="en-GB" w:eastAsia="en-AU"/>
        </w:rPr>
        <w:t>Fanson</w:t>
      </w:r>
      <w:r w:rsidRPr="00874504">
        <w:rPr>
          <w:b/>
          <w:color w:val="000000"/>
          <w:sz w:val="22"/>
          <w:szCs w:val="22"/>
          <w:lang w:val="en-GB" w:eastAsia="en-AU"/>
        </w:rPr>
        <w:t>, B.</w:t>
      </w:r>
      <w:r>
        <w:rPr>
          <w:color w:val="000000"/>
          <w:sz w:val="22"/>
          <w:szCs w:val="22"/>
          <w:lang w:val="en-GB" w:eastAsia="en-AU"/>
        </w:rPr>
        <w:t xml:space="preserve"> </w:t>
      </w:r>
      <w:r w:rsidRPr="005968A4">
        <w:rPr>
          <w:color w:val="000000"/>
          <w:sz w:val="22"/>
          <w:szCs w:val="22"/>
          <w:lang w:val="en-GB" w:eastAsia="en-AU"/>
        </w:rPr>
        <w:t>and Story</w:t>
      </w:r>
      <w:r>
        <w:rPr>
          <w:color w:val="000000"/>
          <w:sz w:val="22"/>
          <w:szCs w:val="22"/>
          <w:lang w:val="en-GB" w:eastAsia="en-AU"/>
        </w:rPr>
        <w:t>, G</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2019</w:t>
      </w:r>
      <w:r>
        <w:rPr>
          <w:color w:val="000000"/>
          <w:sz w:val="22"/>
          <w:szCs w:val="22"/>
          <w:lang w:val="en-GB" w:eastAsia="en-AU"/>
        </w:rPr>
        <w:t>)</w:t>
      </w:r>
      <w:r w:rsidRPr="005968A4">
        <w:rPr>
          <w:color w:val="000000"/>
          <w:sz w:val="22"/>
          <w:szCs w:val="22"/>
          <w:lang w:val="en-GB" w:eastAsia="en-AU"/>
        </w:rPr>
        <w:t>. Landscape-scale effects of homesteads, water, and dingoes on invading chital deer in Australia</w:t>
      </w:r>
      <w:r>
        <w:rPr>
          <w:color w:val="000000"/>
          <w:sz w:val="22"/>
          <w:szCs w:val="22"/>
          <w:lang w:val="en-GB" w:eastAsia="en-AU"/>
        </w:rPr>
        <w:t>’</w:t>
      </w:r>
      <w:r w:rsidRPr="005968A4">
        <w:rPr>
          <w:color w:val="000000"/>
          <w:sz w:val="22"/>
          <w:szCs w:val="22"/>
          <w:lang w:val="en-GB" w:eastAsia="en-AU"/>
        </w:rPr>
        <w:t>s dry tropi</w:t>
      </w:r>
      <w:r>
        <w:rPr>
          <w:color w:val="000000"/>
          <w:sz w:val="22"/>
          <w:szCs w:val="22"/>
          <w:lang w:val="en-GB" w:eastAsia="en-AU"/>
        </w:rPr>
        <w:t>cs</w:t>
      </w:r>
      <w:r w:rsidRPr="005968A4">
        <w:rPr>
          <w:color w:val="000000"/>
          <w:sz w:val="22"/>
          <w:szCs w:val="22"/>
          <w:lang w:val="en-GB" w:eastAsia="en-AU"/>
        </w:rPr>
        <w:t xml:space="preserve">. </w:t>
      </w:r>
      <w:r w:rsidRPr="005968A4">
        <w:rPr>
          <w:i/>
          <w:iCs/>
          <w:color w:val="000000"/>
          <w:sz w:val="22"/>
          <w:szCs w:val="22"/>
          <w:lang w:val="en-GB" w:eastAsia="en-AU"/>
        </w:rPr>
        <w:t>Journal of Mammalogy</w:t>
      </w:r>
      <w:r w:rsidRPr="005968A4">
        <w:rPr>
          <w:color w:val="000000"/>
          <w:sz w:val="22"/>
          <w:szCs w:val="22"/>
          <w:lang w:val="en-GB" w:eastAsia="en-AU"/>
        </w:rPr>
        <w:t xml:space="preserve"> </w:t>
      </w:r>
      <w:r w:rsidRPr="00874504">
        <w:rPr>
          <w:b/>
          <w:color w:val="000000"/>
          <w:sz w:val="22"/>
          <w:szCs w:val="22"/>
          <w:lang w:val="en-GB" w:eastAsia="en-AU"/>
        </w:rPr>
        <w:t>100</w:t>
      </w:r>
      <w:r>
        <w:rPr>
          <w:color w:val="000000"/>
          <w:sz w:val="22"/>
          <w:szCs w:val="22"/>
          <w:lang w:val="en-GB" w:eastAsia="en-AU"/>
        </w:rPr>
        <w:t xml:space="preserve">, </w:t>
      </w:r>
      <w:r w:rsidRPr="005968A4">
        <w:rPr>
          <w:color w:val="000000"/>
          <w:sz w:val="22"/>
          <w:szCs w:val="22"/>
          <w:lang w:val="en-GB" w:eastAsia="en-AU"/>
        </w:rPr>
        <w:t>1954</w:t>
      </w:r>
      <w:r>
        <w:rPr>
          <w:color w:val="000000"/>
          <w:sz w:val="22"/>
          <w:szCs w:val="22"/>
          <w:lang w:val="en-GB" w:eastAsia="en-AU"/>
        </w:rPr>
        <w:t>–</w:t>
      </w:r>
      <w:r w:rsidRPr="005968A4">
        <w:rPr>
          <w:color w:val="000000"/>
          <w:sz w:val="22"/>
          <w:szCs w:val="22"/>
          <w:lang w:val="en-GB" w:eastAsia="en-AU"/>
        </w:rPr>
        <w:t>1965.</w:t>
      </w:r>
    </w:p>
    <w:p w14:paraId="5079E88D" w14:textId="6594134B" w:rsidR="00491210" w:rsidRPr="005968A4" w:rsidRDefault="00EE200C" w:rsidP="00A94F87">
      <w:pPr>
        <w:spacing w:before="240" w:after="240"/>
        <w:ind w:left="567" w:hanging="567"/>
        <w:rPr>
          <w:color w:val="000000"/>
          <w:sz w:val="22"/>
          <w:szCs w:val="22"/>
          <w:lang w:val="en-GB" w:eastAsia="en-AU"/>
        </w:rPr>
      </w:pPr>
      <w:r w:rsidRPr="005968A4">
        <w:rPr>
          <w:color w:val="000000"/>
          <w:sz w:val="22"/>
          <w:szCs w:val="22"/>
          <w:lang w:val="en-GB" w:eastAsia="en-AU"/>
        </w:rPr>
        <w:t xml:space="preserve">Brown, G.W., Murphy, </w:t>
      </w:r>
      <w:r>
        <w:rPr>
          <w:color w:val="000000"/>
          <w:sz w:val="22"/>
          <w:szCs w:val="22"/>
          <w:lang w:val="en-GB" w:eastAsia="en-AU"/>
        </w:rPr>
        <w:t xml:space="preserve">A., </w:t>
      </w:r>
      <w:r w:rsidRPr="005968A4">
        <w:rPr>
          <w:b/>
          <w:bCs/>
          <w:color w:val="000000"/>
          <w:sz w:val="22"/>
          <w:szCs w:val="22"/>
          <w:lang w:val="en-GB" w:eastAsia="en-AU"/>
        </w:rPr>
        <w:t>Fanson</w:t>
      </w:r>
      <w:r w:rsidRPr="00874504">
        <w:rPr>
          <w:b/>
          <w:color w:val="000000"/>
          <w:sz w:val="22"/>
          <w:szCs w:val="22"/>
          <w:lang w:val="en-GB" w:eastAsia="en-AU"/>
        </w:rPr>
        <w:t>, B.</w:t>
      </w:r>
      <w:r>
        <w:rPr>
          <w:color w:val="000000"/>
          <w:sz w:val="22"/>
          <w:szCs w:val="22"/>
          <w:lang w:val="en-GB" w:eastAsia="en-AU"/>
        </w:rPr>
        <w:t xml:space="preserve"> </w:t>
      </w:r>
      <w:r w:rsidRPr="005968A4">
        <w:rPr>
          <w:color w:val="000000"/>
          <w:sz w:val="22"/>
          <w:szCs w:val="22"/>
          <w:lang w:val="en-GB" w:eastAsia="en-AU"/>
        </w:rPr>
        <w:t>and Tolsma</w:t>
      </w:r>
      <w:r>
        <w:rPr>
          <w:color w:val="000000"/>
          <w:sz w:val="22"/>
          <w:szCs w:val="22"/>
          <w:lang w:val="en-GB" w:eastAsia="en-AU"/>
        </w:rPr>
        <w:t>, A</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2019</w:t>
      </w:r>
      <w:r>
        <w:rPr>
          <w:color w:val="000000"/>
          <w:sz w:val="22"/>
          <w:szCs w:val="22"/>
          <w:lang w:val="en-GB" w:eastAsia="en-AU"/>
        </w:rPr>
        <w:t>)</w:t>
      </w:r>
      <w:r w:rsidRPr="005968A4">
        <w:rPr>
          <w:color w:val="000000"/>
          <w:sz w:val="22"/>
          <w:szCs w:val="22"/>
          <w:lang w:val="en-GB" w:eastAsia="en-AU"/>
        </w:rPr>
        <w:t xml:space="preserve">. The influence of different restoration thinning treatments on tree growth in a depleted forest system. </w:t>
      </w:r>
      <w:r w:rsidRPr="005968A4">
        <w:rPr>
          <w:i/>
          <w:iCs/>
          <w:color w:val="000000"/>
          <w:sz w:val="22"/>
          <w:szCs w:val="22"/>
          <w:lang w:val="en-GB" w:eastAsia="en-AU"/>
        </w:rPr>
        <w:t>Forest Ecology and Management</w:t>
      </w:r>
      <w:r w:rsidRPr="005968A4">
        <w:rPr>
          <w:color w:val="000000"/>
          <w:sz w:val="22"/>
          <w:szCs w:val="22"/>
          <w:lang w:val="en-GB" w:eastAsia="en-AU"/>
        </w:rPr>
        <w:t xml:space="preserve"> </w:t>
      </w:r>
      <w:r w:rsidRPr="00874504">
        <w:rPr>
          <w:b/>
          <w:color w:val="000000"/>
          <w:sz w:val="22"/>
          <w:szCs w:val="22"/>
          <w:lang w:val="en-GB" w:eastAsia="en-AU"/>
        </w:rPr>
        <w:t>437</w:t>
      </w:r>
      <w:r>
        <w:rPr>
          <w:color w:val="000000"/>
          <w:sz w:val="22"/>
          <w:szCs w:val="22"/>
          <w:lang w:val="en-GB" w:eastAsia="en-AU"/>
        </w:rPr>
        <w:t xml:space="preserve">, </w:t>
      </w:r>
      <w:r w:rsidRPr="005968A4">
        <w:rPr>
          <w:color w:val="000000"/>
          <w:sz w:val="22"/>
          <w:szCs w:val="22"/>
          <w:lang w:val="en-GB" w:eastAsia="en-AU"/>
        </w:rPr>
        <w:t>10</w:t>
      </w:r>
      <w:r>
        <w:rPr>
          <w:color w:val="000000"/>
          <w:sz w:val="22"/>
          <w:szCs w:val="22"/>
          <w:lang w:val="en-GB" w:eastAsia="en-AU"/>
        </w:rPr>
        <w:t>–</w:t>
      </w:r>
      <w:r w:rsidRPr="005968A4">
        <w:rPr>
          <w:color w:val="000000"/>
          <w:sz w:val="22"/>
          <w:szCs w:val="22"/>
          <w:lang w:val="en-GB" w:eastAsia="en-AU"/>
        </w:rPr>
        <w:t>16.</w:t>
      </w:r>
    </w:p>
    <w:p w14:paraId="6FDB5365" w14:textId="1DB5C5F0" w:rsidR="00491210" w:rsidRPr="005968A4" w:rsidRDefault="00EE200C" w:rsidP="00A94F87">
      <w:pPr>
        <w:spacing w:before="240" w:after="240"/>
        <w:ind w:left="567" w:hanging="567"/>
        <w:rPr>
          <w:color w:val="000000"/>
          <w:sz w:val="22"/>
          <w:szCs w:val="22"/>
          <w:lang w:val="en-GB" w:eastAsia="en-AU"/>
        </w:rPr>
      </w:pPr>
      <w:r w:rsidRPr="005968A4">
        <w:rPr>
          <w:color w:val="000000"/>
          <w:sz w:val="22"/>
          <w:szCs w:val="22"/>
          <w:lang w:val="en-GB" w:eastAsia="en-AU"/>
        </w:rPr>
        <w:t xml:space="preserve">Tonkin, Z., Sharley, </w:t>
      </w:r>
      <w:r>
        <w:rPr>
          <w:color w:val="000000"/>
          <w:sz w:val="22"/>
          <w:szCs w:val="22"/>
          <w:lang w:val="en-GB" w:eastAsia="en-AU"/>
        </w:rPr>
        <w:t xml:space="preserve">J., </w:t>
      </w:r>
      <w:r w:rsidRPr="005968A4">
        <w:rPr>
          <w:b/>
          <w:bCs/>
          <w:color w:val="000000"/>
          <w:sz w:val="22"/>
          <w:szCs w:val="22"/>
          <w:lang w:val="en-GB" w:eastAsia="en-AU"/>
        </w:rPr>
        <w:t>Fanson</w:t>
      </w:r>
      <w:r w:rsidRPr="00874504">
        <w:rPr>
          <w:b/>
          <w:color w:val="000000"/>
          <w:sz w:val="22"/>
          <w:szCs w:val="22"/>
          <w:lang w:val="en-GB" w:eastAsia="en-AU"/>
        </w:rPr>
        <w:t>, B.</w:t>
      </w:r>
      <w:r>
        <w:rPr>
          <w:color w:val="000000"/>
          <w:sz w:val="22"/>
          <w:szCs w:val="22"/>
          <w:lang w:val="en-GB" w:eastAsia="en-AU"/>
        </w:rPr>
        <w:t xml:space="preserve">, </w:t>
      </w:r>
      <w:r w:rsidRPr="005968A4">
        <w:rPr>
          <w:color w:val="000000"/>
          <w:sz w:val="22"/>
          <w:szCs w:val="22"/>
          <w:lang w:val="en-GB" w:eastAsia="en-AU"/>
        </w:rPr>
        <w:t xml:space="preserve">Raymond, </w:t>
      </w:r>
      <w:r>
        <w:rPr>
          <w:color w:val="000000"/>
          <w:sz w:val="22"/>
          <w:szCs w:val="22"/>
          <w:lang w:val="en-GB" w:eastAsia="en-AU"/>
        </w:rPr>
        <w:t xml:space="preserve">S., </w:t>
      </w:r>
      <w:r w:rsidRPr="005968A4">
        <w:rPr>
          <w:color w:val="000000"/>
          <w:sz w:val="22"/>
          <w:szCs w:val="22"/>
          <w:lang w:val="en-GB" w:eastAsia="en-AU"/>
        </w:rPr>
        <w:t xml:space="preserve">Ayres, </w:t>
      </w:r>
      <w:r>
        <w:rPr>
          <w:color w:val="000000"/>
          <w:sz w:val="22"/>
          <w:szCs w:val="22"/>
          <w:lang w:val="en-GB" w:eastAsia="en-AU"/>
        </w:rPr>
        <w:t xml:space="preserve">R., </w:t>
      </w:r>
      <w:r w:rsidRPr="005968A4">
        <w:rPr>
          <w:color w:val="000000"/>
          <w:sz w:val="22"/>
          <w:szCs w:val="22"/>
          <w:lang w:val="en-GB" w:eastAsia="en-AU"/>
        </w:rPr>
        <w:t xml:space="preserve">Lyon, </w:t>
      </w:r>
      <w:r>
        <w:rPr>
          <w:color w:val="000000"/>
          <w:sz w:val="22"/>
          <w:szCs w:val="22"/>
          <w:lang w:val="en-GB" w:eastAsia="en-AU"/>
        </w:rPr>
        <w:t xml:space="preserve">J., </w:t>
      </w:r>
      <w:r w:rsidRPr="005968A4">
        <w:rPr>
          <w:color w:val="000000"/>
          <w:sz w:val="22"/>
          <w:szCs w:val="22"/>
          <w:lang w:val="en-GB" w:eastAsia="en-AU"/>
        </w:rPr>
        <w:t xml:space="preserve">Balcombe, </w:t>
      </w:r>
      <w:r>
        <w:rPr>
          <w:color w:val="000000"/>
          <w:sz w:val="22"/>
          <w:szCs w:val="22"/>
          <w:lang w:val="en-GB" w:eastAsia="en-AU"/>
        </w:rPr>
        <w:t xml:space="preserve">S. </w:t>
      </w:r>
      <w:r w:rsidRPr="005968A4">
        <w:rPr>
          <w:color w:val="000000"/>
          <w:sz w:val="22"/>
          <w:szCs w:val="22"/>
          <w:lang w:val="en-GB" w:eastAsia="en-AU"/>
        </w:rPr>
        <w:t>and Bond</w:t>
      </w:r>
      <w:r>
        <w:rPr>
          <w:color w:val="000000"/>
          <w:sz w:val="22"/>
          <w:szCs w:val="22"/>
          <w:lang w:val="en-GB" w:eastAsia="en-AU"/>
        </w:rPr>
        <w:t>, N</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2019</w:t>
      </w:r>
      <w:r>
        <w:rPr>
          <w:color w:val="000000"/>
          <w:sz w:val="22"/>
          <w:szCs w:val="22"/>
          <w:lang w:val="en-GB" w:eastAsia="en-AU"/>
        </w:rPr>
        <w:t>)</w:t>
      </w:r>
      <w:r w:rsidRPr="005968A4">
        <w:rPr>
          <w:color w:val="000000"/>
          <w:sz w:val="22"/>
          <w:szCs w:val="22"/>
          <w:lang w:val="en-GB" w:eastAsia="en-AU"/>
        </w:rPr>
        <w:t xml:space="preserve">. Climate variability regulates population dynamics of a threatened freshwater fish. </w:t>
      </w:r>
      <w:r w:rsidRPr="005968A4">
        <w:rPr>
          <w:i/>
          <w:iCs/>
          <w:color w:val="000000"/>
          <w:sz w:val="22"/>
          <w:szCs w:val="22"/>
          <w:lang w:val="en-GB" w:eastAsia="en-AU"/>
        </w:rPr>
        <w:t>Endangered Species Research</w:t>
      </w:r>
      <w:r w:rsidRPr="005968A4">
        <w:rPr>
          <w:color w:val="000000"/>
          <w:sz w:val="22"/>
          <w:szCs w:val="22"/>
          <w:lang w:val="en-GB" w:eastAsia="en-AU"/>
        </w:rPr>
        <w:t xml:space="preserve"> </w:t>
      </w:r>
      <w:r w:rsidRPr="00874504">
        <w:rPr>
          <w:b/>
          <w:color w:val="000000"/>
          <w:sz w:val="22"/>
          <w:szCs w:val="22"/>
          <w:lang w:val="en-GB" w:eastAsia="en-AU"/>
        </w:rPr>
        <w:t>40</w:t>
      </w:r>
      <w:r>
        <w:rPr>
          <w:color w:val="000000"/>
          <w:sz w:val="22"/>
          <w:szCs w:val="22"/>
          <w:lang w:val="en-GB" w:eastAsia="en-AU"/>
        </w:rPr>
        <w:t xml:space="preserve">, </w:t>
      </w:r>
      <w:r w:rsidRPr="005968A4">
        <w:rPr>
          <w:color w:val="000000"/>
          <w:sz w:val="22"/>
          <w:szCs w:val="22"/>
          <w:lang w:val="en-GB" w:eastAsia="en-AU"/>
        </w:rPr>
        <w:t>257</w:t>
      </w:r>
      <w:r>
        <w:rPr>
          <w:color w:val="000000"/>
          <w:sz w:val="22"/>
          <w:szCs w:val="22"/>
          <w:lang w:val="en-GB" w:eastAsia="en-AU"/>
        </w:rPr>
        <w:t>–</w:t>
      </w:r>
      <w:r w:rsidRPr="005968A4">
        <w:rPr>
          <w:color w:val="000000"/>
          <w:sz w:val="22"/>
          <w:szCs w:val="22"/>
          <w:lang w:val="en-GB" w:eastAsia="en-AU"/>
        </w:rPr>
        <w:t>270.</w:t>
      </w:r>
    </w:p>
    <w:p w14:paraId="4C1B324A" w14:textId="74A85D92" w:rsidR="00491210" w:rsidRPr="005968A4" w:rsidRDefault="00EE200C" w:rsidP="00A94F87">
      <w:pPr>
        <w:spacing w:before="240" w:after="240"/>
        <w:ind w:left="567" w:hanging="567"/>
        <w:rPr>
          <w:color w:val="000000"/>
          <w:sz w:val="22"/>
          <w:szCs w:val="22"/>
          <w:lang w:val="en-GB" w:eastAsia="en-AU"/>
        </w:rPr>
      </w:pPr>
      <w:r w:rsidRPr="005968A4">
        <w:rPr>
          <w:color w:val="000000"/>
          <w:sz w:val="22"/>
          <w:szCs w:val="22"/>
          <w:lang w:val="en-GB" w:eastAsia="en-AU"/>
        </w:rPr>
        <w:t xml:space="preserve">Dominiak, B., Galvin, </w:t>
      </w:r>
      <w:r>
        <w:rPr>
          <w:color w:val="000000"/>
          <w:sz w:val="22"/>
          <w:szCs w:val="22"/>
          <w:lang w:val="en-GB" w:eastAsia="en-AU"/>
        </w:rPr>
        <w:t xml:space="preserve">T., </w:t>
      </w:r>
      <w:r w:rsidRPr="005968A4">
        <w:rPr>
          <w:color w:val="000000"/>
          <w:sz w:val="22"/>
          <w:szCs w:val="22"/>
          <w:lang w:val="en-GB" w:eastAsia="en-AU"/>
        </w:rPr>
        <w:t xml:space="preserve">Deane, </w:t>
      </w:r>
      <w:r>
        <w:rPr>
          <w:color w:val="000000"/>
          <w:sz w:val="22"/>
          <w:szCs w:val="22"/>
          <w:lang w:val="en-GB" w:eastAsia="en-AU"/>
        </w:rPr>
        <w:t xml:space="preserve">D. </w:t>
      </w:r>
      <w:r w:rsidRPr="005968A4">
        <w:rPr>
          <w:color w:val="000000"/>
          <w:sz w:val="22"/>
          <w:szCs w:val="22"/>
          <w:lang w:val="en-GB" w:eastAsia="en-AU"/>
        </w:rPr>
        <w:t xml:space="preserve">and </w:t>
      </w:r>
      <w:r w:rsidRPr="005968A4">
        <w:rPr>
          <w:b/>
          <w:bCs/>
          <w:color w:val="000000"/>
          <w:sz w:val="22"/>
          <w:szCs w:val="22"/>
          <w:lang w:val="en-GB" w:eastAsia="en-AU"/>
        </w:rPr>
        <w:t>Fanson</w:t>
      </w:r>
      <w:r>
        <w:rPr>
          <w:b/>
          <w:bCs/>
          <w:color w:val="000000"/>
          <w:sz w:val="22"/>
          <w:szCs w:val="22"/>
          <w:lang w:val="en-GB" w:eastAsia="en-AU"/>
        </w:rPr>
        <w:t>, B</w:t>
      </w:r>
      <w:r w:rsidRPr="00874504">
        <w:rPr>
          <w:b/>
          <w:color w:val="000000"/>
          <w:sz w:val="22"/>
          <w:szCs w:val="22"/>
          <w:lang w:val="en-GB" w:eastAsia="en-AU"/>
        </w:rPr>
        <w:t>.</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2019</w:t>
      </w:r>
      <w:r>
        <w:rPr>
          <w:color w:val="000000"/>
          <w:sz w:val="22"/>
          <w:szCs w:val="22"/>
          <w:lang w:val="en-GB" w:eastAsia="en-AU"/>
        </w:rPr>
        <w:t>)</w:t>
      </w:r>
      <w:r w:rsidRPr="005968A4">
        <w:rPr>
          <w:color w:val="000000"/>
          <w:sz w:val="22"/>
          <w:szCs w:val="22"/>
          <w:lang w:val="en-GB" w:eastAsia="en-AU"/>
        </w:rPr>
        <w:t xml:space="preserve">. Evaluation of Probodelt cone traps for surveillance of Dacinae in New South Wales, Australia. </w:t>
      </w:r>
      <w:r w:rsidRPr="005968A4">
        <w:rPr>
          <w:i/>
          <w:iCs/>
          <w:color w:val="000000"/>
          <w:sz w:val="22"/>
          <w:szCs w:val="22"/>
          <w:lang w:val="en-GB" w:eastAsia="en-AU"/>
        </w:rPr>
        <w:t>Crop Protection</w:t>
      </w:r>
      <w:r w:rsidRPr="005968A4">
        <w:rPr>
          <w:color w:val="000000"/>
          <w:sz w:val="22"/>
          <w:szCs w:val="22"/>
          <w:lang w:val="en-GB" w:eastAsia="en-AU"/>
        </w:rPr>
        <w:t xml:space="preserve"> </w:t>
      </w:r>
      <w:r w:rsidRPr="00874504">
        <w:rPr>
          <w:b/>
          <w:color w:val="000000"/>
          <w:sz w:val="22"/>
          <w:szCs w:val="22"/>
          <w:lang w:val="en-GB" w:eastAsia="en-AU"/>
        </w:rPr>
        <w:t>126</w:t>
      </w:r>
      <w:r>
        <w:rPr>
          <w:color w:val="000000"/>
          <w:sz w:val="22"/>
          <w:szCs w:val="22"/>
          <w:lang w:val="en-GB" w:eastAsia="en-AU"/>
        </w:rPr>
        <w:t>, 104940.</w:t>
      </w:r>
    </w:p>
    <w:p w14:paraId="4A65309A" w14:textId="759048FE" w:rsidR="00491210" w:rsidRPr="005968A4" w:rsidRDefault="00EE200C" w:rsidP="00A94F87">
      <w:pPr>
        <w:spacing w:before="240" w:after="240"/>
        <w:ind w:left="567" w:hanging="567"/>
        <w:rPr>
          <w:color w:val="000000"/>
          <w:sz w:val="22"/>
          <w:szCs w:val="22"/>
          <w:lang w:val="en-GB" w:eastAsia="en-AU"/>
        </w:rPr>
      </w:pPr>
      <w:r w:rsidRPr="005968A4">
        <w:rPr>
          <w:color w:val="000000"/>
          <w:sz w:val="22"/>
          <w:szCs w:val="22"/>
          <w:lang w:val="en-GB" w:eastAsia="en-AU"/>
        </w:rPr>
        <w:t xml:space="preserve">Stoessel, D.J., Fairbrother, </w:t>
      </w:r>
      <w:r>
        <w:rPr>
          <w:color w:val="000000"/>
          <w:sz w:val="22"/>
          <w:szCs w:val="22"/>
          <w:lang w:val="en-GB" w:eastAsia="en-AU"/>
        </w:rPr>
        <w:t xml:space="preserve">P.S., </w:t>
      </w:r>
      <w:r w:rsidRPr="005968A4">
        <w:rPr>
          <w:b/>
          <w:bCs/>
          <w:color w:val="000000"/>
          <w:sz w:val="22"/>
          <w:szCs w:val="22"/>
          <w:lang w:val="en-GB" w:eastAsia="en-AU"/>
        </w:rPr>
        <w:t>Fanson</w:t>
      </w:r>
      <w:r w:rsidRPr="00874504">
        <w:rPr>
          <w:b/>
          <w:color w:val="000000"/>
          <w:sz w:val="22"/>
          <w:szCs w:val="22"/>
          <w:lang w:val="en-GB" w:eastAsia="en-AU"/>
        </w:rPr>
        <w:t>, B.G.</w:t>
      </w:r>
      <w:r>
        <w:rPr>
          <w:color w:val="000000"/>
          <w:sz w:val="22"/>
          <w:szCs w:val="22"/>
          <w:lang w:val="en-GB" w:eastAsia="en-AU"/>
        </w:rPr>
        <w:t xml:space="preserve">, </w:t>
      </w:r>
      <w:r w:rsidRPr="005968A4">
        <w:rPr>
          <w:color w:val="000000"/>
          <w:sz w:val="22"/>
          <w:szCs w:val="22"/>
          <w:lang w:val="en-GB" w:eastAsia="en-AU"/>
        </w:rPr>
        <w:t xml:space="preserve">Raymond, </w:t>
      </w:r>
      <w:r>
        <w:rPr>
          <w:color w:val="000000"/>
          <w:sz w:val="22"/>
          <w:szCs w:val="22"/>
          <w:lang w:val="en-GB" w:eastAsia="en-AU"/>
        </w:rPr>
        <w:t xml:space="preserve">S.M., </w:t>
      </w:r>
      <w:r w:rsidRPr="005968A4">
        <w:rPr>
          <w:color w:val="000000"/>
          <w:sz w:val="22"/>
          <w:szCs w:val="22"/>
          <w:lang w:val="en-GB" w:eastAsia="en-AU"/>
        </w:rPr>
        <w:t xml:space="preserve">Raadik, </w:t>
      </w:r>
      <w:r>
        <w:rPr>
          <w:color w:val="000000"/>
          <w:sz w:val="22"/>
          <w:szCs w:val="22"/>
          <w:lang w:val="en-GB" w:eastAsia="en-AU"/>
        </w:rPr>
        <w:t xml:space="preserve">T.A., </w:t>
      </w:r>
      <w:r w:rsidRPr="005968A4">
        <w:rPr>
          <w:color w:val="000000"/>
          <w:sz w:val="22"/>
          <w:szCs w:val="22"/>
          <w:lang w:val="en-GB" w:eastAsia="en-AU"/>
        </w:rPr>
        <w:t xml:space="preserve">Nicol, </w:t>
      </w:r>
      <w:r>
        <w:rPr>
          <w:color w:val="000000"/>
          <w:sz w:val="22"/>
          <w:szCs w:val="22"/>
          <w:lang w:val="en-GB" w:eastAsia="en-AU"/>
        </w:rPr>
        <w:t xml:space="preserve">M.D. </w:t>
      </w:r>
      <w:r w:rsidRPr="005968A4">
        <w:rPr>
          <w:color w:val="000000"/>
          <w:sz w:val="22"/>
          <w:szCs w:val="22"/>
          <w:lang w:val="en-GB" w:eastAsia="en-AU"/>
        </w:rPr>
        <w:t>and Johnson</w:t>
      </w:r>
      <w:r>
        <w:rPr>
          <w:color w:val="000000"/>
          <w:sz w:val="22"/>
          <w:szCs w:val="22"/>
          <w:lang w:val="en-GB" w:eastAsia="en-AU"/>
        </w:rPr>
        <w:t>, L.A</w:t>
      </w:r>
      <w:r w:rsidRPr="005968A4">
        <w:rPr>
          <w:color w:val="000000"/>
          <w:sz w:val="22"/>
          <w:szCs w:val="22"/>
          <w:lang w:val="en-GB" w:eastAsia="en-AU"/>
        </w:rPr>
        <w:t xml:space="preserve">. </w:t>
      </w:r>
      <w:r>
        <w:rPr>
          <w:color w:val="000000"/>
          <w:sz w:val="22"/>
          <w:szCs w:val="22"/>
          <w:lang w:val="en-GB" w:eastAsia="en-AU"/>
        </w:rPr>
        <w:t>(</w:t>
      </w:r>
      <w:r w:rsidRPr="005968A4">
        <w:rPr>
          <w:color w:val="000000"/>
          <w:sz w:val="22"/>
          <w:szCs w:val="22"/>
          <w:lang w:val="en-GB" w:eastAsia="en-AU"/>
        </w:rPr>
        <w:t>2019</w:t>
      </w:r>
      <w:r>
        <w:rPr>
          <w:color w:val="000000"/>
          <w:sz w:val="22"/>
          <w:szCs w:val="22"/>
          <w:lang w:val="en-GB" w:eastAsia="en-AU"/>
        </w:rPr>
        <w:t>)</w:t>
      </w:r>
      <w:r w:rsidRPr="005968A4">
        <w:rPr>
          <w:color w:val="000000"/>
          <w:sz w:val="22"/>
          <w:szCs w:val="22"/>
          <w:lang w:val="en-GB" w:eastAsia="en-AU"/>
        </w:rPr>
        <w:t>. Salinity tolerance during early development of threatened Murray hardyhead (</w:t>
      </w:r>
      <w:r w:rsidRPr="005968A4">
        <w:rPr>
          <w:i/>
          <w:iCs/>
          <w:color w:val="000000"/>
          <w:sz w:val="22"/>
          <w:szCs w:val="22"/>
          <w:lang w:val="en-GB" w:eastAsia="en-AU"/>
        </w:rPr>
        <w:t>Craterocephalus</w:t>
      </w:r>
      <w:r w:rsidRPr="005968A4">
        <w:rPr>
          <w:color w:val="000000"/>
          <w:sz w:val="22"/>
          <w:szCs w:val="22"/>
          <w:lang w:val="en-GB" w:eastAsia="en-AU"/>
        </w:rPr>
        <w:t xml:space="preserve"> </w:t>
      </w:r>
      <w:r w:rsidRPr="005968A4">
        <w:rPr>
          <w:i/>
          <w:iCs/>
          <w:color w:val="000000"/>
          <w:sz w:val="22"/>
          <w:szCs w:val="22"/>
          <w:lang w:val="en-GB" w:eastAsia="en-AU"/>
        </w:rPr>
        <w:t>fluviatilis</w:t>
      </w:r>
      <w:r w:rsidRPr="005968A4">
        <w:rPr>
          <w:color w:val="000000"/>
          <w:sz w:val="22"/>
          <w:szCs w:val="22"/>
          <w:lang w:val="en-GB" w:eastAsia="en-AU"/>
        </w:rPr>
        <w:t xml:space="preserve">) to guide environmental watering. </w:t>
      </w:r>
      <w:r w:rsidRPr="005968A4">
        <w:rPr>
          <w:i/>
          <w:iCs/>
          <w:color w:val="000000"/>
          <w:sz w:val="22"/>
          <w:szCs w:val="22"/>
          <w:lang w:val="en-GB" w:eastAsia="en-AU"/>
        </w:rPr>
        <w:t>Aquatic Conservation: Marine and Freshwater Ecosystems</w:t>
      </w:r>
      <w:r>
        <w:rPr>
          <w:iCs/>
          <w:color w:val="000000"/>
          <w:sz w:val="22"/>
          <w:szCs w:val="22"/>
          <w:lang w:val="en-GB" w:eastAsia="en-AU"/>
        </w:rPr>
        <w:t xml:space="preserve"> </w:t>
      </w:r>
      <w:r w:rsidRPr="00874504">
        <w:rPr>
          <w:b/>
          <w:iCs/>
          <w:color w:val="000000"/>
          <w:sz w:val="22"/>
          <w:szCs w:val="22"/>
          <w:lang w:val="en-GB" w:eastAsia="en-AU"/>
        </w:rPr>
        <w:t>30</w:t>
      </w:r>
      <w:r>
        <w:rPr>
          <w:iCs/>
          <w:color w:val="000000"/>
          <w:sz w:val="22"/>
          <w:szCs w:val="22"/>
          <w:lang w:val="en-GB" w:eastAsia="en-AU"/>
        </w:rPr>
        <w:t>, 173–182.</w:t>
      </w:r>
    </w:p>
    <w:p w14:paraId="56750B75" w14:textId="1559BC87" w:rsidR="00491210" w:rsidRPr="00C23C50" w:rsidRDefault="00EE200C" w:rsidP="005968A4">
      <w:pPr>
        <w:spacing w:before="240" w:after="240"/>
        <w:rPr>
          <w:color w:val="000000"/>
          <w:sz w:val="22"/>
          <w:szCs w:val="22"/>
          <w:lang w:eastAsia="en-AU"/>
        </w:rPr>
      </w:pPr>
      <w:r w:rsidRPr="005968A4">
        <w:rPr>
          <w:i/>
          <w:color w:val="000000"/>
          <w:sz w:val="22"/>
          <w:szCs w:val="22"/>
          <w:lang w:val="en-GB" w:eastAsia="en-AU"/>
        </w:rPr>
        <w:t xml:space="preserve">See the following url for a full list: </w:t>
      </w:r>
      <w:hyperlink r:id="rId61" w:history="1">
        <w:r w:rsidRPr="005968A4">
          <w:rPr>
            <w:rStyle w:val="Hyperlink"/>
            <w:sz w:val="22"/>
            <w:szCs w:val="22"/>
            <w:lang w:val="en-GB" w:eastAsia="en-AU"/>
          </w:rPr>
          <w:t>https://scholar.google.com.au/citations?user=UOe8EskAAAAJ&amp;hl=en</w:t>
        </w:r>
      </w:hyperlink>
    </w:p>
    <w:p w14:paraId="482B9C0B" w14:textId="63456A7B" w:rsidR="00491210" w:rsidRDefault="00EE200C">
      <w:pPr>
        <w:spacing w:after="0"/>
        <w:rPr>
          <w:color w:val="000000"/>
          <w:sz w:val="22"/>
          <w:szCs w:val="22"/>
          <w:lang w:eastAsia="en-AU"/>
        </w:rPr>
      </w:pPr>
      <w:r>
        <w:rPr>
          <w:color w:val="000000"/>
          <w:sz w:val="22"/>
          <w:szCs w:val="22"/>
          <w:lang w:eastAsia="en-AU"/>
        </w:rPr>
        <w:br w:type="page"/>
      </w:r>
    </w:p>
    <w:p w14:paraId="4C0E3CEB" w14:textId="2EB5503C" w:rsidR="00491210" w:rsidRPr="00C23C50" w:rsidRDefault="00EE200C" w:rsidP="001C044D">
      <w:pPr>
        <w:pStyle w:val="Heading2"/>
        <w:rPr>
          <w:lang w:eastAsia="en-AU"/>
        </w:rPr>
      </w:pPr>
      <w:bookmarkStart w:id="363" w:name="_Toc116994914"/>
      <w:r w:rsidRPr="3FC79A6E">
        <w:rPr>
          <w:lang w:eastAsia="en-AU"/>
        </w:rPr>
        <w:lastRenderedPageBreak/>
        <w:t>Appendix 2. Full population model descriptions</w:t>
      </w:r>
      <w:bookmarkEnd w:id="363"/>
    </w:p>
    <w:p w14:paraId="5949E160" w14:textId="05FD4788" w:rsidR="00491210" w:rsidRDefault="00EE200C" w:rsidP="005F1F7F">
      <w:pPr>
        <w:pStyle w:val="Heading3"/>
      </w:pPr>
      <w:bookmarkStart w:id="364" w:name="_Toc116994915"/>
      <w:r w:rsidRPr="00874504">
        <w:rPr>
          <w:smallCaps/>
        </w:rPr>
        <w:t>Essential</w:t>
      </w:r>
      <w:r w:rsidRPr="00874504" w:rsidDel="000C3D6C">
        <w:t xml:space="preserve"> </w:t>
      </w:r>
      <w:r w:rsidRPr="00874504">
        <w:t>population modelling software</w:t>
      </w:r>
      <w:bookmarkEnd w:id="364"/>
    </w:p>
    <w:p w14:paraId="53724E8B" w14:textId="413B5176" w:rsidR="00491210" w:rsidRDefault="00EE200C" w:rsidP="4D1BBAA5">
      <w:pPr>
        <w:pStyle w:val="paragraph"/>
        <w:spacing w:before="0" w:beforeAutospacing="0" w:after="120" w:afterAutospacing="0" w:line="259" w:lineRule="auto"/>
        <w:jc w:val="both"/>
        <w:rPr>
          <w:rFonts w:ascii="Arial" w:hAnsi="Arial" w:cs="Arial"/>
        </w:rPr>
      </w:pPr>
      <w:r w:rsidRPr="4D1BBAA5">
        <w:rPr>
          <w:rFonts w:ascii="Arial" w:hAnsi="Arial" w:cs="Arial"/>
        </w:rPr>
        <w:t xml:space="preserve">All models were developed and implemented in the software package </w:t>
      </w:r>
      <w:r w:rsidRPr="00F17A70">
        <w:rPr>
          <w:rFonts w:ascii="Arial" w:hAnsi="Arial" w:cs="Arial"/>
          <w:smallCaps/>
        </w:rPr>
        <w:t>Essential</w:t>
      </w:r>
      <w:r w:rsidRPr="4D1BBAA5">
        <w:rPr>
          <w:rFonts w:ascii="Arial" w:hAnsi="Arial" w:cs="Arial"/>
        </w:rPr>
        <w:t xml:space="preserve"> (Todd and Lovelace 2019). </w:t>
      </w:r>
      <w:r w:rsidRPr="00615489">
        <w:rPr>
          <w:rFonts w:ascii="Arial" w:hAnsi="Arial" w:cs="Arial"/>
          <w:smallCaps/>
        </w:rPr>
        <w:t>Essential</w:t>
      </w:r>
      <w:r w:rsidRPr="4D1BBAA5" w:rsidDel="000C3D6C">
        <w:rPr>
          <w:rFonts w:ascii="Arial" w:hAnsi="Arial" w:cs="Arial"/>
        </w:rPr>
        <w:t xml:space="preserve"> </w:t>
      </w:r>
      <w:r>
        <w:rPr>
          <w:rFonts w:ascii="Arial" w:hAnsi="Arial" w:cs="Arial"/>
        </w:rPr>
        <w:t>enables</w:t>
      </w:r>
      <w:r w:rsidRPr="4D1BBAA5">
        <w:rPr>
          <w:rFonts w:ascii="Arial" w:hAnsi="Arial" w:cs="Arial"/>
        </w:rPr>
        <w:t xml:space="preserve"> both expert</w:t>
      </w:r>
      <w:r>
        <w:rPr>
          <w:rFonts w:ascii="Arial" w:hAnsi="Arial" w:cs="Arial"/>
        </w:rPr>
        <w:t>s</w:t>
      </w:r>
      <w:r w:rsidRPr="4D1BBAA5">
        <w:rPr>
          <w:rFonts w:ascii="Arial" w:hAnsi="Arial" w:cs="Arial"/>
        </w:rPr>
        <w:t xml:space="preserve"> and non-experts to generate population model outputs and </w:t>
      </w:r>
      <w:r>
        <w:rPr>
          <w:rFonts w:ascii="Arial" w:hAnsi="Arial" w:cs="Arial"/>
        </w:rPr>
        <w:t>to assess</w:t>
      </w:r>
      <w:r w:rsidRPr="4D1BBAA5">
        <w:rPr>
          <w:rFonts w:ascii="Arial" w:hAnsi="Arial" w:cs="Arial"/>
        </w:rPr>
        <w:t xml:space="preserve"> outcomes.</w:t>
      </w:r>
    </w:p>
    <w:p w14:paraId="4DCD26C5" w14:textId="4B2C68F6" w:rsidR="00491210" w:rsidRPr="000A08BA" w:rsidRDefault="00EE200C" w:rsidP="005F1F7F">
      <w:pPr>
        <w:pStyle w:val="Heading3"/>
      </w:pPr>
      <w:bookmarkStart w:id="365" w:name="_Toc116994916"/>
      <w:r w:rsidRPr="7ADEDDC3">
        <w:t xml:space="preserve">Murray Cod </w:t>
      </w:r>
      <w:r>
        <w:t xml:space="preserve">single </w:t>
      </w:r>
      <w:r w:rsidRPr="7ADEDDC3">
        <w:t xml:space="preserve">population </w:t>
      </w:r>
      <w:r>
        <w:t>construct</w:t>
      </w:r>
      <w:bookmarkEnd w:id="365"/>
    </w:p>
    <w:p w14:paraId="1CE97000" w14:textId="498E2702" w:rsidR="00491210" w:rsidRPr="008F0FA8" w:rsidRDefault="00EE200C" w:rsidP="4D1BBAA5">
      <w:pPr>
        <w:pStyle w:val="paragraph"/>
        <w:spacing w:before="0" w:beforeAutospacing="0" w:after="120" w:afterAutospacing="0" w:line="259" w:lineRule="auto"/>
        <w:jc w:val="both"/>
        <w:rPr>
          <w:rFonts w:ascii="Arial" w:hAnsi="Arial" w:cs="Arial"/>
        </w:rPr>
      </w:pPr>
      <w:bookmarkStart w:id="366" w:name="_Ref75413162"/>
      <w:r w:rsidRPr="4D1BBAA5">
        <w:rPr>
          <w:rFonts w:ascii="Arial" w:hAnsi="Arial" w:cs="Arial"/>
        </w:rPr>
        <w:t>The model summarises the life history of Murray Cod by explicitly representing 50 age classes (Koehn and Todd 2012). A pre-breeding census construction was implemented (Burgman et al. 1993), with entry into the first age class (1</w:t>
      </w:r>
      <w:r>
        <w:rPr>
          <w:rFonts w:ascii="Arial" w:hAnsi="Arial" w:cs="Arial"/>
        </w:rPr>
        <w:t>-</w:t>
      </w:r>
      <w:r w:rsidRPr="4D1BBAA5">
        <w:rPr>
          <w:rFonts w:ascii="Arial" w:hAnsi="Arial" w:cs="Arial"/>
        </w:rPr>
        <w:t xml:space="preserve">year age step) combining spawning, egg, larval and early juvenile survival, where early juvenile fish are defined as those less than </w:t>
      </w:r>
      <w:r>
        <w:rPr>
          <w:rFonts w:ascii="Arial" w:hAnsi="Arial" w:cs="Arial"/>
        </w:rPr>
        <w:t>1 </w:t>
      </w:r>
      <w:r w:rsidRPr="4D1BBAA5">
        <w:rPr>
          <w:rFonts w:ascii="Arial" w:hAnsi="Arial" w:cs="Arial"/>
        </w:rPr>
        <w:t xml:space="preserve">year old. Beyond </w:t>
      </w:r>
      <w:r>
        <w:rPr>
          <w:rFonts w:ascii="Arial" w:hAnsi="Arial" w:cs="Arial"/>
        </w:rPr>
        <w:t>1 </w:t>
      </w:r>
      <w:r w:rsidRPr="4D1BBAA5">
        <w:rPr>
          <w:rFonts w:ascii="Arial" w:hAnsi="Arial" w:cs="Arial"/>
        </w:rPr>
        <w:t>year of age</w:t>
      </w:r>
      <w:r>
        <w:rPr>
          <w:rFonts w:ascii="Arial" w:hAnsi="Arial" w:cs="Arial"/>
        </w:rPr>
        <w:t>,</w:t>
      </w:r>
      <w:r w:rsidRPr="4D1BBAA5">
        <w:rPr>
          <w:rFonts w:ascii="Arial" w:hAnsi="Arial" w:cs="Arial"/>
        </w:rPr>
        <w:t xml:space="preserve"> the survival rates define </w:t>
      </w:r>
      <w:r>
        <w:rPr>
          <w:rFonts w:ascii="Arial" w:hAnsi="Arial" w:cs="Arial"/>
        </w:rPr>
        <w:t xml:space="preserve">the </w:t>
      </w:r>
      <w:r w:rsidRPr="4D1BBAA5">
        <w:rPr>
          <w:rFonts w:ascii="Arial" w:hAnsi="Arial" w:cs="Arial"/>
        </w:rPr>
        <w:t>transitions to each subsequent age class (up to 50</w:t>
      </w:r>
      <w:r>
        <w:rPr>
          <w:rFonts w:ascii="Arial" w:hAnsi="Arial" w:cs="Arial"/>
        </w:rPr>
        <w:t> </w:t>
      </w:r>
      <w:r w:rsidRPr="4D1BBAA5">
        <w:rPr>
          <w:rFonts w:ascii="Arial" w:hAnsi="Arial" w:cs="Arial"/>
        </w:rPr>
        <w:t xml:space="preserve">years). Murray Cod are </w:t>
      </w:r>
      <w:r w:rsidRPr="4D1BBAA5">
        <w:rPr>
          <w:rFonts w:ascii="Arial" w:eastAsia="Arial" w:hAnsi="Arial" w:cs="Arial"/>
          <w:color w:val="000000"/>
        </w:rPr>
        <w:t>assumed</w:t>
      </w:r>
      <w:r w:rsidRPr="4D1BBAA5">
        <w:rPr>
          <w:rFonts w:ascii="Arial" w:hAnsi="Arial" w:cs="Arial"/>
        </w:rPr>
        <w:t xml:space="preserve"> to become sexually mature at </w:t>
      </w:r>
      <w:r>
        <w:rPr>
          <w:rFonts w:ascii="Arial" w:hAnsi="Arial" w:cs="Arial"/>
        </w:rPr>
        <w:t>5 </w:t>
      </w:r>
      <w:r w:rsidRPr="4D1BBAA5">
        <w:rPr>
          <w:rFonts w:ascii="Arial" w:hAnsi="Arial" w:cs="Arial"/>
        </w:rPr>
        <w:t xml:space="preserve">years of age, </w:t>
      </w:r>
      <w:r w:rsidRPr="00AE5AE9">
        <w:rPr>
          <w:rFonts w:ascii="Arial" w:hAnsi="Arial" w:cs="Arial"/>
        </w:rPr>
        <w:t>with fecundity increasing depending on the maximum size of fish in the population</w:t>
      </w:r>
      <w:r w:rsidRPr="4D1BBAA5">
        <w:rPr>
          <w:rFonts w:ascii="Arial" w:hAnsi="Arial" w:cs="Arial"/>
        </w:rPr>
        <w:t xml:space="preserve"> (see the Murray Cod fecundity relationships derived for this study; Rowland 1998a, 1998b). The model only accounts for females, as males are not considered to limit the population in any way (Todd et al. 2005; Koehn and Todd 2012), although it is recognised that males are likely to play an integral role in the successful development of eggs hatching into larvae (Rowland 1998a, 1998b). A 1:1 sex ratio was assumed. While the model only accounts for females</w:t>
      </w:r>
      <w:r>
        <w:rPr>
          <w:rFonts w:ascii="Arial" w:hAnsi="Arial" w:cs="Arial"/>
        </w:rPr>
        <w:t>,</w:t>
      </w:r>
      <w:r w:rsidRPr="4D1BBAA5">
        <w:rPr>
          <w:rFonts w:ascii="Arial" w:hAnsi="Arial" w:cs="Arial"/>
        </w:rPr>
        <w:t xml:space="preserve"> the output is presented as total adults (male and female) by simply increasing the results by a factor of 2.</w:t>
      </w:r>
      <w:bookmarkEnd w:id="366"/>
    </w:p>
    <w:p w14:paraId="6F582B42" w14:textId="3FEB42CA" w:rsidR="00491210" w:rsidRPr="008F0FA8" w:rsidRDefault="00EE200C" w:rsidP="4D1BBAA5">
      <w:pPr>
        <w:pStyle w:val="paragraph"/>
        <w:spacing w:before="0" w:beforeAutospacing="0" w:after="120" w:afterAutospacing="0" w:line="259" w:lineRule="auto"/>
        <w:jc w:val="both"/>
        <w:rPr>
          <w:rFonts w:ascii="Arial" w:hAnsi="Arial" w:cs="Arial"/>
        </w:rPr>
      </w:pPr>
      <w:r w:rsidRPr="4D1BBAA5">
        <w:rPr>
          <w:rFonts w:ascii="Arial" w:hAnsi="Arial" w:cs="Arial"/>
        </w:rPr>
        <w:t xml:space="preserve">Both demographic and environmental stochasticity were included in the model (Akçakaya 1991; Todd and Ng 2001). Demographic stochasticity was incorporated using a binomial distribution to model the number of individuals surviving between consecutive time steps, and a Poisson distribution to model recruitment to </w:t>
      </w:r>
      <w:r>
        <w:rPr>
          <w:rFonts w:ascii="Arial" w:hAnsi="Arial" w:cs="Arial"/>
        </w:rPr>
        <w:t>the 1</w:t>
      </w:r>
      <w:r w:rsidRPr="4D1BBAA5">
        <w:rPr>
          <w:rFonts w:ascii="Arial" w:hAnsi="Arial" w:cs="Arial"/>
        </w:rPr>
        <w:t>-year</w:t>
      </w:r>
      <w:r>
        <w:rPr>
          <w:rFonts w:ascii="Arial" w:hAnsi="Arial" w:cs="Arial"/>
        </w:rPr>
        <w:t>-</w:t>
      </w:r>
      <w:r w:rsidRPr="4D1BBAA5">
        <w:rPr>
          <w:rFonts w:ascii="Arial" w:hAnsi="Arial" w:cs="Arial"/>
        </w:rPr>
        <w:t>old</w:t>
      </w:r>
      <w:r>
        <w:rPr>
          <w:rFonts w:ascii="Arial" w:hAnsi="Arial" w:cs="Arial"/>
        </w:rPr>
        <w:t xml:space="preserve"> age class</w:t>
      </w:r>
      <w:r w:rsidRPr="4D1BBAA5">
        <w:rPr>
          <w:rFonts w:ascii="Arial" w:hAnsi="Arial" w:cs="Arial"/>
        </w:rPr>
        <w:t>. Environmental stochasticity was incorporated by randomly varying the survival and fecundity rates each year. Survival rates were drawn from normal distributions transformed to the unit interval (Todd and Ng 2001)</w:t>
      </w:r>
      <w:r>
        <w:rPr>
          <w:rFonts w:ascii="Arial" w:hAnsi="Arial" w:cs="Arial"/>
        </w:rPr>
        <w:t>,</w:t>
      </w:r>
      <w:r w:rsidRPr="4D1BBAA5">
        <w:rPr>
          <w:rFonts w:ascii="Arial" w:hAnsi="Arial" w:cs="Arial"/>
        </w:rPr>
        <w:t xml:space="preserve"> with specified means and standard deviations. Age-specific fecundities were drawn from a relationship estimated from hatchery data (Rowland 2005) and age</w:t>
      </w:r>
      <w:r>
        <w:rPr>
          <w:rFonts w:ascii="Arial" w:hAnsi="Arial" w:cs="Arial"/>
        </w:rPr>
        <w:t>–</w:t>
      </w:r>
      <w:r w:rsidRPr="4D1BBAA5">
        <w:rPr>
          <w:rFonts w:ascii="Arial" w:hAnsi="Arial" w:cs="Arial"/>
        </w:rPr>
        <w:t>length data</w:t>
      </w:r>
      <w:r>
        <w:rPr>
          <w:rFonts w:ascii="Arial" w:hAnsi="Arial" w:cs="Arial"/>
        </w:rPr>
        <w:t>,</w:t>
      </w:r>
      <w:r w:rsidRPr="4D1BBAA5">
        <w:rPr>
          <w:rFonts w:ascii="Arial" w:hAnsi="Arial" w:cs="Arial"/>
        </w:rPr>
        <w:t xml:space="preserve"> with specified means and standard deviations. Todd and Ng (2001) provide a methodology for specifying correlations among survival rates</w:t>
      </w:r>
      <w:r>
        <w:rPr>
          <w:rFonts w:ascii="Arial" w:hAnsi="Arial" w:cs="Arial"/>
        </w:rPr>
        <w:t>;</w:t>
      </w:r>
      <w:r w:rsidRPr="4D1BBAA5">
        <w:rPr>
          <w:rFonts w:ascii="Arial" w:hAnsi="Arial" w:cs="Arial"/>
        </w:rPr>
        <w:t xml:space="preserve"> however</w:t>
      </w:r>
      <w:r>
        <w:rPr>
          <w:rFonts w:ascii="Arial" w:hAnsi="Arial" w:cs="Arial"/>
        </w:rPr>
        <w:t>,</w:t>
      </w:r>
      <w:r w:rsidRPr="4D1BBAA5">
        <w:rPr>
          <w:rFonts w:ascii="Arial" w:hAnsi="Arial" w:cs="Arial"/>
        </w:rPr>
        <w:t xml:space="preserve"> no information exists to quantify these correlations. Given the aquatic habitat in which fish live</w:t>
      </w:r>
      <w:r>
        <w:rPr>
          <w:rFonts w:ascii="Arial" w:hAnsi="Arial" w:cs="Arial"/>
        </w:rPr>
        <w:t>,</w:t>
      </w:r>
      <w:r w:rsidRPr="4D1BBAA5">
        <w:rPr>
          <w:rFonts w:ascii="Arial" w:hAnsi="Arial" w:cs="Arial"/>
        </w:rPr>
        <w:t xml:space="preserve"> it is reasonable to assume that the correlations are likely to be positive and close to </w:t>
      </w:r>
      <w:r w:rsidRPr="00D57D10">
        <w:rPr>
          <w:rFonts w:ascii="Arial" w:hAnsi="Arial" w:cs="Arial"/>
        </w:rPr>
        <w:t xml:space="preserve">unity. It was assumed that survival rates were perfectly correlated </w:t>
      </w:r>
      <w:r w:rsidRPr="006B62CD">
        <w:rPr>
          <w:rFonts w:ascii="Arial" w:hAnsi="Arial" w:cs="Arial"/>
        </w:rPr>
        <w:t>with</w:t>
      </w:r>
      <w:r w:rsidRPr="00D57D10">
        <w:rPr>
          <w:rFonts w:ascii="Arial" w:hAnsi="Arial" w:cs="Arial"/>
        </w:rPr>
        <w:t xml:space="preserve"> </w:t>
      </w:r>
      <w:r>
        <w:rPr>
          <w:rFonts w:ascii="Arial" w:hAnsi="Arial" w:cs="Arial"/>
        </w:rPr>
        <w:t xml:space="preserve">each </w:t>
      </w:r>
      <w:r w:rsidRPr="00D57D10">
        <w:rPr>
          <w:rFonts w:ascii="Arial" w:hAnsi="Arial" w:cs="Arial"/>
        </w:rPr>
        <w:t xml:space="preserve">other and independent of fecundity rates, </w:t>
      </w:r>
      <w:r>
        <w:rPr>
          <w:rFonts w:ascii="Arial" w:hAnsi="Arial" w:cs="Arial"/>
        </w:rPr>
        <w:t>where</w:t>
      </w:r>
      <w:r w:rsidRPr="00D57D10">
        <w:rPr>
          <w:rFonts w:ascii="Arial" w:hAnsi="Arial" w:cs="Arial"/>
        </w:rPr>
        <w:t xml:space="preserve"> fecundity rates were perfectly correlated with each other (Todd et al. 2004).</w:t>
      </w:r>
    </w:p>
    <w:p w14:paraId="0257F6F2" w14:textId="51581E09" w:rsidR="00491210" w:rsidRDefault="00EE200C" w:rsidP="13609C11">
      <w:pPr>
        <w:pStyle w:val="paragraph"/>
        <w:spacing w:before="0" w:beforeAutospacing="0" w:after="120" w:afterAutospacing="0" w:line="259" w:lineRule="auto"/>
        <w:jc w:val="both"/>
        <w:rPr>
          <w:rFonts w:ascii="Arial" w:hAnsi="Arial" w:cs="Arial"/>
        </w:rPr>
      </w:pPr>
      <w:r w:rsidRPr="13609C11">
        <w:rPr>
          <w:rFonts w:ascii="Arial" w:hAnsi="Arial" w:cs="Arial"/>
        </w:rPr>
        <w:t xml:space="preserve">The model included processes for modelling the effects of density dependence, with the long-term average abundance set by the user at specific levels in each reach area. The form of density dependence used in the population model is based on the average population size </w:t>
      </w:r>
      <w:r>
        <w:rPr>
          <w:rFonts w:ascii="Arial" w:hAnsi="Arial" w:cs="Arial"/>
        </w:rPr>
        <w:t xml:space="preserve">that </w:t>
      </w:r>
      <w:r w:rsidRPr="13609C11">
        <w:rPr>
          <w:rFonts w:ascii="Arial" w:hAnsi="Arial" w:cs="Arial"/>
        </w:rPr>
        <w:t>the system of interest can support over the long term. This is not a carrying capacity as such, as the density</w:t>
      </w:r>
      <w:r>
        <w:rPr>
          <w:rFonts w:ascii="Arial" w:hAnsi="Arial" w:cs="Arial"/>
        </w:rPr>
        <w:t>-</w:t>
      </w:r>
      <w:r w:rsidRPr="13609C11">
        <w:rPr>
          <w:rFonts w:ascii="Arial" w:hAnsi="Arial" w:cs="Arial"/>
        </w:rPr>
        <w:t>dependence mechanism is designed to allow the population to exceed the threshold, with increasingly strong negative density dependence as the population size exceeds this threshold. The density dependence mechanisms mostly apply to 1</w:t>
      </w:r>
      <w:r>
        <w:rPr>
          <w:rFonts w:ascii="Arial" w:hAnsi="Arial" w:cs="Arial"/>
        </w:rPr>
        <w:t>-</w:t>
      </w:r>
      <w:r w:rsidRPr="13609C11">
        <w:rPr>
          <w:rFonts w:ascii="Arial" w:hAnsi="Arial" w:cs="Arial"/>
        </w:rPr>
        <w:t>, 2</w:t>
      </w:r>
      <w:r>
        <w:rPr>
          <w:rFonts w:ascii="Arial" w:hAnsi="Arial" w:cs="Arial"/>
        </w:rPr>
        <w:t>-</w:t>
      </w:r>
      <w:r w:rsidRPr="13609C11">
        <w:rPr>
          <w:rFonts w:ascii="Arial" w:hAnsi="Arial" w:cs="Arial"/>
        </w:rPr>
        <w:t>, and 3-year-old fish</w:t>
      </w:r>
      <w:r>
        <w:rPr>
          <w:rFonts w:ascii="Arial" w:hAnsi="Arial" w:cs="Arial"/>
        </w:rPr>
        <w:t>,</w:t>
      </w:r>
      <w:r w:rsidRPr="13609C11">
        <w:rPr>
          <w:rFonts w:ascii="Arial" w:hAnsi="Arial" w:cs="Arial"/>
        </w:rPr>
        <w:t xml:space="preserve"> which may reflect competition for food and habitat</w:t>
      </w:r>
      <w:r>
        <w:rPr>
          <w:rFonts w:ascii="Arial" w:hAnsi="Arial" w:cs="Arial"/>
        </w:rPr>
        <w:t xml:space="preserve"> </w:t>
      </w:r>
      <w:r w:rsidRPr="13609C11">
        <w:rPr>
          <w:rFonts w:ascii="Arial" w:hAnsi="Arial" w:cs="Arial"/>
        </w:rPr>
        <w:t>(see</w:t>
      </w:r>
      <w:r>
        <w:rPr>
          <w:rFonts w:ascii="Arial" w:hAnsi="Arial" w:cs="Arial"/>
        </w:rPr>
        <w:t xml:space="preserve"> e.g.</w:t>
      </w:r>
      <w:r w:rsidRPr="13609C11">
        <w:rPr>
          <w:rFonts w:ascii="Arial" w:hAnsi="Arial" w:cs="Arial"/>
        </w:rPr>
        <w:t xml:space="preserve"> Todd and Koehn 2009; Koehn and Todd 2012).</w:t>
      </w:r>
    </w:p>
    <w:p w14:paraId="703858D6" w14:textId="77777777" w:rsidR="00491210" w:rsidRPr="008F0FA8" w:rsidRDefault="00EE200C" w:rsidP="008F0FA8">
      <w:pPr>
        <w:pStyle w:val="paragraph"/>
        <w:spacing w:before="0" w:beforeAutospacing="0" w:after="120" w:afterAutospacing="0" w:line="259" w:lineRule="auto"/>
        <w:jc w:val="both"/>
        <w:rPr>
          <w:rFonts w:ascii="Arial" w:hAnsi="Arial" w:cs="Arial"/>
        </w:rPr>
      </w:pPr>
      <w:r w:rsidRPr="008F0FA8">
        <w:rPr>
          <w:rFonts w:ascii="Arial" w:hAnsi="Arial" w:cs="Arial"/>
        </w:rPr>
        <w:t>The following equations define a Murray Cod population as specified by the population model:</w:t>
      </w:r>
    </w:p>
    <w:p w14:paraId="69D83679" w14:textId="77777777" w:rsidR="00491210" w:rsidRDefault="00491210" w:rsidP="00011166">
      <w:pPr>
        <w:spacing w:before="240"/>
        <w:jc w:val="center"/>
        <w:rPr>
          <w:sz w:val="22"/>
        </w:rPr>
      </w:pPr>
    </w:p>
    <w:p w14:paraId="3CB4FB7C" w14:textId="54A4449A" w:rsidR="00491210" w:rsidRPr="00C57B10" w:rsidRDefault="003E1401" w:rsidP="00011166">
      <w:pPr>
        <w:spacing w:before="240"/>
        <w:jc w:val="center"/>
        <w:rPr>
          <w:sz w:val="22"/>
        </w:rPr>
      </w:pPr>
      <w:r>
        <w:rPr>
          <w:position w:val="-38"/>
          <w:sz w:val="22"/>
        </w:rPr>
        <w:t xml:space="preserve"> </w:t>
      </w:r>
    </w:p>
    <w:p w14:paraId="03A957F1" w14:textId="7F10634B" w:rsidR="00491210" w:rsidRDefault="00EE200C" w:rsidP="008F0FA8">
      <w:pPr>
        <w:pStyle w:val="paragraph"/>
        <w:spacing w:before="0" w:beforeAutospacing="0" w:after="120" w:afterAutospacing="0" w:line="259" w:lineRule="auto"/>
        <w:jc w:val="both"/>
        <w:rPr>
          <w:rFonts w:ascii="Arial" w:hAnsi="Arial" w:cs="Arial"/>
        </w:rPr>
      </w:pPr>
      <w:r w:rsidRPr="008F0FA8">
        <w:rPr>
          <w:rFonts w:ascii="Arial" w:hAnsi="Arial" w:cs="Arial"/>
        </w:rPr>
        <w:t xml:space="preserve">where </w:t>
      </w:r>
      <w:r w:rsidRPr="00C20F4F">
        <w:rPr>
          <w:rFonts w:ascii="Arial" w:hAnsi="Arial" w:cs="Arial"/>
          <w:i/>
          <w:iCs/>
        </w:rPr>
        <w:t>t</w:t>
      </w:r>
      <w:r w:rsidRPr="008F0FA8">
        <w:rPr>
          <w:rFonts w:ascii="Arial" w:hAnsi="Arial" w:cs="Arial"/>
        </w:rPr>
        <w:t xml:space="preserve"> is an annual time interval</w:t>
      </w:r>
      <w:r>
        <w:rPr>
          <w:rFonts w:ascii="Arial" w:hAnsi="Arial" w:cs="Arial"/>
        </w:rPr>
        <w:t>,</w:t>
      </w:r>
      <w:r w:rsidRPr="008F0FA8">
        <w:rPr>
          <w:rFonts w:ascii="Arial" w:hAnsi="Arial" w:cs="Arial"/>
        </w:rPr>
        <w:t xml:space="preserve"> </w:t>
      </w:r>
      <m:oMath>
        <m:r>
          <w:rPr>
            <w:rFonts w:ascii="Cambria Math" w:hAnsi="Cambria Math" w:cs="Arial"/>
          </w:rPr>
          <m:t>F</m:t>
        </m:r>
        <m:sSub>
          <m:sSubPr>
            <m:ctrlPr>
              <w:rPr>
                <w:rFonts w:ascii="Cambria Math" w:hAnsi="Cambria Math" w:cs="Arial"/>
              </w:rPr>
            </m:ctrlPr>
          </m:sSubPr>
          <m:e>
            <m:r>
              <w:rPr>
                <w:rFonts w:ascii="Cambria Math" w:hAnsi="Cambria Math" w:cs="Arial"/>
              </w:rPr>
              <m:t>N</m:t>
            </m:r>
          </m:e>
          <m:sub>
            <m:r>
              <w:rPr>
                <w:rFonts w:ascii="Cambria Math" w:hAnsi="Cambria Math" w:cs="Arial"/>
              </w:rPr>
              <m:t>i</m:t>
            </m:r>
            <m:r>
              <m:rPr>
                <m:sty m:val="p"/>
              </m:rPr>
              <w:rPr>
                <w:rFonts w:ascii="Cambria Math" w:hAnsi="Cambria Math" w:cs="Arial"/>
              </w:rPr>
              <m:t>,</m:t>
            </m:r>
            <m:r>
              <w:rPr>
                <w:rFonts w:ascii="Cambria Math" w:hAnsi="Cambria Math" w:cs="Arial"/>
              </w:rPr>
              <m:t>t</m:t>
            </m:r>
          </m:sub>
        </m:sSub>
      </m:oMath>
      <w:r w:rsidRPr="008F0FA8">
        <w:rPr>
          <w:rFonts w:ascii="Arial" w:hAnsi="Arial" w:cs="Arial"/>
        </w:rPr>
        <w:t xml:space="preserve"> and </w:t>
      </w:r>
      <m:oMath>
        <m:sSub>
          <m:sSubPr>
            <m:ctrlPr>
              <w:rPr>
                <w:rFonts w:ascii="Cambria Math" w:hAnsi="Cambria Math" w:cs="Arial"/>
              </w:rPr>
            </m:ctrlPr>
          </m:sSubPr>
          <m:e>
            <m:r>
              <w:rPr>
                <w:rFonts w:ascii="Cambria Math" w:hAnsi="Arial" w:cs="Arial"/>
              </w:rPr>
              <m:t>N</m:t>
            </m:r>
          </m:e>
          <m:sub>
            <m:r>
              <w:rPr>
                <w:rFonts w:ascii="Cambria Math" w:hAnsi="Arial" w:cs="Arial"/>
              </w:rPr>
              <m:t>i</m:t>
            </m:r>
            <m:r>
              <m:rPr>
                <m:sty m:val="p"/>
              </m:rPr>
              <w:rPr>
                <w:rFonts w:ascii="Cambria Math" w:hAnsi="Arial" w:cs="Arial"/>
              </w:rPr>
              <m:t>,</m:t>
            </m:r>
            <m:r>
              <w:rPr>
                <w:rFonts w:ascii="Cambria Math" w:hAnsi="Arial" w:cs="Arial"/>
              </w:rPr>
              <m:t>t</m:t>
            </m:r>
          </m:sub>
        </m:sSub>
        <m:r>
          <m:rPr>
            <m:sty m:val="p"/>
          </m:rPr>
          <w:rPr>
            <w:rFonts w:ascii="Cambria Math" w:hAnsi="Arial" w:cs="Arial"/>
          </w:rPr>
          <m:t xml:space="preserve"> </m:t>
        </m:r>
      </m:oMath>
      <w:r w:rsidRPr="008F0FA8">
        <w:rPr>
          <w:rFonts w:ascii="Arial" w:hAnsi="Arial" w:cs="Arial"/>
        </w:rPr>
        <w:t xml:space="preserve">are the numbers of female adults and total adults, assuming an even sex ratio, in the </w:t>
      </w:r>
      <m:oMath>
        <m:sSub>
          <m:sSubPr>
            <m:ctrlPr>
              <w:rPr>
                <w:rFonts w:ascii="Cambria Math" w:hAnsi="Cambria Math" w:cs="Arial"/>
              </w:rPr>
            </m:ctrlPr>
          </m:sSubPr>
          <m:e>
            <m:r>
              <w:rPr>
                <w:rFonts w:ascii="Cambria Math" w:hAnsi="Cambria Math" w:cs="Arial"/>
              </w:rPr>
              <m:t>i</m:t>
            </m:r>
          </m:e>
          <m:sub>
            <m:r>
              <w:rPr>
                <w:rFonts w:ascii="Cambria Math" w:hAnsi="Cambria Math" w:cs="Arial"/>
              </w:rPr>
              <m:t>th</m:t>
            </m:r>
          </m:sub>
        </m:sSub>
      </m:oMath>
      <w:r w:rsidRPr="008F0FA8">
        <w:rPr>
          <w:rFonts w:ascii="Arial" w:hAnsi="Arial" w:cs="Arial"/>
        </w:rPr>
        <w:t xml:space="preserve"> age class at time </w:t>
      </w:r>
      <w:r w:rsidRPr="004E0EA0">
        <w:rPr>
          <w:i/>
        </w:rPr>
        <w:t>t</w:t>
      </w:r>
      <w:r w:rsidRPr="008F0FA8">
        <w:rPr>
          <w:rFonts w:ascii="Arial" w:hAnsi="Arial" w:cs="Arial"/>
        </w:rPr>
        <w:t xml:space="preserve">; </w:t>
      </w:r>
      <m:oMath>
        <m:sSub>
          <m:sSubPr>
            <m:ctrlPr>
              <w:rPr>
                <w:rFonts w:ascii="Cambria Math" w:hAnsi="Cambria Math" w:cs="Arial"/>
              </w:rPr>
            </m:ctrlPr>
          </m:sSubPr>
          <m:e>
            <m:r>
              <w:rPr>
                <w:rFonts w:ascii="Cambria Math" w:hAnsi="Arial" w:cs="Arial"/>
              </w:rPr>
              <m:t>S</m:t>
            </m:r>
          </m:e>
          <m:sub>
            <m:r>
              <w:rPr>
                <w:rFonts w:ascii="Cambria Math" w:hAnsi="Arial" w:cs="Arial"/>
              </w:rPr>
              <m:t>i</m:t>
            </m:r>
            <m:r>
              <m:rPr>
                <m:sty m:val="p"/>
              </m:rPr>
              <w:rPr>
                <w:rFonts w:ascii="Cambria Math" w:hAnsi="Arial" w:cs="Arial"/>
              </w:rPr>
              <m:t>,</m:t>
            </m:r>
            <m:r>
              <w:rPr>
                <w:rFonts w:ascii="Cambria Math" w:hAnsi="Arial" w:cs="Arial"/>
              </w:rPr>
              <m:t>t</m:t>
            </m:r>
          </m:sub>
        </m:sSub>
      </m:oMath>
      <w:r w:rsidRPr="008F0FA8">
        <w:rPr>
          <w:rFonts w:ascii="Arial" w:hAnsi="Arial" w:cs="Arial"/>
        </w:rPr>
        <w:t xml:space="preserve"> is a random variate describing </w:t>
      </w:r>
      <w:r w:rsidRPr="008F0FA8">
        <w:rPr>
          <w:rFonts w:ascii="Arial" w:hAnsi="Arial" w:cs="Arial"/>
        </w:rPr>
        <w:lastRenderedPageBreak/>
        <w:t xml:space="preserve">environmental variation in the survival rates of Murray Cod in the </w:t>
      </w:r>
      <m:oMath>
        <m:sSub>
          <m:sSubPr>
            <m:ctrlPr>
              <w:rPr>
                <w:rFonts w:ascii="Cambria Math" w:hAnsi="Cambria Math" w:cs="Arial"/>
              </w:rPr>
            </m:ctrlPr>
          </m:sSubPr>
          <m:e>
            <m:r>
              <w:rPr>
                <w:rFonts w:ascii="Cambria Math" w:hAnsi="Cambria Math" w:cs="Arial"/>
              </w:rPr>
              <m:t>i</m:t>
            </m:r>
          </m:e>
          <m:sub>
            <m:r>
              <w:rPr>
                <w:rFonts w:ascii="Cambria Math" w:hAnsi="Cambria Math" w:cs="Arial"/>
              </w:rPr>
              <m:t>th</m:t>
            </m:r>
          </m:sub>
        </m:sSub>
      </m:oMath>
      <w:r w:rsidRPr="008F0FA8">
        <w:rPr>
          <w:rFonts w:ascii="Arial" w:hAnsi="Arial" w:cs="Arial"/>
        </w:rPr>
        <w:t xml:space="preserve"> age class drawn from normal distributions transformed to the unit interval (Todd and Ng 2001)</w:t>
      </w:r>
      <w:r>
        <w:rPr>
          <w:rFonts w:ascii="Arial" w:hAnsi="Arial" w:cs="Arial"/>
        </w:rPr>
        <w:t>,</w:t>
      </w:r>
      <w:r w:rsidRPr="008F0FA8">
        <w:rPr>
          <w:rFonts w:ascii="Arial" w:hAnsi="Arial" w:cs="Arial"/>
        </w:rPr>
        <w:t xml:space="preserve"> with no loss of information from the specified means and standard deviations; </w:t>
      </w:r>
      <m:oMath>
        <m:sSub>
          <m:sSubPr>
            <m:ctrlPr>
              <w:rPr>
                <w:rFonts w:ascii="Cambria Math" w:hAnsi="Cambria Math" w:cs="Arial"/>
              </w:rPr>
            </m:ctrlPr>
          </m:sSubPr>
          <m:e>
            <m:r>
              <w:rPr>
                <w:rFonts w:ascii="Cambria Math" w:hAnsi="Arial" w:cs="Arial"/>
              </w:rPr>
              <m:t>S</m:t>
            </m:r>
          </m:e>
          <m:sub>
            <m:r>
              <m:rPr>
                <m:sty m:val="p"/>
              </m:rPr>
              <w:rPr>
                <w:rFonts w:ascii="Cambria Math" w:hAnsi="Arial" w:cs="Arial"/>
              </w:rPr>
              <m:t>0,</m:t>
            </m:r>
            <m:r>
              <w:rPr>
                <w:rFonts w:ascii="Cambria Math" w:hAnsi="Arial" w:cs="Arial"/>
              </w:rPr>
              <m:t>t</m:t>
            </m:r>
          </m:sub>
        </m:sSub>
      </m:oMath>
      <w:r w:rsidRPr="008F0FA8">
        <w:rPr>
          <w:rFonts w:ascii="Arial" w:hAnsi="Arial" w:cs="Arial"/>
        </w:rPr>
        <w:t xml:space="preserve">, </w:t>
      </w:r>
      <m:oMath>
        <m:sSub>
          <m:sSubPr>
            <m:ctrlPr>
              <w:rPr>
                <w:rFonts w:ascii="Cambria Math" w:hAnsi="Cambria Math" w:cs="Arial"/>
              </w:rPr>
            </m:ctrlPr>
          </m:sSubPr>
          <m:e>
            <m:r>
              <w:rPr>
                <w:rFonts w:ascii="Cambria Math" w:hAnsi="Arial" w:cs="Arial"/>
              </w:rPr>
              <m:t>S</m:t>
            </m:r>
          </m:e>
          <m:sub>
            <m:r>
              <w:rPr>
                <w:rFonts w:ascii="Cambria Math" w:hAnsi="Arial" w:cs="Arial"/>
              </w:rPr>
              <m:t>l</m:t>
            </m:r>
            <m:r>
              <m:rPr>
                <m:sty m:val="p"/>
              </m:rPr>
              <w:rPr>
                <w:rFonts w:ascii="Cambria Math" w:hAnsi="Arial" w:cs="Arial"/>
              </w:rPr>
              <m:t>,</m:t>
            </m:r>
            <m:r>
              <w:rPr>
                <w:rFonts w:ascii="Cambria Math" w:hAnsi="Arial" w:cs="Arial"/>
              </w:rPr>
              <m:t>t</m:t>
            </m:r>
          </m:sub>
        </m:sSub>
      </m:oMath>
      <w:r w:rsidRPr="008F0FA8">
        <w:rPr>
          <w:rFonts w:ascii="Arial" w:hAnsi="Arial" w:cs="Arial"/>
        </w:rPr>
        <w:t xml:space="preserve">, and </w:t>
      </w:r>
      <m:oMath>
        <m:sSub>
          <m:sSubPr>
            <m:ctrlPr>
              <w:rPr>
                <w:rFonts w:ascii="Cambria Math" w:hAnsi="Cambria Math" w:cs="Arial"/>
              </w:rPr>
            </m:ctrlPr>
          </m:sSubPr>
          <m:e>
            <m:r>
              <w:rPr>
                <w:rFonts w:ascii="Cambria Math" w:hAnsi="Arial" w:cs="Arial"/>
              </w:rPr>
              <m:t>S</m:t>
            </m:r>
          </m:e>
          <m:sub>
            <m:r>
              <w:rPr>
                <w:rFonts w:ascii="Cambria Math" w:hAnsi="Arial" w:cs="Arial"/>
              </w:rPr>
              <m:t>e</m:t>
            </m:r>
            <m:r>
              <m:rPr>
                <m:sty m:val="p"/>
              </m:rPr>
              <w:rPr>
                <w:rFonts w:ascii="Cambria Math" w:hAnsi="Arial" w:cs="Arial"/>
              </w:rPr>
              <m:t>,</m:t>
            </m:r>
            <m:r>
              <w:rPr>
                <w:rFonts w:ascii="Cambria Math" w:hAnsi="Arial" w:cs="Arial"/>
              </w:rPr>
              <m:t>t</m:t>
            </m:r>
          </m:sub>
        </m:sSub>
      </m:oMath>
      <w:r w:rsidRPr="008F0FA8">
        <w:rPr>
          <w:rFonts w:ascii="Arial" w:hAnsi="Arial" w:cs="Arial"/>
        </w:rPr>
        <w:t xml:space="preserve"> are random variates describing environmental variation in survival rates of Murray Cod less than </w:t>
      </w:r>
      <w:r>
        <w:rPr>
          <w:rFonts w:ascii="Arial" w:hAnsi="Arial" w:cs="Arial"/>
        </w:rPr>
        <w:t>1 </w:t>
      </w:r>
      <w:r w:rsidRPr="008F0FA8">
        <w:rPr>
          <w:rFonts w:ascii="Arial" w:hAnsi="Arial" w:cs="Arial"/>
        </w:rPr>
        <w:t>year old, larvae, and eggs</w:t>
      </w:r>
      <w:r>
        <w:rPr>
          <w:rFonts w:ascii="Arial" w:hAnsi="Arial" w:cs="Arial"/>
        </w:rPr>
        <w:t>,</w:t>
      </w:r>
      <w:r w:rsidRPr="008F0FA8">
        <w:rPr>
          <w:rFonts w:ascii="Arial" w:hAnsi="Arial" w:cs="Arial"/>
        </w:rPr>
        <w:t xml:space="preserve"> respectively</w:t>
      </w:r>
      <w:r>
        <w:rPr>
          <w:rFonts w:ascii="Arial" w:hAnsi="Arial" w:cs="Arial"/>
        </w:rPr>
        <w:t>,</w:t>
      </w:r>
      <w:r w:rsidRPr="008F0FA8">
        <w:rPr>
          <w:rFonts w:ascii="Arial" w:hAnsi="Arial" w:cs="Arial"/>
        </w:rPr>
        <w:t xml:space="preserve"> similar to age</w:t>
      </w:r>
      <w:r>
        <w:rPr>
          <w:rFonts w:ascii="Arial" w:hAnsi="Arial" w:cs="Arial"/>
        </w:rPr>
        <w:t>-</w:t>
      </w:r>
      <w:r w:rsidRPr="008F0FA8">
        <w:rPr>
          <w:rFonts w:ascii="Arial" w:hAnsi="Arial" w:cs="Arial"/>
        </w:rPr>
        <w:t xml:space="preserve">specific survival, where survival rates across all ages and stages are perfectly correlated; </w:t>
      </w:r>
      <m:oMath>
        <m:sSub>
          <m:sSubPr>
            <m:ctrlPr>
              <w:rPr>
                <w:rFonts w:ascii="Cambria Math" w:hAnsi="Cambria Math" w:cs="Arial"/>
              </w:rPr>
            </m:ctrlPr>
          </m:sSubPr>
          <m:e>
            <m:r>
              <w:rPr>
                <w:rFonts w:ascii="Cambria Math" w:hAnsi="Cambria Math" w:cs="Arial"/>
              </w:rPr>
              <m:t>TE</m:t>
            </m:r>
          </m:e>
          <m:sub>
            <m:r>
              <w:rPr>
                <w:rFonts w:ascii="Cambria Math" w:hAnsi="Cambria Math" w:cs="Arial"/>
              </w:rPr>
              <m:t>l</m:t>
            </m:r>
            <m:r>
              <m:rPr>
                <m:sty m:val="p"/>
              </m:rPr>
              <w:rPr>
                <w:rFonts w:ascii="Cambria Math" w:hAnsi="Cambria Math" w:cs="Arial"/>
              </w:rPr>
              <m:t>,</m:t>
            </m:r>
            <m:r>
              <w:rPr>
                <w:rFonts w:ascii="Cambria Math" w:hAnsi="Cambria Math" w:cs="Arial"/>
              </w:rPr>
              <m:t>t</m:t>
            </m:r>
          </m:sub>
        </m:sSub>
      </m:oMath>
      <w:r w:rsidRPr="008F0FA8">
        <w:rPr>
          <w:rFonts w:ascii="Arial" w:hAnsi="Arial" w:cs="Arial"/>
        </w:rPr>
        <w:t xml:space="preserve"> is the proportional effect of temperature on survival of larvae</w:t>
      </w:r>
      <w:r>
        <w:rPr>
          <w:rFonts w:ascii="Arial" w:hAnsi="Arial" w:cs="Arial"/>
        </w:rPr>
        <w:t>,</w:t>
      </w:r>
      <w:r w:rsidRPr="008F0FA8">
        <w:rPr>
          <w:rFonts w:ascii="Arial" w:hAnsi="Arial" w:cs="Arial"/>
        </w:rPr>
        <w:t xml:space="preserve"> and </w:t>
      </w:r>
      <m:oMath>
        <m:sSub>
          <m:sSubPr>
            <m:ctrlPr>
              <w:rPr>
                <w:rFonts w:ascii="Cambria Math" w:hAnsi="Cambria Math" w:cs="Arial"/>
              </w:rPr>
            </m:ctrlPr>
          </m:sSubPr>
          <m:e>
            <m:r>
              <w:rPr>
                <w:rFonts w:ascii="Cambria Math" w:hAnsi="Cambria Math" w:cs="Arial"/>
              </w:rPr>
              <m:t>TE</m:t>
            </m:r>
          </m:e>
          <m:sub>
            <m:r>
              <w:rPr>
                <w:rFonts w:ascii="Cambria Math" w:hAnsi="Cambria Math" w:cs="Arial"/>
              </w:rPr>
              <m:t>e</m:t>
            </m:r>
            <m:r>
              <m:rPr>
                <m:sty m:val="p"/>
              </m:rPr>
              <w:rPr>
                <w:rFonts w:ascii="Cambria Math" w:hAnsi="Cambria Math" w:cs="Arial"/>
              </w:rPr>
              <m:t>,</m:t>
            </m:r>
            <m:r>
              <w:rPr>
                <w:rFonts w:ascii="Cambria Math" w:hAnsi="Cambria Math" w:cs="Arial"/>
              </w:rPr>
              <m:t>t</m:t>
            </m:r>
          </m:sub>
        </m:sSub>
      </m:oMath>
      <w:r w:rsidRPr="008F0FA8">
        <w:rPr>
          <w:rFonts w:ascii="Arial" w:hAnsi="Arial" w:cs="Arial"/>
        </w:rPr>
        <w:t xml:space="preserve"> is the proportional effect of temperature (see Todd et al. 2005); </w:t>
      </w:r>
      <m:oMath>
        <m:r>
          <w:rPr>
            <w:rFonts w:ascii="Cambria Math" w:hAnsi="Arial" w:cs="Arial"/>
          </w:rPr>
          <m:t>den</m:t>
        </m:r>
        <m:sSub>
          <m:sSubPr>
            <m:ctrlPr>
              <w:rPr>
                <w:rFonts w:ascii="Cambria Math" w:hAnsi="Cambria Math" w:cs="Arial"/>
              </w:rPr>
            </m:ctrlPr>
          </m:sSubPr>
          <m:e>
            <m:r>
              <w:rPr>
                <w:rFonts w:ascii="Cambria Math" w:hAnsi="Arial" w:cs="Arial"/>
              </w:rPr>
              <m:t>s</m:t>
            </m:r>
          </m:e>
          <m:sub>
            <m:r>
              <w:rPr>
                <w:rFonts w:ascii="Cambria Math" w:hAnsi="Arial" w:cs="Arial"/>
              </w:rPr>
              <m:t>i</m:t>
            </m:r>
            <m:r>
              <m:rPr>
                <m:sty m:val="p"/>
              </m:rPr>
              <w:rPr>
                <w:rFonts w:ascii="Cambria Math" w:hAnsi="Arial" w:cs="Arial"/>
              </w:rPr>
              <m:t>,</m:t>
            </m:r>
            <m:r>
              <w:rPr>
                <w:rFonts w:ascii="Cambria Math" w:hAnsi="Arial" w:cs="Arial"/>
              </w:rPr>
              <m:t>t</m:t>
            </m:r>
          </m:sub>
        </m:sSub>
      </m:oMath>
      <w:r w:rsidRPr="008F0FA8">
        <w:rPr>
          <w:rFonts w:ascii="Arial" w:hAnsi="Arial" w:cs="Arial"/>
        </w:rPr>
        <w:t xml:space="preserve"> is the density-dependence factor for adults based on the total number of adults; </w:t>
      </w:r>
      <m:oMath>
        <m:sSub>
          <m:sSubPr>
            <m:ctrlPr>
              <w:rPr>
                <w:rFonts w:ascii="Cambria Math" w:hAnsi="Cambria Math" w:cs="Arial"/>
              </w:rPr>
            </m:ctrlPr>
          </m:sSubPr>
          <m:e>
            <m:r>
              <w:rPr>
                <w:rFonts w:ascii="Cambria Math" w:hAnsi="Cambria Math" w:cs="Arial"/>
              </w:rPr>
              <m:t>BW</m:t>
            </m:r>
          </m:e>
          <m:sub>
            <m:r>
              <w:rPr>
                <w:rFonts w:ascii="Cambria Math" w:hAnsi="Cambria Math" w:cs="Arial"/>
              </w:rPr>
              <m:t>j,t</m:t>
            </m:r>
          </m:sub>
        </m:sSub>
      </m:oMath>
      <w:r w:rsidRPr="008F0FA8">
        <w:rPr>
          <w:rFonts w:ascii="Arial" w:hAnsi="Arial" w:cs="Arial"/>
        </w:rPr>
        <w:t xml:space="preserve"> is the blackwater effect at time </w:t>
      </w:r>
      <w:r w:rsidRPr="00371978">
        <w:rPr>
          <w:rFonts w:ascii="Arial" w:hAnsi="Arial" w:cs="Arial"/>
          <w:i/>
          <w:iCs/>
        </w:rPr>
        <w:t>t</w:t>
      </w:r>
      <w:r w:rsidRPr="008F0FA8">
        <w:rPr>
          <w:rFonts w:ascii="Arial" w:hAnsi="Arial" w:cs="Arial"/>
        </w:rPr>
        <w:t xml:space="preserve">, </w:t>
      </w:r>
      <w:r>
        <w:rPr>
          <w:rFonts w:ascii="Arial" w:hAnsi="Arial" w:cs="Arial"/>
        </w:rPr>
        <w:t xml:space="preserve">where </w:t>
      </w:r>
      <w:r w:rsidRPr="00720C4D">
        <w:rPr>
          <w:rFonts w:ascii="Arial" w:hAnsi="Arial" w:cs="Arial"/>
          <w:i/>
          <w:iCs/>
        </w:rPr>
        <w:t>j</w:t>
      </w:r>
      <w:r>
        <w:rPr>
          <w:rFonts w:ascii="Arial" w:hAnsi="Arial" w:cs="Arial"/>
        </w:rPr>
        <w:t xml:space="preserve"> are fish greater than 3 years old;</w:t>
      </w:r>
      <w:r w:rsidRPr="008F0FA8">
        <w:rPr>
          <w:rFonts w:ascii="Arial" w:hAnsi="Arial" w:cs="Arial"/>
        </w:rPr>
        <w:t xml:space="preserve"> </w:t>
      </w:r>
      <m:oMath>
        <m:sSub>
          <m:sSubPr>
            <m:ctrlPr>
              <w:rPr>
                <w:rFonts w:ascii="Cambria Math" w:hAnsi="Cambria Math" w:cs="Arial"/>
              </w:rPr>
            </m:ctrlPr>
          </m:sSubPr>
          <m:e>
            <m:r>
              <m:rPr>
                <m:nor/>
              </m:rPr>
              <w:rPr>
                <w:rFonts w:ascii="Arial" w:hAnsi="Arial" w:cs="Arial"/>
                <w:i/>
                <w:iCs/>
              </w:rPr>
              <m:t>EggNum</m:t>
            </m:r>
          </m:e>
          <m:sub>
            <m:r>
              <w:rPr>
                <w:rFonts w:ascii="Cambria Math" w:hAnsi="Arial" w:cs="Arial"/>
              </w:rPr>
              <m:t>t</m:t>
            </m:r>
          </m:sub>
        </m:sSub>
      </m:oMath>
      <w:r w:rsidRPr="008F0FA8">
        <w:rPr>
          <w:rFonts w:ascii="Arial" w:hAnsi="Arial" w:cs="Arial"/>
        </w:rPr>
        <w:t xml:space="preserve"> is the total number of eggs produced at time </w:t>
      </w:r>
      <w:r w:rsidRPr="00371978">
        <w:rPr>
          <w:rFonts w:ascii="Arial" w:hAnsi="Arial" w:cs="Arial"/>
          <w:i/>
          <w:iCs/>
        </w:rPr>
        <w:t>t</w:t>
      </w:r>
      <w:r w:rsidRPr="008F0FA8">
        <w:rPr>
          <w:rFonts w:ascii="Arial" w:hAnsi="Arial" w:cs="Arial"/>
        </w:rPr>
        <w:t xml:space="preserve">; AFPS is the average </w:t>
      </w:r>
      <w:r>
        <w:rPr>
          <w:rFonts w:ascii="Arial" w:hAnsi="Arial" w:cs="Arial"/>
        </w:rPr>
        <w:t xml:space="preserve">fish </w:t>
      </w:r>
      <w:r w:rsidRPr="008F0FA8">
        <w:rPr>
          <w:rFonts w:ascii="Arial" w:hAnsi="Arial" w:cs="Arial"/>
        </w:rPr>
        <w:t xml:space="preserve">population size; </w:t>
      </w:r>
      <m:oMath>
        <m:r>
          <w:rPr>
            <w:rFonts w:ascii="Cambria Math" w:hAnsi="Arial" w:cs="Arial"/>
          </w:rPr>
          <m:t>Fe</m:t>
        </m:r>
        <m:sSub>
          <m:sSubPr>
            <m:ctrlPr>
              <w:rPr>
                <w:rFonts w:ascii="Cambria Math" w:hAnsi="Cambria Math" w:cs="Arial"/>
              </w:rPr>
            </m:ctrlPr>
          </m:sSubPr>
          <m:e>
            <m:r>
              <w:rPr>
                <w:rFonts w:ascii="Cambria Math" w:hAnsi="Arial" w:cs="Arial"/>
              </w:rPr>
              <m:t>c</m:t>
            </m:r>
          </m:e>
          <m:sub>
            <m:r>
              <w:rPr>
                <w:rFonts w:ascii="Cambria Math" w:hAnsi="Arial" w:cs="Arial"/>
              </w:rPr>
              <m:t>i</m:t>
            </m:r>
            <m:r>
              <m:rPr>
                <m:sty m:val="p"/>
              </m:rPr>
              <w:rPr>
                <w:rFonts w:ascii="Cambria Math" w:hAnsi="Arial" w:cs="Arial"/>
              </w:rPr>
              <m:t>,</m:t>
            </m:r>
            <m:r>
              <w:rPr>
                <w:rFonts w:ascii="Cambria Math" w:hAnsi="Arial" w:cs="Arial"/>
              </w:rPr>
              <m:t>t</m:t>
            </m:r>
          </m:sub>
        </m:sSub>
      </m:oMath>
      <w:r w:rsidRPr="008F0FA8">
        <w:rPr>
          <w:rFonts w:ascii="Arial" w:hAnsi="Arial" w:cs="Arial"/>
        </w:rPr>
        <w:t xml:space="preserve"> is the fecundity for Murray Cod in the </w:t>
      </w:r>
      <m:oMath>
        <m:sSub>
          <m:sSubPr>
            <m:ctrlPr>
              <w:rPr>
                <w:rFonts w:ascii="Cambria Math" w:hAnsi="Cambria Math" w:cs="Arial"/>
              </w:rPr>
            </m:ctrlPr>
          </m:sSubPr>
          <m:e>
            <m:r>
              <w:rPr>
                <w:rFonts w:ascii="Cambria Math" w:hAnsi="Cambria Math" w:cs="Arial"/>
              </w:rPr>
              <m:t>i</m:t>
            </m:r>
          </m:e>
          <m:sub>
            <m:r>
              <w:rPr>
                <w:rFonts w:ascii="Cambria Math" w:hAnsi="Cambria Math" w:cs="Arial"/>
              </w:rPr>
              <m:t>th</m:t>
            </m:r>
          </m:sub>
        </m:sSub>
      </m:oMath>
      <w:r w:rsidRPr="008F0FA8">
        <w:rPr>
          <w:rFonts w:ascii="Arial" w:hAnsi="Arial" w:cs="Arial"/>
        </w:rPr>
        <w:t xml:space="preserve"> age class, based on </w:t>
      </w:r>
      <w:r>
        <w:rPr>
          <w:rFonts w:ascii="Arial" w:hAnsi="Arial" w:cs="Arial"/>
        </w:rPr>
        <w:t>the</w:t>
      </w:r>
      <w:r w:rsidRPr="008F0FA8">
        <w:rPr>
          <w:rFonts w:ascii="Arial" w:hAnsi="Arial" w:cs="Arial"/>
        </w:rPr>
        <w:t xml:space="preserve"> age</w:t>
      </w:r>
      <w:r>
        <w:rPr>
          <w:rFonts w:ascii="Arial" w:hAnsi="Arial" w:cs="Arial"/>
        </w:rPr>
        <w:t>–</w:t>
      </w:r>
      <w:r w:rsidRPr="008F0FA8">
        <w:rPr>
          <w:rFonts w:ascii="Arial" w:hAnsi="Arial" w:cs="Arial"/>
        </w:rPr>
        <w:t>length and length</w:t>
      </w:r>
      <w:r>
        <w:rPr>
          <w:rFonts w:ascii="Arial" w:hAnsi="Arial" w:cs="Arial"/>
        </w:rPr>
        <w:t>–</w:t>
      </w:r>
      <w:r w:rsidRPr="008F0FA8">
        <w:rPr>
          <w:rFonts w:ascii="Arial" w:hAnsi="Arial" w:cs="Arial"/>
        </w:rPr>
        <w:t>fecundity relationship</w:t>
      </w:r>
      <w:r>
        <w:rPr>
          <w:rFonts w:ascii="Arial" w:hAnsi="Arial" w:cs="Arial"/>
        </w:rPr>
        <w:t>s</w:t>
      </w:r>
      <w:r w:rsidRPr="008F0FA8">
        <w:rPr>
          <w:rFonts w:ascii="Arial" w:hAnsi="Arial" w:cs="Arial"/>
        </w:rPr>
        <w:t xml:space="preserve"> in Rowland 1998a and 1998b, where age</w:t>
      </w:r>
      <w:r>
        <w:rPr>
          <w:rFonts w:ascii="Arial" w:hAnsi="Arial" w:cs="Arial"/>
        </w:rPr>
        <w:t>–</w:t>
      </w:r>
      <w:r w:rsidRPr="008F0FA8">
        <w:rPr>
          <w:rFonts w:ascii="Arial" w:hAnsi="Arial" w:cs="Arial"/>
        </w:rPr>
        <w:t xml:space="preserve">fecundity is perfectly correlated but not with survival (see </w:t>
      </w:r>
      <w:r w:rsidRPr="008F0FA8">
        <w:fldChar w:fldCharType="begin"/>
      </w:r>
      <w:r w:rsidRPr="008F0FA8">
        <w:rPr>
          <w:rFonts w:ascii="Arial" w:hAnsi="Arial" w:cs="Arial"/>
        </w:rPr>
        <w:instrText xml:space="preserve"> REF _Ref104383982 \h  \* MERGEFORMAT </w:instrText>
      </w:r>
      <w:r w:rsidRPr="008F0FA8">
        <w:fldChar w:fldCharType="separate"/>
      </w:r>
      <w:r w:rsidR="005B672A" w:rsidRPr="005B672A">
        <w:rPr>
          <w:rFonts w:ascii="Arial" w:hAnsi="Arial" w:cs="Arial"/>
        </w:rPr>
        <w:t>Figure A2.1</w:t>
      </w:r>
      <w:r w:rsidRPr="008F0FA8">
        <w:fldChar w:fldCharType="end"/>
      </w:r>
      <w:r w:rsidRPr="008F0FA8">
        <w:rPr>
          <w:rFonts w:ascii="Arial" w:hAnsi="Arial" w:cs="Arial"/>
        </w:rPr>
        <w:t xml:space="preserve"> and </w:t>
      </w:r>
      <w:r w:rsidRPr="008F0FA8">
        <w:fldChar w:fldCharType="begin"/>
      </w:r>
      <w:r w:rsidRPr="008F0FA8">
        <w:rPr>
          <w:rFonts w:ascii="Arial" w:hAnsi="Arial" w:cs="Arial"/>
        </w:rPr>
        <w:instrText xml:space="preserve"> REF _Ref104384057 \h  \* MERGEFORMAT </w:instrText>
      </w:r>
      <w:r w:rsidRPr="008F0FA8">
        <w:fldChar w:fldCharType="separate"/>
      </w:r>
      <w:r w:rsidR="005B672A" w:rsidRPr="005B672A">
        <w:rPr>
          <w:rFonts w:ascii="Arial" w:hAnsi="Arial" w:cs="Arial"/>
        </w:rPr>
        <w:t>Figure A2.2</w:t>
      </w:r>
      <w:r w:rsidRPr="008F0FA8">
        <w:fldChar w:fldCharType="end"/>
      </w:r>
      <w:r w:rsidRPr="008F0FA8">
        <w:rPr>
          <w:rFonts w:ascii="Arial" w:hAnsi="Arial" w:cs="Arial"/>
        </w:rPr>
        <w:t xml:space="preserve">); </w:t>
      </w:r>
      <m:oMath>
        <m:r>
          <w:rPr>
            <w:rFonts w:ascii="Cambria Math" w:hAnsi="Arial" w:cs="Arial"/>
          </w:rPr>
          <m:t>Bin</m:t>
        </m:r>
        <m:d>
          <m:dPr>
            <m:ctrlPr>
              <w:rPr>
                <w:rFonts w:ascii="Cambria Math" w:hAnsi="Cambria Math" w:cs="Arial"/>
              </w:rPr>
            </m:ctrlPr>
          </m:dPr>
          <m:e>
            <m:r>
              <w:rPr>
                <w:rFonts w:ascii="Cambria Math" w:hAnsi="Arial" w:cs="Arial"/>
              </w:rPr>
              <m:t>n</m:t>
            </m:r>
            <m:r>
              <m:rPr>
                <m:sty m:val="p"/>
              </m:rPr>
              <w:rPr>
                <w:rFonts w:ascii="Cambria Math" w:hAnsi="Arial" w:cs="Arial"/>
              </w:rPr>
              <m:t>,</m:t>
            </m:r>
            <m:r>
              <w:rPr>
                <w:rFonts w:ascii="Cambria Math" w:hAnsi="Arial" w:cs="Arial"/>
              </w:rPr>
              <m:t>s</m:t>
            </m:r>
          </m:e>
        </m:d>
      </m:oMath>
      <w:r w:rsidRPr="008F0FA8">
        <w:rPr>
          <w:rFonts w:ascii="Arial" w:hAnsi="Arial" w:cs="Arial"/>
        </w:rPr>
        <w:t xml:space="preserve"> is a random variate representing demographic variation in transition from one age class to the next</w:t>
      </w:r>
      <w:r>
        <w:rPr>
          <w:rFonts w:ascii="Arial" w:hAnsi="Arial" w:cs="Arial"/>
        </w:rPr>
        <w:t>, and it has</w:t>
      </w:r>
      <w:r w:rsidRPr="008F0FA8">
        <w:rPr>
          <w:rFonts w:ascii="Arial" w:hAnsi="Arial" w:cs="Arial"/>
        </w:rPr>
        <w:t xml:space="preserve"> a binomial distribution </w:t>
      </w:r>
      <m:oMath>
        <m:r>
          <w:rPr>
            <w:rFonts w:ascii="Cambria Math" w:hAnsi="Cambria Math" w:cs="Arial"/>
          </w:rPr>
          <m:t>Bin</m:t>
        </m:r>
        <m:d>
          <m:dPr>
            <m:ctrlPr>
              <w:rPr>
                <w:rFonts w:ascii="Cambria Math" w:hAnsi="Cambria Math" w:cs="Arial"/>
              </w:rPr>
            </m:ctrlPr>
          </m:dPr>
          <m:e>
            <m:r>
              <w:rPr>
                <w:rFonts w:ascii="Cambria Math" w:hAnsi="Cambria Math" w:cs="Arial"/>
              </w:rPr>
              <m:t>n</m:t>
            </m:r>
            <m:r>
              <m:rPr>
                <m:sty m:val="p"/>
              </m:rPr>
              <w:rPr>
                <w:rFonts w:ascii="Cambria Math" w:hAnsi="Cambria Math" w:cs="Arial"/>
              </w:rPr>
              <m:t>,</m:t>
            </m:r>
            <m:r>
              <w:rPr>
                <w:rFonts w:ascii="Cambria Math" w:hAnsi="Cambria Math" w:cs="Arial"/>
              </w:rPr>
              <m:t>s</m:t>
            </m:r>
          </m:e>
        </m:d>
        <m:r>
          <m:rPr>
            <m:sty m:val="p"/>
          </m:rPr>
          <w:rPr>
            <w:rFonts w:ascii="Cambria Math" w:hAnsi="Cambria Math" w:cs="Arial"/>
          </w:rPr>
          <m:t>=</m:t>
        </m:r>
        <m:r>
          <w:rPr>
            <w:rFonts w:ascii="Cambria Math" w:hAnsi="Cambria Math" w:cs="Arial"/>
          </w:rPr>
          <m:t>X</m:t>
        </m:r>
        <m:r>
          <m:rPr>
            <m:sty m:val="p"/>
          </m:rPr>
          <w:rPr>
            <w:rFonts w:ascii="Cambria Math" w:hAnsi="Cambria Math" w:cs="Arial"/>
          </w:rPr>
          <m:t>~</m:t>
        </m:r>
        <m:r>
          <m:rPr>
            <m:nor/>
          </m:rPr>
          <w:rPr>
            <w:rFonts w:ascii="Arial" w:hAnsi="Arial" w:cs="Arial"/>
          </w:rPr>
          <m:t>Binom</m:t>
        </m:r>
        <m:d>
          <m:dPr>
            <m:ctrlPr>
              <w:rPr>
                <w:rFonts w:ascii="Cambria Math" w:hAnsi="Cambria Math" w:cs="Arial"/>
              </w:rPr>
            </m:ctrlPr>
          </m:dPr>
          <m:e>
            <m:r>
              <w:rPr>
                <w:rFonts w:ascii="Cambria Math" w:hAnsi="Cambria Math" w:cs="Arial"/>
              </w:rPr>
              <m:t>n</m:t>
            </m:r>
            <m:r>
              <m:rPr>
                <m:sty m:val="p"/>
              </m:rPr>
              <w:rPr>
                <w:rFonts w:ascii="Cambria Math" w:hAnsi="Cambria Math" w:cs="Arial"/>
              </w:rPr>
              <m:t>,</m:t>
            </m:r>
            <m:r>
              <w:rPr>
                <w:rFonts w:ascii="Cambria Math" w:hAnsi="Cambria Math" w:cs="Arial"/>
              </w:rPr>
              <m:t>s</m:t>
            </m:r>
          </m:e>
        </m:d>
        <m:r>
          <w:rPr>
            <w:rFonts w:ascii="Cambria Math" w:hAnsi="Cambria Math" w:cs="Arial"/>
          </w:rPr>
          <m:t>,</m:t>
        </m:r>
      </m:oMath>
      <w:r w:rsidRPr="008F0FA8">
        <w:rPr>
          <w:rFonts w:ascii="Arial" w:hAnsi="Arial" w:cs="Arial"/>
        </w:rPr>
        <w:t xml:space="preserve"> and </w:t>
      </w:r>
      <m:oMath>
        <m:r>
          <w:rPr>
            <w:rFonts w:ascii="Cambria Math" w:hAnsi="Arial" w:cs="Arial"/>
          </w:rPr>
          <m:t>Poisson</m:t>
        </m:r>
        <m:d>
          <m:dPr>
            <m:ctrlPr>
              <w:rPr>
                <w:rFonts w:ascii="Cambria Math" w:hAnsi="Cambria Math" w:cs="Arial"/>
              </w:rPr>
            </m:ctrlPr>
          </m:dPr>
          <m:e>
            <m:r>
              <w:rPr>
                <w:rFonts w:ascii="Cambria Math" w:hAnsi="Arial" w:cs="Arial"/>
              </w:rPr>
              <m:t>m</m:t>
            </m:r>
          </m:e>
        </m:d>
      </m:oMath>
      <w:r w:rsidRPr="008F0FA8">
        <w:rPr>
          <w:rFonts w:ascii="Arial" w:hAnsi="Arial" w:cs="Arial"/>
        </w:rPr>
        <w:t xml:space="preserve"> is a random variate representing demographic variation in recruitment</w:t>
      </w:r>
      <w:r>
        <w:rPr>
          <w:rFonts w:ascii="Arial" w:hAnsi="Arial" w:cs="Arial"/>
        </w:rPr>
        <w:t>, and it has</w:t>
      </w:r>
      <w:r w:rsidRPr="008F0FA8">
        <w:rPr>
          <w:rFonts w:ascii="Arial" w:hAnsi="Arial" w:cs="Arial"/>
        </w:rPr>
        <w:t xml:space="preserve"> a Poisson distribution </w:t>
      </w:r>
      <m:oMath>
        <m:r>
          <w:rPr>
            <w:rFonts w:ascii="Cambria Math" w:hAnsi="Arial" w:cs="Arial"/>
          </w:rPr>
          <m:t>Poisson</m:t>
        </m:r>
        <m:d>
          <m:dPr>
            <m:ctrlPr>
              <w:rPr>
                <w:rFonts w:ascii="Cambria Math" w:hAnsi="Cambria Math" w:cs="Arial"/>
              </w:rPr>
            </m:ctrlPr>
          </m:dPr>
          <m:e>
            <m:r>
              <w:rPr>
                <w:rFonts w:ascii="Cambria Math" w:hAnsi="Arial" w:cs="Arial"/>
              </w:rPr>
              <m:t>m</m:t>
            </m:r>
          </m:e>
        </m:d>
        <m:r>
          <m:rPr>
            <m:sty m:val="p"/>
          </m:rPr>
          <w:rPr>
            <w:rFonts w:ascii="Cambria Math" w:hAnsi="Arial" w:cs="Arial"/>
          </w:rPr>
          <m:t>=</m:t>
        </m:r>
        <m:r>
          <w:rPr>
            <w:rFonts w:ascii="Cambria Math" w:hAnsi="Arial" w:cs="Arial"/>
          </w:rPr>
          <m:t>X</m:t>
        </m:r>
        <m:r>
          <m:rPr>
            <m:sty m:val="p"/>
          </m:rPr>
          <w:rPr>
            <w:rFonts w:ascii="Cambria Math" w:hAnsi="Arial" w:cs="Arial"/>
          </w:rPr>
          <m:t>~</m:t>
        </m:r>
        <m:r>
          <m:rPr>
            <m:nor/>
          </m:rPr>
          <w:rPr>
            <w:rFonts w:ascii="Arial" w:hAnsi="Arial" w:cs="Arial"/>
          </w:rPr>
          <m:t>Poi</m:t>
        </m:r>
        <m:d>
          <m:dPr>
            <m:ctrlPr>
              <w:rPr>
                <w:rFonts w:ascii="Cambria Math" w:hAnsi="Cambria Math" w:cs="Arial"/>
              </w:rPr>
            </m:ctrlPr>
          </m:dPr>
          <m:e>
            <m:r>
              <w:rPr>
                <w:rFonts w:ascii="Cambria Math" w:hAnsi="Arial" w:cs="Arial"/>
              </w:rPr>
              <m:t>m</m:t>
            </m:r>
          </m:e>
        </m:d>
      </m:oMath>
      <w:r w:rsidRPr="008F0FA8">
        <w:rPr>
          <w:rFonts w:ascii="Arial" w:hAnsi="Arial" w:cs="Arial"/>
        </w:rPr>
        <w:t>.</w:t>
      </w:r>
    </w:p>
    <w:p w14:paraId="5FF5D9F9" w14:textId="468A4B8D" w:rsidR="00491210" w:rsidRPr="000A08BA" w:rsidRDefault="003E1401" w:rsidP="00011166">
      <w:pPr>
        <w:spacing w:before="240"/>
        <w:rPr>
          <w:rFonts w:eastAsia="Calibri"/>
          <w:color w:val="002664"/>
        </w:rPr>
      </w:pPr>
      <w:r>
        <w:rPr>
          <w:noProof/>
          <w:lang w:eastAsia="en-AU"/>
        </w:rPr>
        <w:t xml:space="preserve"> </w:t>
      </w:r>
    </w:p>
    <w:p w14:paraId="129F6A9C" w14:textId="2D695933" w:rsidR="00491210" w:rsidRDefault="00EE200C" w:rsidP="00F602FE">
      <w:pPr>
        <w:pStyle w:val="AppendixFigureCaption"/>
      </w:pPr>
      <w:bookmarkStart w:id="367" w:name="_Ref104383982"/>
      <w:bookmarkStart w:id="368" w:name="_Ref76040230"/>
      <w:r w:rsidRPr="00541AF4">
        <w:t>Figure A2.</w:t>
      </w:r>
      <w:r>
        <w:rPr>
          <w:b w:val="0"/>
          <w:bCs w:val="0"/>
        </w:rPr>
        <w:fldChar w:fldCharType="begin"/>
      </w:r>
      <w:r>
        <w:instrText>SEQ Figure_A2. \* ARABIC</w:instrText>
      </w:r>
      <w:r>
        <w:rPr>
          <w:b w:val="0"/>
          <w:bCs w:val="0"/>
        </w:rPr>
        <w:fldChar w:fldCharType="separate"/>
      </w:r>
      <w:r w:rsidR="005B672A">
        <w:rPr>
          <w:noProof/>
        </w:rPr>
        <w:t>1</w:t>
      </w:r>
      <w:r>
        <w:rPr>
          <w:b w:val="0"/>
          <w:bCs w:val="0"/>
        </w:rPr>
        <w:fldChar w:fldCharType="end"/>
      </w:r>
      <w:bookmarkEnd w:id="367"/>
      <w:r w:rsidRPr="00541AF4">
        <w:t>.</w:t>
      </w:r>
      <w:bookmarkEnd w:id="368"/>
      <w:r w:rsidRPr="00541AF4">
        <w:t xml:space="preserve"> Age</w:t>
      </w:r>
      <w:r>
        <w:t>–</w:t>
      </w:r>
      <w:r w:rsidRPr="00541AF4">
        <w:t>fecundity used in the population model when the average maximum size of Murray Cod is 900</w:t>
      </w:r>
      <w:r>
        <w:t> </w:t>
      </w:r>
      <w:r w:rsidRPr="00541AF4">
        <w:t>mm</w:t>
      </w:r>
      <w:r>
        <w:t>;</w:t>
      </w:r>
      <w:r w:rsidRPr="00541AF4">
        <w:t xml:space="preserve"> this relationship is for smaller systems such as the Severn River.</w:t>
      </w:r>
    </w:p>
    <w:p w14:paraId="30E91FD7" w14:textId="707B220E" w:rsidR="00491210" w:rsidRPr="000A08BA" w:rsidRDefault="003E1401" w:rsidP="00011166">
      <w:pPr>
        <w:keepNext/>
        <w:spacing w:before="240"/>
        <w:rPr>
          <w:rFonts w:eastAsia="Calibri"/>
          <w:color w:val="002664"/>
        </w:rPr>
      </w:pPr>
      <w:r>
        <w:rPr>
          <w:noProof/>
          <w:lang w:eastAsia="en-AU"/>
        </w:rPr>
        <w:t xml:space="preserve"> </w:t>
      </w:r>
    </w:p>
    <w:p w14:paraId="08C993AB" w14:textId="3F4ACE80" w:rsidR="00491210" w:rsidRDefault="00EE200C" w:rsidP="00F602FE">
      <w:pPr>
        <w:pStyle w:val="AppendixFigureCaption"/>
      </w:pPr>
      <w:bookmarkStart w:id="369" w:name="_Ref104384057"/>
      <w:bookmarkStart w:id="370" w:name="_Ref76040245"/>
      <w:r w:rsidRPr="00655CF8">
        <w:t>Figure A2.</w:t>
      </w:r>
      <w:r>
        <w:rPr>
          <w:b w:val="0"/>
          <w:bCs w:val="0"/>
        </w:rPr>
        <w:fldChar w:fldCharType="begin"/>
      </w:r>
      <w:r>
        <w:instrText>SEQ Figure_A2. \* ARABIC</w:instrText>
      </w:r>
      <w:r>
        <w:rPr>
          <w:b w:val="0"/>
          <w:bCs w:val="0"/>
        </w:rPr>
        <w:fldChar w:fldCharType="separate"/>
      </w:r>
      <w:r w:rsidR="005B672A">
        <w:rPr>
          <w:noProof/>
        </w:rPr>
        <w:t>2</w:t>
      </w:r>
      <w:r>
        <w:rPr>
          <w:b w:val="0"/>
          <w:bCs w:val="0"/>
        </w:rPr>
        <w:fldChar w:fldCharType="end"/>
      </w:r>
      <w:bookmarkEnd w:id="369"/>
      <w:r w:rsidRPr="00655CF8">
        <w:t xml:space="preserve">. </w:t>
      </w:r>
      <w:bookmarkEnd w:id="370"/>
      <w:r w:rsidRPr="00655CF8">
        <w:t>Age</w:t>
      </w:r>
      <w:r>
        <w:t>–</w:t>
      </w:r>
      <w:r w:rsidRPr="00655CF8">
        <w:t>fecundity used in the population model when the average maximum size of Murray Cod is 1200</w:t>
      </w:r>
      <w:r>
        <w:t> </w:t>
      </w:r>
      <w:r w:rsidRPr="00655CF8">
        <w:t>mm</w:t>
      </w:r>
      <w:r>
        <w:t>;</w:t>
      </w:r>
      <w:r w:rsidRPr="00655CF8">
        <w:t xml:space="preserve"> this relationship is for larger systems such as the Murrumbidgee River.</w:t>
      </w:r>
    </w:p>
    <w:p w14:paraId="45C8BA86" w14:textId="409C5776" w:rsidR="00491210" w:rsidRPr="000A08BA" w:rsidRDefault="003E1401" w:rsidP="00011166">
      <w:pPr>
        <w:keepNext/>
        <w:spacing w:before="240"/>
        <w:rPr>
          <w:rFonts w:eastAsia="Calibri"/>
          <w:color w:val="002664"/>
        </w:rPr>
      </w:pPr>
      <w:r>
        <w:rPr>
          <w:rFonts w:eastAsia="Calibri"/>
          <w:noProof/>
          <w:color w:val="002664"/>
          <w:lang w:eastAsia="en-AU"/>
        </w:rPr>
        <w:t xml:space="preserve"> </w:t>
      </w:r>
    </w:p>
    <w:p w14:paraId="3832C9C5" w14:textId="0DB764F5" w:rsidR="00491210" w:rsidRDefault="00EE200C" w:rsidP="00F602FE">
      <w:pPr>
        <w:pStyle w:val="AppendixFigureCaption"/>
      </w:pPr>
      <w:bookmarkStart w:id="371" w:name="_Ref104384230"/>
      <w:bookmarkStart w:id="372" w:name="_Ref75427066"/>
      <w:bookmarkStart w:id="373" w:name="_Ref59704658"/>
      <w:r w:rsidRPr="00655CF8">
        <w:t>Figure A2.</w:t>
      </w:r>
      <w:r>
        <w:rPr>
          <w:b w:val="0"/>
          <w:bCs w:val="0"/>
        </w:rPr>
        <w:fldChar w:fldCharType="begin"/>
      </w:r>
      <w:r>
        <w:instrText>SEQ Figure_A2. \* ARABIC</w:instrText>
      </w:r>
      <w:r>
        <w:rPr>
          <w:b w:val="0"/>
          <w:bCs w:val="0"/>
        </w:rPr>
        <w:fldChar w:fldCharType="separate"/>
      </w:r>
      <w:r w:rsidR="005B672A">
        <w:rPr>
          <w:noProof/>
        </w:rPr>
        <w:t>3</w:t>
      </w:r>
      <w:r>
        <w:rPr>
          <w:b w:val="0"/>
          <w:bCs w:val="0"/>
        </w:rPr>
        <w:fldChar w:fldCharType="end"/>
      </w:r>
      <w:bookmarkEnd w:id="371"/>
      <w:r w:rsidRPr="00655CF8">
        <w:t>.</w:t>
      </w:r>
      <w:bookmarkEnd w:id="372"/>
      <w:r w:rsidRPr="00655CF8">
        <w:t xml:space="preserve"> </w:t>
      </w:r>
      <w:bookmarkEnd w:id="373"/>
      <w:r w:rsidRPr="00655CF8">
        <w:t>Age frequency of MDB Murray Cod collected between 1999</w:t>
      </w:r>
      <w:r>
        <w:t xml:space="preserve"> and </w:t>
      </w:r>
      <w:r w:rsidRPr="00655CF8">
        <w:t xml:space="preserve">2016, </w:t>
      </w:r>
      <w:r>
        <w:t xml:space="preserve">with a </w:t>
      </w:r>
      <w:r w:rsidRPr="00655CF8">
        <w:t>fitted curve to generate</w:t>
      </w:r>
      <w:r w:rsidRPr="38AC6F21">
        <w:t xml:space="preserve"> age</w:t>
      </w:r>
      <w:r>
        <w:t>-</w:t>
      </w:r>
      <w:r w:rsidRPr="38AC6F21">
        <w:t>specific survival rates.</w:t>
      </w:r>
    </w:p>
    <w:p w14:paraId="1E343F03" w14:textId="0EE3377D" w:rsidR="00491210" w:rsidRPr="000A08BA" w:rsidRDefault="003E1401" w:rsidP="00011166">
      <w:pPr>
        <w:keepNext/>
        <w:spacing w:before="240"/>
        <w:rPr>
          <w:rFonts w:eastAsia="Calibri"/>
          <w:color w:val="002664"/>
        </w:rPr>
      </w:pPr>
      <w:r>
        <w:rPr>
          <w:rFonts w:eastAsia="Calibri"/>
          <w:noProof/>
          <w:color w:val="002664"/>
          <w:lang w:eastAsia="en-AU"/>
        </w:rPr>
        <w:t xml:space="preserve"> </w:t>
      </w:r>
    </w:p>
    <w:p w14:paraId="5562206B" w14:textId="487FE914" w:rsidR="00491210" w:rsidRPr="00655CF8" w:rsidRDefault="00EE200C" w:rsidP="00F602FE">
      <w:pPr>
        <w:pStyle w:val="AppendixFigureCaption"/>
      </w:pPr>
      <w:bookmarkStart w:id="374" w:name="_Ref104384337"/>
      <w:r w:rsidRPr="00C70440">
        <w:t>Figure A2.</w:t>
      </w:r>
      <w:r>
        <w:fldChar w:fldCharType="begin"/>
      </w:r>
      <w:r>
        <w:instrText>SEQ Figure_A2. \* ARABIC</w:instrText>
      </w:r>
      <w:r>
        <w:fldChar w:fldCharType="separate"/>
      </w:r>
      <w:r w:rsidR="005B672A">
        <w:rPr>
          <w:noProof/>
        </w:rPr>
        <w:t>4</w:t>
      </w:r>
      <w:r>
        <w:fldChar w:fldCharType="end"/>
      </w:r>
      <w:bookmarkEnd w:id="374"/>
      <w:r w:rsidRPr="00C70440">
        <w:t>. Age</w:t>
      </w:r>
      <w:r>
        <w:t>-</w:t>
      </w:r>
      <w:r w:rsidRPr="00C70440">
        <w:t>specific survival rates for MDB Murray Cod generated from the ratio between age</w:t>
      </w:r>
      <w:r w:rsidRPr="00655CF8">
        <w:t xml:space="preserve"> classes of the idealised age frequencies in </w:t>
      </w:r>
      <w:r>
        <w:fldChar w:fldCharType="begin"/>
      </w:r>
      <w:r>
        <w:instrText xml:space="preserve"> REF _Ref104384230 \h  \* MERGEFORMAT </w:instrText>
      </w:r>
      <w:r>
        <w:fldChar w:fldCharType="separate"/>
      </w:r>
      <w:r w:rsidR="005B672A" w:rsidRPr="00655CF8">
        <w:t>Figure A2.</w:t>
      </w:r>
      <w:r w:rsidR="005B672A">
        <w:t>3</w:t>
      </w:r>
      <w:r>
        <w:fldChar w:fldCharType="end"/>
      </w:r>
      <w:r w:rsidRPr="00655CF8">
        <w:t>.</w:t>
      </w:r>
    </w:p>
    <w:p w14:paraId="0F736712" w14:textId="61D84D6D" w:rsidR="00491210" w:rsidRDefault="00EE200C" w:rsidP="008F0FA8">
      <w:pPr>
        <w:pStyle w:val="paragraph"/>
        <w:spacing w:before="0" w:beforeAutospacing="0" w:after="120" w:afterAutospacing="0" w:line="259" w:lineRule="auto"/>
        <w:jc w:val="both"/>
        <w:rPr>
          <w:rFonts w:ascii="Arial" w:hAnsi="Arial" w:cs="Arial"/>
        </w:rPr>
      </w:pPr>
      <w:r w:rsidRPr="008F0FA8">
        <w:rPr>
          <w:rFonts w:ascii="Arial" w:hAnsi="Arial" w:cs="Arial"/>
        </w:rPr>
        <w:t xml:space="preserve">Age data obtained </w:t>
      </w:r>
      <w:r>
        <w:rPr>
          <w:rFonts w:ascii="Arial" w:hAnsi="Arial" w:cs="Arial"/>
        </w:rPr>
        <w:t>by</w:t>
      </w:r>
      <w:r w:rsidRPr="008F0FA8">
        <w:rPr>
          <w:rFonts w:ascii="Arial" w:hAnsi="Arial" w:cs="Arial"/>
        </w:rPr>
        <w:t xml:space="preserve"> analysing otoliths were used to generate estimates of age-speciﬁc survival (Ricker 1975; Todd et al. 2004, 2005; Todd and Lintermans 2015). A total of 1741 Murray Cod were aged from otoliths of ﬁsh sampled from the Murray</w:t>
      </w:r>
      <w:r>
        <w:rPr>
          <w:rFonts w:ascii="Arial" w:hAnsi="Arial" w:cs="Arial"/>
        </w:rPr>
        <w:t>–</w:t>
      </w:r>
      <w:r w:rsidRPr="008F0FA8">
        <w:rPr>
          <w:rFonts w:ascii="Arial" w:hAnsi="Arial" w:cs="Arial"/>
        </w:rPr>
        <w:t>Darling Basin</w:t>
      </w:r>
      <w:r>
        <w:rPr>
          <w:rFonts w:ascii="Arial" w:hAnsi="Arial" w:cs="Arial"/>
        </w:rPr>
        <w:t>,</w:t>
      </w:r>
      <w:r w:rsidRPr="008F0FA8">
        <w:rPr>
          <w:rFonts w:ascii="Arial" w:hAnsi="Arial" w:cs="Arial"/>
        </w:rPr>
        <w:t xml:space="preserve"> collected between 1999 and 2016. An age class can be considered fully represented when the number of ﬁsh in the subsequent age class is less than the age class in question (Ricker 1975). The ratio between idealised age classes was taken as the </w:t>
      </w:r>
      <w:r>
        <w:rPr>
          <w:rFonts w:ascii="Arial" w:hAnsi="Arial" w:cs="Arial"/>
        </w:rPr>
        <w:t>‘</w:t>
      </w:r>
      <w:r w:rsidRPr="008F0FA8">
        <w:rPr>
          <w:rFonts w:ascii="Arial" w:hAnsi="Arial" w:cs="Arial"/>
        </w:rPr>
        <w:t>average</w:t>
      </w:r>
      <w:r>
        <w:rPr>
          <w:rFonts w:ascii="Arial" w:hAnsi="Arial" w:cs="Arial"/>
        </w:rPr>
        <w:t>’</w:t>
      </w:r>
      <w:r w:rsidRPr="008F0FA8">
        <w:rPr>
          <w:rFonts w:ascii="Arial" w:hAnsi="Arial" w:cs="Arial"/>
        </w:rPr>
        <w:t xml:space="preserve"> or mean survival rate (Ricker 1975; Todd et al. 2004; Todd and Lintermans 2015), and see </w:t>
      </w:r>
      <w:r w:rsidRPr="008F0FA8">
        <w:fldChar w:fldCharType="begin"/>
      </w:r>
      <w:r w:rsidRPr="008F0FA8">
        <w:rPr>
          <w:rFonts w:ascii="Arial" w:hAnsi="Arial" w:cs="Arial"/>
        </w:rPr>
        <w:instrText xml:space="preserve"> REF _Ref104384230 \h  \* MERGEFORMAT </w:instrText>
      </w:r>
      <w:r w:rsidRPr="008F0FA8">
        <w:fldChar w:fldCharType="separate"/>
      </w:r>
      <w:r w:rsidR="005B672A" w:rsidRPr="005B672A">
        <w:rPr>
          <w:rFonts w:ascii="Arial" w:hAnsi="Arial" w:cs="Arial"/>
        </w:rPr>
        <w:t>Figure A2.3</w:t>
      </w:r>
      <w:r w:rsidRPr="008F0FA8">
        <w:fldChar w:fldCharType="end"/>
      </w:r>
      <w:r w:rsidRPr="008F0FA8">
        <w:rPr>
          <w:rFonts w:ascii="Arial" w:hAnsi="Arial" w:cs="Arial"/>
        </w:rPr>
        <w:t xml:space="preserve"> for the curve generated from which the ratio between age classes provides the estimate of the age</w:t>
      </w:r>
      <w:r>
        <w:rPr>
          <w:rFonts w:ascii="Arial" w:hAnsi="Arial" w:cs="Arial"/>
        </w:rPr>
        <w:t>-</w:t>
      </w:r>
      <w:r w:rsidRPr="008F0FA8">
        <w:rPr>
          <w:rFonts w:ascii="Arial" w:hAnsi="Arial" w:cs="Arial"/>
        </w:rPr>
        <w:t>specific survival rate (</w:t>
      </w:r>
      <w:r w:rsidRPr="008F0FA8">
        <w:fldChar w:fldCharType="begin"/>
      </w:r>
      <w:r w:rsidRPr="008F0FA8">
        <w:rPr>
          <w:rFonts w:ascii="Arial" w:hAnsi="Arial" w:cs="Arial"/>
        </w:rPr>
        <w:instrText xml:space="preserve"> REF _Ref104384337 \h  \* MERGEFORMAT </w:instrText>
      </w:r>
      <w:r w:rsidRPr="008F0FA8">
        <w:fldChar w:fldCharType="separate"/>
      </w:r>
      <w:r w:rsidR="005B672A" w:rsidRPr="005B672A">
        <w:rPr>
          <w:rFonts w:ascii="Arial" w:hAnsi="Arial" w:cs="Arial"/>
        </w:rPr>
        <w:t>Figure A2.4</w:t>
      </w:r>
      <w:r w:rsidRPr="008F0FA8">
        <w:fldChar w:fldCharType="end"/>
      </w:r>
      <w:r w:rsidRPr="008F0FA8">
        <w:rPr>
          <w:rFonts w:ascii="Arial" w:hAnsi="Arial" w:cs="Arial"/>
        </w:rPr>
        <w:t>). Survival rates for eggs, larvae and ﬁngerlings (0+ fish) are unknown</w:t>
      </w:r>
      <w:r>
        <w:rPr>
          <w:rFonts w:ascii="Arial" w:hAnsi="Arial" w:cs="Arial"/>
        </w:rPr>
        <w:t>,</w:t>
      </w:r>
      <w:r w:rsidRPr="008F0FA8">
        <w:rPr>
          <w:rFonts w:ascii="Arial" w:hAnsi="Arial" w:cs="Arial"/>
        </w:rPr>
        <w:t xml:space="preserve"> and consequently, as stated in Todd et al. (2005), the rates estimated for the trout cod population model (Todd et al. 2004) were assumed to be appropriate for use in a Murray Cod population model, eggs ~ 0.5; larvae ~ 0.012 and 0+ fish ~ 0.12.</w:t>
      </w:r>
    </w:p>
    <w:p w14:paraId="5E5F68A9" w14:textId="4C0A7418" w:rsidR="00491210" w:rsidRDefault="00EE200C" w:rsidP="005F1F7F">
      <w:pPr>
        <w:pStyle w:val="Heading3"/>
      </w:pPr>
      <w:bookmarkStart w:id="375" w:name="_Toc116994917"/>
      <w:r w:rsidRPr="7ADEDDC3">
        <w:t>Golden Perch</w:t>
      </w:r>
      <w:r>
        <w:t xml:space="preserve"> metapopulation construct</w:t>
      </w:r>
      <w:bookmarkEnd w:id="375"/>
    </w:p>
    <w:p w14:paraId="3F780C9F" w14:textId="53EBCBA3" w:rsidR="00491210" w:rsidRPr="008F0FA8" w:rsidRDefault="00EE200C" w:rsidP="008F0FA8">
      <w:pPr>
        <w:pStyle w:val="paragraph"/>
        <w:spacing w:before="0" w:beforeAutospacing="0" w:after="120" w:afterAutospacing="0" w:line="259" w:lineRule="auto"/>
        <w:jc w:val="both"/>
        <w:rPr>
          <w:rFonts w:ascii="Arial" w:hAnsi="Arial" w:cs="Arial"/>
        </w:rPr>
      </w:pPr>
      <w:r w:rsidRPr="008F0FA8">
        <w:rPr>
          <w:rFonts w:ascii="Arial" w:hAnsi="Arial" w:cs="Arial"/>
        </w:rPr>
        <w:t xml:space="preserve">Golden Perch </w:t>
      </w:r>
      <w:r>
        <w:rPr>
          <w:rFonts w:ascii="Arial" w:hAnsi="Arial" w:cs="Arial"/>
        </w:rPr>
        <w:t>is</w:t>
      </w:r>
      <w:r w:rsidRPr="008F0FA8">
        <w:rPr>
          <w:rFonts w:ascii="Arial" w:hAnsi="Arial" w:cs="Arial"/>
        </w:rPr>
        <w:t xml:space="preserve"> a flow</w:t>
      </w:r>
      <w:r>
        <w:rPr>
          <w:rFonts w:ascii="Arial" w:hAnsi="Arial" w:cs="Arial"/>
        </w:rPr>
        <w:t>-</w:t>
      </w:r>
      <w:r w:rsidRPr="008F0FA8">
        <w:rPr>
          <w:rFonts w:ascii="Arial" w:hAnsi="Arial" w:cs="Arial"/>
        </w:rPr>
        <w:t>dependent wide-ranging species (Zampatti et al. 2018; Koehn et al. 2020)</w:t>
      </w:r>
      <w:r>
        <w:rPr>
          <w:rFonts w:ascii="Arial" w:hAnsi="Arial" w:cs="Arial"/>
        </w:rPr>
        <w:t>,</w:t>
      </w:r>
      <w:r w:rsidRPr="008F0FA8">
        <w:rPr>
          <w:rFonts w:ascii="Arial" w:hAnsi="Arial" w:cs="Arial"/>
        </w:rPr>
        <w:t xml:space="preserve"> and in order to capture their life cycle, a stage/age matrix model was constructed to capture the dynami</w:t>
      </w:r>
      <w:r>
        <w:rPr>
          <w:rFonts w:ascii="Arial" w:hAnsi="Arial" w:cs="Arial"/>
        </w:rPr>
        <w:t>cs</w:t>
      </w:r>
      <w:r w:rsidRPr="008F0FA8">
        <w:rPr>
          <w:rFonts w:ascii="Arial" w:hAnsi="Arial" w:cs="Arial"/>
        </w:rPr>
        <w:t>. A matrix construct was applied to the connected Murray</w:t>
      </w:r>
      <w:r>
        <w:rPr>
          <w:rFonts w:ascii="Arial" w:hAnsi="Arial" w:cs="Arial"/>
        </w:rPr>
        <w:t>–</w:t>
      </w:r>
      <w:r w:rsidRPr="008F0FA8">
        <w:rPr>
          <w:rFonts w:ascii="Arial" w:hAnsi="Arial" w:cs="Arial"/>
        </w:rPr>
        <w:t xml:space="preserve">Darling Basin sites as </w:t>
      </w:r>
      <w:r>
        <w:rPr>
          <w:rFonts w:ascii="Arial" w:hAnsi="Arial" w:cs="Arial"/>
        </w:rPr>
        <w:t xml:space="preserve">a </w:t>
      </w:r>
      <w:r w:rsidRPr="008F0FA8">
        <w:rPr>
          <w:rFonts w:ascii="Arial" w:hAnsi="Arial" w:cs="Arial"/>
        </w:rPr>
        <w:t xml:space="preserve">metapopulation model made up of </w:t>
      </w:r>
      <w:r>
        <w:rPr>
          <w:rFonts w:ascii="Arial" w:hAnsi="Arial" w:cs="Arial"/>
        </w:rPr>
        <w:t>eight</w:t>
      </w:r>
      <w:r w:rsidRPr="008F0FA8">
        <w:rPr>
          <w:rFonts w:ascii="Arial" w:hAnsi="Arial" w:cs="Arial"/>
        </w:rPr>
        <w:t xml:space="preserve"> populations</w:t>
      </w:r>
      <w:r>
        <w:rPr>
          <w:rFonts w:ascii="Arial" w:hAnsi="Arial" w:cs="Arial"/>
        </w:rPr>
        <w:t>,</w:t>
      </w:r>
      <w:r w:rsidRPr="008F0FA8">
        <w:rPr>
          <w:rFonts w:ascii="Arial" w:hAnsi="Arial" w:cs="Arial"/>
        </w:rPr>
        <w:t xml:space="preserve"> with immigration and emigration between adjoining upstream and downstream populations (Figures </w:t>
      </w:r>
      <w:r>
        <w:rPr>
          <w:rFonts w:ascii="Arial" w:hAnsi="Arial" w:cs="Arial"/>
        </w:rPr>
        <w:t>A2.</w:t>
      </w:r>
      <w:r w:rsidRPr="008F0FA8">
        <w:rPr>
          <w:rFonts w:ascii="Arial" w:hAnsi="Arial" w:cs="Arial"/>
        </w:rPr>
        <w:t xml:space="preserve">6, </w:t>
      </w:r>
      <w:r>
        <w:rPr>
          <w:rFonts w:ascii="Arial" w:hAnsi="Arial" w:cs="Arial"/>
        </w:rPr>
        <w:t>A2.</w:t>
      </w:r>
      <w:r w:rsidRPr="008F0FA8">
        <w:rPr>
          <w:rFonts w:ascii="Arial" w:hAnsi="Arial" w:cs="Arial"/>
        </w:rPr>
        <w:t xml:space="preserve">7, </w:t>
      </w:r>
      <w:r>
        <w:rPr>
          <w:rFonts w:ascii="Arial" w:hAnsi="Arial" w:cs="Arial"/>
        </w:rPr>
        <w:t>A2.</w:t>
      </w:r>
      <w:r w:rsidRPr="008F0FA8">
        <w:rPr>
          <w:rFonts w:ascii="Arial" w:hAnsi="Arial" w:cs="Arial"/>
        </w:rPr>
        <w:t xml:space="preserve">8 and </w:t>
      </w:r>
      <w:r>
        <w:rPr>
          <w:rFonts w:ascii="Arial" w:hAnsi="Arial" w:cs="Arial"/>
        </w:rPr>
        <w:t>A2.</w:t>
      </w:r>
      <w:r w:rsidRPr="008F0FA8">
        <w:rPr>
          <w:rFonts w:ascii="Arial" w:hAnsi="Arial" w:cs="Arial"/>
        </w:rPr>
        <w:t>9). This construct came from a number of workshops held as part of the Murray</w:t>
      </w:r>
      <w:r>
        <w:rPr>
          <w:rFonts w:ascii="Arial" w:hAnsi="Arial" w:cs="Arial"/>
        </w:rPr>
        <w:t>–</w:t>
      </w:r>
      <w:r w:rsidRPr="008F0FA8">
        <w:rPr>
          <w:rFonts w:ascii="Arial" w:hAnsi="Arial" w:cs="Arial"/>
        </w:rPr>
        <w:t>Darling Basin Authority Fish Population Modelling project</w:t>
      </w:r>
      <w:r>
        <w:rPr>
          <w:rFonts w:ascii="Arial" w:hAnsi="Arial" w:cs="Arial"/>
        </w:rPr>
        <w:t>,</w:t>
      </w:r>
      <w:r w:rsidRPr="008F0FA8">
        <w:rPr>
          <w:rFonts w:ascii="Arial" w:hAnsi="Arial" w:cs="Arial"/>
        </w:rPr>
        <w:t xml:space="preserve"> with rules established for all of the linkages based on data (e.g. Mallen-</w:t>
      </w:r>
      <w:r w:rsidRPr="008F0FA8">
        <w:rPr>
          <w:rFonts w:ascii="Arial" w:hAnsi="Arial" w:cs="Arial"/>
        </w:rPr>
        <w:lastRenderedPageBreak/>
        <w:t>Cooper and Stuart 2003) and expert elicitation (Koehn et al. 2018</w:t>
      </w:r>
      <w:r>
        <w:rPr>
          <w:rFonts w:ascii="Arial" w:hAnsi="Arial" w:cs="Arial"/>
        </w:rPr>
        <w:t>,</w:t>
      </w:r>
      <w:r w:rsidRPr="008F0FA8">
        <w:rPr>
          <w:rFonts w:ascii="Arial" w:hAnsi="Arial" w:cs="Arial"/>
        </w:rPr>
        <w:t xml:space="preserve"> 2020). This type of meta-population for Golden Perch has previously been used for Silver Perch in the Namoi River (northern </w:t>
      </w:r>
      <w:r>
        <w:rPr>
          <w:rFonts w:ascii="Arial" w:hAnsi="Arial" w:cs="Arial"/>
        </w:rPr>
        <w:t>NSW</w:t>
      </w:r>
      <w:r w:rsidRPr="008F0FA8">
        <w:rPr>
          <w:rFonts w:ascii="Arial" w:hAnsi="Arial" w:cs="Arial"/>
        </w:rPr>
        <w:t>; Todd et al. 2019) and is deemed most suitable for this project. A conceptual model of Golden Perch life</w:t>
      </w:r>
      <w:r>
        <w:rPr>
          <w:rFonts w:ascii="Arial" w:hAnsi="Arial" w:cs="Arial"/>
        </w:rPr>
        <w:t xml:space="preserve"> </w:t>
      </w:r>
      <w:r w:rsidRPr="008F0FA8">
        <w:rPr>
          <w:rFonts w:ascii="Arial" w:hAnsi="Arial" w:cs="Arial"/>
        </w:rPr>
        <w:t>history in relation to important elements of the flow regime also informed the population model construct (</w:t>
      </w:r>
      <w:r w:rsidRPr="008F0FA8">
        <w:rPr>
          <w:rFonts w:ascii="Arial" w:hAnsi="Arial" w:cs="Arial"/>
        </w:rPr>
        <w:fldChar w:fldCharType="begin"/>
      </w:r>
      <w:r w:rsidRPr="008F0FA8">
        <w:rPr>
          <w:rFonts w:ascii="Arial" w:hAnsi="Arial" w:cs="Arial"/>
        </w:rPr>
        <w:instrText xml:space="preserve"> REF _Ref104384388 \h  \* MERGEFORMAT </w:instrText>
      </w:r>
      <w:r w:rsidRPr="008F0FA8">
        <w:rPr>
          <w:rFonts w:ascii="Arial" w:hAnsi="Arial" w:cs="Arial"/>
        </w:rPr>
      </w:r>
      <w:r w:rsidRPr="008F0FA8">
        <w:rPr>
          <w:rFonts w:ascii="Arial" w:hAnsi="Arial" w:cs="Arial"/>
        </w:rPr>
        <w:fldChar w:fldCharType="separate"/>
      </w:r>
      <w:r w:rsidR="005B672A" w:rsidRPr="005B672A">
        <w:rPr>
          <w:rFonts w:ascii="Arial" w:hAnsi="Arial" w:cs="Arial"/>
        </w:rPr>
        <w:t>Figure A2.5</w:t>
      </w:r>
      <w:r w:rsidRPr="008F0FA8">
        <w:rPr>
          <w:rFonts w:ascii="Arial" w:hAnsi="Arial" w:cs="Arial"/>
        </w:rPr>
        <w:fldChar w:fldCharType="end"/>
      </w:r>
      <w:r w:rsidRPr="008F0FA8">
        <w:rPr>
          <w:rFonts w:ascii="Arial" w:hAnsi="Arial" w:cs="Arial"/>
        </w:rPr>
        <w:t>).</w:t>
      </w:r>
    </w:p>
    <w:p w14:paraId="1AD0B8D1" w14:textId="187360B3" w:rsidR="00491210" w:rsidRPr="000A08BA" w:rsidRDefault="003E1401" w:rsidP="00011166">
      <w:pPr>
        <w:keepNext/>
        <w:spacing w:before="240"/>
      </w:pPr>
      <w:r>
        <w:rPr>
          <w:noProof/>
          <w:lang w:eastAsia="en-AU"/>
        </w:rPr>
        <w:t xml:space="preserve"> </w:t>
      </w:r>
    </w:p>
    <w:p w14:paraId="1D1AFC27" w14:textId="76DAC42E" w:rsidR="00491210" w:rsidRDefault="00EE200C" w:rsidP="00F602FE">
      <w:pPr>
        <w:pStyle w:val="AppendixFigureCaption"/>
      </w:pPr>
      <w:bookmarkStart w:id="376" w:name="_Ref104384388"/>
      <w:bookmarkStart w:id="377" w:name="_Ref75429612"/>
      <w:bookmarkStart w:id="378" w:name="_Ref57890239"/>
      <w:r w:rsidRPr="00541AF4">
        <w:t>Figure A2.</w:t>
      </w:r>
      <w:r>
        <w:rPr>
          <w:b w:val="0"/>
          <w:bCs w:val="0"/>
        </w:rPr>
        <w:fldChar w:fldCharType="begin"/>
      </w:r>
      <w:r>
        <w:instrText>SEQ Figure_A2. \* ARABIC</w:instrText>
      </w:r>
      <w:r>
        <w:rPr>
          <w:b w:val="0"/>
          <w:bCs w:val="0"/>
        </w:rPr>
        <w:fldChar w:fldCharType="separate"/>
      </w:r>
      <w:r w:rsidR="005B672A">
        <w:rPr>
          <w:noProof/>
        </w:rPr>
        <w:t>5</w:t>
      </w:r>
      <w:r>
        <w:rPr>
          <w:b w:val="0"/>
          <w:bCs w:val="0"/>
        </w:rPr>
        <w:fldChar w:fldCharType="end"/>
      </w:r>
      <w:bookmarkEnd w:id="376"/>
      <w:r w:rsidRPr="00541AF4">
        <w:t>.</w:t>
      </w:r>
      <w:bookmarkEnd w:id="377"/>
      <w:r w:rsidRPr="00541AF4">
        <w:t xml:space="preserve"> </w:t>
      </w:r>
      <w:bookmarkEnd w:id="378"/>
      <w:r w:rsidRPr="00541AF4">
        <w:t xml:space="preserve">A conceptual model of important flow components within an annual flow regime and their relationship to </w:t>
      </w:r>
      <w:r>
        <w:t xml:space="preserve">the </w:t>
      </w:r>
      <w:r w:rsidRPr="00541AF4">
        <w:t>Golden Perch life</w:t>
      </w:r>
      <w:r>
        <w:t xml:space="preserve"> </w:t>
      </w:r>
      <w:r w:rsidRPr="00541AF4">
        <w:t>history.</w:t>
      </w:r>
    </w:p>
    <w:p w14:paraId="2F481D57" w14:textId="04F53B3E" w:rsidR="00491210" w:rsidRDefault="00EE200C" w:rsidP="008F0FA8">
      <w:pPr>
        <w:pStyle w:val="paragraph"/>
        <w:spacing w:before="0" w:beforeAutospacing="0" w:after="120" w:afterAutospacing="0" w:line="259" w:lineRule="auto"/>
        <w:jc w:val="both"/>
        <w:rPr>
          <w:rFonts w:ascii="Arial" w:hAnsi="Arial" w:cs="Arial"/>
        </w:rPr>
      </w:pPr>
      <w:r w:rsidRPr="008F0FA8">
        <w:rPr>
          <w:rFonts w:ascii="Arial" w:hAnsi="Arial" w:cs="Arial"/>
        </w:rPr>
        <w:t xml:space="preserve">For each of the populations within the broader </w:t>
      </w:r>
      <w:r w:rsidRPr="00CB5E9C">
        <w:rPr>
          <w:rFonts w:ascii="Arial" w:hAnsi="Arial" w:cs="Arial"/>
        </w:rPr>
        <w:t>Murray and Lower Darling rivers</w:t>
      </w:r>
      <w:r w:rsidRPr="008F0FA8">
        <w:rPr>
          <w:rFonts w:ascii="Arial" w:hAnsi="Arial" w:cs="Arial"/>
        </w:rPr>
        <w:t xml:space="preserve"> metapopulation, a stage/age matrix model with four stages and </w:t>
      </w:r>
      <w:r>
        <w:rPr>
          <w:rFonts w:ascii="Arial" w:hAnsi="Arial" w:cs="Arial"/>
        </w:rPr>
        <w:t>20</w:t>
      </w:r>
      <w:r w:rsidRPr="008F0FA8">
        <w:rPr>
          <w:rFonts w:ascii="Arial" w:hAnsi="Arial" w:cs="Arial"/>
        </w:rPr>
        <w:t xml:space="preserve"> ages was constructed to represent the life cycle of Golden Perch: eggs; larvae; juveniles (ages 0–</w:t>
      </w:r>
      <w:r w:rsidR="00107AA1">
        <w:rPr>
          <w:rFonts w:ascii="Arial" w:hAnsi="Arial" w:cs="Arial"/>
        </w:rPr>
        <w:t>3</w:t>
      </w:r>
      <w:r>
        <w:rPr>
          <w:rFonts w:ascii="Arial" w:hAnsi="Arial" w:cs="Arial"/>
        </w:rPr>
        <w:t> years</w:t>
      </w:r>
      <w:r w:rsidRPr="008F0FA8">
        <w:rPr>
          <w:rFonts w:ascii="Arial" w:hAnsi="Arial" w:cs="Arial"/>
        </w:rPr>
        <w:t xml:space="preserve">); and adults (ages </w:t>
      </w:r>
      <w:r w:rsidR="00107AA1">
        <w:rPr>
          <w:rFonts w:ascii="Arial" w:hAnsi="Arial" w:cs="Arial"/>
        </w:rPr>
        <w:t>4</w:t>
      </w:r>
      <w:r w:rsidRPr="008F0FA8">
        <w:rPr>
          <w:rFonts w:ascii="Arial" w:hAnsi="Arial" w:cs="Arial"/>
        </w:rPr>
        <w:t>–20</w:t>
      </w:r>
      <w:r>
        <w:rPr>
          <w:rFonts w:ascii="Arial" w:hAnsi="Arial" w:cs="Arial"/>
        </w:rPr>
        <w:t> </w:t>
      </w:r>
      <w:r w:rsidRPr="008F0FA8">
        <w:rPr>
          <w:rFonts w:ascii="Arial" w:hAnsi="Arial" w:cs="Arial"/>
        </w:rPr>
        <w:t xml:space="preserve">years). Sexual maturity in the model occurs at </w:t>
      </w:r>
      <w:r w:rsidR="00107AA1">
        <w:rPr>
          <w:rFonts w:ascii="Arial" w:hAnsi="Arial" w:cs="Arial"/>
        </w:rPr>
        <w:t>4</w:t>
      </w:r>
      <w:r>
        <w:rPr>
          <w:rFonts w:ascii="Arial" w:hAnsi="Arial" w:cs="Arial"/>
        </w:rPr>
        <w:t> </w:t>
      </w:r>
      <w:r w:rsidRPr="008F0FA8">
        <w:rPr>
          <w:rFonts w:ascii="Arial" w:hAnsi="Arial" w:cs="Arial"/>
        </w:rPr>
        <w:t>years of age (Mallen-Cooper and Stuart 2003), and egg production increas</w:t>
      </w:r>
      <w:r>
        <w:rPr>
          <w:rFonts w:ascii="Arial" w:hAnsi="Arial" w:cs="Arial"/>
        </w:rPr>
        <w:t>es</w:t>
      </w:r>
      <w:r w:rsidRPr="008F0FA8">
        <w:rPr>
          <w:rFonts w:ascii="Arial" w:hAnsi="Arial" w:cs="Arial"/>
        </w:rPr>
        <w:t xml:space="preserve"> with age (Rowland 2005). Both demographic and environmental stochasticity were included in the model. Variation in the survival and reproduction of individuals was modelled by demographic stochasticity (Akçakaya 1991). Demographic stochasticity was incorporated using a binomial distribution to model the number of individuals surviving between consecutive time steps, and a Poisson distribution to model recruitment to </w:t>
      </w:r>
      <w:r>
        <w:rPr>
          <w:rFonts w:ascii="Arial" w:hAnsi="Arial" w:cs="Arial"/>
        </w:rPr>
        <w:t>the 1</w:t>
      </w:r>
      <w:r w:rsidRPr="008F0FA8">
        <w:rPr>
          <w:rFonts w:ascii="Arial" w:hAnsi="Arial" w:cs="Arial"/>
        </w:rPr>
        <w:t>-year</w:t>
      </w:r>
      <w:r>
        <w:rPr>
          <w:rFonts w:ascii="Arial" w:hAnsi="Arial" w:cs="Arial"/>
        </w:rPr>
        <w:t xml:space="preserve"> age class</w:t>
      </w:r>
      <w:r w:rsidRPr="008F0FA8">
        <w:rPr>
          <w:rFonts w:ascii="Arial" w:hAnsi="Arial" w:cs="Arial"/>
        </w:rPr>
        <w:t>.</w:t>
      </w:r>
    </w:p>
    <w:p w14:paraId="57F6B084" w14:textId="5AFCB9F0" w:rsidR="00491210" w:rsidRPr="008F0FA8" w:rsidRDefault="00EE200C" w:rsidP="008F0FA8">
      <w:pPr>
        <w:pStyle w:val="paragraph"/>
        <w:spacing w:before="0" w:beforeAutospacing="0" w:after="120" w:afterAutospacing="0" w:line="259" w:lineRule="auto"/>
        <w:jc w:val="both"/>
        <w:rPr>
          <w:rFonts w:ascii="Arial" w:hAnsi="Arial" w:cs="Arial"/>
        </w:rPr>
      </w:pPr>
      <w:r w:rsidRPr="00CC0F6A">
        <w:rPr>
          <w:rFonts w:ascii="Arial" w:hAnsi="Arial" w:cs="Arial"/>
        </w:rPr>
        <w:t>Environmental stochasticity was incorporated by randomly varying the survival and fecundity rates</w:t>
      </w:r>
      <w:r w:rsidRPr="008F0FA8">
        <w:rPr>
          <w:rFonts w:ascii="Arial" w:hAnsi="Arial" w:cs="Arial"/>
        </w:rPr>
        <w:t xml:space="preserve"> each year. Survival rates were drawn from normal distributions transformed to the unit interval (Todd and Ng 2001) with specified means and standard deviations. Age</w:t>
      </w:r>
      <w:r>
        <w:rPr>
          <w:rFonts w:ascii="Arial" w:hAnsi="Arial" w:cs="Arial"/>
        </w:rPr>
        <w:t>-</w:t>
      </w:r>
      <w:r w:rsidRPr="008F0FA8">
        <w:rPr>
          <w:rFonts w:ascii="Arial" w:hAnsi="Arial" w:cs="Arial"/>
        </w:rPr>
        <w:t xml:space="preserve">specific fecundities were </w:t>
      </w:r>
      <w:r>
        <w:rPr>
          <w:rFonts w:ascii="Arial" w:hAnsi="Arial" w:cs="Arial"/>
        </w:rPr>
        <w:t>determined</w:t>
      </w:r>
      <w:r w:rsidRPr="008F0FA8">
        <w:rPr>
          <w:rFonts w:ascii="Arial" w:hAnsi="Arial" w:cs="Arial"/>
        </w:rPr>
        <w:t xml:space="preserve"> from a relationship estimated from hatchery data (Rowland </w:t>
      </w:r>
      <w:r>
        <w:rPr>
          <w:rFonts w:ascii="Arial" w:hAnsi="Arial" w:cs="Arial"/>
        </w:rPr>
        <w:t>1996</w:t>
      </w:r>
      <w:r w:rsidRPr="008F0FA8">
        <w:rPr>
          <w:rFonts w:ascii="Arial" w:hAnsi="Arial" w:cs="Arial"/>
        </w:rPr>
        <w:t>) and age</w:t>
      </w:r>
      <w:r>
        <w:rPr>
          <w:rFonts w:ascii="Arial" w:hAnsi="Arial" w:cs="Arial"/>
        </w:rPr>
        <w:t>–</w:t>
      </w:r>
      <w:r w:rsidRPr="008F0FA8">
        <w:rPr>
          <w:rFonts w:ascii="Arial" w:hAnsi="Arial" w:cs="Arial"/>
        </w:rPr>
        <w:t>length data with specified means and standard deviations. Todd and Ng (2001) provide a methodology for specifying correlations among survival rates</w:t>
      </w:r>
      <w:r>
        <w:rPr>
          <w:rFonts w:ascii="Arial" w:hAnsi="Arial" w:cs="Arial"/>
        </w:rPr>
        <w:t>;</w:t>
      </w:r>
      <w:r w:rsidRPr="008F0FA8">
        <w:rPr>
          <w:rFonts w:ascii="Arial" w:hAnsi="Arial" w:cs="Arial"/>
        </w:rPr>
        <w:t xml:space="preserve"> however</w:t>
      </w:r>
      <w:r>
        <w:rPr>
          <w:rFonts w:ascii="Arial" w:hAnsi="Arial" w:cs="Arial"/>
        </w:rPr>
        <w:t>,</w:t>
      </w:r>
      <w:r w:rsidRPr="008F0FA8">
        <w:rPr>
          <w:rFonts w:ascii="Arial" w:hAnsi="Arial" w:cs="Arial"/>
        </w:rPr>
        <w:t xml:space="preserve"> no information exists to quantify these correlations. Given the aquatic habitat in which fish live</w:t>
      </w:r>
      <w:r>
        <w:rPr>
          <w:rFonts w:ascii="Arial" w:hAnsi="Arial" w:cs="Arial"/>
        </w:rPr>
        <w:t>,</w:t>
      </w:r>
      <w:r w:rsidRPr="008F0FA8">
        <w:rPr>
          <w:rFonts w:ascii="Arial" w:hAnsi="Arial" w:cs="Arial"/>
        </w:rPr>
        <w:t xml:space="preserve"> it is reasonable to assume that the correlations are likely to be positive and close to unity. It was assumed that </w:t>
      </w:r>
      <w:r>
        <w:rPr>
          <w:rFonts w:ascii="Arial" w:hAnsi="Arial" w:cs="Arial"/>
        </w:rPr>
        <w:t xml:space="preserve">the </w:t>
      </w:r>
      <w:r w:rsidRPr="008F0FA8">
        <w:rPr>
          <w:rFonts w:ascii="Arial" w:hAnsi="Arial" w:cs="Arial"/>
        </w:rPr>
        <w:t xml:space="preserve">survival rates were perfectly correlated to </w:t>
      </w:r>
      <w:r>
        <w:rPr>
          <w:rFonts w:ascii="Arial" w:hAnsi="Arial" w:cs="Arial"/>
        </w:rPr>
        <w:t>one an</w:t>
      </w:r>
      <w:r w:rsidRPr="008F0FA8">
        <w:rPr>
          <w:rFonts w:ascii="Arial" w:hAnsi="Arial" w:cs="Arial"/>
        </w:rPr>
        <w:t xml:space="preserve">other and independent of </w:t>
      </w:r>
      <w:r>
        <w:rPr>
          <w:rFonts w:ascii="Arial" w:hAnsi="Arial" w:cs="Arial"/>
        </w:rPr>
        <w:t xml:space="preserve">the </w:t>
      </w:r>
      <w:r w:rsidRPr="008F0FA8">
        <w:rPr>
          <w:rFonts w:ascii="Arial" w:hAnsi="Arial" w:cs="Arial"/>
        </w:rPr>
        <w:t>fecundity rates</w:t>
      </w:r>
      <w:r>
        <w:rPr>
          <w:rFonts w:ascii="Arial" w:hAnsi="Arial" w:cs="Arial"/>
        </w:rPr>
        <w:t>;</w:t>
      </w:r>
      <w:r w:rsidRPr="008F0FA8">
        <w:rPr>
          <w:rFonts w:ascii="Arial" w:hAnsi="Arial" w:cs="Arial"/>
        </w:rPr>
        <w:t xml:space="preserve"> fecundity rates were </w:t>
      </w:r>
      <w:r>
        <w:rPr>
          <w:rFonts w:ascii="Arial" w:hAnsi="Arial" w:cs="Arial"/>
        </w:rPr>
        <w:t xml:space="preserve">also </w:t>
      </w:r>
      <w:r w:rsidRPr="008F0FA8">
        <w:rPr>
          <w:rFonts w:ascii="Arial" w:hAnsi="Arial" w:cs="Arial"/>
        </w:rPr>
        <w:t xml:space="preserve">assumed to be perfectly correlated with </w:t>
      </w:r>
      <w:r>
        <w:rPr>
          <w:rFonts w:ascii="Arial" w:hAnsi="Arial" w:cs="Arial"/>
        </w:rPr>
        <w:t>one an</w:t>
      </w:r>
      <w:r w:rsidRPr="008F0FA8">
        <w:rPr>
          <w:rFonts w:ascii="Arial" w:hAnsi="Arial" w:cs="Arial"/>
        </w:rPr>
        <w:t>other (Todd et al. 2004)</w:t>
      </w:r>
      <w:r>
        <w:rPr>
          <w:rFonts w:ascii="Arial" w:hAnsi="Arial" w:cs="Arial"/>
        </w:rPr>
        <w:t>,</w:t>
      </w:r>
      <w:r w:rsidRPr="008F0FA8">
        <w:rPr>
          <w:rFonts w:ascii="Arial" w:hAnsi="Arial" w:cs="Arial"/>
        </w:rPr>
        <w:t xml:space="preserve"> and a pre-breeding census construction </w:t>
      </w:r>
      <w:r>
        <w:rPr>
          <w:rFonts w:ascii="Arial" w:hAnsi="Arial" w:cs="Arial"/>
        </w:rPr>
        <w:t xml:space="preserve">was </w:t>
      </w:r>
      <w:r w:rsidRPr="008F0FA8">
        <w:rPr>
          <w:rFonts w:ascii="Arial" w:hAnsi="Arial" w:cs="Arial"/>
        </w:rPr>
        <w:t>used (Burgman et al. 1993). The density</w:t>
      </w:r>
      <w:r>
        <w:rPr>
          <w:rFonts w:ascii="Arial" w:hAnsi="Arial" w:cs="Arial"/>
        </w:rPr>
        <w:t>-</w:t>
      </w:r>
      <w:r w:rsidRPr="008F0FA8">
        <w:rPr>
          <w:rFonts w:ascii="Arial" w:hAnsi="Arial" w:cs="Arial"/>
        </w:rPr>
        <w:t xml:space="preserve">dependence construct applies across all adult </w:t>
      </w:r>
      <w:r>
        <w:rPr>
          <w:rFonts w:ascii="Arial" w:hAnsi="Arial" w:cs="Arial"/>
        </w:rPr>
        <w:t xml:space="preserve">age </w:t>
      </w:r>
      <w:r w:rsidRPr="008F0FA8">
        <w:rPr>
          <w:rFonts w:ascii="Arial" w:hAnsi="Arial" w:cs="Arial"/>
        </w:rPr>
        <w:t>classes equally. The following equations are for a single Golden Perch population:</w:t>
      </w:r>
    </w:p>
    <w:p w14:paraId="4E668C19" w14:textId="5A542C50" w:rsidR="00491210" w:rsidRPr="00C57B10" w:rsidRDefault="003E1401" w:rsidP="00011166">
      <w:pPr>
        <w:pStyle w:val="BodyText"/>
        <w:jc w:val="center"/>
        <w:rPr>
          <w:sz w:val="22"/>
          <w:szCs w:val="22"/>
          <w:lang w:val="en-US"/>
        </w:rPr>
      </w:pPr>
      <w:r>
        <w:rPr>
          <w:position w:val="-252"/>
        </w:rPr>
        <w:t xml:space="preserve"> </w:t>
      </w:r>
    </w:p>
    <w:p w14:paraId="7C9A5CC8" w14:textId="79C46866" w:rsidR="00491210" w:rsidRDefault="00EE200C" w:rsidP="008F0FA8">
      <w:pPr>
        <w:pStyle w:val="paragraph"/>
        <w:spacing w:before="0" w:beforeAutospacing="0" w:after="120" w:afterAutospacing="0" w:line="259" w:lineRule="auto"/>
        <w:jc w:val="both"/>
        <w:rPr>
          <w:rFonts w:ascii="Arial" w:hAnsi="Arial" w:cs="Arial"/>
        </w:rPr>
      </w:pPr>
      <w:r w:rsidRPr="008F0FA8">
        <w:rPr>
          <w:rFonts w:ascii="Arial" w:hAnsi="Arial" w:cs="Arial"/>
        </w:rPr>
        <w:t xml:space="preserve">where </w:t>
      </w:r>
      <w:r w:rsidRPr="00C20F4F">
        <w:rPr>
          <w:rFonts w:ascii="Arial" w:hAnsi="Arial" w:cs="Arial"/>
          <w:i/>
          <w:iCs/>
        </w:rPr>
        <w:t>t</w:t>
      </w:r>
      <w:r w:rsidRPr="008F0FA8">
        <w:rPr>
          <w:rFonts w:ascii="Arial" w:hAnsi="Arial" w:cs="Arial"/>
        </w:rPr>
        <w:t xml:space="preserve"> is an annual time interval </w:t>
      </w:r>
      <m:oMath>
        <m:r>
          <w:rPr>
            <w:rFonts w:ascii="Cambria Math" w:hAnsi="Cambria Math" w:cs="Arial"/>
          </w:rPr>
          <m:t>F</m:t>
        </m:r>
        <m:sSub>
          <m:sSubPr>
            <m:ctrlPr>
              <w:rPr>
                <w:rFonts w:ascii="Cambria Math" w:hAnsi="Cambria Math" w:cs="Arial"/>
              </w:rPr>
            </m:ctrlPr>
          </m:sSubPr>
          <m:e>
            <m:r>
              <w:rPr>
                <w:rFonts w:ascii="Cambria Math" w:hAnsi="Cambria Math" w:cs="Arial"/>
              </w:rPr>
              <m:t>N</m:t>
            </m:r>
          </m:e>
          <m:sub>
            <m:r>
              <w:rPr>
                <w:rFonts w:ascii="Cambria Math" w:hAnsi="Cambria Math" w:cs="Arial"/>
              </w:rPr>
              <m:t>i</m:t>
            </m:r>
            <m:r>
              <m:rPr>
                <m:sty m:val="p"/>
              </m:rPr>
              <w:rPr>
                <w:rFonts w:ascii="Cambria Math" w:hAnsi="Cambria Math" w:cs="Arial"/>
              </w:rPr>
              <m:t>,</m:t>
            </m:r>
            <m:r>
              <w:rPr>
                <w:rFonts w:ascii="Cambria Math" w:hAnsi="Cambria Math" w:cs="Arial"/>
              </w:rPr>
              <m:t>t</m:t>
            </m:r>
          </m:sub>
        </m:sSub>
      </m:oMath>
      <w:r>
        <w:rPr>
          <w:rFonts w:ascii="Arial" w:hAnsi="Arial" w:cs="Arial"/>
        </w:rPr>
        <w:t xml:space="preserve">, </w:t>
      </w:r>
      <w:r w:rsidRPr="008F0FA8">
        <w:rPr>
          <w:rFonts w:ascii="Arial" w:hAnsi="Arial" w:cs="Arial"/>
        </w:rPr>
        <w:t xml:space="preserve">and </w:t>
      </w:r>
      <m:oMath>
        <m:sSub>
          <m:sSubPr>
            <m:ctrlPr>
              <w:rPr>
                <w:rFonts w:ascii="Cambria Math" w:hAnsi="Cambria Math" w:cs="Arial"/>
              </w:rPr>
            </m:ctrlPr>
          </m:sSubPr>
          <m:e>
            <m:r>
              <w:rPr>
                <w:rFonts w:ascii="Cambria Math" w:hAnsi="Arial" w:cs="Arial"/>
              </w:rPr>
              <m:t>N</m:t>
            </m:r>
          </m:e>
          <m:sub>
            <m:r>
              <w:rPr>
                <w:rFonts w:ascii="Cambria Math" w:hAnsi="Arial" w:cs="Arial"/>
              </w:rPr>
              <m:t>i</m:t>
            </m:r>
            <m:r>
              <m:rPr>
                <m:sty m:val="p"/>
              </m:rPr>
              <w:rPr>
                <w:rFonts w:ascii="Cambria Math" w:hAnsi="Arial" w:cs="Arial"/>
              </w:rPr>
              <m:t>,</m:t>
            </m:r>
            <m:r>
              <w:rPr>
                <w:rFonts w:ascii="Cambria Math" w:hAnsi="Arial" w:cs="Arial"/>
              </w:rPr>
              <m:t>t</m:t>
            </m:r>
          </m:sub>
        </m:sSub>
        <m:r>
          <m:rPr>
            <m:sty m:val="p"/>
          </m:rPr>
          <w:rPr>
            <w:rFonts w:ascii="Cambria Math" w:hAnsi="Arial" w:cs="Arial"/>
          </w:rPr>
          <m:t xml:space="preserve"> </m:t>
        </m:r>
      </m:oMath>
      <w:r w:rsidRPr="008F0FA8">
        <w:rPr>
          <w:rFonts w:ascii="Arial" w:hAnsi="Arial" w:cs="Arial"/>
        </w:rPr>
        <w:t xml:space="preserve">are the numbers of female adults and total adults, assuming an even sex ratio, in the </w:t>
      </w:r>
      <m:oMath>
        <m:sSub>
          <m:sSubPr>
            <m:ctrlPr>
              <w:rPr>
                <w:rFonts w:ascii="Cambria Math" w:hAnsi="Cambria Math" w:cs="Arial"/>
              </w:rPr>
            </m:ctrlPr>
          </m:sSubPr>
          <m:e>
            <m:r>
              <w:rPr>
                <w:rFonts w:ascii="Cambria Math" w:hAnsi="Cambria Math" w:cs="Arial"/>
              </w:rPr>
              <m:t>i</m:t>
            </m:r>
          </m:e>
          <m:sub>
            <m:r>
              <w:rPr>
                <w:rFonts w:ascii="Cambria Math" w:hAnsi="Cambria Math" w:cs="Arial"/>
              </w:rPr>
              <m:t>th</m:t>
            </m:r>
          </m:sub>
        </m:sSub>
      </m:oMath>
      <w:r w:rsidRPr="008F0FA8">
        <w:rPr>
          <w:rFonts w:ascii="Arial" w:hAnsi="Arial" w:cs="Arial"/>
        </w:rPr>
        <w:t xml:space="preserve"> age class at time t; </w:t>
      </w:r>
      <m:oMath>
        <m:sSub>
          <m:sSubPr>
            <m:ctrlPr>
              <w:rPr>
                <w:rFonts w:ascii="Cambria Math" w:hAnsi="Cambria Math" w:cs="Arial"/>
              </w:rPr>
            </m:ctrlPr>
          </m:sSubPr>
          <m:e>
            <m:r>
              <w:rPr>
                <w:rFonts w:ascii="Cambria Math" w:hAnsi="Arial" w:cs="Arial"/>
              </w:rPr>
              <m:t>S</m:t>
            </m:r>
          </m:e>
          <m:sub>
            <m:r>
              <w:rPr>
                <w:rFonts w:ascii="Cambria Math" w:hAnsi="Arial" w:cs="Arial"/>
              </w:rPr>
              <m:t>i</m:t>
            </m:r>
            <m:r>
              <m:rPr>
                <m:sty m:val="p"/>
              </m:rPr>
              <w:rPr>
                <w:rFonts w:ascii="Cambria Math" w:hAnsi="Arial" w:cs="Arial"/>
              </w:rPr>
              <m:t>,</m:t>
            </m:r>
            <m:r>
              <w:rPr>
                <w:rFonts w:ascii="Cambria Math" w:hAnsi="Arial" w:cs="Arial"/>
              </w:rPr>
              <m:t>t</m:t>
            </m:r>
          </m:sub>
        </m:sSub>
      </m:oMath>
      <w:r w:rsidRPr="008F0FA8">
        <w:rPr>
          <w:rFonts w:ascii="Arial" w:hAnsi="Arial" w:cs="Arial"/>
        </w:rPr>
        <w:t xml:space="preserve"> is a random variate describing environmental variation in the survival rates of Golden Perch in the </w:t>
      </w:r>
      <m:oMath>
        <m:sSub>
          <m:sSubPr>
            <m:ctrlPr>
              <w:rPr>
                <w:rFonts w:ascii="Cambria Math" w:hAnsi="Cambria Math" w:cs="Arial"/>
              </w:rPr>
            </m:ctrlPr>
          </m:sSubPr>
          <m:e>
            <m:r>
              <w:rPr>
                <w:rFonts w:ascii="Cambria Math" w:hAnsi="Cambria Math" w:cs="Arial"/>
              </w:rPr>
              <m:t>i</m:t>
            </m:r>
          </m:e>
          <m:sub>
            <m:r>
              <w:rPr>
                <w:rFonts w:ascii="Cambria Math" w:hAnsi="Cambria Math" w:cs="Arial"/>
              </w:rPr>
              <m:t>th</m:t>
            </m:r>
          </m:sub>
        </m:sSub>
      </m:oMath>
      <w:r w:rsidRPr="008F0FA8">
        <w:rPr>
          <w:rFonts w:ascii="Arial" w:hAnsi="Arial" w:cs="Arial"/>
        </w:rPr>
        <w:t xml:space="preserve"> age class drawn from normal distributions transformed to the unit interval (Todd and Ng 2001) with no loss of information from the specified means and standard deviations; </w:t>
      </w:r>
      <m:oMath>
        <m:sSub>
          <m:sSubPr>
            <m:ctrlPr>
              <w:rPr>
                <w:rFonts w:ascii="Cambria Math" w:hAnsi="Cambria Math" w:cs="Arial"/>
              </w:rPr>
            </m:ctrlPr>
          </m:sSubPr>
          <m:e>
            <m:r>
              <w:rPr>
                <w:rFonts w:ascii="Cambria Math" w:hAnsi="Arial" w:cs="Arial"/>
              </w:rPr>
              <m:t>S</m:t>
            </m:r>
          </m:e>
          <m:sub>
            <m:r>
              <m:rPr>
                <m:sty m:val="p"/>
              </m:rPr>
              <w:rPr>
                <w:rFonts w:ascii="Cambria Math" w:hAnsi="Arial" w:cs="Arial"/>
              </w:rPr>
              <m:t>0,</m:t>
            </m:r>
            <m:r>
              <w:rPr>
                <w:rFonts w:ascii="Cambria Math" w:hAnsi="Arial" w:cs="Arial"/>
              </w:rPr>
              <m:t>t</m:t>
            </m:r>
          </m:sub>
        </m:sSub>
      </m:oMath>
      <w:r w:rsidRPr="008F0FA8">
        <w:rPr>
          <w:rFonts w:ascii="Arial" w:hAnsi="Arial" w:cs="Arial"/>
        </w:rPr>
        <w:t xml:space="preserve">, </w:t>
      </w:r>
      <m:oMath>
        <m:sSub>
          <m:sSubPr>
            <m:ctrlPr>
              <w:rPr>
                <w:rFonts w:ascii="Cambria Math" w:hAnsi="Cambria Math" w:cs="Arial"/>
              </w:rPr>
            </m:ctrlPr>
          </m:sSubPr>
          <m:e>
            <m:r>
              <w:rPr>
                <w:rFonts w:ascii="Cambria Math" w:hAnsi="Arial" w:cs="Arial"/>
              </w:rPr>
              <m:t>S</m:t>
            </m:r>
          </m:e>
          <m:sub>
            <m:r>
              <w:rPr>
                <w:rFonts w:ascii="Cambria Math" w:hAnsi="Arial" w:cs="Arial"/>
              </w:rPr>
              <m:t>l</m:t>
            </m:r>
            <m:r>
              <m:rPr>
                <m:sty m:val="p"/>
              </m:rPr>
              <w:rPr>
                <w:rFonts w:ascii="Cambria Math" w:hAnsi="Arial" w:cs="Arial"/>
              </w:rPr>
              <m:t>,</m:t>
            </m:r>
            <m:r>
              <w:rPr>
                <w:rFonts w:ascii="Cambria Math" w:hAnsi="Arial" w:cs="Arial"/>
              </w:rPr>
              <m:t>t</m:t>
            </m:r>
          </m:sub>
        </m:sSub>
      </m:oMath>
      <w:r w:rsidRPr="008F0FA8">
        <w:rPr>
          <w:rFonts w:ascii="Arial" w:hAnsi="Arial" w:cs="Arial"/>
        </w:rPr>
        <w:t xml:space="preserve"> and </w:t>
      </w:r>
      <m:oMath>
        <m:sSub>
          <m:sSubPr>
            <m:ctrlPr>
              <w:rPr>
                <w:rFonts w:ascii="Cambria Math" w:hAnsi="Cambria Math" w:cs="Arial"/>
              </w:rPr>
            </m:ctrlPr>
          </m:sSubPr>
          <m:e>
            <m:r>
              <w:rPr>
                <w:rFonts w:ascii="Cambria Math" w:hAnsi="Arial" w:cs="Arial"/>
              </w:rPr>
              <m:t>S</m:t>
            </m:r>
          </m:e>
          <m:sub>
            <m:r>
              <w:rPr>
                <w:rFonts w:ascii="Cambria Math" w:hAnsi="Arial" w:cs="Arial"/>
              </w:rPr>
              <m:t>e</m:t>
            </m:r>
            <m:r>
              <m:rPr>
                <m:sty m:val="p"/>
              </m:rPr>
              <w:rPr>
                <w:rFonts w:ascii="Cambria Math" w:hAnsi="Arial" w:cs="Arial"/>
              </w:rPr>
              <m:t>,</m:t>
            </m:r>
            <m:r>
              <w:rPr>
                <w:rFonts w:ascii="Cambria Math" w:hAnsi="Arial" w:cs="Arial"/>
              </w:rPr>
              <m:t>t</m:t>
            </m:r>
          </m:sub>
        </m:sSub>
      </m:oMath>
      <w:r w:rsidRPr="008F0FA8">
        <w:rPr>
          <w:rFonts w:ascii="Arial" w:hAnsi="Arial" w:cs="Arial"/>
        </w:rPr>
        <w:t xml:space="preserve"> are random variates describing environmental variation in survival rates of Golden Perch less than </w:t>
      </w:r>
      <w:r>
        <w:rPr>
          <w:rFonts w:ascii="Arial" w:hAnsi="Arial" w:cs="Arial"/>
        </w:rPr>
        <w:t>1 </w:t>
      </w:r>
      <w:r w:rsidRPr="008F0FA8">
        <w:rPr>
          <w:rFonts w:ascii="Arial" w:hAnsi="Arial" w:cs="Arial"/>
        </w:rPr>
        <w:t>year old, larvae and eggs</w:t>
      </w:r>
      <w:r>
        <w:rPr>
          <w:rFonts w:ascii="Arial" w:hAnsi="Arial" w:cs="Arial"/>
        </w:rPr>
        <w:t>,</w:t>
      </w:r>
      <w:r w:rsidRPr="008F0FA8">
        <w:rPr>
          <w:rFonts w:ascii="Arial" w:hAnsi="Arial" w:cs="Arial"/>
        </w:rPr>
        <w:t xml:space="preserve"> respectively</w:t>
      </w:r>
      <w:r>
        <w:rPr>
          <w:rFonts w:ascii="Arial" w:hAnsi="Arial" w:cs="Arial"/>
        </w:rPr>
        <w:t xml:space="preserve"> (</w:t>
      </w:r>
      <w:r w:rsidRPr="008F0FA8">
        <w:rPr>
          <w:rFonts w:ascii="Arial" w:hAnsi="Arial" w:cs="Arial"/>
        </w:rPr>
        <w:t>similarly to age</w:t>
      </w:r>
      <w:r>
        <w:rPr>
          <w:rFonts w:ascii="Arial" w:hAnsi="Arial" w:cs="Arial"/>
        </w:rPr>
        <w:t>-</w:t>
      </w:r>
      <w:r w:rsidRPr="008F0FA8">
        <w:rPr>
          <w:rFonts w:ascii="Arial" w:hAnsi="Arial" w:cs="Arial"/>
        </w:rPr>
        <w:t>specific survival, where survival rates across all ages and stages are perfectly correlated</w:t>
      </w:r>
      <w:r>
        <w:rPr>
          <w:rFonts w:ascii="Arial" w:hAnsi="Arial" w:cs="Arial"/>
        </w:rPr>
        <w:t>)</w:t>
      </w:r>
      <w:r w:rsidRPr="008F0FA8">
        <w:rPr>
          <w:rFonts w:ascii="Arial" w:hAnsi="Arial" w:cs="Arial"/>
        </w:rPr>
        <w:t>;</w:t>
      </w:r>
      <w:r>
        <w:rPr>
          <w:rFonts w:ascii="Arial" w:hAnsi="Arial" w:cs="Arial"/>
        </w:rPr>
        <w:t xml:space="preserve"> </w:t>
      </w:r>
      <m:oMath>
        <m:sSub>
          <m:sSubPr>
            <m:ctrlPr>
              <w:rPr>
                <w:rFonts w:ascii="Cambria Math" w:hAnsi="Cambria Math" w:cs="Arial"/>
                <w:i/>
                <w:iCs/>
              </w:rPr>
            </m:ctrlPr>
          </m:sSubPr>
          <m:e>
            <m:r>
              <m:rPr>
                <m:nor/>
              </m:rPr>
              <w:rPr>
                <w:rFonts w:ascii="Cambria Math" w:hAnsi="Arial" w:cs="Arial"/>
                <w:i/>
                <w:iCs/>
              </w:rPr>
              <m:t>tempeffects</m:t>
            </m:r>
          </m:e>
          <m:sub>
            <m:r>
              <w:rPr>
                <w:rFonts w:ascii="Cambria Math" w:hAnsi="Cambria Math" w:cs="Arial"/>
              </w:rPr>
              <m:t>t</m:t>
            </m:r>
          </m:sub>
        </m:sSub>
      </m:oMath>
      <w:r>
        <w:rPr>
          <w:rFonts w:ascii="Arial" w:eastAsiaTheme="minorEastAsia" w:hAnsi="Arial" w:cs="Arial"/>
          <w:iCs/>
        </w:rPr>
        <w:t xml:space="preserve"> </w:t>
      </w:r>
      <w:r w:rsidRPr="008F0FA8">
        <w:rPr>
          <w:rFonts w:ascii="Arial" w:hAnsi="Arial" w:cs="Arial"/>
        </w:rPr>
        <w:t xml:space="preserve">is the proportional effect of temperature on survival of eggs and larvae (see Todd et al. 2005); </w:t>
      </w:r>
      <m:oMath>
        <m:r>
          <w:rPr>
            <w:rFonts w:ascii="Cambria Math" w:hAnsi="Arial" w:cs="Arial"/>
          </w:rPr>
          <m:t>den</m:t>
        </m:r>
        <m:sSub>
          <m:sSubPr>
            <m:ctrlPr>
              <w:rPr>
                <w:rFonts w:ascii="Cambria Math" w:hAnsi="Cambria Math" w:cs="Arial"/>
              </w:rPr>
            </m:ctrlPr>
          </m:sSubPr>
          <m:e>
            <m:r>
              <w:rPr>
                <w:rFonts w:ascii="Cambria Math" w:hAnsi="Arial" w:cs="Arial"/>
              </w:rPr>
              <m:t>s</m:t>
            </m:r>
          </m:e>
          <m:sub>
            <m:r>
              <w:rPr>
                <w:rFonts w:ascii="Cambria Math" w:hAnsi="Arial" w:cs="Arial"/>
              </w:rPr>
              <m:t>i</m:t>
            </m:r>
            <m:r>
              <m:rPr>
                <m:sty m:val="p"/>
              </m:rPr>
              <w:rPr>
                <w:rFonts w:ascii="Cambria Math" w:hAnsi="Arial" w:cs="Arial"/>
              </w:rPr>
              <m:t>,</m:t>
            </m:r>
            <m:r>
              <w:rPr>
                <w:rFonts w:ascii="Cambria Math" w:hAnsi="Arial" w:cs="Arial"/>
              </w:rPr>
              <m:t>t</m:t>
            </m:r>
          </m:sub>
        </m:sSub>
      </m:oMath>
      <w:r w:rsidRPr="008F0FA8">
        <w:rPr>
          <w:rFonts w:ascii="Arial" w:hAnsi="Arial" w:cs="Arial"/>
        </w:rPr>
        <w:t xml:space="preserve"> is the density-dependence factor </w:t>
      </w:r>
      <w:r>
        <w:rPr>
          <w:rFonts w:ascii="Arial" w:hAnsi="Arial" w:cs="Arial"/>
        </w:rPr>
        <w:t>applied to all age classes</w:t>
      </w:r>
      <w:r w:rsidRPr="008F0FA8">
        <w:rPr>
          <w:rFonts w:ascii="Arial" w:hAnsi="Arial" w:cs="Arial"/>
        </w:rPr>
        <w:t>;</w:t>
      </w:r>
      <w:r>
        <w:rPr>
          <w:rFonts w:ascii="Arial" w:hAnsi="Arial" w:cs="Arial"/>
        </w:rPr>
        <w:t xml:space="preserve"> </w:t>
      </w:r>
      <m:oMath>
        <m:r>
          <w:rPr>
            <w:rFonts w:ascii="Cambria Math" w:hAnsi="Cambria Math" w:cs="Arial"/>
          </w:rPr>
          <m:t>ds</m:t>
        </m:r>
      </m:oMath>
      <w:r>
        <w:rPr>
          <w:rFonts w:ascii="Arial" w:hAnsi="Arial" w:cs="Arial"/>
        </w:rPr>
        <w:t xml:space="preserve"> and </w:t>
      </w:r>
      <m:oMath>
        <m:sSub>
          <m:sSubPr>
            <m:ctrlPr>
              <w:rPr>
                <w:rFonts w:ascii="Cambria Math" w:hAnsi="Cambria Math" w:cs="Arial"/>
                <w:i/>
              </w:rPr>
            </m:ctrlPr>
          </m:sSubPr>
          <m:e>
            <m:r>
              <w:rPr>
                <w:rFonts w:ascii="Cambria Math" w:hAnsi="Cambria Math" w:cs="Arial"/>
              </w:rPr>
              <m:t>ds</m:t>
            </m:r>
          </m:e>
          <m:sub>
            <m:r>
              <w:rPr>
                <w:rFonts w:ascii="Cambria Math" w:hAnsi="Cambria Math" w:cs="Arial"/>
              </w:rPr>
              <m:t>i</m:t>
            </m:r>
          </m:sub>
        </m:sSub>
      </m:oMath>
      <w:r>
        <w:rPr>
          <w:rFonts w:ascii="Arial" w:hAnsi="Arial" w:cs="Arial"/>
        </w:rPr>
        <w:t xml:space="preserve"> are the density scale for each location;</w:t>
      </w:r>
      <w:r w:rsidRPr="008F0FA8">
        <w:rPr>
          <w:rFonts w:ascii="Arial" w:hAnsi="Arial" w:cs="Arial"/>
        </w:rPr>
        <w:t xml:space="preserve"> </w:t>
      </w:r>
      <m:oMath>
        <m:sSub>
          <m:sSubPr>
            <m:ctrlPr>
              <w:rPr>
                <w:rFonts w:ascii="Cambria Math" w:hAnsi="Cambria Math" w:cs="Arial"/>
                <w:i/>
                <w:iCs/>
              </w:rPr>
            </m:ctrlPr>
          </m:sSubPr>
          <m:e>
            <m:r>
              <w:rPr>
                <w:rFonts w:ascii="Cambria Math" w:hAnsi="Cambria Math" w:cs="Arial"/>
              </w:rPr>
              <m:t>EggNum</m:t>
            </m:r>
          </m:e>
          <m:sub>
            <m:r>
              <w:rPr>
                <w:rFonts w:ascii="Cambria Math" w:hAnsi="Cambria Math" w:cs="Arial"/>
              </w:rPr>
              <m:t>t</m:t>
            </m:r>
          </m:sub>
        </m:sSub>
      </m:oMath>
      <w:r w:rsidRPr="008F0FA8">
        <w:rPr>
          <w:rFonts w:ascii="Arial" w:hAnsi="Arial" w:cs="Arial"/>
        </w:rPr>
        <w:t xml:space="preserve"> is the total number of eggs produced at time </w:t>
      </w:r>
      <w:r w:rsidRPr="00371978">
        <w:rPr>
          <w:rFonts w:ascii="Arial" w:hAnsi="Arial" w:cs="Arial"/>
          <w:i/>
          <w:iCs/>
        </w:rPr>
        <w:t>t</w:t>
      </w:r>
      <w:r w:rsidRPr="008F0FA8">
        <w:rPr>
          <w:rFonts w:ascii="Arial" w:hAnsi="Arial" w:cs="Arial"/>
        </w:rPr>
        <w:t xml:space="preserve">; AFPS is the average population size; </w:t>
      </w:r>
      <m:oMath>
        <m:r>
          <w:rPr>
            <w:rFonts w:ascii="Cambria Math" w:hAnsi="Arial" w:cs="Arial"/>
          </w:rPr>
          <m:t>Fe</m:t>
        </m:r>
        <m:sSub>
          <m:sSubPr>
            <m:ctrlPr>
              <w:rPr>
                <w:rFonts w:ascii="Cambria Math" w:hAnsi="Cambria Math" w:cs="Arial"/>
              </w:rPr>
            </m:ctrlPr>
          </m:sSubPr>
          <m:e>
            <m:r>
              <w:rPr>
                <w:rFonts w:ascii="Cambria Math" w:hAnsi="Arial" w:cs="Arial"/>
              </w:rPr>
              <m:t>c</m:t>
            </m:r>
          </m:e>
          <m:sub>
            <m:r>
              <w:rPr>
                <w:rFonts w:ascii="Cambria Math" w:hAnsi="Arial" w:cs="Arial"/>
              </w:rPr>
              <m:t>i</m:t>
            </m:r>
            <m:r>
              <m:rPr>
                <m:sty m:val="p"/>
              </m:rPr>
              <w:rPr>
                <w:rFonts w:ascii="Cambria Math" w:hAnsi="Arial" w:cs="Arial"/>
              </w:rPr>
              <m:t>,</m:t>
            </m:r>
            <m:r>
              <w:rPr>
                <w:rFonts w:ascii="Cambria Math" w:hAnsi="Arial" w:cs="Arial"/>
              </w:rPr>
              <m:t>t</m:t>
            </m:r>
          </m:sub>
        </m:sSub>
      </m:oMath>
      <w:r w:rsidRPr="008F0FA8">
        <w:rPr>
          <w:rFonts w:ascii="Arial" w:hAnsi="Arial" w:cs="Arial"/>
        </w:rPr>
        <w:t xml:space="preserve"> is the fecundity for Golden Perch in the </w:t>
      </w:r>
      <m:oMath>
        <m:sSub>
          <m:sSubPr>
            <m:ctrlPr>
              <w:rPr>
                <w:rFonts w:ascii="Cambria Math" w:hAnsi="Cambria Math" w:cs="Arial"/>
              </w:rPr>
            </m:ctrlPr>
          </m:sSubPr>
          <m:e>
            <m:r>
              <w:rPr>
                <w:rFonts w:ascii="Cambria Math" w:hAnsi="Cambria Math" w:cs="Arial"/>
              </w:rPr>
              <m:t>i</m:t>
            </m:r>
          </m:e>
          <m:sub>
            <m:r>
              <w:rPr>
                <w:rFonts w:ascii="Cambria Math" w:hAnsi="Cambria Math" w:cs="Arial"/>
              </w:rPr>
              <m:t>th</m:t>
            </m:r>
          </m:sub>
        </m:sSub>
      </m:oMath>
      <w:r w:rsidRPr="008F0FA8">
        <w:rPr>
          <w:rFonts w:ascii="Arial" w:hAnsi="Arial" w:cs="Arial"/>
        </w:rPr>
        <w:t xml:space="preserve"> age class, based on an age</w:t>
      </w:r>
      <w:r>
        <w:rPr>
          <w:rFonts w:ascii="Arial" w:hAnsi="Arial" w:cs="Arial"/>
        </w:rPr>
        <w:t>–</w:t>
      </w:r>
      <w:r w:rsidRPr="008F0FA8">
        <w:rPr>
          <w:rFonts w:ascii="Arial" w:hAnsi="Arial" w:cs="Arial"/>
        </w:rPr>
        <w:t>length relationship from 1347 aged Golden Perch, a length</w:t>
      </w:r>
      <w:r>
        <w:rPr>
          <w:rFonts w:ascii="Arial" w:hAnsi="Arial" w:cs="Arial"/>
        </w:rPr>
        <w:t>–</w:t>
      </w:r>
      <w:r w:rsidRPr="008F0FA8">
        <w:rPr>
          <w:rFonts w:ascii="Arial" w:hAnsi="Arial" w:cs="Arial"/>
        </w:rPr>
        <w:t>weight relationship based on 2929 Golden Perch</w:t>
      </w:r>
      <w:r>
        <w:rPr>
          <w:rFonts w:ascii="Arial" w:hAnsi="Arial" w:cs="Arial"/>
        </w:rPr>
        <w:t>,</w:t>
      </w:r>
      <w:r w:rsidRPr="008F0FA8">
        <w:rPr>
          <w:rFonts w:ascii="Arial" w:hAnsi="Arial" w:cs="Arial"/>
        </w:rPr>
        <w:t xml:space="preserve"> and a weight</w:t>
      </w:r>
      <w:r>
        <w:rPr>
          <w:rFonts w:ascii="Arial" w:hAnsi="Arial" w:cs="Arial"/>
        </w:rPr>
        <w:t>–</w:t>
      </w:r>
      <w:r w:rsidRPr="008F0FA8">
        <w:rPr>
          <w:rFonts w:ascii="Arial" w:hAnsi="Arial" w:cs="Arial"/>
        </w:rPr>
        <w:t>fecundity relationship in Rowland (</w:t>
      </w:r>
      <w:r>
        <w:rPr>
          <w:rFonts w:ascii="Arial" w:hAnsi="Arial" w:cs="Arial"/>
        </w:rPr>
        <w:t>1996</w:t>
      </w:r>
      <w:r w:rsidRPr="008F0FA8">
        <w:rPr>
          <w:rFonts w:ascii="Arial" w:hAnsi="Arial" w:cs="Arial"/>
        </w:rPr>
        <w:t xml:space="preserve">), where age </w:t>
      </w:r>
      <w:r>
        <w:rPr>
          <w:rFonts w:ascii="Arial" w:hAnsi="Arial" w:cs="Arial"/>
        </w:rPr>
        <w:t xml:space="preserve">and </w:t>
      </w:r>
      <w:r w:rsidRPr="008F0FA8">
        <w:rPr>
          <w:rFonts w:ascii="Arial" w:hAnsi="Arial" w:cs="Arial"/>
        </w:rPr>
        <w:t xml:space="preserve">fecundity </w:t>
      </w:r>
      <w:r>
        <w:rPr>
          <w:rFonts w:ascii="Arial" w:hAnsi="Arial" w:cs="Arial"/>
        </w:rPr>
        <w:t>are</w:t>
      </w:r>
      <w:r w:rsidRPr="008F0FA8">
        <w:rPr>
          <w:rFonts w:ascii="Arial" w:hAnsi="Arial" w:cs="Arial"/>
        </w:rPr>
        <w:t xml:space="preserve"> perfectly correlated </w:t>
      </w:r>
      <w:r>
        <w:rPr>
          <w:rFonts w:ascii="Arial" w:hAnsi="Arial" w:cs="Arial"/>
        </w:rPr>
        <w:t xml:space="preserve">with each other, </w:t>
      </w:r>
      <w:r w:rsidRPr="008F0FA8">
        <w:rPr>
          <w:rFonts w:ascii="Arial" w:hAnsi="Arial" w:cs="Arial"/>
        </w:rPr>
        <w:t xml:space="preserve">but not with survival (see </w:t>
      </w:r>
      <w:r w:rsidRPr="008F0FA8">
        <w:fldChar w:fldCharType="begin"/>
      </w:r>
      <w:r w:rsidRPr="008F0FA8">
        <w:rPr>
          <w:rFonts w:ascii="Arial" w:hAnsi="Arial" w:cs="Arial"/>
        </w:rPr>
        <w:instrText xml:space="preserve"> REF _Ref104386368 \h  \* MERGEFORMAT </w:instrText>
      </w:r>
      <w:r w:rsidRPr="008F0FA8">
        <w:fldChar w:fldCharType="separate"/>
      </w:r>
      <w:r w:rsidR="005B672A" w:rsidRPr="005B672A">
        <w:rPr>
          <w:rFonts w:ascii="Arial" w:hAnsi="Arial" w:cs="Arial"/>
        </w:rPr>
        <w:t>Figure A2.6</w:t>
      </w:r>
      <w:r w:rsidRPr="008F0FA8">
        <w:fldChar w:fldCharType="end"/>
      </w:r>
      <w:r w:rsidRPr="008F0FA8">
        <w:rPr>
          <w:rFonts w:ascii="Arial" w:hAnsi="Arial" w:cs="Arial"/>
        </w:rPr>
        <w:t xml:space="preserve">); </w:t>
      </w:r>
      <m:oMath>
        <m:r>
          <w:rPr>
            <w:rFonts w:ascii="Cambria Math" w:hAnsi="Arial" w:cs="Arial"/>
          </w:rPr>
          <m:t>Bin</m:t>
        </m:r>
        <m:d>
          <m:dPr>
            <m:ctrlPr>
              <w:rPr>
                <w:rFonts w:ascii="Cambria Math" w:hAnsi="Cambria Math" w:cs="Arial"/>
              </w:rPr>
            </m:ctrlPr>
          </m:dPr>
          <m:e>
            <m:r>
              <w:rPr>
                <w:rFonts w:ascii="Cambria Math" w:hAnsi="Arial" w:cs="Arial"/>
              </w:rPr>
              <m:t>n</m:t>
            </m:r>
            <m:r>
              <m:rPr>
                <m:sty m:val="p"/>
              </m:rPr>
              <w:rPr>
                <w:rFonts w:ascii="Cambria Math" w:hAnsi="Arial" w:cs="Arial"/>
              </w:rPr>
              <m:t>,</m:t>
            </m:r>
            <m:r>
              <w:rPr>
                <w:rFonts w:ascii="Cambria Math" w:hAnsi="Arial" w:cs="Arial"/>
              </w:rPr>
              <m:t>s</m:t>
            </m:r>
          </m:e>
        </m:d>
      </m:oMath>
      <w:r w:rsidRPr="008F0FA8">
        <w:rPr>
          <w:rFonts w:ascii="Arial" w:hAnsi="Arial" w:cs="Arial"/>
        </w:rPr>
        <w:t xml:space="preserve"> is a random variate representing demographic variation in transition from one age class to the next with a binomial distribution </w:t>
      </w:r>
      <m:oMath>
        <m:r>
          <w:rPr>
            <w:rFonts w:ascii="Cambria Math" w:hAnsi="Cambria Math" w:cs="Arial"/>
          </w:rPr>
          <m:t>Bin</m:t>
        </m:r>
        <m:d>
          <m:dPr>
            <m:ctrlPr>
              <w:rPr>
                <w:rFonts w:ascii="Cambria Math" w:hAnsi="Cambria Math" w:cs="Arial"/>
              </w:rPr>
            </m:ctrlPr>
          </m:dPr>
          <m:e>
            <m:r>
              <w:rPr>
                <w:rFonts w:ascii="Cambria Math" w:hAnsi="Cambria Math" w:cs="Arial"/>
              </w:rPr>
              <m:t>n</m:t>
            </m:r>
            <m:r>
              <m:rPr>
                <m:sty m:val="p"/>
              </m:rPr>
              <w:rPr>
                <w:rFonts w:ascii="Cambria Math" w:hAnsi="Cambria Math" w:cs="Arial"/>
              </w:rPr>
              <m:t>,</m:t>
            </m:r>
            <m:r>
              <w:rPr>
                <w:rFonts w:ascii="Cambria Math" w:hAnsi="Cambria Math" w:cs="Arial"/>
              </w:rPr>
              <m:t>s</m:t>
            </m:r>
          </m:e>
        </m:d>
        <m:r>
          <m:rPr>
            <m:sty m:val="p"/>
          </m:rPr>
          <w:rPr>
            <w:rFonts w:ascii="Cambria Math" w:hAnsi="Cambria Math" w:cs="Arial"/>
          </w:rPr>
          <m:t>=</m:t>
        </m:r>
        <m:r>
          <w:rPr>
            <w:rFonts w:ascii="Cambria Math" w:hAnsi="Cambria Math" w:cs="Arial"/>
          </w:rPr>
          <m:t>X</m:t>
        </m:r>
        <m:r>
          <m:rPr>
            <m:sty m:val="p"/>
          </m:rPr>
          <w:rPr>
            <w:rFonts w:ascii="Cambria Math" w:hAnsi="Cambria Math" w:cs="Arial"/>
          </w:rPr>
          <m:t>~</m:t>
        </m:r>
        <m:r>
          <m:rPr>
            <m:nor/>
          </m:rPr>
          <w:rPr>
            <w:rFonts w:ascii="Arial" w:hAnsi="Arial" w:cs="Arial"/>
          </w:rPr>
          <m:t>Binom</m:t>
        </m:r>
        <m:d>
          <m:dPr>
            <m:ctrlPr>
              <w:rPr>
                <w:rFonts w:ascii="Cambria Math" w:hAnsi="Cambria Math" w:cs="Arial"/>
              </w:rPr>
            </m:ctrlPr>
          </m:dPr>
          <m:e>
            <m:r>
              <w:rPr>
                <w:rFonts w:ascii="Cambria Math" w:hAnsi="Cambria Math" w:cs="Arial"/>
              </w:rPr>
              <m:t>n</m:t>
            </m:r>
            <m:r>
              <m:rPr>
                <m:sty m:val="p"/>
              </m:rPr>
              <w:rPr>
                <w:rFonts w:ascii="Cambria Math" w:hAnsi="Cambria Math" w:cs="Arial"/>
              </w:rPr>
              <m:t>,</m:t>
            </m:r>
            <m:r>
              <w:rPr>
                <w:rFonts w:ascii="Cambria Math" w:hAnsi="Cambria Math" w:cs="Arial"/>
              </w:rPr>
              <m:t>s</m:t>
            </m:r>
          </m:e>
        </m:d>
      </m:oMath>
      <w:r>
        <w:rPr>
          <w:rFonts w:ascii="Arial" w:hAnsi="Arial" w:cs="Arial"/>
        </w:rPr>
        <w:t xml:space="preserve">, </w:t>
      </w:r>
      <w:r w:rsidRPr="008F0FA8">
        <w:rPr>
          <w:rFonts w:ascii="Arial" w:hAnsi="Arial" w:cs="Arial"/>
        </w:rPr>
        <w:t xml:space="preserve">and </w:t>
      </w:r>
      <m:oMath>
        <m:r>
          <w:rPr>
            <w:rFonts w:ascii="Cambria Math" w:hAnsi="Arial" w:cs="Arial"/>
          </w:rPr>
          <m:t>Poisson</m:t>
        </m:r>
        <m:d>
          <m:dPr>
            <m:ctrlPr>
              <w:rPr>
                <w:rFonts w:ascii="Cambria Math" w:hAnsi="Cambria Math" w:cs="Arial"/>
              </w:rPr>
            </m:ctrlPr>
          </m:dPr>
          <m:e>
            <m:r>
              <w:rPr>
                <w:rFonts w:ascii="Cambria Math" w:hAnsi="Arial" w:cs="Arial"/>
              </w:rPr>
              <m:t>m</m:t>
            </m:r>
          </m:e>
        </m:d>
      </m:oMath>
      <w:r w:rsidRPr="008F0FA8">
        <w:rPr>
          <w:rFonts w:ascii="Arial" w:hAnsi="Arial" w:cs="Arial"/>
        </w:rPr>
        <w:t xml:space="preserve"> is a random variate representing demographic variation in recruitment with a Poisson distribution </w:t>
      </w:r>
      <m:oMath>
        <m:r>
          <w:rPr>
            <w:rFonts w:ascii="Cambria Math" w:hAnsi="Arial" w:cs="Arial"/>
          </w:rPr>
          <m:t>Poisson</m:t>
        </m:r>
        <m:d>
          <m:dPr>
            <m:ctrlPr>
              <w:rPr>
                <w:rFonts w:ascii="Cambria Math" w:hAnsi="Cambria Math" w:cs="Arial"/>
              </w:rPr>
            </m:ctrlPr>
          </m:dPr>
          <m:e>
            <m:r>
              <w:rPr>
                <w:rFonts w:ascii="Cambria Math" w:hAnsi="Arial" w:cs="Arial"/>
              </w:rPr>
              <m:t>m</m:t>
            </m:r>
          </m:e>
        </m:d>
        <m:r>
          <m:rPr>
            <m:sty m:val="p"/>
          </m:rPr>
          <w:rPr>
            <w:rFonts w:ascii="Cambria Math" w:hAnsi="Arial" w:cs="Arial"/>
          </w:rPr>
          <m:t>=</m:t>
        </m:r>
        <m:r>
          <w:rPr>
            <w:rFonts w:ascii="Cambria Math" w:hAnsi="Arial" w:cs="Arial"/>
          </w:rPr>
          <m:t>X</m:t>
        </m:r>
        <m:r>
          <m:rPr>
            <m:sty m:val="p"/>
          </m:rPr>
          <w:rPr>
            <w:rFonts w:ascii="Cambria Math" w:hAnsi="Arial" w:cs="Arial"/>
          </w:rPr>
          <m:t>~</m:t>
        </m:r>
        <m:r>
          <m:rPr>
            <m:nor/>
          </m:rPr>
          <w:rPr>
            <w:rFonts w:ascii="Arial" w:hAnsi="Arial" w:cs="Arial"/>
          </w:rPr>
          <m:t>Poi</m:t>
        </m:r>
        <m:d>
          <m:dPr>
            <m:ctrlPr>
              <w:rPr>
                <w:rFonts w:ascii="Cambria Math" w:hAnsi="Cambria Math" w:cs="Arial"/>
              </w:rPr>
            </m:ctrlPr>
          </m:dPr>
          <m:e>
            <m:r>
              <w:rPr>
                <w:rFonts w:ascii="Cambria Math" w:hAnsi="Arial" w:cs="Arial"/>
              </w:rPr>
              <m:t>m</m:t>
            </m:r>
          </m:e>
        </m:d>
      </m:oMath>
      <w:r w:rsidRPr="008F0FA8">
        <w:rPr>
          <w:rFonts w:ascii="Arial" w:hAnsi="Arial" w:cs="Arial"/>
        </w:rPr>
        <w:t>.</w:t>
      </w:r>
    </w:p>
    <w:p w14:paraId="706712A1" w14:textId="737D9D96" w:rsidR="00491210" w:rsidRPr="008F0FA8" w:rsidRDefault="00EE200C" w:rsidP="008F0FA8">
      <w:pPr>
        <w:pStyle w:val="paragraph"/>
        <w:spacing w:before="0" w:beforeAutospacing="0" w:after="120" w:afterAutospacing="0" w:line="259" w:lineRule="auto"/>
        <w:jc w:val="both"/>
        <w:rPr>
          <w:rFonts w:ascii="Arial" w:hAnsi="Arial" w:cs="Arial"/>
        </w:rPr>
      </w:pPr>
      <w:r w:rsidRPr="008F0FA8">
        <w:rPr>
          <w:rFonts w:ascii="Arial" w:hAnsi="Arial" w:cs="Arial"/>
        </w:rPr>
        <w:lastRenderedPageBreak/>
        <w:t xml:space="preserve">Age data obtained through analysing otoliths from the Murray River were used to generate estimates of age-speciﬁc survival (Ricker 1975; Todd et al. 2004, 2005; Todd and Lintermans 2015). </w:t>
      </w:r>
      <w:bookmarkStart w:id="379" w:name="_Hlk111384897"/>
      <w:r w:rsidRPr="008F0FA8">
        <w:rPr>
          <w:rFonts w:ascii="Arial" w:hAnsi="Arial" w:cs="Arial"/>
        </w:rPr>
        <w:t xml:space="preserve">A total of 707 Golden Perch were aged from otoliths of ﬁsh sampled from the Murray River and catchments and collected over the years 1990 to 2015 (Mallen-Cooper and Stuart 2003; Tonkin et al. 2019). </w:t>
      </w:r>
      <w:bookmarkEnd w:id="379"/>
      <w:r w:rsidRPr="008F0FA8">
        <w:rPr>
          <w:rFonts w:ascii="Arial" w:hAnsi="Arial" w:cs="Arial"/>
        </w:rPr>
        <w:t xml:space="preserve">An age class maybe considered to be fully represented when the number of ﬁsh in the subsequent age class is less than the </w:t>
      </w:r>
      <w:r>
        <w:rPr>
          <w:rFonts w:ascii="Arial" w:hAnsi="Arial" w:cs="Arial"/>
        </w:rPr>
        <w:t xml:space="preserve">number of fish in the </w:t>
      </w:r>
      <w:r w:rsidRPr="008F0FA8">
        <w:rPr>
          <w:rFonts w:ascii="Arial" w:hAnsi="Arial" w:cs="Arial"/>
        </w:rPr>
        <w:t xml:space="preserve">age class in question (Ricker 1975). The ratio between idealised age classes was taken as the </w:t>
      </w:r>
      <w:r>
        <w:rPr>
          <w:rFonts w:ascii="Arial" w:hAnsi="Arial" w:cs="Arial"/>
        </w:rPr>
        <w:t>‘</w:t>
      </w:r>
      <w:r w:rsidRPr="008F0FA8">
        <w:rPr>
          <w:rFonts w:ascii="Arial" w:hAnsi="Arial" w:cs="Arial"/>
        </w:rPr>
        <w:t>average</w:t>
      </w:r>
      <w:r>
        <w:rPr>
          <w:rFonts w:ascii="Arial" w:hAnsi="Arial" w:cs="Arial"/>
        </w:rPr>
        <w:t>’</w:t>
      </w:r>
      <w:r w:rsidRPr="008F0FA8">
        <w:rPr>
          <w:rFonts w:ascii="Arial" w:hAnsi="Arial" w:cs="Arial"/>
        </w:rPr>
        <w:t xml:space="preserve"> or mean survival rate (Ricker, 1975; Todd et al. 2004; Todd and Lintermans 2015)</w:t>
      </w:r>
      <w:r>
        <w:rPr>
          <w:rFonts w:ascii="Arial" w:hAnsi="Arial" w:cs="Arial"/>
        </w:rPr>
        <w:t xml:space="preserve"> (</w:t>
      </w:r>
      <w:r w:rsidRPr="008F0FA8">
        <w:rPr>
          <w:rFonts w:ascii="Arial" w:hAnsi="Arial" w:cs="Arial"/>
        </w:rPr>
        <w:t xml:space="preserve">see </w:t>
      </w:r>
      <w:r w:rsidRPr="008F0FA8">
        <w:rPr>
          <w:rFonts w:ascii="Arial" w:hAnsi="Arial" w:cs="Arial"/>
        </w:rPr>
        <w:fldChar w:fldCharType="begin"/>
      </w:r>
      <w:r w:rsidRPr="008F0FA8">
        <w:rPr>
          <w:rFonts w:ascii="Arial" w:hAnsi="Arial" w:cs="Arial"/>
        </w:rPr>
        <w:instrText xml:space="preserve"> REF _Ref104386468 \h  \* MERGEFORMAT </w:instrText>
      </w:r>
      <w:r w:rsidRPr="008F0FA8">
        <w:rPr>
          <w:rFonts w:ascii="Arial" w:hAnsi="Arial" w:cs="Arial"/>
        </w:rPr>
      </w:r>
      <w:r w:rsidRPr="008F0FA8">
        <w:rPr>
          <w:rFonts w:ascii="Arial" w:hAnsi="Arial" w:cs="Arial"/>
        </w:rPr>
        <w:fldChar w:fldCharType="separate"/>
      </w:r>
      <w:r w:rsidR="005B672A" w:rsidRPr="005B672A">
        <w:rPr>
          <w:rFonts w:ascii="Arial" w:hAnsi="Arial" w:cs="Arial"/>
        </w:rPr>
        <w:t>Figure A2.7</w:t>
      </w:r>
      <w:r w:rsidRPr="008F0FA8">
        <w:rPr>
          <w:rFonts w:ascii="Arial" w:hAnsi="Arial" w:cs="Arial"/>
        </w:rPr>
        <w:fldChar w:fldCharType="end"/>
      </w:r>
      <w:r w:rsidRPr="008F0FA8">
        <w:rPr>
          <w:rFonts w:ascii="Arial" w:hAnsi="Arial" w:cs="Arial"/>
        </w:rPr>
        <w:t xml:space="preserve"> for </w:t>
      </w:r>
      <w:r>
        <w:rPr>
          <w:rFonts w:ascii="Arial" w:hAnsi="Arial" w:cs="Arial"/>
        </w:rPr>
        <w:t xml:space="preserve">the </w:t>
      </w:r>
      <w:r w:rsidRPr="008F0FA8">
        <w:rPr>
          <w:rFonts w:ascii="Arial" w:hAnsi="Arial" w:cs="Arial"/>
        </w:rPr>
        <w:t>curve from which the ratio between age classes provides the estimate of the age</w:t>
      </w:r>
      <w:r>
        <w:rPr>
          <w:rFonts w:ascii="Arial" w:hAnsi="Arial" w:cs="Arial"/>
        </w:rPr>
        <w:t>-</w:t>
      </w:r>
      <w:r w:rsidRPr="008F0FA8">
        <w:rPr>
          <w:rFonts w:ascii="Arial" w:hAnsi="Arial" w:cs="Arial"/>
        </w:rPr>
        <w:t xml:space="preserve">specific survival rate in </w:t>
      </w:r>
      <w:r w:rsidRPr="008F0FA8">
        <w:rPr>
          <w:rFonts w:ascii="Arial" w:hAnsi="Arial" w:cs="Arial"/>
        </w:rPr>
        <w:fldChar w:fldCharType="begin"/>
      </w:r>
      <w:r w:rsidRPr="008F0FA8">
        <w:rPr>
          <w:rFonts w:ascii="Arial" w:hAnsi="Arial" w:cs="Arial"/>
        </w:rPr>
        <w:instrText xml:space="preserve"> REF _Ref104386549 \h  \* MERGEFORMAT </w:instrText>
      </w:r>
      <w:r w:rsidRPr="008F0FA8">
        <w:rPr>
          <w:rFonts w:ascii="Arial" w:hAnsi="Arial" w:cs="Arial"/>
        </w:rPr>
      </w:r>
      <w:r w:rsidRPr="008F0FA8">
        <w:rPr>
          <w:rFonts w:ascii="Arial" w:hAnsi="Arial" w:cs="Arial"/>
        </w:rPr>
        <w:fldChar w:fldCharType="separate"/>
      </w:r>
      <w:r w:rsidR="005B672A" w:rsidRPr="005B672A">
        <w:rPr>
          <w:rFonts w:ascii="Arial" w:hAnsi="Arial" w:cs="Arial"/>
        </w:rPr>
        <w:t>Figure A2.8</w:t>
      </w:r>
      <w:r w:rsidRPr="008F0FA8">
        <w:rPr>
          <w:rFonts w:ascii="Arial" w:hAnsi="Arial" w:cs="Arial"/>
        </w:rPr>
        <w:fldChar w:fldCharType="end"/>
      </w:r>
      <w:r w:rsidRPr="008F0FA8">
        <w:rPr>
          <w:rFonts w:ascii="Arial" w:hAnsi="Arial" w:cs="Arial"/>
        </w:rPr>
        <w:t>. Survival rates for eggs, larvae and ﬁngerlings (0+ fish) are unknown</w:t>
      </w:r>
      <w:r>
        <w:rPr>
          <w:rFonts w:ascii="Arial" w:hAnsi="Arial" w:cs="Arial"/>
        </w:rPr>
        <w:t>;</w:t>
      </w:r>
      <w:r w:rsidRPr="008F0FA8">
        <w:rPr>
          <w:rFonts w:ascii="Arial" w:hAnsi="Arial" w:cs="Arial"/>
        </w:rPr>
        <w:t xml:space="preserve"> consequently</w:t>
      </w:r>
      <w:r>
        <w:rPr>
          <w:rFonts w:ascii="Arial" w:hAnsi="Arial" w:cs="Arial"/>
        </w:rPr>
        <w:t>,</w:t>
      </w:r>
      <w:r w:rsidRPr="008F0FA8">
        <w:rPr>
          <w:rFonts w:ascii="Arial" w:hAnsi="Arial" w:cs="Arial"/>
        </w:rPr>
        <w:t xml:space="preserve"> it was assumed </w:t>
      </w:r>
      <w:r>
        <w:rPr>
          <w:rFonts w:ascii="Arial" w:hAnsi="Arial" w:cs="Arial"/>
        </w:rPr>
        <w:t xml:space="preserve">that </w:t>
      </w:r>
      <w:r w:rsidRPr="008F0FA8">
        <w:rPr>
          <w:rFonts w:ascii="Arial" w:hAnsi="Arial" w:cs="Arial"/>
        </w:rPr>
        <w:t>50% of eggs hatch, and the curve fitted to the age</w:t>
      </w:r>
      <w:r>
        <w:rPr>
          <w:rFonts w:ascii="Arial" w:hAnsi="Arial" w:cs="Arial"/>
        </w:rPr>
        <w:t>–</w:t>
      </w:r>
      <w:r w:rsidRPr="008F0FA8">
        <w:rPr>
          <w:rFonts w:ascii="Arial" w:hAnsi="Arial" w:cs="Arial"/>
        </w:rPr>
        <w:t xml:space="preserve">frequency data was used to estimate larval and fingerling survival </w:t>
      </w:r>
      <w:r>
        <w:rPr>
          <w:rFonts w:ascii="Arial" w:hAnsi="Arial" w:cs="Arial"/>
        </w:rPr>
        <w:t>at</w:t>
      </w:r>
      <w:r w:rsidRPr="008F0FA8">
        <w:rPr>
          <w:rFonts w:ascii="Arial" w:hAnsi="Arial" w:cs="Arial"/>
        </w:rPr>
        <w:t xml:space="preserve"> 0.002 and 0.167</w:t>
      </w:r>
      <w:r>
        <w:rPr>
          <w:rFonts w:ascii="Arial" w:hAnsi="Arial" w:cs="Arial"/>
        </w:rPr>
        <w:t>,</w:t>
      </w:r>
      <w:r w:rsidRPr="008F0FA8">
        <w:rPr>
          <w:rFonts w:ascii="Arial" w:hAnsi="Arial" w:cs="Arial"/>
        </w:rPr>
        <w:t xml:space="preserve"> respectively</w:t>
      </w:r>
      <w:r>
        <w:rPr>
          <w:rFonts w:ascii="Arial" w:hAnsi="Arial" w:cs="Arial"/>
        </w:rPr>
        <w:t>,</w:t>
      </w:r>
      <w:r w:rsidRPr="008F0FA8">
        <w:rPr>
          <w:rFonts w:ascii="Arial" w:hAnsi="Arial" w:cs="Arial"/>
        </w:rPr>
        <w:t xml:space="preserve"> providing a potential population growth rate for Golden Perch of 1.4.</w:t>
      </w:r>
      <w:bookmarkStart w:id="380" w:name="_Ref57636772"/>
    </w:p>
    <w:p w14:paraId="3D429C28" w14:textId="0AE1732F" w:rsidR="00491210" w:rsidRPr="000A08BA" w:rsidRDefault="003E1401" w:rsidP="00011166">
      <w:pPr>
        <w:spacing w:before="240"/>
      </w:pPr>
      <w:bookmarkStart w:id="381" w:name="_Toc73992179"/>
      <w:r>
        <w:rPr>
          <w:noProof/>
        </w:rPr>
        <w:t xml:space="preserve"> </w:t>
      </w:r>
    </w:p>
    <w:p w14:paraId="48E65E1D" w14:textId="089FDB0A" w:rsidR="00491210" w:rsidRDefault="00EE200C" w:rsidP="00F602FE">
      <w:pPr>
        <w:pStyle w:val="AppendixFigureCaption"/>
      </w:pPr>
      <w:bookmarkStart w:id="382" w:name="_Ref104386368"/>
      <w:bookmarkStart w:id="383" w:name="_Ref75427740"/>
      <w:bookmarkStart w:id="384" w:name="_Ref75414042"/>
      <w:bookmarkStart w:id="385" w:name="_Ref75413992"/>
      <w:r w:rsidRPr="00563903">
        <w:t>Figure A2.</w:t>
      </w:r>
      <w:r>
        <w:rPr>
          <w:b w:val="0"/>
          <w:bCs w:val="0"/>
        </w:rPr>
        <w:fldChar w:fldCharType="begin"/>
      </w:r>
      <w:r>
        <w:instrText>SEQ Figure_A2. \* ARABIC</w:instrText>
      </w:r>
      <w:r>
        <w:rPr>
          <w:b w:val="0"/>
          <w:bCs w:val="0"/>
        </w:rPr>
        <w:fldChar w:fldCharType="separate"/>
      </w:r>
      <w:r w:rsidR="005B672A">
        <w:rPr>
          <w:noProof/>
        </w:rPr>
        <w:t>6</w:t>
      </w:r>
      <w:r>
        <w:rPr>
          <w:b w:val="0"/>
          <w:bCs w:val="0"/>
        </w:rPr>
        <w:fldChar w:fldCharType="end"/>
      </w:r>
      <w:bookmarkEnd w:id="382"/>
      <w:r w:rsidRPr="00563903">
        <w:t>.</w:t>
      </w:r>
      <w:bookmarkEnd w:id="383"/>
      <w:r w:rsidRPr="00563903">
        <w:t xml:space="preserve"> </w:t>
      </w:r>
      <w:bookmarkEnd w:id="384"/>
      <w:r>
        <w:t>Age–f</w:t>
      </w:r>
      <w:r w:rsidRPr="00563903">
        <w:t>ecundity relationship used in the Golden Perch single population and meta-population model.</w:t>
      </w:r>
      <w:bookmarkStart w:id="386" w:name="_Toc73992180"/>
      <w:bookmarkEnd w:id="381"/>
    </w:p>
    <w:p w14:paraId="64E6DFED" w14:textId="29E7DE56" w:rsidR="00491210" w:rsidRPr="000A08BA" w:rsidRDefault="003E1401" w:rsidP="00011166">
      <w:pPr>
        <w:pStyle w:val="Caption0"/>
        <w:rPr>
          <w:color w:val="auto"/>
          <w:sz w:val="22"/>
          <w:szCs w:val="22"/>
        </w:rPr>
      </w:pPr>
      <w:r>
        <w:rPr>
          <w:noProof/>
          <w:sz w:val="22"/>
          <w:szCs w:val="22"/>
          <w:lang w:eastAsia="en-AU"/>
        </w:rPr>
        <w:t xml:space="preserve"> </w:t>
      </w:r>
      <w:bookmarkStart w:id="387" w:name="_Toc73992181"/>
      <w:bookmarkEnd w:id="385"/>
      <w:bookmarkEnd w:id="386"/>
    </w:p>
    <w:p w14:paraId="48B5694F" w14:textId="228159C6" w:rsidR="00491210" w:rsidRDefault="00EE200C" w:rsidP="00F602FE">
      <w:pPr>
        <w:pStyle w:val="AppendixFigureCaption"/>
      </w:pPr>
      <w:bookmarkStart w:id="388" w:name="_Ref104386468"/>
      <w:bookmarkStart w:id="389" w:name="_Ref75427818"/>
      <w:bookmarkStart w:id="390" w:name="_Ref75414073"/>
      <w:r w:rsidRPr="00563903">
        <w:t>Figure A2.</w:t>
      </w:r>
      <w:r>
        <w:rPr>
          <w:b w:val="0"/>
          <w:bCs w:val="0"/>
        </w:rPr>
        <w:fldChar w:fldCharType="begin"/>
      </w:r>
      <w:r>
        <w:instrText>SEQ Figure_A2. \* ARABIC</w:instrText>
      </w:r>
      <w:r>
        <w:rPr>
          <w:b w:val="0"/>
          <w:bCs w:val="0"/>
        </w:rPr>
        <w:fldChar w:fldCharType="separate"/>
      </w:r>
      <w:r w:rsidR="005B672A">
        <w:rPr>
          <w:noProof/>
        </w:rPr>
        <w:t>7</w:t>
      </w:r>
      <w:r>
        <w:rPr>
          <w:b w:val="0"/>
          <w:bCs w:val="0"/>
        </w:rPr>
        <w:fldChar w:fldCharType="end"/>
      </w:r>
      <w:bookmarkEnd w:id="388"/>
      <w:r w:rsidRPr="00563903">
        <w:t>.</w:t>
      </w:r>
      <w:bookmarkEnd w:id="389"/>
      <w:r w:rsidRPr="00563903">
        <w:t xml:space="preserve"> </w:t>
      </w:r>
      <w:bookmarkEnd w:id="390"/>
      <w:r w:rsidRPr="00563903">
        <w:t>Age</w:t>
      </w:r>
      <w:r>
        <w:t>–</w:t>
      </w:r>
      <w:r w:rsidRPr="00563903">
        <w:t xml:space="preserve">frequency </w:t>
      </w:r>
      <w:r>
        <w:t xml:space="preserve">relationship </w:t>
      </w:r>
      <w:r w:rsidRPr="00563903">
        <w:t xml:space="preserve">with </w:t>
      </w:r>
      <w:r>
        <w:t xml:space="preserve">the </w:t>
      </w:r>
      <w:r w:rsidRPr="00563903">
        <w:t xml:space="preserve">fitted curve </w:t>
      </w:r>
      <w:r>
        <w:t xml:space="preserve">used </w:t>
      </w:r>
      <w:r w:rsidRPr="00563903">
        <w:t>to generate age</w:t>
      </w:r>
      <w:r>
        <w:t>-</w:t>
      </w:r>
      <w:r w:rsidRPr="00563903">
        <w:t>specific survival rates for Golden Perch.</w:t>
      </w:r>
      <w:bookmarkEnd w:id="387"/>
    </w:p>
    <w:p w14:paraId="27DE1A64" w14:textId="79CA7812" w:rsidR="00491210" w:rsidRPr="000A08BA" w:rsidRDefault="003E1401" w:rsidP="00011166">
      <w:pPr>
        <w:keepNext/>
        <w:spacing w:before="240"/>
      </w:pPr>
      <w:r>
        <w:rPr>
          <w:noProof/>
          <w:lang w:eastAsia="en-AU"/>
        </w:rPr>
        <w:t xml:space="preserve"> </w:t>
      </w:r>
    </w:p>
    <w:p w14:paraId="7295CF51" w14:textId="10C0702A" w:rsidR="00491210" w:rsidRDefault="00EE200C" w:rsidP="00F602FE">
      <w:pPr>
        <w:pStyle w:val="AppendixFigureCaption"/>
      </w:pPr>
      <w:bookmarkStart w:id="391" w:name="_Ref104386549"/>
      <w:bookmarkStart w:id="392" w:name="_Ref75427847"/>
      <w:bookmarkStart w:id="393" w:name="_Ref75414127"/>
      <w:bookmarkStart w:id="394" w:name="_Toc73992183"/>
      <w:r>
        <w:t>Figure A2.</w:t>
      </w:r>
      <w:r>
        <w:rPr>
          <w:b w:val="0"/>
          <w:bCs w:val="0"/>
        </w:rPr>
        <w:fldChar w:fldCharType="begin"/>
      </w:r>
      <w:r>
        <w:instrText>SEQ Figure_A2. \* ARABIC</w:instrText>
      </w:r>
      <w:r>
        <w:rPr>
          <w:b w:val="0"/>
          <w:bCs w:val="0"/>
        </w:rPr>
        <w:fldChar w:fldCharType="separate"/>
      </w:r>
      <w:r w:rsidR="005B672A">
        <w:rPr>
          <w:noProof/>
        </w:rPr>
        <w:t>8</w:t>
      </w:r>
      <w:r>
        <w:rPr>
          <w:b w:val="0"/>
          <w:bCs w:val="0"/>
        </w:rPr>
        <w:fldChar w:fldCharType="end"/>
      </w:r>
      <w:bookmarkEnd w:id="391"/>
      <w:r>
        <w:t>.</w:t>
      </w:r>
      <w:bookmarkEnd w:id="392"/>
      <w:r>
        <w:t xml:space="preserve"> </w:t>
      </w:r>
      <w:bookmarkEnd w:id="393"/>
      <w:r>
        <w:t xml:space="preserve">Age-specific survival rates for Golden Perch generated from the ratio between age classes (from the idealised age frequencies in </w:t>
      </w:r>
      <w:r>
        <w:rPr>
          <w:b w:val="0"/>
          <w:bCs w:val="0"/>
        </w:rPr>
        <w:fldChar w:fldCharType="begin"/>
      </w:r>
      <w:r>
        <w:instrText xml:space="preserve"> REF _Ref75414073 \h  \* MERGEFORMAT </w:instrText>
      </w:r>
      <w:r>
        <w:rPr>
          <w:b w:val="0"/>
          <w:bCs w:val="0"/>
        </w:rPr>
      </w:r>
      <w:r>
        <w:rPr>
          <w:b w:val="0"/>
          <w:bCs w:val="0"/>
        </w:rPr>
        <w:fldChar w:fldCharType="separate"/>
      </w:r>
      <w:r w:rsidR="005B672A" w:rsidRPr="00563903">
        <w:t>Figure A2.</w:t>
      </w:r>
      <w:r w:rsidR="005B672A">
        <w:t>7</w:t>
      </w:r>
      <w:r w:rsidR="005B672A" w:rsidRPr="00563903">
        <w:t xml:space="preserve">. </w:t>
      </w:r>
      <w:r>
        <w:rPr>
          <w:b w:val="0"/>
          <w:bCs w:val="0"/>
        </w:rPr>
        <w:fldChar w:fldCharType="end"/>
      </w:r>
      <w:bookmarkStart w:id="395" w:name="_Ref76042956"/>
      <w:bookmarkEnd w:id="380"/>
      <w:bookmarkEnd w:id="394"/>
    </w:p>
    <w:p w14:paraId="144E3F1E" w14:textId="59366D87" w:rsidR="00491210" w:rsidRPr="000A08BA" w:rsidRDefault="00EE200C" w:rsidP="005F1F7F">
      <w:pPr>
        <w:pStyle w:val="Heading3"/>
      </w:pPr>
      <w:bookmarkStart w:id="396" w:name="_Toc116994918"/>
      <w:r w:rsidRPr="000A08BA">
        <w:t xml:space="preserve">Model rules </w:t>
      </w:r>
      <w:bookmarkEnd w:id="395"/>
      <w:r>
        <w:t>documentation</w:t>
      </w:r>
      <w:bookmarkEnd w:id="396"/>
    </w:p>
    <w:p w14:paraId="344ADC59" w14:textId="77777777" w:rsidR="00491210" w:rsidRPr="00171B99" w:rsidRDefault="00EE200C" w:rsidP="0015103C">
      <w:pPr>
        <w:pStyle w:val="Heading4"/>
      </w:pPr>
      <w:r w:rsidRPr="00171B99">
        <w:t>Golden Perch model rules extended</w:t>
      </w:r>
    </w:p>
    <w:p w14:paraId="4E487163" w14:textId="28D7DE19" w:rsidR="00491210" w:rsidRPr="008F0FA8" w:rsidRDefault="00EE200C" w:rsidP="008F0FA8">
      <w:pPr>
        <w:pStyle w:val="paragraph"/>
        <w:spacing w:before="0" w:beforeAutospacing="0" w:after="120" w:afterAutospacing="0" w:line="259" w:lineRule="auto"/>
        <w:jc w:val="both"/>
        <w:rPr>
          <w:rFonts w:ascii="Arial" w:hAnsi="Arial" w:cs="Arial"/>
        </w:rPr>
      </w:pPr>
      <w:r w:rsidRPr="008F0FA8">
        <w:rPr>
          <w:rFonts w:ascii="Arial" w:hAnsi="Arial" w:cs="Arial"/>
        </w:rPr>
        <w:t>Each population unit has a specific set of rules defining the influence that flow and temperature have on the life history of Golden Perch within the section</w:t>
      </w:r>
      <w:r>
        <w:rPr>
          <w:rFonts w:ascii="Arial" w:hAnsi="Arial" w:cs="Arial"/>
        </w:rPr>
        <w:t>,</w:t>
      </w:r>
      <w:r w:rsidRPr="008F0FA8">
        <w:rPr>
          <w:rFonts w:ascii="Arial" w:hAnsi="Arial" w:cs="Arial"/>
        </w:rPr>
        <w:t xml:space="preserve"> and </w:t>
      </w:r>
      <w:r>
        <w:rPr>
          <w:rFonts w:ascii="Arial" w:hAnsi="Arial" w:cs="Arial"/>
        </w:rPr>
        <w:t xml:space="preserve">on its </w:t>
      </w:r>
      <w:r w:rsidRPr="008F0FA8">
        <w:rPr>
          <w:rFonts w:ascii="Arial" w:hAnsi="Arial" w:cs="Arial"/>
        </w:rPr>
        <w:t>interaction with other sections immediately upstream or downstream. The broad areas of rule development relate to spawning</w:t>
      </w:r>
      <w:r>
        <w:rPr>
          <w:rFonts w:ascii="Arial" w:hAnsi="Arial" w:cs="Arial"/>
        </w:rPr>
        <w:t>,</w:t>
      </w:r>
      <w:r w:rsidRPr="008F0FA8">
        <w:rPr>
          <w:rFonts w:ascii="Arial" w:hAnsi="Arial" w:cs="Arial"/>
        </w:rPr>
        <w:t xml:space="preserve"> </w:t>
      </w:r>
      <w:r>
        <w:rPr>
          <w:rFonts w:ascii="Arial" w:hAnsi="Arial" w:cs="Arial"/>
        </w:rPr>
        <w:t xml:space="preserve">egg and </w:t>
      </w:r>
      <w:r w:rsidRPr="008F0FA8">
        <w:rPr>
          <w:rFonts w:ascii="Arial" w:hAnsi="Arial" w:cs="Arial"/>
        </w:rPr>
        <w:t>larval drift</w:t>
      </w:r>
      <w:r>
        <w:rPr>
          <w:rFonts w:ascii="Arial" w:hAnsi="Arial" w:cs="Arial"/>
        </w:rPr>
        <w:t>,</w:t>
      </w:r>
      <w:r w:rsidRPr="008F0FA8">
        <w:rPr>
          <w:rFonts w:ascii="Arial" w:hAnsi="Arial" w:cs="Arial"/>
        </w:rPr>
        <w:t xml:space="preserve"> juvenile movement</w:t>
      </w:r>
      <w:r>
        <w:rPr>
          <w:rFonts w:ascii="Arial" w:hAnsi="Arial" w:cs="Arial"/>
        </w:rPr>
        <w:t>,</w:t>
      </w:r>
      <w:r w:rsidRPr="008F0FA8">
        <w:rPr>
          <w:rFonts w:ascii="Arial" w:hAnsi="Arial" w:cs="Arial"/>
        </w:rPr>
        <w:t xml:space="preserve"> adult movement</w:t>
      </w:r>
      <w:r>
        <w:rPr>
          <w:rFonts w:ascii="Arial" w:hAnsi="Arial" w:cs="Arial"/>
        </w:rPr>
        <w:t>,</w:t>
      </w:r>
      <w:r w:rsidRPr="008F0FA8">
        <w:rPr>
          <w:rFonts w:ascii="Arial" w:hAnsi="Arial" w:cs="Arial"/>
        </w:rPr>
        <w:t xml:space="preserve"> adult spawning run</w:t>
      </w:r>
      <w:r>
        <w:rPr>
          <w:rFonts w:ascii="Arial" w:hAnsi="Arial" w:cs="Arial"/>
        </w:rPr>
        <w:t>,</w:t>
      </w:r>
      <w:r w:rsidRPr="008F0FA8">
        <w:rPr>
          <w:rFonts w:ascii="Arial" w:hAnsi="Arial" w:cs="Arial"/>
        </w:rPr>
        <w:t xml:space="preserve"> and productivity.</w:t>
      </w:r>
    </w:p>
    <w:p w14:paraId="4C32CDD0" w14:textId="77777777" w:rsidR="00491210" w:rsidRPr="00171B99" w:rsidRDefault="00EE200C" w:rsidP="00171B99">
      <w:pPr>
        <w:keepNext/>
        <w:spacing w:before="240"/>
        <w:rPr>
          <w:i/>
          <w:iCs/>
          <w:sz w:val="22"/>
          <w:szCs w:val="22"/>
        </w:rPr>
      </w:pPr>
      <w:r w:rsidRPr="00171B99">
        <w:rPr>
          <w:i/>
          <w:iCs/>
          <w:sz w:val="22"/>
          <w:szCs w:val="22"/>
        </w:rPr>
        <w:t>Golden Perch spawning</w:t>
      </w:r>
    </w:p>
    <w:p w14:paraId="540E7F26" w14:textId="4FF4510A" w:rsidR="00491210" w:rsidRPr="008F0FA8" w:rsidRDefault="00EE200C" w:rsidP="008F0FA8">
      <w:pPr>
        <w:pStyle w:val="paragraph"/>
        <w:spacing w:before="0" w:beforeAutospacing="0" w:after="120" w:afterAutospacing="0" w:line="259" w:lineRule="auto"/>
        <w:jc w:val="both"/>
        <w:rPr>
          <w:rFonts w:ascii="Arial" w:hAnsi="Arial" w:cs="Arial"/>
        </w:rPr>
      </w:pPr>
      <w:r w:rsidRPr="008F0FA8">
        <w:rPr>
          <w:rFonts w:ascii="Arial" w:hAnsi="Arial" w:cs="Arial"/>
        </w:rPr>
        <w:t>Golden Perch spawning is triggered by rules specific to reaches within the</w:t>
      </w:r>
      <w:r>
        <w:rPr>
          <w:rFonts w:ascii="Arial" w:hAnsi="Arial" w:cs="Arial"/>
        </w:rPr>
        <w:t xml:space="preserve"> MDB</w:t>
      </w:r>
      <w:r w:rsidRPr="008F0FA8">
        <w:rPr>
          <w:rFonts w:ascii="Arial" w:hAnsi="Arial" w:cs="Arial"/>
        </w:rPr>
        <w:t xml:space="preserve"> (defined below). Generally, spawning </w:t>
      </w:r>
      <w:r>
        <w:rPr>
          <w:rFonts w:ascii="Arial" w:hAnsi="Arial" w:cs="Arial"/>
        </w:rPr>
        <w:t xml:space="preserve">(October through till March) </w:t>
      </w:r>
      <w:r w:rsidRPr="008F0FA8">
        <w:rPr>
          <w:rFonts w:ascii="Arial" w:hAnsi="Arial" w:cs="Arial"/>
        </w:rPr>
        <w:t>starts when two consecutive days are &gt;17°C</w:t>
      </w:r>
      <w:r>
        <w:rPr>
          <w:rFonts w:ascii="Arial" w:hAnsi="Arial" w:cs="Arial"/>
        </w:rPr>
        <w:t>,</w:t>
      </w:r>
      <w:r w:rsidRPr="008F0FA8">
        <w:rPr>
          <w:rFonts w:ascii="Arial" w:hAnsi="Arial" w:cs="Arial"/>
        </w:rPr>
        <w:t xml:space="preserve"> combined with a flow signal</w:t>
      </w:r>
      <w:r>
        <w:rPr>
          <w:rFonts w:ascii="Arial" w:hAnsi="Arial" w:cs="Arial"/>
        </w:rPr>
        <w:t>,</w:t>
      </w:r>
      <w:r w:rsidRPr="008F0FA8">
        <w:rPr>
          <w:rFonts w:ascii="Arial" w:hAnsi="Arial" w:cs="Arial"/>
        </w:rPr>
        <w:t xml:space="preserve"> and then continues until the end of the spawning period. Survival of </w:t>
      </w:r>
      <w:r>
        <w:rPr>
          <w:rFonts w:ascii="Arial" w:hAnsi="Arial" w:cs="Arial"/>
        </w:rPr>
        <w:t xml:space="preserve">the </w:t>
      </w:r>
      <w:r w:rsidRPr="008F0FA8">
        <w:rPr>
          <w:rFonts w:ascii="Arial" w:hAnsi="Arial" w:cs="Arial"/>
        </w:rPr>
        <w:t>spawned eggs over a period of 16</w:t>
      </w:r>
      <w:r>
        <w:rPr>
          <w:rFonts w:ascii="Arial" w:hAnsi="Arial" w:cs="Arial"/>
        </w:rPr>
        <w:t> </w:t>
      </w:r>
      <w:r w:rsidRPr="008F0FA8">
        <w:rPr>
          <w:rFonts w:ascii="Arial" w:hAnsi="Arial" w:cs="Arial"/>
        </w:rPr>
        <w:t>days (includ</w:t>
      </w:r>
      <w:r>
        <w:rPr>
          <w:rFonts w:ascii="Arial" w:hAnsi="Arial" w:cs="Arial"/>
        </w:rPr>
        <w:t>ing the</w:t>
      </w:r>
      <w:r w:rsidRPr="008F0FA8">
        <w:rPr>
          <w:rFonts w:ascii="Arial" w:hAnsi="Arial" w:cs="Arial"/>
        </w:rPr>
        <w:t xml:space="preserve"> larval period) is calculated via a published temperature relationship (Michie et al. 2020). The proportion of fish spawning on any given day is dictated by a function that decays from the initial spawning peak, but also often depends on the flow on that day (see specifics for each population below).</w:t>
      </w:r>
    </w:p>
    <w:p w14:paraId="4B30C5CC" w14:textId="48A4A860" w:rsidR="00491210" w:rsidRPr="008F0FA8" w:rsidRDefault="00EE200C" w:rsidP="3FC79A6E">
      <w:pPr>
        <w:pStyle w:val="paragraph"/>
        <w:spacing w:before="0" w:beforeAutospacing="0" w:after="120" w:afterAutospacing="0" w:line="259" w:lineRule="auto"/>
        <w:jc w:val="both"/>
        <w:rPr>
          <w:rFonts w:ascii="Arial" w:hAnsi="Arial" w:cs="Arial"/>
        </w:rPr>
      </w:pPr>
      <w:r>
        <w:rPr>
          <w:rFonts w:ascii="Arial" w:hAnsi="Arial" w:cs="Arial"/>
        </w:rPr>
        <w:t xml:space="preserve">In the </w:t>
      </w:r>
      <w:r w:rsidRPr="3FC79A6E">
        <w:rPr>
          <w:rFonts w:ascii="Arial" w:hAnsi="Arial" w:cs="Arial"/>
        </w:rPr>
        <w:t>Lower Murray population</w:t>
      </w:r>
      <w:r>
        <w:rPr>
          <w:rFonts w:ascii="Arial" w:hAnsi="Arial" w:cs="Arial"/>
        </w:rPr>
        <w:t>,</w:t>
      </w:r>
      <w:r w:rsidRPr="3FC79A6E">
        <w:rPr>
          <w:rFonts w:ascii="Arial" w:hAnsi="Arial" w:cs="Arial"/>
        </w:rPr>
        <w:t xml:space="preserve"> fish only spawn on a flow </w:t>
      </w:r>
      <w:r>
        <w:rPr>
          <w:rFonts w:ascii="Arial" w:hAnsi="Arial" w:cs="Arial"/>
        </w:rPr>
        <w:t xml:space="preserve">of </w:t>
      </w:r>
      <w:r w:rsidRPr="3FC79A6E">
        <w:rPr>
          <w:rFonts w:ascii="Arial" w:hAnsi="Arial" w:cs="Arial"/>
        </w:rPr>
        <w:t>&gt;18,000</w:t>
      </w:r>
      <w:r>
        <w:rPr>
          <w:rFonts w:ascii="Arial" w:hAnsi="Arial" w:cs="Arial"/>
        </w:rPr>
        <w:t> </w:t>
      </w:r>
      <w:r w:rsidRPr="3FC79A6E">
        <w:rPr>
          <w:rFonts w:ascii="Arial" w:hAnsi="Arial" w:cs="Arial"/>
        </w:rPr>
        <w:t>ML</w:t>
      </w:r>
      <w:r>
        <w:rPr>
          <w:rFonts w:ascii="Arial" w:hAnsi="Arial" w:cs="Arial"/>
        </w:rPr>
        <w:t> </w:t>
      </w:r>
      <w:r w:rsidRPr="3FC79A6E">
        <w:rPr>
          <w:rFonts w:ascii="Arial" w:hAnsi="Arial" w:cs="Arial"/>
        </w:rPr>
        <w:t>day</w:t>
      </w:r>
      <w:r>
        <w:rPr>
          <w:rFonts w:ascii="Arial" w:hAnsi="Arial" w:cs="Arial"/>
          <w:vertAlign w:val="superscript"/>
        </w:rPr>
        <w:t>–1</w:t>
      </w:r>
      <w:r>
        <w:rPr>
          <w:rFonts w:ascii="Arial" w:hAnsi="Arial" w:cs="Arial"/>
        </w:rPr>
        <w:t xml:space="preserve">, </w:t>
      </w:r>
      <w:r w:rsidRPr="3FC79A6E">
        <w:rPr>
          <w:rFonts w:ascii="Arial" w:hAnsi="Arial" w:cs="Arial"/>
        </w:rPr>
        <w:t xml:space="preserve">when lotic hydraulics are created. The proportion of fish spawning increases with </w:t>
      </w:r>
      <w:r>
        <w:rPr>
          <w:rFonts w:ascii="Arial" w:hAnsi="Arial" w:cs="Arial"/>
        </w:rPr>
        <w:t xml:space="preserve">the </w:t>
      </w:r>
      <w:r w:rsidRPr="3FC79A6E">
        <w:rPr>
          <w:rFonts w:ascii="Arial" w:hAnsi="Arial" w:cs="Arial"/>
        </w:rPr>
        <w:t>flow (</w:t>
      </w:r>
      <w:r>
        <w:rPr>
          <w:rFonts w:ascii="Arial" w:hAnsi="Arial" w:cs="Arial"/>
        </w:rPr>
        <w:t>&gt;</w:t>
      </w:r>
      <w:r w:rsidRPr="3FC79A6E">
        <w:rPr>
          <w:rFonts w:ascii="Arial" w:hAnsi="Arial" w:cs="Arial"/>
        </w:rPr>
        <w:t>18,000</w:t>
      </w:r>
      <w:r>
        <w:rPr>
          <w:rFonts w:ascii="Arial" w:hAnsi="Arial" w:cs="Arial"/>
        </w:rPr>
        <w:t> </w:t>
      </w:r>
      <w:r w:rsidRPr="3FC79A6E">
        <w:rPr>
          <w:rFonts w:ascii="Arial" w:hAnsi="Arial" w:cs="Arial"/>
        </w:rPr>
        <w:t>ML</w:t>
      </w:r>
      <w:r>
        <w:rPr>
          <w:rFonts w:ascii="Arial" w:hAnsi="Arial" w:cs="Arial"/>
        </w:rPr>
        <w:t> </w:t>
      </w:r>
      <w:r w:rsidRPr="3FC79A6E">
        <w:rPr>
          <w:rFonts w:ascii="Arial" w:hAnsi="Arial" w:cs="Arial"/>
        </w:rPr>
        <w:t>day</w:t>
      </w:r>
      <w:r>
        <w:rPr>
          <w:rFonts w:ascii="Arial" w:hAnsi="Arial" w:cs="Arial"/>
          <w:vertAlign w:val="superscript"/>
        </w:rPr>
        <w:t>–1</w:t>
      </w:r>
      <w:r w:rsidRPr="3FC79A6E">
        <w:rPr>
          <w:rFonts w:ascii="Arial" w:hAnsi="Arial" w:cs="Arial"/>
        </w:rPr>
        <w:t xml:space="preserve"> creates lotic conditions at </w:t>
      </w:r>
      <w:r>
        <w:rPr>
          <w:rFonts w:ascii="Arial" w:hAnsi="Arial" w:cs="Arial"/>
        </w:rPr>
        <w:t>the South Australian (</w:t>
      </w:r>
      <w:r w:rsidRPr="3FC79A6E">
        <w:rPr>
          <w:rFonts w:ascii="Arial" w:hAnsi="Arial" w:cs="Arial"/>
        </w:rPr>
        <w:t>SA</w:t>
      </w:r>
      <w:r>
        <w:rPr>
          <w:rFonts w:ascii="Arial" w:hAnsi="Arial" w:cs="Arial"/>
        </w:rPr>
        <w:t>)–Victoria</w:t>
      </w:r>
      <w:r w:rsidRPr="3FC79A6E">
        <w:rPr>
          <w:rFonts w:ascii="Arial" w:hAnsi="Arial" w:cs="Arial"/>
        </w:rPr>
        <w:t xml:space="preserve"> border; C.</w:t>
      </w:r>
      <w:r>
        <w:rPr>
          <w:rFonts w:ascii="Arial" w:hAnsi="Arial" w:cs="Arial"/>
        </w:rPr>
        <w:t> </w:t>
      </w:r>
      <w:r w:rsidRPr="3FC79A6E">
        <w:rPr>
          <w:rFonts w:ascii="Arial" w:hAnsi="Arial" w:cs="Arial"/>
        </w:rPr>
        <w:t>Bice, SARDI</w:t>
      </w:r>
      <w:r>
        <w:rPr>
          <w:rFonts w:ascii="Arial" w:hAnsi="Arial" w:cs="Arial"/>
        </w:rPr>
        <w:t>,</w:t>
      </w:r>
      <w:r w:rsidRPr="3FC79A6E">
        <w:rPr>
          <w:rFonts w:ascii="Arial" w:hAnsi="Arial" w:cs="Arial"/>
        </w:rPr>
        <w:t xml:space="preserve"> pers</w:t>
      </w:r>
      <w:r>
        <w:rPr>
          <w:rFonts w:ascii="Arial" w:hAnsi="Arial" w:cs="Arial"/>
        </w:rPr>
        <w:t>.</w:t>
      </w:r>
      <w:r w:rsidRPr="3FC79A6E">
        <w:rPr>
          <w:rFonts w:ascii="Arial" w:hAnsi="Arial" w:cs="Arial"/>
        </w:rPr>
        <w:t xml:space="preserve"> com</w:t>
      </w:r>
      <w:r>
        <w:rPr>
          <w:rFonts w:ascii="Arial" w:hAnsi="Arial" w:cs="Arial"/>
        </w:rPr>
        <w:t>m</w:t>
      </w:r>
      <w:r w:rsidRPr="3FC79A6E">
        <w:rPr>
          <w:rFonts w:ascii="Arial" w:hAnsi="Arial" w:cs="Arial"/>
        </w:rPr>
        <w:t>.).</w:t>
      </w:r>
    </w:p>
    <w:p w14:paraId="211B06A0" w14:textId="59807AF5" w:rsidR="00491210" w:rsidRDefault="00EE200C" w:rsidP="4D1BBAA5">
      <w:pPr>
        <w:pStyle w:val="paragraph"/>
        <w:spacing w:before="0" w:beforeAutospacing="0" w:after="120" w:afterAutospacing="0" w:line="259" w:lineRule="auto"/>
        <w:jc w:val="both"/>
        <w:rPr>
          <w:rFonts w:ascii="Arial" w:hAnsi="Arial" w:cs="Arial"/>
        </w:rPr>
      </w:pPr>
      <w:r>
        <w:rPr>
          <w:rFonts w:ascii="Arial" w:hAnsi="Arial" w:cs="Arial"/>
        </w:rPr>
        <w:t>In the Torrumbarry to Wentworth</w:t>
      </w:r>
      <w:r w:rsidRPr="4D1BBAA5">
        <w:rPr>
          <w:rFonts w:ascii="Arial" w:hAnsi="Arial" w:cs="Arial"/>
        </w:rPr>
        <w:t xml:space="preserve"> population (includes lower Wakool)</w:t>
      </w:r>
      <w:r>
        <w:rPr>
          <w:rFonts w:ascii="Arial" w:hAnsi="Arial" w:cs="Arial"/>
        </w:rPr>
        <w:t>,</w:t>
      </w:r>
      <w:r w:rsidRPr="4D1BBAA5">
        <w:rPr>
          <w:rFonts w:ascii="Arial" w:hAnsi="Arial" w:cs="Arial"/>
        </w:rPr>
        <w:t xml:space="preserve"> spawning starts on a flow </w:t>
      </w:r>
      <w:r>
        <w:rPr>
          <w:rFonts w:ascii="Arial" w:hAnsi="Arial" w:cs="Arial"/>
        </w:rPr>
        <w:t xml:space="preserve">of </w:t>
      </w:r>
      <w:r w:rsidRPr="4D1BBAA5">
        <w:rPr>
          <w:rFonts w:ascii="Arial" w:hAnsi="Arial" w:cs="Arial"/>
        </w:rPr>
        <w:t>&gt;14,000</w:t>
      </w:r>
      <w:r>
        <w:rPr>
          <w:rFonts w:ascii="Arial" w:hAnsi="Arial" w:cs="Arial"/>
        </w:rPr>
        <w:t> ML d</w:t>
      </w:r>
      <w:r w:rsidRPr="4D1BBAA5">
        <w:rPr>
          <w:rFonts w:ascii="Arial" w:hAnsi="Arial" w:cs="Arial"/>
        </w:rPr>
        <w:t>ay</w:t>
      </w:r>
      <w:r>
        <w:rPr>
          <w:rFonts w:ascii="Arial" w:hAnsi="Arial" w:cs="Arial"/>
          <w:vertAlign w:val="superscript"/>
        </w:rPr>
        <w:t>–1</w:t>
      </w:r>
      <w:r w:rsidRPr="4D1BBAA5">
        <w:rPr>
          <w:rFonts w:ascii="Arial" w:hAnsi="Arial" w:cs="Arial"/>
        </w:rPr>
        <w:t xml:space="preserve"> </w:t>
      </w:r>
      <w:r w:rsidRPr="4D1BBAA5">
        <w:fldChar w:fldCharType="begin"/>
      </w:r>
      <w:r w:rsidRPr="4D1BBAA5">
        <w:rPr>
          <w:rFonts w:ascii="Arial" w:hAnsi="Arial" w:cs="Arial"/>
        </w:rPr>
        <w:instrText xml:space="preserve"> ADDIN EN.CITE &lt;EndNote&gt;&lt;Cite&gt;&lt;Author&gt;King&lt;/Author&gt;&lt;Year&gt;2009&lt;/Year&gt;&lt;RecNum&gt;942&lt;/RecNum&gt;&lt;DisplayText&gt;(King et al. 2009)&lt;/DisplayText&gt;&lt;record&gt;&lt;rec-number&gt;942&lt;/rec-number&gt;&lt;foreign-keys&gt;&lt;key app="EN" db-id="prrfvv2a1z5ardew9ecp2rsbrwdf2sp0ar0w" timestamp="1628556250"&gt;942&lt;/key&gt;&lt;/foreign-keys&gt;&lt;ref-type name="Journal Article"&gt;17&lt;/ref-type&gt;&lt;contributors&gt;&lt;authors&gt;&lt;author&gt;King, A. J.&lt;/author&gt;&lt;author&gt;Tonkin, Z.&lt;/author&gt;&lt;author&gt;Mahoney, J.&lt;/author&gt;&lt;/authors&gt;&lt;/contributors&gt;&lt;titles&gt;&lt;title&gt;Environmental flow enhances native fish spawning and recruitment in the Murray River, Australia&lt;/title&gt;&lt;secondary-title&gt;River Research and Applications&lt;/secondary-title&gt;&lt;/titles&gt;&lt;pages&gt;1205-1218&lt;/pages&gt;&lt;volume&gt;25&lt;/volume&gt;&lt;number&gt;10&lt;/number&gt;&lt;dates&gt;&lt;year&gt;2009&lt;/year&gt;&lt;pub-dates&gt;&lt;date&gt;Dec&lt;/date&gt;&lt;/pub-dates&gt;&lt;/dates&gt;&lt;isbn&gt;1535-1459&lt;/isbn&gt;&lt;accession-num&gt;WOS:000272759300001&lt;/accession-num&gt;&lt;urls&gt;&lt;related-urls&gt;&lt;url&gt;&lt;style face="underline" font="default" size="100%"&gt;&amp;lt;Go to ISI&amp;gt;://WOS:000272759300001&lt;/style&gt;&lt;/url&gt;&lt;url&gt;https://onlinelibrary.wiley.com/doi/10.1002/rra.1209&lt;/url&gt;&lt;/related-urls&gt;&lt;/urls&gt;&lt;electronic-resource-num&gt;10.1002/rra.1209&lt;/electronic-resource-num&gt;&lt;/record&gt;&lt;/Cite&gt;&lt;/EndNote&gt;</w:instrText>
      </w:r>
      <w:r w:rsidRPr="4D1BBAA5">
        <w:fldChar w:fldCharType="separate"/>
      </w:r>
      <w:r w:rsidRPr="4D1BBAA5">
        <w:rPr>
          <w:rFonts w:ascii="Arial" w:hAnsi="Arial" w:cs="Arial"/>
        </w:rPr>
        <w:t>(King et al. 2009)</w:t>
      </w:r>
      <w:r w:rsidRPr="4D1BBAA5">
        <w:fldChar w:fldCharType="end"/>
      </w:r>
      <w:r w:rsidRPr="4D1BBAA5">
        <w:rPr>
          <w:rFonts w:ascii="Arial" w:hAnsi="Arial" w:cs="Arial"/>
        </w:rPr>
        <w:t xml:space="preserve">. </w:t>
      </w:r>
      <w:r>
        <w:rPr>
          <w:rFonts w:ascii="Arial" w:hAnsi="Arial" w:cs="Arial"/>
        </w:rPr>
        <w:t>Once initiated, there is no effect of f</w:t>
      </w:r>
      <w:r w:rsidRPr="4D1BBAA5">
        <w:rPr>
          <w:rFonts w:ascii="Arial" w:hAnsi="Arial" w:cs="Arial"/>
        </w:rPr>
        <w:t>lows on</w:t>
      </w:r>
      <w:r>
        <w:rPr>
          <w:rFonts w:ascii="Arial" w:hAnsi="Arial" w:cs="Arial"/>
        </w:rPr>
        <w:t xml:space="preserve"> the</w:t>
      </w:r>
      <w:r w:rsidRPr="4D1BBAA5">
        <w:rPr>
          <w:rFonts w:ascii="Arial" w:hAnsi="Arial" w:cs="Arial"/>
        </w:rPr>
        <w:t xml:space="preserve"> proportion spawning.</w:t>
      </w:r>
    </w:p>
    <w:p w14:paraId="71164DA3" w14:textId="39DEF066" w:rsidR="00491210" w:rsidRPr="008F0FA8" w:rsidRDefault="00EE200C" w:rsidP="3FC79A6E">
      <w:pPr>
        <w:pStyle w:val="paragraph"/>
        <w:spacing w:before="0" w:beforeAutospacing="0" w:after="120" w:afterAutospacing="0" w:line="259" w:lineRule="auto"/>
        <w:jc w:val="both"/>
        <w:rPr>
          <w:rFonts w:ascii="Arial" w:hAnsi="Arial" w:cs="Arial"/>
        </w:rPr>
      </w:pPr>
      <w:r>
        <w:rPr>
          <w:rFonts w:ascii="Arial" w:hAnsi="Arial" w:cs="Arial"/>
        </w:rPr>
        <w:t>In the Yarrawonga to Torrumbarry</w:t>
      </w:r>
      <w:r w:rsidRPr="3FC79A6E">
        <w:rPr>
          <w:rFonts w:ascii="Arial" w:hAnsi="Arial" w:cs="Arial"/>
        </w:rPr>
        <w:t xml:space="preserve"> population</w:t>
      </w:r>
      <w:r>
        <w:rPr>
          <w:rFonts w:ascii="Arial" w:hAnsi="Arial" w:cs="Arial"/>
        </w:rPr>
        <w:t>,</w:t>
      </w:r>
      <w:r w:rsidRPr="3FC79A6E">
        <w:rPr>
          <w:rFonts w:ascii="Arial" w:hAnsi="Arial" w:cs="Arial"/>
        </w:rPr>
        <w:t xml:space="preserve"> spawning starts on a flow </w:t>
      </w:r>
      <w:r>
        <w:rPr>
          <w:rFonts w:ascii="Arial" w:hAnsi="Arial" w:cs="Arial"/>
        </w:rPr>
        <w:t xml:space="preserve">of </w:t>
      </w:r>
      <w:r w:rsidRPr="3FC79A6E">
        <w:rPr>
          <w:rFonts w:ascii="Arial" w:hAnsi="Arial" w:cs="Arial"/>
        </w:rPr>
        <w:t>&gt;7000</w:t>
      </w:r>
      <w:r>
        <w:rPr>
          <w:rFonts w:ascii="Arial" w:hAnsi="Arial" w:cs="Arial"/>
        </w:rPr>
        <w:t> </w:t>
      </w:r>
      <w:r w:rsidRPr="3FC79A6E">
        <w:rPr>
          <w:rFonts w:ascii="Arial" w:hAnsi="Arial" w:cs="Arial"/>
        </w:rPr>
        <w:t>ML</w:t>
      </w:r>
      <w:r>
        <w:rPr>
          <w:rFonts w:ascii="Arial" w:hAnsi="Arial" w:cs="Arial"/>
        </w:rPr>
        <w:t> </w:t>
      </w:r>
      <w:r w:rsidRPr="3FC79A6E">
        <w:rPr>
          <w:rFonts w:ascii="Arial" w:hAnsi="Arial" w:cs="Arial"/>
        </w:rPr>
        <w:t>day</w:t>
      </w:r>
      <w:r>
        <w:rPr>
          <w:rFonts w:ascii="Arial" w:hAnsi="Arial" w:cs="Arial"/>
          <w:vertAlign w:val="superscript"/>
        </w:rPr>
        <w:t>–1</w:t>
      </w:r>
      <w:r w:rsidRPr="3FC79A6E">
        <w:rPr>
          <w:rFonts w:ascii="Arial" w:hAnsi="Arial" w:cs="Arial"/>
        </w:rPr>
        <w:t xml:space="preserve"> (at Barmah choke)</w:t>
      </w:r>
      <w:r>
        <w:rPr>
          <w:rFonts w:ascii="Arial" w:hAnsi="Arial" w:cs="Arial"/>
        </w:rPr>
        <w:t>,</w:t>
      </w:r>
      <w:r w:rsidRPr="3FC79A6E">
        <w:rPr>
          <w:rFonts w:ascii="Arial" w:hAnsi="Arial" w:cs="Arial"/>
        </w:rPr>
        <w:t xml:space="preserve"> as lotic hydrauli</w:t>
      </w:r>
      <w:r>
        <w:rPr>
          <w:rFonts w:ascii="Arial" w:hAnsi="Arial" w:cs="Arial"/>
        </w:rPr>
        <w:t>cs</w:t>
      </w:r>
      <w:r w:rsidRPr="3FC79A6E">
        <w:rPr>
          <w:rFonts w:ascii="Arial" w:hAnsi="Arial" w:cs="Arial"/>
        </w:rPr>
        <w:t xml:space="preserve"> are always present. </w:t>
      </w:r>
      <w:r>
        <w:rPr>
          <w:rFonts w:ascii="Arial" w:hAnsi="Arial" w:cs="Arial"/>
        </w:rPr>
        <w:t>Once initiated, there is n</w:t>
      </w:r>
      <w:r w:rsidRPr="3FC79A6E">
        <w:rPr>
          <w:rFonts w:ascii="Arial" w:hAnsi="Arial" w:cs="Arial"/>
        </w:rPr>
        <w:t xml:space="preserve">o effect of flows on </w:t>
      </w:r>
      <w:r>
        <w:rPr>
          <w:rFonts w:ascii="Arial" w:hAnsi="Arial" w:cs="Arial"/>
        </w:rPr>
        <w:t xml:space="preserve">the </w:t>
      </w:r>
      <w:r w:rsidRPr="3FC79A6E">
        <w:rPr>
          <w:rFonts w:ascii="Arial" w:hAnsi="Arial" w:cs="Arial"/>
        </w:rPr>
        <w:t xml:space="preserve">proportion spawning </w:t>
      </w:r>
      <w:r w:rsidRPr="3FC79A6E">
        <w:rPr>
          <w:rFonts w:ascii="Arial" w:hAnsi="Arial" w:cs="Arial"/>
        </w:rPr>
        <w:fldChar w:fldCharType="begin"/>
      </w:r>
      <w:r w:rsidRPr="3FC79A6E">
        <w:rPr>
          <w:rFonts w:ascii="Arial" w:hAnsi="Arial" w:cs="Arial"/>
        </w:rPr>
        <w:instrText xml:space="preserve"> ADDIN EN.CITE &lt;EndNote&gt;&lt;Cite&gt;&lt;Author&gt;King&lt;/Author&gt;&lt;Year&gt;2009&lt;/Year&gt;&lt;RecNum&gt;942&lt;/RecNum&gt;&lt;Suffix&gt;`; Z. Tonkin`, ARI`, pers. com&lt;/Suffix&gt;&lt;DisplayText&gt;(King et al. 2009; Z. Tonkin, ARI, pers. com)&lt;/DisplayText&gt;&lt;record&gt;&lt;rec-number&gt;942&lt;/rec-number&gt;&lt;foreign-keys&gt;&lt;key app="EN" db-id="prrfvv2a1z5ardew9ecp2rsbrwdf2sp0ar0w" timestamp="1628556250"&gt;942&lt;/key&gt;&lt;/foreign-keys&gt;&lt;ref-type name="Journal Article"&gt;17&lt;/ref-type&gt;&lt;contributors&gt;&lt;authors&gt;&lt;author&gt;King, A. J.&lt;/author&gt;&lt;author&gt;Tonkin, Z.&lt;/author&gt;&lt;author&gt;Mahoney, J.&lt;/author&gt;&lt;/authors&gt;&lt;/contributors&gt;&lt;titles&gt;&lt;title&gt;Environmental flow enhances native fish spawning and recruitment in the Murray River, Australia&lt;/title&gt;&lt;secondary-title&gt;River Research and Applications&lt;/secondary-title&gt;&lt;/titles&gt;&lt;pages&gt;1205-1218&lt;/pages&gt;&lt;volume&gt;25&lt;/volume&gt;&lt;number&gt;10&lt;/number&gt;&lt;dates&gt;&lt;year&gt;2009&lt;/year&gt;&lt;pub-dates&gt;&lt;date&gt;Dec&lt;/date&gt;&lt;/pub-dates&gt;&lt;/dates&gt;&lt;isbn&gt;1535-1459&lt;/isbn&gt;&lt;accession-num&gt;WOS:000272759300001&lt;/accession-num&gt;&lt;urls&gt;&lt;related-urls&gt;&lt;url&gt;&lt;style face="underline" font="default" size="100%"&gt;&amp;lt;Go to ISI&amp;gt;://WOS:000272759300001&lt;/style&gt;&lt;/url&gt;&lt;url&gt;https://onlinelibrary.wiley.com/doi/10.1002/rra.1209&lt;/url&gt;&lt;/related-urls&gt;&lt;/urls&gt;&lt;electronic-resource-num&gt;10.1002/rra.1209&lt;/electronic-resource-num&gt;&lt;/record&gt;&lt;/Cite&gt;&lt;/EndNote&gt;</w:instrText>
      </w:r>
      <w:r w:rsidRPr="3FC79A6E">
        <w:rPr>
          <w:rFonts w:ascii="Arial" w:hAnsi="Arial" w:cs="Arial"/>
        </w:rPr>
        <w:fldChar w:fldCharType="separate"/>
      </w:r>
      <w:r w:rsidRPr="3FC79A6E">
        <w:rPr>
          <w:rFonts w:ascii="Arial" w:hAnsi="Arial" w:cs="Arial"/>
        </w:rPr>
        <w:t>(King et al. 2009; Z. Tonkin, ARI, pers. com</w:t>
      </w:r>
      <w:r>
        <w:rPr>
          <w:rFonts w:ascii="Arial" w:hAnsi="Arial" w:cs="Arial"/>
        </w:rPr>
        <w:t>m.</w:t>
      </w:r>
      <w:r w:rsidRPr="3FC79A6E">
        <w:rPr>
          <w:rFonts w:ascii="Arial" w:hAnsi="Arial" w:cs="Arial"/>
        </w:rPr>
        <w:t>)</w:t>
      </w:r>
      <w:r w:rsidRPr="3FC79A6E">
        <w:rPr>
          <w:rFonts w:ascii="Arial" w:hAnsi="Arial" w:cs="Arial"/>
        </w:rPr>
        <w:fldChar w:fldCharType="end"/>
      </w:r>
      <w:r w:rsidRPr="3FC79A6E">
        <w:rPr>
          <w:rFonts w:ascii="Arial" w:hAnsi="Arial" w:cs="Arial"/>
        </w:rPr>
        <w:t>.</w:t>
      </w:r>
    </w:p>
    <w:p w14:paraId="24D9DD7A" w14:textId="3296E425" w:rsidR="00491210" w:rsidRDefault="00EE200C" w:rsidP="3FC79A6E">
      <w:pPr>
        <w:pStyle w:val="paragraph"/>
        <w:spacing w:before="0" w:beforeAutospacing="0" w:after="120" w:afterAutospacing="0" w:line="259" w:lineRule="auto"/>
        <w:jc w:val="both"/>
        <w:rPr>
          <w:rFonts w:ascii="Arial" w:hAnsi="Arial" w:cs="Arial"/>
        </w:rPr>
      </w:pPr>
      <w:r>
        <w:rPr>
          <w:rFonts w:ascii="Arial" w:hAnsi="Arial" w:cs="Arial"/>
        </w:rPr>
        <w:lastRenderedPageBreak/>
        <w:t>In the Hume to Yarrawonga</w:t>
      </w:r>
      <w:r w:rsidRPr="3FC79A6E">
        <w:rPr>
          <w:rFonts w:ascii="Arial" w:hAnsi="Arial" w:cs="Arial"/>
        </w:rPr>
        <w:t xml:space="preserve"> population</w:t>
      </w:r>
      <w:r>
        <w:rPr>
          <w:rFonts w:ascii="Arial" w:hAnsi="Arial" w:cs="Arial"/>
        </w:rPr>
        <w:t>,</w:t>
      </w:r>
      <w:r w:rsidRPr="3FC79A6E">
        <w:rPr>
          <w:rFonts w:ascii="Arial" w:hAnsi="Arial" w:cs="Arial"/>
        </w:rPr>
        <w:t xml:space="preserve"> spawning occurs at low flows (&gt;5000</w:t>
      </w:r>
      <w:r>
        <w:rPr>
          <w:rFonts w:ascii="Arial" w:hAnsi="Arial" w:cs="Arial"/>
        </w:rPr>
        <w:t> </w:t>
      </w:r>
      <w:r w:rsidRPr="3FC79A6E">
        <w:rPr>
          <w:rFonts w:ascii="Arial" w:hAnsi="Arial" w:cs="Arial"/>
        </w:rPr>
        <w:t>ML</w:t>
      </w:r>
      <w:r>
        <w:rPr>
          <w:rFonts w:ascii="Arial" w:hAnsi="Arial" w:cs="Arial"/>
        </w:rPr>
        <w:t> </w:t>
      </w:r>
      <w:r w:rsidRPr="3FC79A6E">
        <w:rPr>
          <w:rFonts w:ascii="Arial" w:hAnsi="Arial" w:cs="Arial"/>
        </w:rPr>
        <w:t>day</w:t>
      </w:r>
      <w:r>
        <w:rPr>
          <w:rFonts w:ascii="Arial" w:hAnsi="Arial" w:cs="Arial"/>
          <w:vertAlign w:val="superscript"/>
        </w:rPr>
        <w:t>–1</w:t>
      </w:r>
      <w:r w:rsidRPr="3FC79A6E">
        <w:rPr>
          <w:rFonts w:ascii="Arial" w:hAnsi="Arial" w:cs="Arial"/>
        </w:rPr>
        <w:t xml:space="preserve"> at Doctors Point) due to </w:t>
      </w:r>
      <w:r>
        <w:rPr>
          <w:rFonts w:ascii="Arial" w:hAnsi="Arial" w:cs="Arial"/>
        </w:rPr>
        <w:t xml:space="preserve">the </w:t>
      </w:r>
      <w:r w:rsidRPr="3FC79A6E">
        <w:rPr>
          <w:rFonts w:ascii="Arial" w:hAnsi="Arial" w:cs="Arial"/>
        </w:rPr>
        <w:t xml:space="preserve">lotic nature of </w:t>
      </w:r>
      <w:r>
        <w:rPr>
          <w:rFonts w:ascii="Arial" w:hAnsi="Arial" w:cs="Arial"/>
        </w:rPr>
        <w:t xml:space="preserve">the </w:t>
      </w:r>
      <w:r w:rsidRPr="3FC79A6E">
        <w:rPr>
          <w:rFonts w:ascii="Arial" w:hAnsi="Arial" w:cs="Arial"/>
        </w:rPr>
        <w:t xml:space="preserve">hydrology </w:t>
      </w:r>
      <w:r w:rsidRPr="3FC79A6E">
        <w:fldChar w:fldCharType="begin"/>
      </w:r>
      <w:r w:rsidRPr="3FC79A6E">
        <w:rPr>
          <w:rFonts w:ascii="Arial" w:hAnsi="Arial" w:cs="Arial"/>
        </w:rPr>
        <w:instrText xml:space="preserve"> ADDIN EN.CITE &lt;EndNote&gt;&lt;Cite&gt;&lt;Author&gt;Tonkin&lt;/Author&gt;&lt;Year&gt;2009&lt;/Year&gt;&lt;RecNum&gt;945&lt;/RecNum&gt;&lt;DisplayText&gt;(Tonkin et al. 2009)&lt;/DisplayText&gt;&lt;record&gt;&lt;rec-number&gt;945&lt;/rec-number&gt;&lt;foreign-keys&gt;&lt;key app="EN" db-id="prrfvv2a1z5ardew9ecp2rsbrwdf2sp0ar0w" timestamp="1628557763"&gt;945&lt;/key&gt;&lt;/foreign-keys&gt;&lt;ref-type name="Report"&gt;27&lt;/ref-type&gt;&lt;contributors&gt;&lt;authors&gt;&lt;author&gt;Tonkin, Z.&lt;/author&gt;&lt;author&gt;Lyon, Z.&lt;/author&gt;&lt;author&gt;Hackett, G.&lt;/author&gt;&lt;/authors&gt;&lt;/contributors&gt;&lt;titles&gt;&lt;title&gt;Native fish spawning in the Lake Hume – Yarrawonga restoration reach of the Murray River: 2009 milestone report&lt;/title&gt;&lt;/titles&gt;&lt;dates&gt;&lt;year&gt;2009&lt;/year&gt;&lt;/dates&gt;&lt;pub-location&gt;Arthur Rylah Institute for Environmental Research. Unpublished milestone report submitted to the Murray-Darling Basin Authority. Department of Sustainability and Environment, Heidelberg, Victoria&lt;/pub-location&gt;&lt;urls&gt;&lt;/urls&gt;&lt;/record&gt;&lt;/Cite&gt;&lt;/EndNote&gt;</w:instrText>
      </w:r>
      <w:r w:rsidRPr="3FC79A6E">
        <w:fldChar w:fldCharType="separate"/>
      </w:r>
      <w:r w:rsidRPr="3FC79A6E">
        <w:rPr>
          <w:rFonts w:ascii="Arial" w:hAnsi="Arial" w:cs="Arial"/>
        </w:rPr>
        <w:t>(Tonkin et al. 2009)</w:t>
      </w:r>
      <w:r w:rsidRPr="3FC79A6E">
        <w:fldChar w:fldCharType="end"/>
      </w:r>
      <w:r w:rsidRPr="3FC79A6E">
        <w:rPr>
          <w:rFonts w:ascii="Arial" w:hAnsi="Arial" w:cs="Arial"/>
        </w:rPr>
        <w:t>. Spawning does occur</w:t>
      </w:r>
      <w:r>
        <w:rPr>
          <w:rFonts w:ascii="Arial" w:hAnsi="Arial" w:cs="Arial"/>
        </w:rPr>
        <w:t>,</w:t>
      </w:r>
      <w:r w:rsidRPr="3FC79A6E">
        <w:rPr>
          <w:rFonts w:ascii="Arial" w:hAnsi="Arial" w:cs="Arial"/>
        </w:rPr>
        <w:t xml:space="preserve"> but </w:t>
      </w:r>
      <w:r>
        <w:rPr>
          <w:rFonts w:ascii="Arial" w:hAnsi="Arial" w:cs="Arial"/>
        </w:rPr>
        <w:t xml:space="preserve">there is </w:t>
      </w:r>
      <w:r w:rsidRPr="3FC79A6E">
        <w:rPr>
          <w:rFonts w:ascii="Arial" w:hAnsi="Arial" w:cs="Arial"/>
        </w:rPr>
        <w:t>low or no recruitment due to cold</w:t>
      </w:r>
      <w:r>
        <w:rPr>
          <w:rFonts w:ascii="Arial" w:hAnsi="Arial" w:cs="Arial"/>
        </w:rPr>
        <w:t>-</w:t>
      </w:r>
      <w:r w:rsidRPr="3FC79A6E">
        <w:rPr>
          <w:rFonts w:ascii="Arial" w:hAnsi="Arial" w:cs="Arial"/>
        </w:rPr>
        <w:t>water pollution.</w:t>
      </w:r>
    </w:p>
    <w:p w14:paraId="55125162" w14:textId="61BB4112" w:rsidR="00491210" w:rsidRDefault="00EE200C" w:rsidP="3FC79A6E">
      <w:pPr>
        <w:pStyle w:val="paragraph"/>
        <w:spacing w:before="0" w:beforeAutospacing="0" w:after="120" w:afterAutospacing="0" w:line="259" w:lineRule="auto"/>
        <w:jc w:val="both"/>
        <w:rPr>
          <w:rFonts w:ascii="Arial" w:hAnsi="Arial" w:cs="Arial"/>
        </w:rPr>
      </w:pPr>
      <w:r>
        <w:rPr>
          <w:rFonts w:ascii="Arial" w:hAnsi="Arial" w:cs="Arial"/>
        </w:rPr>
        <w:t xml:space="preserve">In the </w:t>
      </w:r>
      <w:r w:rsidRPr="3FC79A6E">
        <w:rPr>
          <w:rFonts w:ascii="Arial" w:hAnsi="Arial" w:cs="Arial"/>
        </w:rPr>
        <w:t>Lower Darling population</w:t>
      </w:r>
      <w:r>
        <w:rPr>
          <w:rFonts w:ascii="Arial" w:hAnsi="Arial" w:cs="Arial"/>
        </w:rPr>
        <w:t xml:space="preserve">, </w:t>
      </w:r>
      <w:r w:rsidRPr="3FC79A6E">
        <w:rPr>
          <w:rFonts w:ascii="Arial" w:hAnsi="Arial" w:cs="Arial"/>
        </w:rPr>
        <w:t>spawn</w:t>
      </w:r>
      <w:r>
        <w:rPr>
          <w:rFonts w:ascii="Arial" w:hAnsi="Arial" w:cs="Arial"/>
        </w:rPr>
        <w:t>ing only occurs</w:t>
      </w:r>
      <w:r w:rsidRPr="3FC79A6E">
        <w:rPr>
          <w:rFonts w:ascii="Arial" w:hAnsi="Arial" w:cs="Arial"/>
        </w:rPr>
        <w:t xml:space="preserve"> at flows </w:t>
      </w:r>
      <w:r>
        <w:rPr>
          <w:rFonts w:ascii="Arial" w:hAnsi="Arial" w:cs="Arial"/>
        </w:rPr>
        <w:t xml:space="preserve">of </w:t>
      </w:r>
      <w:r w:rsidRPr="3FC79A6E">
        <w:rPr>
          <w:rFonts w:ascii="Arial" w:hAnsi="Arial" w:cs="Arial"/>
        </w:rPr>
        <w:t>&gt;2000</w:t>
      </w:r>
      <w:r>
        <w:rPr>
          <w:rFonts w:ascii="Arial" w:hAnsi="Arial" w:cs="Arial"/>
        </w:rPr>
        <w:t> </w:t>
      </w:r>
      <w:r w:rsidRPr="3FC79A6E">
        <w:rPr>
          <w:rFonts w:ascii="Arial" w:hAnsi="Arial" w:cs="Arial"/>
        </w:rPr>
        <w:t>ML</w:t>
      </w:r>
      <w:r>
        <w:rPr>
          <w:rFonts w:ascii="Arial" w:hAnsi="Arial" w:cs="Arial"/>
        </w:rPr>
        <w:t> </w:t>
      </w:r>
      <w:r w:rsidRPr="3FC79A6E">
        <w:rPr>
          <w:rFonts w:ascii="Arial" w:hAnsi="Arial" w:cs="Arial"/>
        </w:rPr>
        <w:t>day</w:t>
      </w:r>
      <w:r w:rsidRPr="0090569E">
        <w:rPr>
          <w:vertAlign w:val="superscript"/>
        </w:rPr>
        <w:t>–1</w:t>
      </w:r>
      <w:r w:rsidRPr="3FC79A6E">
        <w:rPr>
          <w:rFonts w:ascii="Arial" w:hAnsi="Arial" w:cs="Arial"/>
        </w:rPr>
        <w:t xml:space="preserve"> at </w:t>
      </w:r>
      <w:r>
        <w:rPr>
          <w:rFonts w:ascii="Arial" w:hAnsi="Arial" w:cs="Arial"/>
        </w:rPr>
        <w:t xml:space="preserve">the </w:t>
      </w:r>
      <w:r w:rsidRPr="3FC79A6E">
        <w:rPr>
          <w:rFonts w:ascii="Arial" w:hAnsi="Arial" w:cs="Arial"/>
        </w:rPr>
        <w:t xml:space="preserve">Weir 32 gauge </w:t>
      </w:r>
      <w:r w:rsidRPr="3FC79A6E">
        <w:fldChar w:fldCharType="begin"/>
      </w:r>
      <w:r w:rsidRPr="3FC79A6E">
        <w:rPr>
          <w:rFonts w:ascii="Arial" w:hAnsi="Arial" w:cs="Arial"/>
        </w:rPr>
        <w:instrText xml:space="preserve"> ADDIN EN.CITE &lt;EndNote&gt;&lt;Cite&gt;&lt;Author&gt;Sharpe&lt;/Author&gt;&lt;Year&gt;2018&lt;/Year&gt;&lt;RecNum&gt;944&lt;/RecNum&gt;&lt;DisplayText&gt;(Sharpe and Stuart 2018)&lt;/DisplayText&gt;&lt;record&gt;&lt;rec-number&gt;944&lt;/rec-number&gt;&lt;foreign-keys&gt;&lt;key app="EN" db-id="prrfvv2a1z5ardew9ecp2rsbrwdf2sp0ar0w" timestamp="1628557686"&gt;944&lt;/key&gt;&lt;/foreign-keys&gt;&lt;ref-type name="Report"&gt;27&lt;/ref-type&gt;&lt;contributors&gt;&lt;authors&gt;&lt;author&gt;Sharpe, C.&lt;/author&gt;&lt;author&gt;Stuart, I.&lt;/author&gt;&lt;/authors&gt;&lt;/contributors&gt;&lt;titles&gt;&lt;title&gt;Assessment of Murray cod recruitment in the lower Darling River in response to environmental flows 2016-18&lt;/title&gt;&lt;/titles&gt;&lt;dates&gt;&lt;year&gt;2018&lt;/year&gt;&lt;/dates&gt;&lt;pub-location&gt;CPS Enviro technical report to The Commonwealth Environmental Water Office&lt;/pub-location&gt;&lt;urls&gt;&lt;/urls&gt;&lt;/record&gt;&lt;/Cite&gt;&lt;/EndNote&gt;</w:instrText>
      </w:r>
      <w:r w:rsidRPr="3FC79A6E">
        <w:fldChar w:fldCharType="separate"/>
      </w:r>
      <w:r w:rsidRPr="3FC79A6E">
        <w:rPr>
          <w:rFonts w:ascii="Arial" w:hAnsi="Arial" w:cs="Arial"/>
        </w:rPr>
        <w:t>(Sharpe and Stuart 2018)</w:t>
      </w:r>
      <w:r w:rsidRPr="3FC79A6E">
        <w:fldChar w:fldCharType="end"/>
      </w:r>
      <w:r w:rsidRPr="3FC79A6E">
        <w:rPr>
          <w:rFonts w:ascii="Arial" w:hAnsi="Arial" w:cs="Arial"/>
        </w:rPr>
        <w:t xml:space="preserve">. </w:t>
      </w:r>
      <w:r>
        <w:rPr>
          <w:rFonts w:ascii="Arial" w:hAnsi="Arial" w:cs="Arial"/>
        </w:rPr>
        <w:t>The p</w:t>
      </w:r>
      <w:r w:rsidRPr="3FC79A6E">
        <w:rPr>
          <w:rFonts w:ascii="Arial" w:hAnsi="Arial" w:cs="Arial"/>
        </w:rPr>
        <w:t>roportion spawning increases with flow.</w:t>
      </w:r>
    </w:p>
    <w:p w14:paraId="364671CC" w14:textId="6EBDB0A0" w:rsidR="00491210" w:rsidRPr="008F0FA8" w:rsidRDefault="00EE200C" w:rsidP="3FC79A6E">
      <w:pPr>
        <w:pStyle w:val="paragraph"/>
        <w:spacing w:before="0" w:beforeAutospacing="0" w:after="120" w:afterAutospacing="0" w:line="259" w:lineRule="auto"/>
        <w:jc w:val="both"/>
        <w:rPr>
          <w:rFonts w:ascii="Arial" w:hAnsi="Arial" w:cs="Arial"/>
        </w:rPr>
      </w:pPr>
      <w:r>
        <w:rPr>
          <w:rFonts w:ascii="Arial" w:hAnsi="Arial" w:cs="Arial"/>
        </w:rPr>
        <w:t>In the Hay to Balranald</w:t>
      </w:r>
      <w:r w:rsidRPr="3FC79A6E">
        <w:rPr>
          <w:rFonts w:ascii="Arial" w:hAnsi="Arial" w:cs="Arial"/>
        </w:rPr>
        <w:t xml:space="preserve"> population</w:t>
      </w:r>
      <w:r>
        <w:rPr>
          <w:rFonts w:ascii="Arial" w:hAnsi="Arial" w:cs="Arial"/>
        </w:rPr>
        <w:t>, s</w:t>
      </w:r>
      <w:r w:rsidRPr="3FC79A6E">
        <w:rPr>
          <w:rFonts w:ascii="Arial" w:hAnsi="Arial" w:cs="Arial"/>
        </w:rPr>
        <w:t>pawn</w:t>
      </w:r>
      <w:r>
        <w:rPr>
          <w:rFonts w:ascii="Arial" w:hAnsi="Arial" w:cs="Arial"/>
        </w:rPr>
        <w:t>ing is</w:t>
      </w:r>
      <w:r w:rsidRPr="3FC79A6E">
        <w:rPr>
          <w:rFonts w:ascii="Arial" w:hAnsi="Arial" w:cs="Arial"/>
        </w:rPr>
        <w:t xml:space="preserve"> trigger</w:t>
      </w:r>
      <w:r>
        <w:rPr>
          <w:rFonts w:ascii="Arial" w:hAnsi="Arial" w:cs="Arial"/>
        </w:rPr>
        <w:t>ed by flows</w:t>
      </w:r>
      <w:r w:rsidRPr="3FC79A6E">
        <w:rPr>
          <w:rFonts w:ascii="Arial" w:hAnsi="Arial" w:cs="Arial"/>
        </w:rPr>
        <w:t xml:space="preserve"> </w:t>
      </w:r>
      <w:r>
        <w:rPr>
          <w:rFonts w:ascii="Arial" w:hAnsi="Arial" w:cs="Arial"/>
        </w:rPr>
        <w:t>&gt;</w:t>
      </w:r>
      <w:r w:rsidRPr="3FC79A6E">
        <w:rPr>
          <w:rFonts w:ascii="Arial" w:hAnsi="Arial" w:cs="Arial"/>
        </w:rPr>
        <w:t>1500</w:t>
      </w:r>
      <w:r>
        <w:rPr>
          <w:rFonts w:ascii="Arial" w:hAnsi="Arial" w:cs="Arial"/>
        </w:rPr>
        <w:t> </w:t>
      </w:r>
      <w:r w:rsidRPr="3FC79A6E">
        <w:rPr>
          <w:rFonts w:ascii="Arial" w:hAnsi="Arial" w:cs="Arial"/>
        </w:rPr>
        <w:t>ML</w:t>
      </w:r>
      <w:r>
        <w:rPr>
          <w:rFonts w:ascii="Arial" w:hAnsi="Arial" w:cs="Arial"/>
        </w:rPr>
        <w:t> </w:t>
      </w:r>
      <w:r w:rsidRPr="3FC79A6E">
        <w:rPr>
          <w:rFonts w:ascii="Arial" w:hAnsi="Arial" w:cs="Arial"/>
        </w:rPr>
        <w:t>day</w:t>
      </w:r>
      <w:r>
        <w:rPr>
          <w:rFonts w:ascii="Arial" w:hAnsi="Arial" w:cs="Arial"/>
          <w:vertAlign w:val="superscript"/>
        </w:rPr>
        <w:t>–1</w:t>
      </w:r>
      <w:r>
        <w:rPr>
          <w:rFonts w:ascii="Arial" w:hAnsi="Arial" w:cs="Arial"/>
        </w:rPr>
        <w:t>;</w:t>
      </w:r>
      <w:r w:rsidRPr="3FC79A6E">
        <w:rPr>
          <w:rFonts w:ascii="Arial" w:hAnsi="Arial" w:cs="Arial"/>
        </w:rPr>
        <w:t xml:space="preserve"> lotic hydrauli</w:t>
      </w:r>
      <w:r>
        <w:rPr>
          <w:rFonts w:ascii="Arial" w:hAnsi="Arial" w:cs="Arial"/>
        </w:rPr>
        <w:t>cs</w:t>
      </w:r>
      <w:r w:rsidRPr="3FC79A6E">
        <w:rPr>
          <w:rFonts w:ascii="Arial" w:hAnsi="Arial" w:cs="Arial"/>
        </w:rPr>
        <w:t xml:space="preserve"> </w:t>
      </w:r>
      <w:r>
        <w:rPr>
          <w:rFonts w:ascii="Arial" w:hAnsi="Arial" w:cs="Arial"/>
        </w:rPr>
        <w:t xml:space="preserve">are </w:t>
      </w:r>
      <w:r w:rsidRPr="3FC79A6E">
        <w:rPr>
          <w:rFonts w:ascii="Arial" w:hAnsi="Arial" w:cs="Arial"/>
        </w:rPr>
        <w:t>always present</w:t>
      </w:r>
      <w:r>
        <w:rPr>
          <w:rFonts w:ascii="Arial" w:hAnsi="Arial" w:cs="Arial"/>
        </w:rPr>
        <w:t>,</w:t>
      </w:r>
      <w:r w:rsidRPr="3FC79A6E">
        <w:rPr>
          <w:rFonts w:ascii="Arial" w:hAnsi="Arial" w:cs="Arial"/>
        </w:rPr>
        <w:t xml:space="preserve"> so </w:t>
      </w:r>
      <w:r>
        <w:rPr>
          <w:rFonts w:ascii="Arial" w:hAnsi="Arial" w:cs="Arial"/>
        </w:rPr>
        <w:t xml:space="preserve">there is </w:t>
      </w:r>
      <w:r w:rsidRPr="3FC79A6E">
        <w:rPr>
          <w:rFonts w:ascii="Arial" w:hAnsi="Arial" w:cs="Arial"/>
        </w:rPr>
        <w:t>no real spawning relationship with discharge.</w:t>
      </w:r>
    </w:p>
    <w:p w14:paraId="3AC9020E" w14:textId="080A0005" w:rsidR="00491210" w:rsidRDefault="00EE200C" w:rsidP="3FC79A6E">
      <w:pPr>
        <w:pStyle w:val="paragraph"/>
        <w:spacing w:before="0" w:beforeAutospacing="0" w:after="120" w:afterAutospacing="0" w:line="259" w:lineRule="auto"/>
        <w:jc w:val="both"/>
        <w:rPr>
          <w:rFonts w:ascii="Arial" w:hAnsi="Arial" w:cs="Arial"/>
        </w:rPr>
      </w:pPr>
      <w:r>
        <w:rPr>
          <w:rFonts w:ascii="Arial" w:hAnsi="Arial" w:cs="Arial"/>
        </w:rPr>
        <w:t xml:space="preserve">In the </w:t>
      </w:r>
      <w:r w:rsidRPr="3FC79A6E">
        <w:rPr>
          <w:rFonts w:ascii="Arial" w:hAnsi="Arial" w:cs="Arial"/>
        </w:rPr>
        <w:t>Edward River population</w:t>
      </w:r>
      <w:r>
        <w:rPr>
          <w:rFonts w:ascii="Arial" w:hAnsi="Arial" w:cs="Arial"/>
        </w:rPr>
        <w:t>, there is n</w:t>
      </w:r>
      <w:r w:rsidRPr="3FC79A6E">
        <w:rPr>
          <w:rFonts w:ascii="Arial" w:hAnsi="Arial" w:cs="Arial"/>
        </w:rPr>
        <w:t>o known spawning</w:t>
      </w:r>
      <w:r>
        <w:rPr>
          <w:rFonts w:ascii="Arial" w:hAnsi="Arial" w:cs="Arial"/>
        </w:rPr>
        <w:t>,</w:t>
      </w:r>
      <w:r w:rsidRPr="3FC79A6E">
        <w:rPr>
          <w:rFonts w:ascii="Arial" w:hAnsi="Arial" w:cs="Arial"/>
        </w:rPr>
        <w:t xml:space="preserve"> but </w:t>
      </w:r>
      <w:r>
        <w:rPr>
          <w:rFonts w:ascii="Arial" w:hAnsi="Arial" w:cs="Arial"/>
        </w:rPr>
        <w:t xml:space="preserve">it is </w:t>
      </w:r>
      <w:r w:rsidRPr="3FC79A6E">
        <w:rPr>
          <w:rFonts w:ascii="Arial" w:hAnsi="Arial" w:cs="Arial"/>
        </w:rPr>
        <w:t>assume</w:t>
      </w:r>
      <w:r>
        <w:rPr>
          <w:rFonts w:ascii="Arial" w:hAnsi="Arial" w:cs="Arial"/>
        </w:rPr>
        <w:t>d that</w:t>
      </w:r>
      <w:r w:rsidRPr="3FC79A6E">
        <w:rPr>
          <w:rFonts w:ascii="Arial" w:hAnsi="Arial" w:cs="Arial"/>
        </w:rPr>
        <w:t xml:space="preserve"> fish can spawn at flows </w:t>
      </w:r>
      <w:r>
        <w:rPr>
          <w:rFonts w:ascii="Arial" w:hAnsi="Arial" w:cs="Arial"/>
        </w:rPr>
        <w:t xml:space="preserve">of </w:t>
      </w:r>
      <w:r w:rsidRPr="3FC79A6E">
        <w:rPr>
          <w:rFonts w:ascii="Arial" w:hAnsi="Arial" w:cs="Arial"/>
        </w:rPr>
        <w:t>&gt;2600</w:t>
      </w:r>
      <w:r>
        <w:rPr>
          <w:rFonts w:ascii="Arial" w:hAnsi="Arial" w:cs="Arial"/>
        </w:rPr>
        <w:t> </w:t>
      </w:r>
      <w:r w:rsidRPr="3FC79A6E">
        <w:rPr>
          <w:rFonts w:ascii="Arial" w:hAnsi="Arial" w:cs="Arial"/>
        </w:rPr>
        <w:t>ML</w:t>
      </w:r>
      <w:r>
        <w:rPr>
          <w:rFonts w:ascii="Arial" w:hAnsi="Arial" w:cs="Arial"/>
        </w:rPr>
        <w:t> </w:t>
      </w:r>
      <w:r w:rsidRPr="3FC79A6E">
        <w:rPr>
          <w:rFonts w:ascii="Arial" w:hAnsi="Arial" w:cs="Arial"/>
        </w:rPr>
        <w:t>day</w:t>
      </w:r>
      <w:r>
        <w:rPr>
          <w:rFonts w:ascii="Arial" w:hAnsi="Arial" w:cs="Arial"/>
          <w:vertAlign w:val="superscript"/>
        </w:rPr>
        <w:t>–1</w:t>
      </w:r>
      <w:r w:rsidRPr="3FC79A6E">
        <w:rPr>
          <w:rFonts w:ascii="Arial" w:hAnsi="Arial" w:cs="Arial"/>
          <w:vertAlign w:val="superscript"/>
        </w:rPr>
        <w:t xml:space="preserve"> </w:t>
      </w:r>
      <w:r w:rsidRPr="3FC79A6E">
        <w:rPr>
          <w:rFonts w:ascii="Arial" w:hAnsi="Arial" w:cs="Arial"/>
        </w:rPr>
        <w:t xml:space="preserve">at </w:t>
      </w:r>
      <w:r>
        <w:rPr>
          <w:rFonts w:ascii="Arial" w:hAnsi="Arial" w:cs="Arial"/>
        </w:rPr>
        <w:t xml:space="preserve">the </w:t>
      </w:r>
      <w:r w:rsidRPr="3FC79A6E">
        <w:rPr>
          <w:rFonts w:ascii="Arial" w:hAnsi="Arial" w:cs="Arial"/>
        </w:rPr>
        <w:t>Toonalook gauge (DPIE 2020</w:t>
      </w:r>
      <w:r>
        <w:rPr>
          <w:rFonts w:ascii="Arial" w:hAnsi="Arial" w:cs="Arial"/>
        </w:rPr>
        <w:t>a</w:t>
      </w:r>
      <w:r w:rsidRPr="3FC79A6E">
        <w:rPr>
          <w:rFonts w:ascii="Arial" w:hAnsi="Arial" w:cs="Arial"/>
        </w:rPr>
        <w:t>).</w:t>
      </w:r>
    </w:p>
    <w:p w14:paraId="4C60AAAD" w14:textId="5D337CB1" w:rsidR="00491210" w:rsidRDefault="00EE200C" w:rsidP="3FC79A6E">
      <w:pPr>
        <w:pStyle w:val="paragraph"/>
        <w:spacing w:before="0" w:beforeAutospacing="0" w:after="120" w:afterAutospacing="0" w:line="259" w:lineRule="auto"/>
        <w:jc w:val="both"/>
        <w:rPr>
          <w:rFonts w:ascii="Arial" w:hAnsi="Arial" w:cs="Arial"/>
        </w:rPr>
      </w:pPr>
      <w:r>
        <w:rPr>
          <w:rFonts w:ascii="Arial" w:hAnsi="Arial" w:cs="Arial"/>
        </w:rPr>
        <w:t>In the Gundagai to Hay</w:t>
      </w:r>
      <w:r w:rsidRPr="3FC79A6E">
        <w:rPr>
          <w:rFonts w:ascii="Arial" w:hAnsi="Arial" w:cs="Arial"/>
        </w:rPr>
        <w:t xml:space="preserve"> population</w:t>
      </w:r>
      <w:r>
        <w:rPr>
          <w:rFonts w:ascii="Arial" w:hAnsi="Arial" w:cs="Arial"/>
        </w:rPr>
        <w:t>,</w:t>
      </w:r>
      <w:r w:rsidRPr="3FC79A6E">
        <w:rPr>
          <w:rFonts w:ascii="Arial" w:hAnsi="Arial" w:cs="Arial"/>
        </w:rPr>
        <w:t xml:space="preserve"> </w:t>
      </w:r>
      <w:r>
        <w:rPr>
          <w:rFonts w:ascii="Arial" w:hAnsi="Arial" w:cs="Arial"/>
        </w:rPr>
        <w:t>s</w:t>
      </w:r>
      <w:r w:rsidRPr="3FC79A6E">
        <w:rPr>
          <w:rFonts w:ascii="Arial" w:hAnsi="Arial" w:cs="Arial"/>
        </w:rPr>
        <w:t>pawn</w:t>
      </w:r>
      <w:r>
        <w:rPr>
          <w:rFonts w:ascii="Arial" w:hAnsi="Arial" w:cs="Arial"/>
        </w:rPr>
        <w:t>ing occurs with</w:t>
      </w:r>
      <w:r w:rsidRPr="3FC79A6E">
        <w:rPr>
          <w:rFonts w:ascii="Arial" w:hAnsi="Arial" w:cs="Arial"/>
        </w:rPr>
        <w:t xml:space="preserve"> flow</w:t>
      </w:r>
      <w:r>
        <w:rPr>
          <w:rFonts w:ascii="Arial" w:hAnsi="Arial" w:cs="Arial"/>
        </w:rPr>
        <w:t>s of</w:t>
      </w:r>
      <w:r w:rsidRPr="3FC79A6E">
        <w:rPr>
          <w:rFonts w:ascii="Arial" w:hAnsi="Arial" w:cs="Arial"/>
        </w:rPr>
        <w:t xml:space="preserve"> </w:t>
      </w:r>
      <w:r>
        <w:rPr>
          <w:rFonts w:ascii="Arial" w:hAnsi="Arial" w:cs="Arial"/>
        </w:rPr>
        <w:t>~</w:t>
      </w:r>
      <w:r w:rsidRPr="3FC79A6E">
        <w:rPr>
          <w:rFonts w:ascii="Arial" w:hAnsi="Arial" w:cs="Arial"/>
        </w:rPr>
        <w:t>1500</w:t>
      </w:r>
      <w:r>
        <w:rPr>
          <w:rFonts w:ascii="Arial" w:hAnsi="Arial" w:cs="Arial"/>
        </w:rPr>
        <w:t> </w:t>
      </w:r>
      <w:r w:rsidRPr="3FC79A6E">
        <w:rPr>
          <w:rFonts w:ascii="Arial" w:hAnsi="Arial" w:cs="Arial"/>
        </w:rPr>
        <w:t>ML</w:t>
      </w:r>
      <w:r>
        <w:rPr>
          <w:rFonts w:ascii="Arial" w:hAnsi="Arial" w:cs="Arial"/>
        </w:rPr>
        <w:t> </w:t>
      </w:r>
      <w:r w:rsidRPr="3FC79A6E">
        <w:rPr>
          <w:rFonts w:ascii="Arial" w:hAnsi="Arial" w:cs="Arial"/>
        </w:rPr>
        <w:t>day</w:t>
      </w:r>
      <w:r>
        <w:rPr>
          <w:rFonts w:ascii="Arial" w:hAnsi="Arial" w:cs="Arial"/>
          <w:vertAlign w:val="superscript"/>
        </w:rPr>
        <w:t>–1</w:t>
      </w:r>
      <w:r>
        <w:rPr>
          <w:rFonts w:ascii="Arial" w:hAnsi="Arial" w:cs="Arial"/>
        </w:rPr>
        <w:t xml:space="preserve">, </w:t>
      </w:r>
      <w:r w:rsidRPr="3FC79A6E">
        <w:rPr>
          <w:rFonts w:ascii="Arial" w:hAnsi="Arial" w:cs="Arial"/>
        </w:rPr>
        <w:t>as lotic hydrauli</w:t>
      </w:r>
      <w:r>
        <w:rPr>
          <w:rFonts w:ascii="Arial" w:hAnsi="Arial" w:cs="Arial"/>
        </w:rPr>
        <w:t>cs</w:t>
      </w:r>
      <w:r w:rsidRPr="3FC79A6E">
        <w:rPr>
          <w:rFonts w:ascii="Arial" w:hAnsi="Arial" w:cs="Arial"/>
        </w:rPr>
        <w:t xml:space="preserve"> </w:t>
      </w:r>
      <w:r>
        <w:rPr>
          <w:rFonts w:ascii="Arial" w:hAnsi="Arial" w:cs="Arial"/>
        </w:rPr>
        <w:t xml:space="preserve">are </w:t>
      </w:r>
      <w:r w:rsidRPr="3FC79A6E">
        <w:rPr>
          <w:rFonts w:ascii="Arial" w:hAnsi="Arial" w:cs="Arial"/>
        </w:rPr>
        <w:t>always present.</w:t>
      </w:r>
    </w:p>
    <w:p w14:paraId="6F6F594B" w14:textId="77777777" w:rsidR="00491210" w:rsidRPr="00171B99" w:rsidRDefault="00EE200C" w:rsidP="00171B99">
      <w:pPr>
        <w:keepNext/>
        <w:spacing w:before="240"/>
        <w:rPr>
          <w:i/>
          <w:iCs/>
          <w:sz w:val="22"/>
          <w:szCs w:val="22"/>
        </w:rPr>
      </w:pPr>
      <w:r w:rsidRPr="00171B99">
        <w:rPr>
          <w:i/>
          <w:iCs/>
          <w:sz w:val="22"/>
          <w:szCs w:val="22"/>
        </w:rPr>
        <w:t>Golden Perch egg and larval drift</w:t>
      </w:r>
    </w:p>
    <w:p w14:paraId="1DC17C6C" w14:textId="3CD53D73" w:rsidR="00491210" w:rsidRPr="008F0FA8" w:rsidRDefault="00EE200C" w:rsidP="008F0FA8">
      <w:pPr>
        <w:pStyle w:val="paragraph"/>
        <w:spacing w:before="0" w:beforeAutospacing="0" w:after="120" w:afterAutospacing="0" w:line="259" w:lineRule="auto"/>
        <w:jc w:val="both"/>
        <w:rPr>
          <w:rFonts w:ascii="Arial" w:hAnsi="Arial" w:cs="Arial"/>
        </w:rPr>
      </w:pPr>
      <w:r w:rsidRPr="008F0FA8">
        <w:rPr>
          <w:rFonts w:ascii="Arial" w:hAnsi="Arial" w:cs="Arial"/>
        </w:rPr>
        <w:t xml:space="preserve">Golden Perch egg and larval drift is calculated as a sum of </w:t>
      </w:r>
      <w:r>
        <w:rPr>
          <w:rFonts w:ascii="Arial" w:hAnsi="Arial" w:cs="Arial"/>
        </w:rPr>
        <w:t xml:space="preserve">the </w:t>
      </w:r>
      <w:r w:rsidRPr="008F0FA8">
        <w:rPr>
          <w:rFonts w:ascii="Arial" w:hAnsi="Arial" w:cs="Arial"/>
        </w:rPr>
        <w:t>daily spawning rate across the spawning period</w:t>
      </w:r>
      <w:r>
        <w:rPr>
          <w:rFonts w:ascii="Arial" w:hAnsi="Arial" w:cs="Arial"/>
        </w:rPr>
        <w:t>:</w:t>
      </w:r>
      <w:r w:rsidRPr="008F0FA8">
        <w:rPr>
          <w:rFonts w:ascii="Arial" w:hAnsi="Arial" w:cs="Arial"/>
        </w:rPr>
        <w:t xml:space="preserve"> the proportion of fish spawning on each day is multiplied by the daily drift rate, and these calculations are summed over the spawning period. Eggs and larvae spawned on each day are allowed to drift for a period of 15</w:t>
      </w:r>
      <w:r>
        <w:rPr>
          <w:rFonts w:ascii="Arial" w:hAnsi="Arial" w:cs="Arial"/>
        </w:rPr>
        <w:t> </w:t>
      </w:r>
      <w:r w:rsidRPr="008F0FA8">
        <w:rPr>
          <w:rFonts w:ascii="Arial" w:hAnsi="Arial" w:cs="Arial"/>
        </w:rPr>
        <w:t>days. Note that all larvae stay in the Lower Murray River population</w:t>
      </w:r>
      <w:r>
        <w:rPr>
          <w:rFonts w:ascii="Arial" w:hAnsi="Arial" w:cs="Arial"/>
        </w:rPr>
        <w:t>,</w:t>
      </w:r>
      <w:r w:rsidRPr="008F0FA8">
        <w:rPr>
          <w:rFonts w:ascii="Arial" w:hAnsi="Arial" w:cs="Arial"/>
        </w:rPr>
        <w:t xml:space="preserve"> as there is no drift out.</w:t>
      </w:r>
    </w:p>
    <w:p w14:paraId="22CEFD8C" w14:textId="39D4EA9E" w:rsidR="00491210" w:rsidRPr="008F0FA8" w:rsidRDefault="00EE200C" w:rsidP="3FC79A6E">
      <w:pPr>
        <w:pStyle w:val="paragraph"/>
        <w:spacing w:before="0" w:beforeAutospacing="0" w:after="120" w:afterAutospacing="0" w:line="259" w:lineRule="auto"/>
        <w:jc w:val="both"/>
        <w:rPr>
          <w:rFonts w:ascii="Arial" w:hAnsi="Arial" w:cs="Arial"/>
        </w:rPr>
      </w:pPr>
      <w:r>
        <w:rPr>
          <w:rFonts w:ascii="Arial" w:hAnsi="Arial" w:cs="Arial"/>
        </w:rPr>
        <w:t xml:space="preserve">Drift from </w:t>
      </w:r>
      <w:r w:rsidRPr="3FC79A6E">
        <w:rPr>
          <w:rFonts w:ascii="Arial" w:hAnsi="Arial" w:cs="Arial"/>
        </w:rPr>
        <w:t xml:space="preserve">Murray River populations </w:t>
      </w:r>
      <w:r>
        <w:rPr>
          <w:rFonts w:ascii="Arial" w:hAnsi="Arial" w:cs="Arial"/>
        </w:rPr>
        <w:t>(</w:t>
      </w:r>
      <w:r w:rsidRPr="3FC79A6E">
        <w:rPr>
          <w:rFonts w:ascii="Arial" w:hAnsi="Arial" w:cs="Arial"/>
        </w:rPr>
        <w:t xml:space="preserve">Murray River populations from Hume </w:t>
      </w:r>
      <w:r>
        <w:rPr>
          <w:rFonts w:ascii="Arial" w:hAnsi="Arial" w:cs="Arial"/>
        </w:rPr>
        <w:t>to Wentworth)</w:t>
      </w:r>
      <w:r w:rsidRPr="3FC79A6E">
        <w:rPr>
          <w:rFonts w:ascii="Arial" w:hAnsi="Arial" w:cs="Arial"/>
        </w:rPr>
        <w:t xml:space="preserve"> into respective downstream populations</w:t>
      </w:r>
      <w:r>
        <w:rPr>
          <w:rFonts w:ascii="Arial" w:hAnsi="Arial" w:cs="Arial"/>
        </w:rPr>
        <w:t>:</w:t>
      </w:r>
      <w:r w:rsidRPr="3FC79A6E">
        <w:rPr>
          <w:rFonts w:ascii="Arial" w:hAnsi="Arial" w:cs="Arial"/>
        </w:rPr>
        <w:t xml:space="preserve"> </w:t>
      </w:r>
      <w:r>
        <w:rPr>
          <w:rFonts w:ascii="Arial" w:hAnsi="Arial" w:cs="Arial"/>
        </w:rPr>
        <w:t>i</w:t>
      </w:r>
      <w:r w:rsidRPr="3FC79A6E">
        <w:rPr>
          <w:rFonts w:ascii="Arial" w:hAnsi="Arial" w:cs="Arial"/>
        </w:rPr>
        <w:t>f the maximum flow on the day or for the following 15</w:t>
      </w:r>
      <w:r>
        <w:rPr>
          <w:rFonts w:ascii="Arial" w:hAnsi="Arial" w:cs="Arial"/>
        </w:rPr>
        <w:t> </w:t>
      </w:r>
      <w:r w:rsidRPr="3FC79A6E">
        <w:rPr>
          <w:rFonts w:ascii="Arial" w:hAnsi="Arial" w:cs="Arial"/>
        </w:rPr>
        <w:t>days is greater than 35,000</w:t>
      </w:r>
      <w:r>
        <w:rPr>
          <w:rFonts w:ascii="Arial" w:hAnsi="Arial" w:cs="Arial"/>
        </w:rPr>
        <w:t> </w:t>
      </w:r>
      <w:r w:rsidRPr="3FC79A6E">
        <w:rPr>
          <w:rFonts w:ascii="Arial" w:hAnsi="Arial" w:cs="Arial"/>
        </w:rPr>
        <w:t>ML</w:t>
      </w:r>
      <w:r>
        <w:rPr>
          <w:rFonts w:ascii="Arial" w:hAnsi="Arial" w:cs="Arial"/>
        </w:rPr>
        <w:t> </w:t>
      </w:r>
      <w:r w:rsidRPr="3FC79A6E">
        <w:rPr>
          <w:rFonts w:ascii="Arial" w:hAnsi="Arial" w:cs="Arial"/>
        </w:rPr>
        <w:t>day</w:t>
      </w:r>
      <w:r w:rsidRPr="0090569E">
        <w:rPr>
          <w:rFonts w:ascii="Arial" w:hAnsi="Arial" w:cs="Arial"/>
          <w:vertAlign w:val="superscript"/>
        </w:rPr>
        <w:t>–1</w:t>
      </w:r>
      <w:r w:rsidRPr="3FC79A6E">
        <w:rPr>
          <w:rFonts w:ascii="Arial" w:hAnsi="Arial" w:cs="Arial"/>
        </w:rPr>
        <w:t>, larval drift is 0.8. If flow does not reach this threshold, larval drift is 0.25 for the day.</w:t>
      </w:r>
    </w:p>
    <w:p w14:paraId="338095A6" w14:textId="631B5A9E" w:rsidR="00491210" w:rsidRDefault="00EE200C" w:rsidP="008F0FA8">
      <w:pPr>
        <w:pStyle w:val="paragraph"/>
        <w:spacing w:before="0" w:beforeAutospacing="0" w:after="120" w:afterAutospacing="0" w:line="259" w:lineRule="auto"/>
        <w:jc w:val="both"/>
        <w:rPr>
          <w:rFonts w:ascii="Arial" w:hAnsi="Arial" w:cs="Arial"/>
        </w:rPr>
      </w:pPr>
      <w:r>
        <w:rPr>
          <w:rFonts w:ascii="Arial" w:hAnsi="Arial" w:cs="Arial"/>
        </w:rPr>
        <w:t>Drift from the Yarrawonga to Torrumbarry</w:t>
      </w:r>
      <w:r w:rsidRPr="008F0FA8">
        <w:rPr>
          <w:rFonts w:ascii="Arial" w:hAnsi="Arial" w:cs="Arial"/>
        </w:rPr>
        <w:t xml:space="preserve"> population is driven by </w:t>
      </w:r>
      <w:r>
        <w:rPr>
          <w:rFonts w:ascii="Arial" w:hAnsi="Arial" w:cs="Arial"/>
        </w:rPr>
        <w:t xml:space="preserve">the </w:t>
      </w:r>
      <w:r w:rsidRPr="008F0FA8">
        <w:rPr>
          <w:rFonts w:ascii="Arial" w:hAnsi="Arial" w:cs="Arial"/>
        </w:rPr>
        <w:t>flows as defined directly above</w:t>
      </w:r>
      <w:r>
        <w:rPr>
          <w:rFonts w:ascii="Arial" w:hAnsi="Arial" w:cs="Arial"/>
        </w:rPr>
        <w:t>;</w:t>
      </w:r>
      <w:r w:rsidRPr="008F0FA8">
        <w:rPr>
          <w:rFonts w:ascii="Arial" w:hAnsi="Arial" w:cs="Arial"/>
        </w:rPr>
        <w:t xml:space="preserve"> however</w:t>
      </w:r>
      <w:r>
        <w:rPr>
          <w:rFonts w:ascii="Arial" w:hAnsi="Arial" w:cs="Arial"/>
        </w:rPr>
        <w:t>,</w:t>
      </w:r>
      <w:r w:rsidRPr="008F0FA8">
        <w:rPr>
          <w:rFonts w:ascii="Arial" w:hAnsi="Arial" w:cs="Arial"/>
        </w:rPr>
        <w:t xml:space="preserve"> only 1% of larvae are retained in the system. The other 99% either drift to </w:t>
      </w:r>
      <w:r>
        <w:rPr>
          <w:rFonts w:ascii="Arial" w:hAnsi="Arial" w:cs="Arial"/>
        </w:rPr>
        <w:t>Torrumbarry to Wentworth or to Edward River</w:t>
      </w:r>
      <w:r w:rsidRPr="008F0FA8">
        <w:rPr>
          <w:rFonts w:ascii="Arial" w:hAnsi="Arial" w:cs="Arial"/>
        </w:rPr>
        <w:t xml:space="preserve"> (see directly below) or perish in the weir pool at Torrumbarry</w:t>
      </w:r>
      <w:r>
        <w:rPr>
          <w:rFonts w:ascii="Arial" w:hAnsi="Arial" w:cs="Arial"/>
        </w:rPr>
        <w:t xml:space="preserve"> or </w:t>
      </w:r>
      <w:r w:rsidRPr="008F0FA8">
        <w:rPr>
          <w:rFonts w:ascii="Arial" w:hAnsi="Arial" w:cs="Arial"/>
        </w:rPr>
        <w:t>via irrigation pumping.</w:t>
      </w:r>
    </w:p>
    <w:p w14:paraId="62CA3E1F" w14:textId="02CAD9B3" w:rsidR="00491210" w:rsidRPr="008F0FA8" w:rsidRDefault="00EE200C" w:rsidP="008F0FA8">
      <w:pPr>
        <w:pStyle w:val="paragraph"/>
        <w:spacing w:before="0" w:beforeAutospacing="0" w:after="120" w:afterAutospacing="0" w:line="259" w:lineRule="auto"/>
        <w:jc w:val="both"/>
        <w:rPr>
          <w:rFonts w:ascii="Arial" w:hAnsi="Arial" w:cs="Arial"/>
        </w:rPr>
      </w:pPr>
      <w:r>
        <w:rPr>
          <w:rFonts w:ascii="Arial" w:hAnsi="Arial" w:cs="Arial"/>
        </w:rPr>
        <w:t xml:space="preserve">Drift from the Hume to Yarrawonga </w:t>
      </w:r>
      <w:r w:rsidRPr="008F0FA8">
        <w:rPr>
          <w:rFonts w:ascii="Arial" w:hAnsi="Arial" w:cs="Arial"/>
        </w:rPr>
        <w:t>population</w:t>
      </w:r>
      <w:r>
        <w:rPr>
          <w:rFonts w:ascii="Arial" w:hAnsi="Arial" w:cs="Arial"/>
        </w:rPr>
        <w:t>: there is</w:t>
      </w:r>
      <w:r w:rsidRPr="008F0FA8">
        <w:rPr>
          <w:rFonts w:ascii="Arial" w:hAnsi="Arial" w:cs="Arial"/>
        </w:rPr>
        <w:t xml:space="preserve"> 99% mortality when </w:t>
      </w:r>
      <w:r>
        <w:rPr>
          <w:rFonts w:ascii="Arial" w:hAnsi="Arial" w:cs="Arial"/>
        </w:rPr>
        <w:t xml:space="preserve">larvae </w:t>
      </w:r>
      <w:r w:rsidRPr="008F0FA8">
        <w:rPr>
          <w:rFonts w:ascii="Arial" w:hAnsi="Arial" w:cs="Arial"/>
        </w:rPr>
        <w:t>drift to pop 3 (undershot weir mortality)</w:t>
      </w:r>
      <w:r>
        <w:rPr>
          <w:rFonts w:ascii="Arial" w:hAnsi="Arial" w:cs="Arial"/>
        </w:rPr>
        <w:t>.</w:t>
      </w:r>
    </w:p>
    <w:p w14:paraId="03BE1D62" w14:textId="7FF0CCE5" w:rsidR="00491210" w:rsidRPr="008F0FA8" w:rsidRDefault="00EE200C" w:rsidP="008F0FA8">
      <w:pPr>
        <w:pStyle w:val="paragraph"/>
        <w:spacing w:before="0" w:beforeAutospacing="0" w:after="120" w:afterAutospacing="0" w:line="259" w:lineRule="auto"/>
        <w:jc w:val="both"/>
        <w:rPr>
          <w:rFonts w:ascii="Arial" w:hAnsi="Arial" w:cs="Arial"/>
        </w:rPr>
      </w:pPr>
      <w:r w:rsidRPr="008F0FA8">
        <w:rPr>
          <w:rFonts w:ascii="Arial" w:hAnsi="Arial" w:cs="Arial"/>
        </w:rPr>
        <w:t xml:space="preserve">Drift from </w:t>
      </w:r>
      <w:r>
        <w:rPr>
          <w:rFonts w:ascii="Arial" w:hAnsi="Arial" w:cs="Arial"/>
        </w:rPr>
        <w:t>the Yarrawonga to Torrumbarry population</w:t>
      </w:r>
      <w:r w:rsidRPr="008F0FA8">
        <w:rPr>
          <w:rFonts w:ascii="Arial" w:hAnsi="Arial" w:cs="Arial"/>
        </w:rPr>
        <w:t xml:space="preserve"> into </w:t>
      </w:r>
      <w:r>
        <w:rPr>
          <w:rFonts w:ascii="Arial" w:hAnsi="Arial" w:cs="Arial"/>
        </w:rPr>
        <w:t>the Torrumbarry to Wentworth</w:t>
      </w:r>
      <w:r w:rsidRPr="008F0FA8">
        <w:rPr>
          <w:rFonts w:ascii="Arial" w:hAnsi="Arial" w:cs="Arial"/>
        </w:rPr>
        <w:t xml:space="preserve"> population</w:t>
      </w:r>
      <w:r>
        <w:rPr>
          <w:rFonts w:ascii="Arial" w:hAnsi="Arial" w:cs="Arial"/>
        </w:rPr>
        <w:t>: the</w:t>
      </w:r>
      <w:r w:rsidRPr="008F0FA8">
        <w:rPr>
          <w:rFonts w:ascii="Arial" w:hAnsi="Arial" w:cs="Arial"/>
        </w:rPr>
        <w:t xml:space="preserve"> daily drift proportion defined above is divided into proportion</w:t>
      </w:r>
      <w:r>
        <w:rPr>
          <w:rFonts w:ascii="Arial" w:hAnsi="Arial" w:cs="Arial"/>
        </w:rPr>
        <w:t>s</w:t>
      </w:r>
      <w:r w:rsidRPr="008F0FA8">
        <w:rPr>
          <w:rFonts w:ascii="Arial" w:hAnsi="Arial" w:cs="Arial"/>
        </w:rPr>
        <w:t xml:space="preserve"> that represents the Murray </w:t>
      </w:r>
      <w:r>
        <w:rPr>
          <w:rFonts w:ascii="Arial" w:hAnsi="Arial" w:cs="Arial"/>
        </w:rPr>
        <w:t xml:space="preserve">River </w:t>
      </w:r>
      <w:r w:rsidRPr="008F0FA8">
        <w:rPr>
          <w:rFonts w:ascii="Arial" w:hAnsi="Arial" w:cs="Arial"/>
        </w:rPr>
        <w:t>before and after the intersection with the Edward</w:t>
      </w:r>
      <w:r>
        <w:rPr>
          <w:rFonts w:ascii="Arial" w:hAnsi="Arial" w:cs="Arial"/>
        </w:rPr>
        <w:t xml:space="preserve"> River</w:t>
      </w:r>
      <w:r w:rsidRPr="008F0FA8">
        <w:rPr>
          <w:rFonts w:ascii="Arial" w:hAnsi="Arial" w:cs="Arial"/>
        </w:rPr>
        <w:t xml:space="preserve">. The lower proportion all drift to </w:t>
      </w:r>
      <w:r>
        <w:rPr>
          <w:rFonts w:ascii="Arial" w:hAnsi="Arial" w:cs="Arial"/>
        </w:rPr>
        <w:t xml:space="preserve">the </w:t>
      </w:r>
      <w:r w:rsidRPr="008F0FA8">
        <w:rPr>
          <w:rFonts w:ascii="Arial" w:hAnsi="Arial" w:cs="Arial"/>
        </w:rPr>
        <w:t xml:space="preserve">Mid Murray (i.e. all drifting larvae go to </w:t>
      </w:r>
      <w:r>
        <w:rPr>
          <w:rFonts w:ascii="Arial" w:hAnsi="Arial" w:cs="Arial"/>
        </w:rPr>
        <w:t xml:space="preserve">the </w:t>
      </w:r>
      <w:r w:rsidRPr="008F0FA8">
        <w:rPr>
          <w:rFonts w:ascii="Arial" w:hAnsi="Arial" w:cs="Arial"/>
        </w:rPr>
        <w:t xml:space="preserve">Mid Murray), and the upper proportion is divided into drift to </w:t>
      </w:r>
      <w:r>
        <w:rPr>
          <w:rFonts w:ascii="Arial" w:hAnsi="Arial" w:cs="Arial"/>
        </w:rPr>
        <w:t xml:space="preserve">the </w:t>
      </w:r>
      <w:r w:rsidRPr="008F0FA8">
        <w:rPr>
          <w:rFonts w:ascii="Arial" w:hAnsi="Arial" w:cs="Arial"/>
        </w:rPr>
        <w:t xml:space="preserve">Mid Murray and </w:t>
      </w:r>
      <w:r>
        <w:rPr>
          <w:rFonts w:ascii="Arial" w:hAnsi="Arial" w:cs="Arial"/>
        </w:rPr>
        <w:t xml:space="preserve">the </w:t>
      </w:r>
      <w:r w:rsidRPr="008F0FA8">
        <w:rPr>
          <w:rFonts w:ascii="Arial" w:hAnsi="Arial" w:cs="Arial"/>
        </w:rPr>
        <w:t>Edward River populations via the daily ratio of flow at Toonalook gauge to Torrumbarry gauge. The yearly drift value is summed from these two proportions.</w:t>
      </w:r>
    </w:p>
    <w:p w14:paraId="2F79DE38" w14:textId="42CA4B0E" w:rsidR="00491210" w:rsidRPr="008F0FA8" w:rsidRDefault="00EE200C" w:rsidP="4D1BBAA5">
      <w:pPr>
        <w:pStyle w:val="paragraph"/>
        <w:spacing w:before="0" w:beforeAutospacing="0" w:after="120" w:afterAutospacing="0" w:line="259" w:lineRule="auto"/>
        <w:jc w:val="both"/>
        <w:rPr>
          <w:rFonts w:ascii="Arial" w:hAnsi="Arial" w:cs="Arial"/>
        </w:rPr>
      </w:pPr>
      <w:r w:rsidRPr="4D1BBAA5">
        <w:rPr>
          <w:rFonts w:ascii="Arial" w:hAnsi="Arial" w:cs="Arial"/>
        </w:rPr>
        <w:t xml:space="preserve">Drift from </w:t>
      </w:r>
      <w:r>
        <w:rPr>
          <w:rFonts w:ascii="Arial" w:hAnsi="Arial" w:cs="Arial"/>
        </w:rPr>
        <w:t>the Yarrawonga to Torrumbarry</w:t>
      </w:r>
      <w:r w:rsidRPr="008F0FA8">
        <w:rPr>
          <w:rFonts w:ascii="Arial" w:hAnsi="Arial" w:cs="Arial"/>
        </w:rPr>
        <w:t xml:space="preserve"> </w:t>
      </w:r>
      <w:r>
        <w:rPr>
          <w:rFonts w:ascii="Arial" w:hAnsi="Arial" w:cs="Arial"/>
        </w:rPr>
        <w:t xml:space="preserve">population </w:t>
      </w:r>
      <w:r w:rsidRPr="4D1BBAA5">
        <w:rPr>
          <w:rFonts w:ascii="Arial" w:hAnsi="Arial" w:cs="Arial"/>
        </w:rPr>
        <w:t xml:space="preserve">into </w:t>
      </w:r>
      <w:r>
        <w:rPr>
          <w:rFonts w:ascii="Arial" w:hAnsi="Arial" w:cs="Arial"/>
        </w:rPr>
        <w:t xml:space="preserve">the </w:t>
      </w:r>
      <w:r w:rsidRPr="4D1BBAA5">
        <w:rPr>
          <w:rFonts w:ascii="Arial" w:hAnsi="Arial" w:cs="Arial"/>
        </w:rPr>
        <w:t xml:space="preserve">Edward River population is the remaining proportion of drift from </w:t>
      </w:r>
      <w:r>
        <w:rPr>
          <w:rFonts w:ascii="Arial" w:hAnsi="Arial" w:cs="Arial"/>
        </w:rPr>
        <w:t>Yarrawonga to Torrumbarry</w:t>
      </w:r>
      <w:r w:rsidRPr="008F0FA8">
        <w:rPr>
          <w:rFonts w:ascii="Arial" w:hAnsi="Arial" w:cs="Arial"/>
        </w:rPr>
        <w:t xml:space="preserve"> </w:t>
      </w:r>
      <w:r w:rsidRPr="4D1BBAA5">
        <w:rPr>
          <w:rFonts w:ascii="Arial" w:hAnsi="Arial" w:cs="Arial"/>
        </w:rPr>
        <w:t xml:space="preserve">into </w:t>
      </w:r>
      <w:r>
        <w:rPr>
          <w:rFonts w:ascii="Arial" w:hAnsi="Arial" w:cs="Arial"/>
        </w:rPr>
        <w:t>Torrumbarry to Wentworth</w:t>
      </w:r>
      <w:r w:rsidRPr="4D1BBAA5">
        <w:rPr>
          <w:rFonts w:ascii="Arial" w:hAnsi="Arial" w:cs="Arial"/>
        </w:rPr>
        <w:t>. Note that these larvae all die</w:t>
      </w:r>
      <w:r>
        <w:rPr>
          <w:rFonts w:ascii="Arial" w:hAnsi="Arial" w:cs="Arial"/>
        </w:rPr>
        <w:t>,</w:t>
      </w:r>
      <w:r w:rsidRPr="4D1BBAA5">
        <w:rPr>
          <w:rFonts w:ascii="Arial" w:hAnsi="Arial" w:cs="Arial"/>
        </w:rPr>
        <w:t xml:space="preserve"> as </w:t>
      </w:r>
      <w:r>
        <w:rPr>
          <w:rFonts w:ascii="Arial" w:hAnsi="Arial" w:cs="Arial"/>
        </w:rPr>
        <w:t xml:space="preserve">there is </w:t>
      </w:r>
      <w:r w:rsidRPr="4D1BBAA5">
        <w:rPr>
          <w:rFonts w:ascii="Arial" w:hAnsi="Arial" w:cs="Arial"/>
        </w:rPr>
        <w:t>no known recruitment in the Edward River.</w:t>
      </w:r>
    </w:p>
    <w:p w14:paraId="714EC4DC" w14:textId="5A6504F8" w:rsidR="00491210" w:rsidRPr="008F0FA8" w:rsidRDefault="00EE200C" w:rsidP="3FC79A6E">
      <w:pPr>
        <w:pStyle w:val="paragraph"/>
        <w:spacing w:before="0" w:beforeAutospacing="0" w:after="120" w:afterAutospacing="0" w:line="259" w:lineRule="auto"/>
        <w:jc w:val="both"/>
        <w:rPr>
          <w:rFonts w:ascii="Arial" w:hAnsi="Arial" w:cs="Arial"/>
        </w:rPr>
      </w:pPr>
      <w:r w:rsidRPr="3FC79A6E">
        <w:rPr>
          <w:rFonts w:ascii="Arial" w:hAnsi="Arial" w:cs="Arial"/>
        </w:rPr>
        <w:t xml:space="preserve">Drift from the </w:t>
      </w:r>
      <w:r>
        <w:rPr>
          <w:rFonts w:ascii="Arial" w:hAnsi="Arial" w:cs="Arial"/>
        </w:rPr>
        <w:t>Hay to Balranald</w:t>
      </w:r>
      <w:r w:rsidRPr="3FC79A6E">
        <w:rPr>
          <w:rFonts w:ascii="Arial" w:hAnsi="Arial" w:cs="Arial"/>
        </w:rPr>
        <w:t xml:space="preserve"> population into</w:t>
      </w:r>
      <w:r>
        <w:rPr>
          <w:rFonts w:ascii="Arial" w:hAnsi="Arial" w:cs="Arial"/>
        </w:rPr>
        <w:t xml:space="preserve"> the Torrumbarry to Wentworth</w:t>
      </w:r>
      <w:r w:rsidRPr="3FC79A6E">
        <w:rPr>
          <w:rFonts w:ascii="Arial" w:hAnsi="Arial" w:cs="Arial"/>
        </w:rPr>
        <w:t xml:space="preserve"> population follows the</w:t>
      </w:r>
      <w:r>
        <w:rPr>
          <w:rFonts w:ascii="Arial" w:hAnsi="Arial" w:cs="Arial"/>
        </w:rPr>
        <w:t>se</w:t>
      </w:r>
      <w:r w:rsidRPr="3FC79A6E">
        <w:rPr>
          <w:rFonts w:ascii="Arial" w:hAnsi="Arial" w:cs="Arial"/>
        </w:rPr>
        <w:t xml:space="preserve"> rules</w:t>
      </w:r>
      <w:r>
        <w:rPr>
          <w:rFonts w:ascii="Arial" w:hAnsi="Arial" w:cs="Arial"/>
        </w:rPr>
        <w:t>: i</w:t>
      </w:r>
      <w:r w:rsidRPr="3FC79A6E">
        <w:rPr>
          <w:rFonts w:ascii="Arial" w:hAnsi="Arial" w:cs="Arial"/>
        </w:rPr>
        <w:t xml:space="preserve">f flow is </w:t>
      </w:r>
      <w:r>
        <w:rPr>
          <w:rFonts w:ascii="Arial" w:hAnsi="Arial" w:cs="Arial"/>
        </w:rPr>
        <w:t>&lt;</w:t>
      </w:r>
      <w:r w:rsidRPr="3FC79A6E">
        <w:rPr>
          <w:rFonts w:ascii="Arial" w:hAnsi="Arial" w:cs="Arial"/>
        </w:rPr>
        <w:t>500</w:t>
      </w:r>
      <w:r>
        <w:rPr>
          <w:rFonts w:ascii="Arial" w:hAnsi="Arial" w:cs="Arial"/>
        </w:rPr>
        <w:t> </w:t>
      </w:r>
      <w:r w:rsidRPr="3FC79A6E">
        <w:rPr>
          <w:rFonts w:ascii="Arial" w:hAnsi="Arial" w:cs="Arial"/>
        </w:rPr>
        <w:t>ML</w:t>
      </w:r>
      <w:r>
        <w:rPr>
          <w:rFonts w:ascii="Arial" w:hAnsi="Arial" w:cs="Arial"/>
        </w:rPr>
        <w:t> </w:t>
      </w:r>
      <w:r w:rsidRPr="3FC79A6E">
        <w:rPr>
          <w:rFonts w:ascii="Arial" w:hAnsi="Arial" w:cs="Arial"/>
        </w:rPr>
        <w:t>day</w:t>
      </w:r>
      <w:r>
        <w:rPr>
          <w:rFonts w:ascii="Arial" w:hAnsi="Arial" w:cs="Arial"/>
          <w:vertAlign w:val="superscript"/>
        </w:rPr>
        <w:t>–1</w:t>
      </w:r>
      <w:r w:rsidRPr="3FC79A6E">
        <w:rPr>
          <w:rFonts w:ascii="Arial" w:hAnsi="Arial" w:cs="Arial"/>
        </w:rPr>
        <w:t xml:space="preserve">, </w:t>
      </w:r>
      <w:r>
        <w:rPr>
          <w:rFonts w:ascii="Arial" w:hAnsi="Arial" w:cs="Arial"/>
        </w:rPr>
        <w:t xml:space="preserve">there is </w:t>
      </w:r>
      <w:r w:rsidRPr="3FC79A6E">
        <w:rPr>
          <w:rFonts w:ascii="Arial" w:hAnsi="Arial" w:cs="Arial"/>
        </w:rPr>
        <w:t>no larval drift on the day</w:t>
      </w:r>
      <w:r>
        <w:rPr>
          <w:rFonts w:ascii="Arial" w:hAnsi="Arial" w:cs="Arial"/>
        </w:rPr>
        <w:t>;</w:t>
      </w:r>
      <w:r w:rsidRPr="3FC79A6E">
        <w:rPr>
          <w:rFonts w:ascii="Arial" w:hAnsi="Arial" w:cs="Arial"/>
        </w:rPr>
        <w:t xml:space="preserve"> if </w:t>
      </w:r>
      <w:r>
        <w:rPr>
          <w:rFonts w:ascii="Arial" w:hAnsi="Arial" w:cs="Arial"/>
        </w:rPr>
        <w:t xml:space="preserve">flow is </w:t>
      </w:r>
      <w:r>
        <w:rPr>
          <w:rFonts w:ascii="Arial" w:hAnsi="Arial" w:cs="Arial"/>
        </w:rPr>
        <w:br/>
        <w:t>&gt;</w:t>
      </w:r>
      <w:r w:rsidRPr="3FC79A6E">
        <w:rPr>
          <w:rFonts w:ascii="Arial" w:hAnsi="Arial" w:cs="Arial"/>
        </w:rPr>
        <w:t>500</w:t>
      </w:r>
      <w:r>
        <w:rPr>
          <w:rFonts w:ascii="Arial" w:hAnsi="Arial" w:cs="Arial"/>
        </w:rPr>
        <w:t> </w:t>
      </w:r>
      <w:r w:rsidRPr="3FC79A6E">
        <w:rPr>
          <w:rFonts w:ascii="Arial" w:hAnsi="Arial" w:cs="Arial"/>
        </w:rPr>
        <w:t>ML</w:t>
      </w:r>
      <w:r>
        <w:rPr>
          <w:rFonts w:ascii="Arial" w:hAnsi="Arial" w:cs="Arial"/>
        </w:rPr>
        <w:t> </w:t>
      </w:r>
      <w:r w:rsidRPr="3FC79A6E">
        <w:rPr>
          <w:rFonts w:ascii="Arial" w:hAnsi="Arial" w:cs="Arial"/>
        </w:rPr>
        <w:t>day</w:t>
      </w:r>
      <w:r w:rsidRPr="0090569E">
        <w:rPr>
          <w:rFonts w:ascii="Arial" w:hAnsi="Arial" w:cs="Arial"/>
          <w:vertAlign w:val="superscript"/>
        </w:rPr>
        <w:t>–1</w:t>
      </w:r>
      <w:r w:rsidRPr="3FC79A6E">
        <w:rPr>
          <w:rFonts w:ascii="Arial" w:hAnsi="Arial" w:cs="Arial"/>
        </w:rPr>
        <w:t xml:space="preserve">, it follows the relationship defined in Figure A2.9. </w:t>
      </w:r>
    </w:p>
    <w:p w14:paraId="75E326CD" w14:textId="650A61AA" w:rsidR="00491210" w:rsidRPr="00171B99" w:rsidRDefault="003E1401" w:rsidP="00171B99">
      <w:pPr>
        <w:jc w:val="center"/>
        <w:rPr>
          <w:sz w:val="22"/>
          <w:szCs w:val="22"/>
          <w:lang w:val="en-US"/>
        </w:rPr>
      </w:pPr>
      <w:r>
        <w:rPr>
          <w:noProof/>
          <w:sz w:val="22"/>
          <w:szCs w:val="22"/>
          <w:lang w:eastAsia="en-AU"/>
        </w:rPr>
        <w:t xml:space="preserve"> </w:t>
      </w:r>
    </w:p>
    <w:p w14:paraId="2654827B" w14:textId="575A3863" w:rsidR="00491210" w:rsidRPr="00171B99" w:rsidRDefault="00EE200C" w:rsidP="00F602FE">
      <w:pPr>
        <w:pStyle w:val="AppendixFigureCaption"/>
        <w:rPr>
          <w:lang w:val="en-US"/>
        </w:rPr>
      </w:pPr>
      <w:r>
        <w:t>Figure A2.</w:t>
      </w:r>
      <w:r>
        <w:fldChar w:fldCharType="begin"/>
      </w:r>
      <w:r>
        <w:instrText>SEQ Figure_A2. \* ARABIC</w:instrText>
      </w:r>
      <w:r>
        <w:fldChar w:fldCharType="separate"/>
      </w:r>
      <w:r w:rsidR="005B672A">
        <w:rPr>
          <w:noProof/>
        </w:rPr>
        <w:t>9</w:t>
      </w:r>
      <w:r>
        <w:fldChar w:fldCharType="end"/>
      </w:r>
      <w:r>
        <w:t xml:space="preserve">. </w:t>
      </w:r>
      <w:r w:rsidRPr="00171B99">
        <w:rPr>
          <w:lang w:val="en-US"/>
        </w:rPr>
        <w:t xml:space="preserve">Relationship between flow and drift of </w:t>
      </w:r>
      <w:r>
        <w:rPr>
          <w:lang w:val="en-US"/>
        </w:rPr>
        <w:t>G</w:t>
      </w:r>
      <w:r w:rsidRPr="00171B99">
        <w:rPr>
          <w:lang w:val="en-US"/>
        </w:rPr>
        <w:t xml:space="preserve">olden </w:t>
      </w:r>
      <w:r>
        <w:rPr>
          <w:lang w:val="en-US"/>
        </w:rPr>
        <w:t>P</w:t>
      </w:r>
      <w:r w:rsidRPr="00171B99">
        <w:rPr>
          <w:lang w:val="en-US"/>
        </w:rPr>
        <w:t xml:space="preserve">erch larvae from the </w:t>
      </w:r>
      <w:r w:rsidRPr="00171B99">
        <w:t>Lower Murrumbidgee River</w:t>
      </w:r>
      <w:r w:rsidRPr="00171B99">
        <w:rPr>
          <w:lang w:val="en-US"/>
        </w:rPr>
        <w:t xml:space="preserve"> population into </w:t>
      </w:r>
      <w:r>
        <w:rPr>
          <w:lang w:val="en-US"/>
        </w:rPr>
        <w:t xml:space="preserve">the </w:t>
      </w:r>
      <w:r w:rsidRPr="00171B99">
        <w:t>Mid Murray River population</w:t>
      </w:r>
      <w:r w:rsidRPr="00171B99">
        <w:rPr>
          <w:lang w:val="en-US"/>
        </w:rPr>
        <w:t>.</w:t>
      </w:r>
    </w:p>
    <w:p w14:paraId="131E73D7" w14:textId="4842334A" w:rsidR="00491210" w:rsidRDefault="00EE200C" w:rsidP="3FC79A6E">
      <w:pPr>
        <w:pStyle w:val="paragraph"/>
        <w:spacing w:before="0" w:beforeAutospacing="0" w:after="120" w:afterAutospacing="0" w:line="259" w:lineRule="auto"/>
        <w:jc w:val="both"/>
        <w:rPr>
          <w:rFonts w:ascii="Arial" w:hAnsi="Arial" w:cs="Arial"/>
        </w:rPr>
      </w:pPr>
      <w:r w:rsidRPr="3FC79A6E">
        <w:rPr>
          <w:rFonts w:ascii="Arial" w:hAnsi="Arial" w:cs="Arial"/>
        </w:rPr>
        <w:t xml:space="preserve">Drift from the </w:t>
      </w:r>
      <w:r>
        <w:rPr>
          <w:rFonts w:ascii="Arial" w:hAnsi="Arial" w:cs="Arial"/>
        </w:rPr>
        <w:t>Gundagai to Hay</w:t>
      </w:r>
      <w:r w:rsidRPr="3FC79A6E">
        <w:rPr>
          <w:rFonts w:ascii="Arial" w:hAnsi="Arial" w:cs="Arial"/>
        </w:rPr>
        <w:t xml:space="preserve"> population into </w:t>
      </w:r>
      <w:r>
        <w:rPr>
          <w:rFonts w:ascii="Arial" w:hAnsi="Arial" w:cs="Arial"/>
        </w:rPr>
        <w:t>the Hay to Balranald</w:t>
      </w:r>
      <w:r w:rsidRPr="3FC79A6E">
        <w:rPr>
          <w:rFonts w:ascii="Arial" w:hAnsi="Arial" w:cs="Arial"/>
        </w:rPr>
        <w:t xml:space="preserve"> population </w:t>
      </w:r>
      <w:r>
        <w:rPr>
          <w:rFonts w:ascii="Arial" w:hAnsi="Arial" w:cs="Arial"/>
        </w:rPr>
        <w:t>follows these rules: i</w:t>
      </w:r>
      <w:r w:rsidRPr="3FC79A6E">
        <w:rPr>
          <w:rFonts w:ascii="Arial" w:hAnsi="Arial" w:cs="Arial"/>
        </w:rPr>
        <w:t>f flow is &lt;500</w:t>
      </w:r>
      <w:r>
        <w:rPr>
          <w:rFonts w:ascii="Arial" w:hAnsi="Arial" w:cs="Arial"/>
        </w:rPr>
        <w:t> </w:t>
      </w:r>
      <w:r w:rsidRPr="3FC79A6E">
        <w:rPr>
          <w:rFonts w:ascii="Arial" w:hAnsi="Arial" w:cs="Arial"/>
        </w:rPr>
        <w:t>ML</w:t>
      </w:r>
      <w:r>
        <w:rPr>
          <w:rFonts w:ascii="Arial" w:hAnsi="Arial" w:cs="Arial"/>
        </w:rPr>
        <w:t> </w:t>
      </w:r>
      <w:r w:rsidRPr="3FC79A6E">
        <w:rPr>
          <w:rFonts w:ascii="Arial" w:hAnsi="Arial" w:cs="Arial"/>
        </w:rPr>
        <w:t>day</w:t>
      </w:r>
      <w:r>
        <w:rPr>
          <w:rFonts w:ascii="Arial" w:hAnsi="Arial" w:cs="Arial"/>
          <w:vertAlign w:val="superscript"/>
        </w:rPr>
        <w:t>–1</w:t>
      </w:r>
      <w:r w:rsidRPr="3FC79A6E">
        <w:rPr>
          <w:rFonts w:ascii="Arial" w:hAnsi="Arial" w:cs="Arial"/>
        </w:rPr>
        <w:t xml:space="preserve">, </w:t>
      </w:r>
      <w:r>
        <w:rPr>
          <w:rFonts w:ascii="Arial" w:hAnsi="Arial" w:cs="Arial"/>
        </w:rPr>
        <w:t xml:space="preserve">there is </w:t>
      </w:r>
      <w:r w:rsidRPr="3FC79A6E">
        <w:rPr>
          <w:rFonts w:ascii="Arial" w:hAnsi="Arial" w:cs="Arial"/>
        </w:rPr>
        <w:t>no larval drift on the day</w:t>
      </w:r>
      <w:r>
        <w:rPr>
          <w:rFonts w:ascii="Arial" w:hAnsi="Arial" w:cs="Arial"/>
        </w:rPr>
        <w:t>;</w:t>
      </w:r>
      <w:r w:rsidRPr="3FC79A6E">
        <w:rPr>
          <w:rFonts w:ascii="Arial" w:hAnsi="Arial" w:cs="Arial"/>
        </w:rPr>
        <w:t xml:space="preserve"> if flow is &gt;500</w:t>
      </w:r>
      <w:r>
        <w:rPr>
          <w:rFonts w:ascii="Arial" w:hAnsi="Arial" w:cs="Arial"/>
        </w:rPr>
        <w:t> </w:t>
      </w:r>
      <w:r w:rsidRPr="3FC79A6E">
        <w:rPr>
          <w:rFonts w:ascii="Arial" w:hAnsi="Arial" w:cs="Arial"/>
        </w:rPr>
        <w:t>ML</w:t>
      </w:r>
      <w:r>
        <w:rPr>
          <w:rFonts w:ascii="Arial" w:hAnsi="Arial" w:cs="Arial"/>
        </w:rPr>
        <w:t> </w:t>
      </w:r>
      <w:r w:rsidRPr="3FC79A6E">
        <w:rPr>
          <w:rFonts w:ascii="Arial" w:hAnsi="Arial" w:cs="Arial"/>
        </w:rPr>
        <w:t>day</w:t>
      </w:r>
      <w:r>
        <w:rPr>
          <w:rFonts w:ascii="Arial" w:hAnsi="Arial" w:cs="Arial"/>
          <w:vertAlign w:val="superscript"/>
        </w:rPr>
        <w:t>–1</w:t>
      </w:r>
      <w:r w:rsidRPr="3FC79A6E">
        <w:rPr>
          <w:rFonts w:ascii="Arial" w:hAnsi="Arial" w:cs="Arial"/>
        </w:rPr>
        <w:t>, it follows the relationship defined in Figure A2.10.</w:t>
      </w:r>
    </w:p>
    <w:p w14:paraId="7F7DE328" w14:textId="77777777" w:rsidR="00491210" w:rsidRDefault="00EE200C">
      <w:pPr>
        <w:spacing w:after="0"/>
        <w:rPr>
          <w:rFonts w:eastAsiaTheme="minorHAnsi"/>
          <w:sz w:val="22"/>
          <w:szCs w:val="22"/>
          <w:lang w:eastAsia="en-AU"/>
        </w:rPr>
      </w:pPr>
      <w:r>
        <w:br w:type="page"/>
      </w:r>
    </w:p>
    <w:p w14:paraId="072941B7" w14:textId="77777777" w:rsidR="00491210" w:rsidRPr="008F0FA8" w:rsidRDefault="00491210" w:rsidP="3FC79A6E">
      <w:pPr>
        <w:pStyle w:val="paragraph"/>
        <w:spacing w:before="0" w:beforeAutospacing="0" w:after="120" w:afterAutospacing="0" w:line="259" w:lineRule="auto"/>
        <w:jc w:val="both"/>
        <w:rPr>
          <w:rFonts w:ascii="Arial" w:hAnsi="Arial" w:cs="Arial"/>
        </w:rPr>
      </w:pPr>
    </w:p>
    <w:p w14:paraId="124EB9B4" w14:textId="09DC8473" w:rsidR="00491210" w:rsidRPr="00171B99" w:rsidRDefault="003E1401" w:rsidP="00171B99">
      <w:pPr>
        <w:jc w:val="center"/>
        <w:rPr>
          <w:sz w:val="22"/>
          <w:szCs w:val="22"/>
          <w:lang w:val="en-US"/>
        </w:rPr>
      </w:pPr>
      <w:r>
        <w:rPr>
          <w:noProof/>
          <w:sz w:val="22"/>
          <w:szCs w:val="22"/>
          <w:lang w:eastAsia="en-AU"/>
        </w:rPr>
        <w:t xml:space="preserve"> </w:t>
      </w:r>
    </w:p>
    <w:p w14:paraId="66F9E33C" w14:textId="4DE61C60" w:rsidR="00491210" w:rsidRDefault="00EE200C" w:rsidP="00F602FE">
      <w:pPr>
        <w:pStyle w:val="AppendixFigureCaption"/>
        <w:rPr>
          <w:lang w:val="en-US"/>
        </w:rPr>
      </w:pPr>
      <w:r>
        <w:t>Figure A2.</w:t>
      </w:r>
      <w:r>
        <w:rPr>
          <w:b w:val="0"/>
          <w:bCs w:val="0"/>
        </w:rPr>
        <w:fldChar w:fldCharType="begin"/>
      </w:r>
      <w:r>
        <w:instrText>SEQ Figure_A2. \* ARABIC</w:instrText>
      </w:r>
      <w:r>
        <w:rPr>
          <w:b w:val="0"/>
          <w:bCs w:val="0"/>
        </w:rPr>
        <w:fldChar w:fldCharType="separate"/>
      </w:r>
      <w:r w:rsidR="005B672A">
        <w:rPr>
          <w:noProof/>
        </w:rPr>
        <w:t>10</w:t>
      </w:r>
      <w:r>
        <w:rPr>
          <w:b w:val="0"/>
          <w:bCs w:val="0"/>
        </w:rPr>
        <w:fldChar w:fldCharType="end"/>
      </w:r>
      <w:r>
        <w:t xml:space="preserve">. </w:t>
      </w:r>
      <w:r w:rsidRPr="00171B99">
        <w:rPr>
          <w:lang w:val="en-US"/>
        </w:rPr>
        <w:t xml:space="preserve">Relationship between flow and drift of Golden </w:t>
      </w:r>
      <w:r>
        <w:rPr>
          <w:lang w:val="en-US"/>
        </w:rPr>
        <w:t>P</w:t>
      </w:r>
      <w:r w:rsidRPr="00171B99">
        <w:rPr>
          <w:lang w:val="en-US"/>
        </w:rPr>
        <w:t xml:space="preserve">erch larvae from </w:t>
      </w:r>
      <w:r w:rsidRPr="00171B99">
        <w:t>the Upper Murrumbidgee River</w:t>
      </w:r>
      <w:r w:rsidRPr="00171B99">
        <w:rPr>
          <w:lang w:val="en-US"/>
        </w:rPr>
        <w:t xml:space="preserve"> population into </w:t>
      </w:r>
      <w:r>
        <w:rPr>
          <w:lang w:val="en-US"/>
        </w:rPr>
        <w:t xml:space="preserve">the </w:t>
      </w:r>
      <w:r w:rsidRPr="00171B99">
        <w:t>Lower Murrumbidgee River</w:t>
      </w:r>
      <w:r w:rsidRPr="00171B99">
        <w:rPr>
          <w:lang w:val="en-US"/>
        </w:rPr>
        <w:t xml:space="preserve"> population</w:t>
      </w:r>
      <w:r>
        <w:rPr>
          <w:lang w:val="en-US"/>
        </w:rPr>
        <w:t>.</w:t>
      </w:r>
    </w:p>
    <w:p w14:paraId="1B8F5E26" w14:textId="28639BB9" w:rsidR="00491210" w:rsidRDefault="00EE200C" w:rsidP="3FC79A6E">
      <w:pPr>
        <w:pStyle w:val="paragraph"/>
        <w:spacing w:before="0" w:beforeAutospacing="0" w:after="120" w:afterAutospacing="0" w:line="259" w:lineRule="auto"/>
        <w:jc w:val="both"/>
        <w:rPr>
          <w:rFonts w:ascii="Arial" w:hAnsi="Arial" w:cs="Arial"/>
        </w:rPr>
      </w:pPr>
      <w:r w:rsidRPr="4D1BBAA5">
        <w:rPr>
          <w:rFonts w:ascii="Arial" w:hAnsi="Arial" w:cs="Arial"/>
        </w:rPr>
        <w:t>Drift from the Lower Darling population into the Lower Murray population</w:t>
      </w:r>
      <w:r>
        <w:rPr>
          <w:rFonts w:ascii="Arial" w:hAnsi="Arial" w:cs="Arial"/>
        </w:rPr>
        <w:t xml:space="preserve"> follows these rules:</w:t>
      </w:r>
      <w:r w:rsidRPr="4D1BBAA5">
        <w:rPr>
          <w:rFonts w:ascii="Arial" w:hAnsi="Arial" w:cs="Arial"/>
        </w:rPr>
        <w:t xml:space="preserve"> </w:t>
      </w:r>
      <w:r>
        <w:rPr>
          <w:rFonts w:ascii="Arial" w:hAnsi="Arial" w:cs="Arial"/>
        </w:rPr>
        <w:t>i</w:t>
      </w:r>
      <w:r w:rsidRPr="4D1BBAA5">
        <w:rPr>
          <w:rFonts w:ascii="Arial" w:hAnsi="Arial" w:cs="Arial"/>
        </w:rPr>
        <w:t xml:space="preserve">f flow is </w:t>
      </w:r>
      <w:r>
        <w:rPr>
          <w:rFonts w:ascii="Arial" w:hAnsi="Arial" w:cs="Arial"/>
        </w:rPr>
        <w:t>&lt;</w:t>
      </w:r>
      <w:r w:rsidRPr="4D1BBAA5">
        <w:rPr>
          <w:rFonts w:ascii="Arial" w:hAnsi="Arial" w:cs="Arial"/>
        </w:rPr>
        <w:t>400</w:t>
      </w:r>
      <w:r>
        <w:rPr>
          <w:rFonts w:ascii="Arial" w:hAnsi="Arial" w:cs="Arial"/>
        </w:rPr>
        <w:t> ML d</w:t>
      </w:r>
      <w:r w:rsidRPr="4D1BBAA5">
        <w:rPr>
          <w:rFonts w:ascii="Arial" w:hAnsi="Arial" w:cs="Arial"/>
        </w:rPr>
        <w:t>ay</w:t>
      </w:r>
      <w:r w:rsidRPr="0090569E">
        <w:rPr>
          <w:vertAlign w:val="superscript"/>
        </w:rPr>
        <w:t>–1</w:t>
      </w:r>
      <w:r w:rsidRPr="4D1BBAA5">
        <w:rPr>
          <w:rFonts w:ascii="Arial" w:hAnsi="Arial" w:cs="Arial"/>
        </w:rPr>
        <w:t xml:space="preserve">, </w:t>
      </w:r>
      <w:r>
        <w:rPr>
          <w:rFonts w:ascii="Arial" w:hAnsi="Arial" w:cs="Arial"/>
        </w:rPr>
        <w:t xml:space="preserve">there is </w:t>
      </w:r>
      <w:r w:rsidRPr="4D1BBAA5">
        <w:rPr>
          <w:rFonts w:ascii="Arial" w:hAnsi="Arial" w:cs="Arial"/>
        </w:rPr>
        <w:t>no larval drift on the day</w:t>
      </w:r>
      <w:r>
        <w:rPr>
          <w:rFonts w:ascii="Arial" w:hAnsi="Arial" w:cs="Arial"/>
        </w:rPr>
        <w:t>;</w:t>
      </w:r>
      <w:r w:rsidRPr="4D1BBAA5">
        <w:rPr>
          <w:rFonts w:ascii="Arial" w:hAnsi="Arial" w:cs="Arial"/>
        </w:rPr>
        <w:t xml:space="preserve"> if </w:t>
      </w:r>
      <w:r>
        <w:rPr>
          <w:rFonts w:ascii="Arial" w:hAnsi="Arial" w:cs="Arial"/>
        </w:rPr>
        <w:t>flow is &gt;</w:t>
      </w:r>
      <w:r w:rsidRPr="4D1BBAA5">
        <w:rPr>
          <w:rFonts w:ascii="Arial" w:hAnsi="Arial" w:cs="Arial"/>
        </w:rPr>
        <w:t>400</w:t>
      </w:r>
      <w:r>
        <w:rPr>
          <w:rFonts w:ascii="Arial" w:hAnsi="Arial" w:cs="Arial"/>
        </w:rPr>
        <w:t> ML d</w:t>
      </w:r>
      <w:r w:rsidRPr="4D1BBAA5">
        <w:rPr>
          <w:rFonts w:ascii="Arial" w:hAnsi="Arial" w:cs="Arial"/>
        </w:rPr>
        <w:t>ay</w:t>
      </w:r>
      <w:r>
        <w:rPr>
          <w:rFonts w:ascii="Arial" w:hAnsi="Arial" w:cs="Arial"/>
          <w:vertAlign w:val="superscript"/>
        </w:rPr>
        <w:t>–1</w:t>
      </w:r>
      <w:r w:rsidRPr="4D1BBAA5">
        <w:rPr>
          <w:rFonts w:ascii="Arial" w:hAnsi="Arial" w:cs="Arial"/>
        </w:rPr>
        <w:t xml:space="preserve">, it follows the relationship defined in </w:t>
      </w:r>
      <w:r w:rsidRPr="00C176A3">
        <w:fldChar w:fldCharType="begin"/>
      </w:r>
      <w:r w:rsidRPr="00C176A3">
        <w:rPr>
          <w:rFonts w:ascii="Arial" w:hAnsi="Arial" w:cs="Arial"/>
        </w:rPr>
        <w:instrText xml:space="preserve"> REF _Ref105690804 \h </w:instrText>
      </w:r>
      <w:r>
        <w:rPr>
          <w:rFonts w:ascii="Arial" w:hAnsi="Arial" w:cs="Arial"/>
        </w:rPr>
        <w:instrText xml:space="preserve"> \* MERGEFORMAT </w:instrText>
      </w:r>
      <w:r w:rsidRPr="00C176A3">
        <w:fldChar w:fldCharType="separate"/>
      </w:r>
      <w:r w:rsidR="005B672A" w:rsidRPr="005B672A">
        <w:rPr>
          <w:rFonts w:ascii="Arial" w:hAnsi="Arial" w:cs="Arial"/>
        </w:rPr>
        <w:t>Figure A2.11</w:t>
      </w:r>
      <w:r w:rsidRPr="00C176A3">
        <w:fldChar w:fldCharType="end"/>
      </w:r>
      <w:r w:rsidRPr="4D1BBAA5">
        <w:rPr>
          <w:rFonts w:ascii="Arial" w:hAnsi="Arial" w:cs="Arial"/>
        </w:rPr>
        <w:t>.</w:t>
      </w:r>
    </w:p>
    <w:p w14:paraId="135BE3C7" w14:textId="708349B4" w:rsidR="00491210" w:rsidRPr="00171B99" w:rsidRDefault="003E1401" w:rsidP="00171B99">
      <w:pPr>
        <w:jc w:val="center"/>
        <w:rPr>
          <w:sz w:val="22"/>
          <w:szCs w:val="22"/>
          <w:lang w:val="en-US"/>
        </w:rPr>
      </w:pPr>
      <w:r>
        <w:rPr>
          <w:noProof/>
          <w:sz w:val="22"/>
          <w:szCs w:val="22"/>
          <w:lang w:eastAsia="en-AU"/>
        </w:rPr>
        <w:t xml:space="preserve"> </w:t>
      </w:r>
    </w:p>
    <w:p w14:paraId="661B9A1D" w14:textId="473A2C8A" w:rsidR="00491210" w:rsidRDefault="00EE200C" w:rsidP="00F602FE">
      <w:pPr>
        <w:pStyle w:val="AppendixFigureCaption"/>
        <w:rPr>
          <w:lang w:val="en-US"/>
        </w:rPr>
      </w:pPr>
      <w:bookmarkStart w:id="397" w:name="_Ref105690804"/>
      <w:r>
        <w:t>Figure A2.</w:t>
      </w:r>
      <w:r>
        <w:rPr>
          <w:b w:val="0"/>
          <w:bCs w:val="0"/>
        </w:rPr>
        <w:fldChar w:fldCharType="begin"/>
      </w:r>
      <w:r>
        <w:instrText>SEQ Figure_A2. \* ARABIC</w:instrText>
      </w:r>
      <w:r>
        <w:rPr>
          <w:b w:val="0"/>
          <w:bCs w:val="0"/>
        </w:rPr>
        <w:fldChar w:fldCharType="separate"/>
      </w:r>
      <w:r w:rsidR="005B672A">
        <w:rPr>
          <w:noProof/>
        </w:rPr>
        <w:t>11</w:t>
      </w:r>
      <w:r>
        <w:rPr>
          <w:b w:val="0"/>
          <w:bCs w:val="0"/>
        </w:rPr>
        <w:fldChar w:fldCharType="end"/>
      </w:r>
      <w:bookmarkEnd w:id="397"/>
      <w:r>
        <w:t xml:space="preserve">. </w:t>
      </w:r>
      <w:r w:rsidRPr="00171B99">
        <w:rPr>
          <w:lang w:val="en-US"/>
        </w:rPr>
        <w:t xml:space="preserve">Relationship between flow and drift of Golden </w:t>
      </w:r>
      <w:r>
        <w:rPr>
          <w:lang w:val="en-US"/>
        </w:rPr>
        <w:t>P</w:t>
      </w:r>
      <w:r w:rsidRPr="00171B99">
        <w:rPr>
          <w:lang w:val="en-US"/>
        </w:rPr>
        <w:t xml:space="preserve">erch larvae from </w:t>
      </w:r>
      <w:r w:rsidRPr="00171B99">
        <w:t xml:space="preserve">the </w:t>
      </w:r>
      <w:r>
        <w:t>Low</w:t>
      </w:r>
      <w:r w:rsidRPr="00171B99">
        <w:t xml:space="preserve">er </w:t>
      </w:r>
      <w:r>
        <w:t>Darling</w:t>
      </w:r>
      <w:r w:rsidRPr="00171B99">
        <w:t xml:space="preserve"> River</w:t>
      </w:r>
      <w:r w:rsidRPr="00171B99">
        <w:rPr>
          <w:lang w:val="en-US"/>
        </w:rPr>
        <w:t xml:space="preserve"> population into</w:t>
      </w:r>
      <w:r>
        <w:rPr>
          <w:lang w:val="en-US"/>
        </w:rPr>
        <w:t xml:space="preserve"> the</w:t>
      </w:r>
      <w:r w:rsidRPr="00171B99">
        <w:rPr>
          <w:lang w:val="en-US"/>
        </w:rPr>
        <w:t xml:space="preserve"> </w:t>
      </w:r>
      <w:r w:rsidRPr="00171B99">
        <w:t>Lower Murr</w:t>
      </w:r>
      <w:r>
        <w:t>ay</w:t>
      </w:r>
      <w:r w:rsidRPr="00171B99">
        <w:t xml:space="preserve"> River</w:t>
      </w:r>
      <w:r w:rsidRPr="00171B99">
        <w:rPr>
          <w:lang w:val="en-US"/>
        </w:rPr>
        <w:t xml:space="preserve"> population</w:t>
      </w:r>
      <w:r>
        <w:rPr>
          <w:lang w:val="en-US"/>
        </w:rPr>
        <w:t>.</w:t>
      </w:r>
    </w:p>
    <w:p w14:paraId="2F95890F" w14:textId="301833E6" w:rsidR="00491210" w:rsidRPr="008F0FA8" w:rsidRDefault="00EE200C" w:rsidP="3FC79A6E">
      <w:pPr>
        <w:pStyle w:val="paragraph"/>
        <w:spacing w:before="0" w:beforeAutospacing="0" w:after="120" w:afterAutospacing="0" w:line="259" w:lineRule="auto"/>
        <w:jc w:val="both"/>
        <w:rPr>
          <w:rFonts w:ascii="Arial" w:hAnsi="Arial" w:cs="Arial"/>
        </w:rPr>
      </w:pPr>
      <w:r w:rsidRPr="3FC79A6E">
        <w:rPr>
          <w:rFonts w:ascii="Arial" w:hAnsi="Arial" w:cs="Arial"/>
        </w:rPr>
        <w:t xml:space="preserve">Drift from the Edward River population into the </w:t>
      </w:r>
      <w:r>
        <w:rPr>
          <w:rFonts w:ascii="Arial" w:hAnsi="Arial" w:cs="Arial"/>
        </w:rPr>
        <w:t>Torrumbarry to Wentworth</w:t>
      </w:r>
      <w:r w:rsidRPr="3FC79A6E">
        <w:rPr>
          <w:rFonts w:ascii="Arial" w:hAnsi="Arial" w:cs="Arial"/>
        </w:rPr>
        <w:t xml:space="preserve"> </w:t>
      </w:r>
      <w:r>
        <w:rPr>
          <w:rFonts w:ascii="Arial" w:hAnsi="Arial" w:cs="Arial"/>
        </w:rPr>
        <w:t>population follows these rules: i</w:t>
      </w:r>
      <w:r w:rsidRPr="3FC79A6E">
        <w:rPr>
          <w:rFonts w:ascii="Arial" w:hAnsi="Arial" w:cs="Arial"/>
        </w:rPr>
        <w:t>f the maximum flow on the day or for the following 15</w:t>
      </w:r>
      <w:r>
        <w:rPr>
          <w:rFonts w:ascii="Arial" w:hAnsi="Arial" w:cs="Arial"/>
        </w:rPr>
        <w:t> </w:t>
      </w:r>
      <w:r w:rsidRPr="3FC79A6E">
        <w:rPr>
          <w:rFonts w:ascii="Arial" w:hAnsi="Arial" w:cs="Arial"/>
        </w:rPr>
        <w:t xml:space="preserve">days is </w:t>
      </w:r>
      <w:r>
        <w:rPr>
          <w:rFonts w:ascii="Arial" w:hAnsi="Arial" w:cs="Arial"/>
        </w:rPr>
        <w:t>&gt;</w:t>
      </w:r>
      <w:r w:rsidRPr="3FC79A6E">
        <w:rPr>
          <w:rFonts w:ascii="Arial" w:hAnsi="Arial" w:cs="Arial"/>
        </w:rPr>
        <w:t>15,000</w:t>
      </w:r>
      <w:r>
        <w:rPr>
          <w:rFonts w:ascii="Arial" w:hAnsi="Arial" w:cs="Arial"/>
        </w:rPr>
        <w:t> </w:t>
      </w:r>
      <w:r w:rsidRPr="3FC79A6E">
        <w:rPr>
          <w:rFonts w:ascii="Arial" w:hAnsi="Arial" w:cs="Arial"/>
        </w:rPr>
        <w:t>ML</w:t>
      </w:r>
      <w:r>
        <w:rPr>
          <w:rFonts w:ascii="Arial" w:hAnsi="Arial" w:cs="Arial"/>
        </w:rPr>
        <w:t> </w:t>
      </w:r>
      <w:r w:rsidRPr="3FC79A6E">
        <w:rPr>
          <w:rFonts w:ascii="Arial" w:hAnsi="Arial" w:cs="Arial"/>
        </w:rPr>
        <w:t>day</w:t>
      </w:r>
      <w:r>
        <w:rPr>
          <w:rFonts w:ascii="Arial" w:hAnsi="Arial" w:cs="Arial"/>
          <w:vertAlign w:val="superscript"/>
        </w:rPr>
        <w:t>–1</w:t>
      </w:r>
      <w:r w:rsidRPr="3FC79A6E">
        <w:rPr>
          <w:rFonts w:ascii="Arial" w:hAnsi="Arial" w:cs="Arial"/>
        </w:rPr>
        <w:t xml:space="preserve">, larval drift is 0.8. If flow does not reach these </w:t>
      </w:r>
      <w:r>
        <w:rPr>
          <w:rFonts w:ascii="Arial" w:hAnsi="Arial" w:cs="Arial"/>
        </w:rPr>
        <w:t>levels</w:t>
      </w:r>
      <w:r w:rsidRPr="3FC79A6E">
        <w:rPr>
          <w:rFonts w:ascii="Arial" w:hAnsi="Arial" w:cs="Arial"/>
        </w:rPr>
        <w:t>, larval drift is 0.25 for the day.</w:t>
      </w:r>
    </w:p>
    <w:p w14:paraId="16B7D779" w14:textId="77777777" w:rsidR="00491210" w:rsidRPr="00171B99" w:rsidRDefault="00EE200C" w:rsidP="00171B99">
      <w:pPr>
        <w:keepNext/>
        <w:spacing w:before="240"/>
        <w:rPr>
          <w:i/>
          <w:iCs/>
          <w:sz w:val="22"/>
          <w:szCs w:val="22"/>
        </w:rPr>
      </w:pPr>
      <w:r w:rsidRPr="00171B99">
        <w:rPr>
          <w:i/>
          <w:iCs/>
          <w:sz w:val="22"/>
          <w:szCs w:val="22"/>
        </w:rPr>
        <w:t>Golden Perch juvenile and adult movement</w:t>
      </w:r>
    </w:p>
    <w:p w14:paraId="25D1FA53" w14:textId="20143C47" w:rsidR="00491210" w:rsidRPr="008F0FA8" w:rsidRDefault="00EE200C" w:rsidP="008F0FA8">
      <w:pPr>
        <w:pStyle w:val="paragraph"/>
        <w:spacing w:before="0" w:beforeAutospacing="0" w:after="120" w:afterAutospacing="0" w:line="259" w:lineRule="auto"/>
        <w:jc w:val="both"/>
        <w:rPr>
          <w:rFonts w:ascii="Arial" w:hAnsi="Arial" w:cs="Arial"/>
        </w:rPr>
      </w:pPr>
      <w:r w:rsidRPr="003F7539">
        <w:rPr>
          <w:rFonts w:ascii="Arial" w:hAnsi="Arial" w:cs="Arial"/>
        </w:rPr>
        <w:t>Movement is calculated as the proportion of the adult and juvenile population that moves from one</w:t>
      </w:r>
      <w:r w:rsidRPr="008F0FA8">
        <w:rPr>
          <w:rFonts w:ascii="Arial" w:hAnsi="Arial" w:cs="Arial"/>
        </w:rPr>
        <w:t xml:space="preserve"> population to another in a single year time</w:t>
      </w:r>
      <w:r>
        <w:rPr>
          <w:rFonts w:ascii="Arial" w:hAnsi="Arial" w:cs="Arial"/>
        </w:rPr>
        <w:t xml:space="preserve"> </w:t>
      </w:r>
      <w:r w:rsidRPr="008F0FA8">
        <w:rPr>
          <w:rFonts w:ascii="Arial" w:hAnsi="Arial" w:cs="Arial"/>
        </w:rPr>
        <w:t xml:space="preserve">step. Fish can only move </w:t>
      </w:r>
      <w:r>
        <w:rPr>
          <w:rFonts w:ascii="Arial" w:hAnsi="Arial" w:cs="Arial"/>
        </w:rPr>
        <w:t>into adjacent</w:t>
      </w:r>
      <w:r w:rsidRPr="008F0FA8">
        <w:rPr>
          <w:rFonts w:ascii="Arial" w:hAnsi="Arial" w:cs="Arial"/>
        </w:rPr>
        <w:t xml:space="preserve"> population</w:t>
      </w:r>
      <w:r>
        <w:rPr>
          <w:rFonts w:ascii="Arial" w:hAnsi="Arial" w:cs="Arial"/>
        </w:rPr>
        <w:t>s</w:t>
      </w:r>
      <w:r w:rsidRPr="008F0FA8">
        <w:rPr>
          <w:rFonts w:ascii="Arial" w:hAnsi="Arial" w:cs="Arial"/>
        </w:rPr>
        <w:t xml:space="preserve"> in a given year time</w:t>
      </w:r>
      <w:r>
        <w:rPr>
          <w:rFonts w:ascii="Arial" w:hAnsi="Arial" w:cs="Arial"/>
        </w:rPr>
        <w:t xml:space="preserve"> </w:t>
      </w:r>
      <w:r w:rsidRPr="008F0FA8">
        <w:rPr>
          <w:rFonts w:ascii="Arial" w:hAnsi="Arial" w:cs="Arial"/>
        </w:rPr>
        <w:t>step</w:t>
      </w:r>
      <w:r>
        <w:rPr>
          <w:rFonts w:ascii="Arial" w:hAnsi="Arial" w:cs="Arial"/>
        </w:rPr>
        <w:t>,</w:t>
      </w:r>
      <w:r w:rsidRPr="008F0FA8">
        <w:rPr>
          <w:rFonts w:ascii="Arial" w:hAnsi="Arial" w:cs="Arial"/>
        </w:rPr>
        <w:t xml:space="preserve"> and this may underestimate fish movement</w:t>
      </w:r>
      <w:r>
        <w:rPr>
          <w:rFonts w:ascii="Arial" w:hAnsi="Arial" w:cs="Arial"/>
        </w:rPr>
        <w:t>—</w:t>
      </w:r>
      <w:r w:rsidRPr="008F0FA8">
        <w:rPr>
          <w:rFonts w:ascii="Arial" w:hAnsi="Arial" w:cs="Arial"/>
        </w:rPr>
        <w:t xml:space="preserve">particularly for adult </w:t>
      </w:r>
      <w:r>
        <w:rPr>
          <w:rFonts w:ascii="Arial" w:hAnsi="Arial" w:cs="Arial"/>
        </w:rPr>
        <w:t>G</w:t>
      </w:r>
      <w:r w:rsidRPr="008F0FA8">
        <w:rPr>
          <w:rFonts w:ascii="Arial" w:hAnsi="Arial" w:cs="Arial"/>
        </w:rPr>
        <w:t xml:space="preserve">olden </w:t>
      </w:r>
      <w:r>
        <w:rPr>
          <w:rFonts w:ascii="Arial" w:hAnsi="Arial" w:cs="Arial"/>
        </w:rPr>
        <w:t>P</w:t>
      </w:r>
      <w:r w:rsidRPr="008F0FA8">
        <w:rPr>
          <w:rFonts w:ascii="Arial" w:hAnsi="Arial" w:cs="Arial"/>
        </w:rPr>
        <w:t>erch during high flows. The proportion of fish moving is dictated by specific flow rules in each area. Here, daily flows drive a daily movement value that is summed over each year time</w:t>
      </w:r>
      <w:r>
        <w:rPr>
          <w:rFonts w:ascii="Arial" w:hAnsi="Arial" w:cs="Arial"/>
        </w:rPr>
        <w:t xml:space="preserve"> </w:t>
      </w:r>
      <w:r w:rsidRPr="008F0FA8">
        <w:rPr>
          <w:rFonts w:ascii="Arial" w:hAnsi="Arial" w:cs="Arial"/>
        </w:rPr>
        <w:t>step (Figures A2.12 and A2.13). This defines the movement of fish in each population within a year</w:t>
      </w:r>
      <w:r>
        <w:rPr>
          <w:rFonts w:ascii="Arial" w:hAnsi="Arial" w:cs="Arial"/>
        </w:rPr>
        <w:t>,</w:t>
      </w:r>
      <w:r w:rsidRPr="008F0FA8">
        <w:rPr>
          <w:rFonts w:ascii="Arial" w:hAnsi="Arial" w:cs="Arial"/>
        </w:rPr>
        <w:t xml:space="preserve"> and </w:t>
      </w:r>
      <w:r>
        <w:rPr>
          <w:rFonts w:ascii="Arial" w:hAnsi="Arial" w:cs="Arial"/>
        </w:rPr>
        <w:t>the daily movement</w:t>
      </w:r>
      <w:r w:rsidRPr="008F0FA8">
        <w:rPr>
          <w:rFonts w:ascii="Arial" w:hAnsi="Arial" w:cs="Arial"/>
        </w:rPr>
        <w:t xml:space="preserve"> value is apportioned to possible destinations via an upstream: downstream movement ratio and also via relative flow</w:t>
      </w:r>
      <w:r>
        <w:rPr>
          <w:rFonts w:ascii="Arial" w:hAnsi="Arial" w:cs="Arial"/>
        </w:rPr>
        <w:t xml:space="preserve"> ratios</w:t>
      </w:r>
      <w:r w:rsidRPr="008F0FA8">
        <w:rPr>
          <w:rFonts w:ascii="Arial" w:hAnsi="Arial" w:cs="Arial"/>
        </w:rPr>
        <w:t xml:space="preserve"> where movement </w:t>
      </w:r>
      <w:r>
        <w:rPr>
          <w:rFonts w:ascii="Arial" w:hAnsi="Arial" w:cs="Arial"/>
        </w:rPr>
        <w:t>‘</w:t>
      </w:r>
      <w:r w:rsidRPr="008F0FA8">
        <w:rPr>
          <w:rFonts w:ascii="Arial" w:hAnsi="Arial" w:cs="Arial"/>
        </w:rPr>
        <w:t>decisions</w:t>
      </w:r>
      <w:r>
        <w:rPr>
          <w:rFonts w:ascii="Arial" w:hAnsi="Arial" w:cs="Arial"/>
        </w:rPr>
        <w:t>’</w:t>
      </w:r>
      <w:r w:rsidRPr="008F0FA8">
        <w:rPr>
          <w:rFonts w:ascii="Arial" w:hAnsi="Arial" w:cs="Arial"/>
        </w:rPr>
        <w:t xml:space="preserve"> need to be made (i.e. at intersections: see Table A2.1 for more detail). Note that 3</w:t>
      </w:r>
      <w:r>
        <w:rPr>
          <w:rFonts w:ascii="Arial" w:hAnsi="Arial" w:cs="Arial"/>
        </w:rPr>
        <w:t>-</w:t>
      </w:r>
      <w:r w:rsidRPr="008F0FA8">
        <w:rPr>
          <w:rFonts w:ascii="Arial" w:hAnsi="Arial" w:cs="Arial"/>
        </w:rPr>
        <w:t>year</w:t>
      </w:r>
      <w:r>
        <w:rPr>
          <w:rFonts w:ascii="Arial" w:hAnsi="Arial" w:cs="Arial"/>
        </w:rPr>
        <w:t>-</w:t>
      </w:r>
      <w:r w:rsidRPr="008F0FA8">
        <w:rPr>
          <w:rFonts w:ascii="Arial" w:hAnsi="Arial" w:cs="Arial"/>
        </w:rPr>
        <w:t>olds are counted as juveniles in the model, but the adult movement rate is applied to this year class.</w:t>
      </w:r>
    </w:p>
    <w:p w14:paraId="037D12EE" w14:textId="1E4890A1" w:rsidR="00491210" w:rsidRPr="00171B99" w:rsidRDefault="003E1401" w:rsidP="00171B99">
      <w:pPr>
        <w:jc w:val="center"/>
        <w:rPr>
          <w:sz w:val="22"/>
          <w:szCs w:val="22"/>
          <w:lang w:val="en-US"/>
        </w:rPr>
      </w:pPr>
      <w:r>
        <w:rPr>
          <w:noProof/>
          <w:sz w:val="22"/>
          <w:szCs w:val="22"/>
          <w:lang w:eastAsia="en-AU"/>
        </w:rPr>
        <w:t xml:space="preserve"> </w:t>
      </w:r>
    </w:p>
    <w:p w14:paraId="704BE097" w14:textId="7948C9D9" w:rsidR="00491210" w:rsidRPr="00171B99" w:rsidRDefault="00EE200C" w:rsidP="00F602FE">
      <w:pPr>
        <w:pStyle w:val="AppendixFigureCaption"/>
        <w:rPr>
          <w:lang w:val="en-US"/>
        </w:rPr>
      </w:pPr>
      <w:r>
        <w:t>Figure A2.</w:t>
      </w:r>
      <w:r>
        <w:fldChar w:fldCharType="begin"/>
      </w:r>
      <w:r>
        <w:instrText>SEQ Figure_A2. \* ARABIC</w:instrText>
      </w:r>
      <w:r>
        <w:fldChar w:fldCharType="separate"/>
      </w:r>
      <w:r w:rsidR="005B672A">
        <w:rPr>
          <w:noProof/>
        </w:rPr>
        <w:t>12</w:t>
      </w:r>
      <w:r>
        <w:fldChar w:fldCharType="end"/>
      </w:r>
      <w:r>
        <w:t>.</w:t>
      </w:r>
      <w:r w:rsidRPr="00171B99">
        <w:rPr>
          <w:lang w:val="en-US"/>
        </w:rPr>
        <w:t xml:space="preserve"> Adult daily movement value </w:t>
      </w:r>
      <w:r>
        <w:rPr>
          <w:lang w:val="en-US"/>
        </w:rPr>
        <w:t>a</w:t>
      </w:r>
      <w:r w:rsidRPr="00171B99">
        <w:rPr>
          <w:lang w:val="en-US"/>
        </w:rPr>
        <w:t>s a function of flow on that day. This relationship is scaled to the size of the reset flow value for each population. This relationship is based upon movement data at Torrumbarry weir</w:t>
      </w:r>
      <w:r>
        <w:rPr>
          <w:lang w:val="en-US"/>
        </w:rPr>
        <w:t>.</w:t>
      </w:r>
    </w:p>
    <w:p w14:paraId="29F40089" w14:textId="3A9A7078" w:rsidR="00491210" w:rsidRPr="00171B99" w:rsidRDefault="003E1401" w:rsidP="00171B99">
      <w:pPr>
        <w:jc w:val="center"/>
        <w:rPr>
          <w:sz w:val="22"/>
          <w:szCs w:val="22"/>
          <w:lang w:val="en-US"/>
        </w:rPr>
      </w:pPr>
      <w:r>
        <w:rPr>
          <w:noProof/>
          <w:sz w:val="22"/>
          <w:szCs w:val="22"/>
          <w:lang w:eastAsia="en-AU"/>
        </w:rPr>
        <w:t xml:space="preserve"> </w:t>
      </w:r>
    </w:p>
    <w:p w14:paraId="10C54F08" w14:textId="5E801F2B" w:rsidR="00491210" w:rsidRPr="00171B99" w:rsidRDefault="00EE200C" w:rsidP="00F602FE">
      <w:pPr>
        <w:pStyle w:val="AppendixFigureCaption"/>
        <w:rPr>
          <w:lang w:val="en-US"/>
        </w:rPr>
      </w:pPr>
      <w:r>
        <w:t>Figure A2.</w:t>
      </w:r>
      <w:r>
        <w:fldChar w:fldCharType="begin"/>
      </w:r>
      <w:r>
        <w:instrText>SEQ Figure_A2. \* ARABIC</w:instrText>
      </w:r>
      <w:r>
        <w:fldChar w:fldCharType="separate"/>
      </w:r>
      <w:r w:rsidR="005B672A">
        <w:rPr>
          <w:noProof/>
        </w:rPr>
        <w:t>13</w:t>
      </w:r>
      <w:r>
        <w:fldChar w:fldCharType="end"/>
      </w:r>
      <w:r>
        <w:t xml:space="preserve">. </w:t>
      </w:r>
      <w:r w:rsidRPr="00171B99">
        <w:rPr>
          <w:lang w:val="en-US"/>
        </w:rPr>
        <w:t>Juvenile daily movement value as a function of flow on that day. This relationship is scaled to the size of the reset flow value for each population. This relationship is based upon movement data at Torrumbarry weir</w:t>
      </w:r>
      <w:r>
        <w:rPr>
          <w:lang w:val="en-US"/>
        </w:rPr>
        <w:t>.</w:t>
      </w:r>
    </w:p>
    <w:p w14:paraId="4BF44139" w14:textId="57081562" w:rsidR="00491210" w:rsidRDefault="00EE200C" w:rsidP="008F0FA8">
      <w:pPr>
        <w:pStyle w:val="paragraph"/>
        <w:spacing w:before="0" w:beforeAutospacing="0" w:after="120" w:afterAutospacing="0" w:line="259" w:lineRule="auto"/>
        <w:jc w:val="both"/>
        <w:rPr>
          <w:rFonts w:ascii="Arial" w:hAnsi="Arial" w:cs="Arial"/>
        </w:rPr>
      </w:pPr>
      <w:r w:rsidRPr="008F0FA8">
        <w:rPr>
          <w:rFonts w:ascii="Arial" w:hAnsi="Arial" w:cs="Arial"/>
        </w:rPr>
        <w:t xml:space="preserve">Note that an overall movement rate is calculated for each population in each year (according to flow as above), and this overall rate (called </w:t>
      </w:r>
      <w:r>
        <w:rPr>
          <w:rFonts w:ascii="Arial" w:hAnsi="Arial" w:cs="Arial"/>
        </w:rPr>
        <w:t>‘</w:t>
      </w:r>
      <w:r w:rsidRPr="009034D9">
        <w:rPr>
          <w:i/>
        </w:rPr>
        <w:t>Totalmovement</w:t>
      </w:r>
      <w:r>
        <w:rPr>
          <w:rFonts w:ascii="Arial" w:hAnsi="Arial" w:cs="Arial"/>
        </w:rPr>
        <w:t>’</w:t>
      </w:r>
      <w:r w:rsidRPr="008F0FA8">
        <w:rPr>
          <w:rFonts w:ascii="Arial" w:hAnsi="Arial" w:cs="Arial"/>
        </w:rPr>
        <w:t xml:space="preserve"> in Table A2.1) is then split into movement to possible destination populations via a set of movement rules (Table A2.1). The underlying movement ratio is 3:1 upstream </w:t>
      </w:r>
      <w:r>
        <w:rPr>
          <w:rFonts w:ascii="Arial" w:hAnsi="Arial" w:cs="Arial"/>
        </w:rPr>
        <w:t xml:space="preserve">(u/s) </w:t>
      </w:r>
      <w:r w:rsidRPr="008F0FA8">
        <w:rPr>
          <w:rFonts w:ascii="Arial" w:hAnsi="Arial" w:cs="Arial"/>
        </w:rPr>
        <w:t xml:space="preserve">to downstream </w:t>
      </w:r>
      <w:r>
        <w:rPr>
          <w:rFonts w:ascii="Arial" w:hAnsi="Arial" w:cs="Arial"/>
        </w:rPr>
        <w:t xml:space="preserve">(d/s) </w:t>
      </w:r>
      <w:r w:rsidRPr="008F0FA8">
        <w:rPr>
          <w:rFonts w:ascii="Arial" w:hAnsi="Arial" w:cs="Arial"/>
        </w:rPr>
        <w:t>(</w:t>
      </w:r>
      <w:r>
        <w:rPr>
          <w:rFonts w:ascii="Arial" w:hAnsi="Arial" w:cs="Arial"/>
        </w:rPr>
        <w:t>determined</w:t>
      </w:r>
      <w:r w:rsidRPr="008F0FA8">
        <w:rPr>
          <w:rFonts w:ascii="Arial" w:hAnsi="Arial" w:cs="Arial"/>
        </w:rPr>
        <w:t xml:space="preserve"> from </w:t>
      </w:r>
      <w:r>
        <w:rPr>
          <w:rFonts w:ascii="Arial" w:hAnsi="Arial" w:cs="Arial"/>
        </w:rPr>
        <w:t xml:space="preserve">the </w:t>
      </w:r>
      <w:r w:rsidRPr="008F0FA8">
        <w:rPr>
          <w:rFonts w:ascii="Arial" w:hAnsi="Arial" w:cs="Arial"/>
        </w:rPr>
        <w:t>expert opinion of the wider working group</w:t>
      </w:r>
      <w:r>
        <w:rPr>
          <w:rFonts w:ascii="Arial" w:hAnsi="Arial" w:cs="Arial"/>
        </w:rPr>
        <w:t xml:space="preserve"> as there is</w:t>
      </w:r>
      <w:r w:rsidRPr="008F0FA8">
        <w:rPr>
          <w:rFonts w:ascii="Arial" w:hAnsi="Arial" w:cs="Arial"/>
        </w:rPr>
        <w:t xml:space="preserve"> no field data). These ratios are incorporated into the equations in Table. A2.1 as </w:t>
      </w:r>
      <w:r>
        <w:rPr>
          <w:rFonts w:ascii="Arial" w:hAnsi="Arial" w:cs="Arial"/>
        </w:rPr>
        <w:t>‘</w:t>
      </w:r>
      <w:r>
        <w:rPr>
          <w:i/>
        </w:rPr>
        <w:t>u/s</w:t>
      </w:r>
      <w:r w:rsidRPr="009034D9">
        <w:rPr>
          <w:i/>
        </w:rPr>
        <w:t xml:space="preserve"> movement</w:t>
      </w:r>
      <w:r>
        <w:rPr>
          <w:rFonts w:ascii="Arial" w:hAnsi="Arial" w:cs="Arial"/>
        </w:rPr>
        <w:t>’</w:t>
      </w:r>
      <w:r w:rsidRPr="008F0FA8">
        <w:rPr>
          <w:rFonts w:ascii="Arial" w:hAnsi="Arial" w:cs="Arial"/>
        </w:rPr>
        <w:t xml:space="preserve"> or </w:t>
      </w:r>
      <w:r>
        <w:rPr>
          <w:rFonts w:ascii="Arial" w:hAnsi="Arial" w:cs="Arial"/>
        </w:rPr>
        <w:t>‘</w:t>
      </w:r>
      <w:r>
        <w:rPr>
          <w:i/>
        </w:rPr>
        <w:t>d/s</w:t>
      </w:r>
      <w:r w:rsidRPr="009034D9">
        <w:rPr>
          <w:i/>
        </w:rPr>
        <w:t xml:space="preserve"> movement</w:t>
      </w:r>
      <w:r>
        <w:rPr>
          <w:rFonts w:ascii="Arial" w:hAnsi="Arial" w:cs="Arial"/>
        </w:rPr>
        <w:t>’</w:t>
      </w:r>
      <w:r w:rsidRPr="008F0FA8">
        <w:rPr>
          <w:rFonts w:ascii="Arial" w:hAnsi="Arial" w:cs="Arial"/>
        </w:rPr>
        <w:t xml:space="preserve">. Movement </w:t>
      </w:r>
      <w:r>
        <w:rPr>
          <w:rFonts w:ascii="Arial" w:hAnsi="Arial" w:cs="Arial"/>
        </w:rPr>
        <w:t>‘</w:t>
      </w:r>
      <w:r w:rsidRPr="008F0FA8">
        <w:rPr>
          <w:rFonts w:ascii="Arial" w:hAnsi="Arial" w:cs="Arial"/>
        </w:rPr>
        <w:t>decisions</w:t>
      </w:r>
      <w:r>
        <w:rPr>
          <w:rFonts w:ascii="Arial" w:hAnsi="Arial" w:cs="Arial"/>
        </w:rPr>
        <w:t>’</w:t>
      </w:r>
      <w:r w:rsidRPr="008F0FA8">
        <w:rPr>
          <w:rFonts w:ascii="Arial" w:hAnsi="Arial" w:cs="Arial"/>
        </w:rPr>
        <w:t xml:space="preserve"> where there is a river junction (i.e. </w:t>
      </w:r>
      <w:r>
        <w:rPr>
          <w:rFonts w:ascii="Arial" w:hAnsi="Arial" w:cs="Arial"/>
        </w:rPr>
        <w:t>where there are two</w:t>
      </w:r>
      <w:r w:rsidRPr="008F0FA8">
        <w:rPr>
          <w:rFonts w:ascii="Arial" w:hAnsi="Arial" w:cs="Arial"/>
        </w:rPr>
        <w:t xml:space="preserve"> or more destinations at the upstream or downstream end of a population) are based upon the ratio of </w:t>
      </w:r>
      <w:r>
        <w:rPr>
          <w:rFonts w:ascii="Arial" w:hAnsi="Arial" w:cs="Arial"/>
        </w:rPr>
        <w:t xml:space="preserve">the </w:t>
      </w:r>
      <w:r w:rsidRPr="008F0FA8">
        <w:rPr>
          <w:rFonts w:ascii="Arial" w:hAnsi="Arial" w:cs="Arial"/>
        </w:rPr>
        <w:t xml:space="preserve">flows relative to </w:t>
      </w:r>
      <w:r>
        <w:rPr>
          <w:rFonts w:ascii="Arial" w:hAnsi="Arial" w:cs="Arial"/>
        </w:rPr>
        <w:t xml:space="preserve">the </w:t>
      </w:r>
      <w:r w:rsidRPr="008F0FA8">
        <w:rPr>
          <w:rFonts w:ascii="Arial" w:hAnsi="Arial" w:cs="Arial"/>
        </w:rPr>
        <w:t xml:space="preserve">bank full </w:t>
      </w:r>
      <w:r>
        <w:rPr>
          <w:rFonts w:ascii="Arial" w:hAnsi="Arial" w:cs="Arial"/>
        </w:rPr>
        <w:t>flows</w:t>
      </w:r>
      <w:r w:rsidRPr="008F0FA8">
        <w:rPr>
          <w:rFonts w:ascii="Arial" w:hAnsi="Arial" w:cs="Arial"/>
        </w:rPr>
        <w:t xml:space="preserve"> </w:t>
      </w:r>
      <w:r>
        <w:rPr>
          <w:rFonts w:ascii="Arial" w:hAnsi="Arial" w:cs="Arial"/>
        </w:rPr>
        <w:t>from</w:t>
      </w:r>
      <w:r w:rsidRPr="008F0FA8">
        <w:rPr>
          <w:rFonts w:ascii="Arial" w:hAnsi="Arial" w:cs="Arial"/>
        </w:rPr>
        <w:t xml:space="preserve"> each destination. For example, the rule for fish moving from </w:t>
      </w:r>
      <w:r>
        <w:rPr>
          <w:rFonts w:ascii="Arial" w:hAnsi="Arial" w:cs="Arial"/>
        </w:rPr>
        <w:t>the L</w:t>
      </w:r>
      <w:r w:rsidRPr="008F0FA8">
        <w:rPr>
          <w:rFonts w:ascii="Arial" w:hAnsi="Arial" w:cs="Arial"/>
        </w:rPr>
        <w:t>ower Murray River and making a movement decision into either the Darling or</w:t>
      </w:r>
      <w:r>
        <w:rPr>
          <w:rFonts w:ascii="Arial" w:hAnsi="Arial" w:cs="Arial"/>
        </w:rPr>
        <w:t xml:space="preserve"> M</w:t>
      </w:r>
      <w:r w:rsidRPr="008F0FA8">
        <w:rPr>
          <w:rFonts w:ascii="Arial" w:hAnsi="Arial" w:cs="Arial"/>
        </w:rPr>
        <w:t xml:space="preserve">id Murray rivers is a ratio of the proportion of bank full flows in each destination reach. This gives the </w:t>
      </w:r>
      <w:r>
        <w:rPr>
          <w:rFonts w:ascii="Arial" w:hAnsi="Arial" w:cs="Arial"/>
        </w:rPr>
        <w:t>Lower Darling</w:t>
      </w:r>
      <w:r w:rsidRPr="008F0FA8">
        <w:rPr>
          <w:rFonts w:ascii="Arial" w:hAnsi="Arial" w:cs="Arial"/>
        </w:rPr>
        <w:t xml:space="preserve"> River a greater weighting</w:t>
      </w:r>
      <w:r>
        <w:rPr>
          <w:rFonts w:ascii="Arial" w:hAnsi="Arial" w:cs="Arial"/>
        </w:rPr>
        <w:t>, reflecting the</w:t>
      </w:r>
      <w:r w:rsidRPr="008F0FA8">
        <w:rPr>
          <w:rFonts w:ascii="Arial" w:hAnsi="Arial" w:cs="Arial"/>
        </w:rPr>
        <w:t xml:space="preserve"> greater </w:t>
      </w:r>
      <w:r>
        <w:rPr>
          <w:rFonts w:ascii="Arial" w:hAnsi="Arial" w:cs="Arial"/>
        </w:rPr>
        <w:t>‘</w:t>
      </w:r>
      <w:r w:rsidRPr="008F0FA8">
        <w:rPr>
          <w:rFonts w:ascii="Arial" w:hAnsi="Arial" w:cs="Arial"/>
        </w:rPr>
        <w:t>attractiveness</w:t>
      </w:r>
      <w:r>
        <w:rPr>
          <w:rFonts w:ascii="Arial" w:hAnsi="Arial" w:cs="Arial"/>
        </w:rPr>
        <w:t>’</w:t>
      </w:r>
      <w:r w:rsidRPr="008F0FA8">
        <w:rPr>
          <w:rFonts w:ascii="Arial" w:hAnsi="Arial" w:cs="Arial"/>
        </w:rPr>
        <w:t xml:space="preserve"> of flows from this reach. The movement from the Lower Murray River population to the</w:t>
      </w:r>
      <w:r>
        <w:rPr>
          <w:rFonts w:ascii="Arial" w:hAnsi="Arial" w:cs="Arial"/>
        </w:rPr>
        <w:t xml:space="preserve"> </w:t>
      </w:r>
      <w:r w:rsidRPr="008F0FA8">
        <w:rPr>
          <w:rFonts w:ascii="Arial" w:hAnsi="Arial" w:cs="Arial"/>
        </w:rPr>
        <w:t>Mid Murray River population is</w:t>
      </w:r>
      <w:r>
        <w:rPr>
          <w:rFonts w:ascii="Arial" w:hAnsi="Arial" w:cs="Arial"/>
        </w:rPr>
        <w:t xml:space="preserve"> given by </w:t>
      </w:r>
      <w:r w:rsidRPr="008F0FA8">
        <w:rPr>
          <w:rFonts w:ascii="Arial" w:hAnsi="Arial" w:cs="Arial"/>
        </w:rPr>
        <w:t>1</w:t>
      </w:r>
      <w:r>
        <w:rPr>
          <w:rFonts w:ascii="Arial" w:hAnsi="Arial" w:cs="Arial"/>
        </w:rPr>
        <w:t xml:space="preserve"> –</w:t>
      </w:r>
      <w:r w:rsidRPr="008F0FA8">
        <w:rPr>
          <w:rFonts w:ascii="Arial" w:hAnsi="Arial" w:cs="Arial"/>
        </w:rPr>
        <w:t xml:space="preserve"> (movement from </w:t>
      </w:r>
      <w:r>
        <w:rPr>
          <w:rFonts w:ascii="Arial" w:hAnsi="Arial" w:cs="Arial"/>
        </w:rPr>
        <w:t xml:space="preserve">the </w:t>
      </w:r>
      <w:r w:rsidRPr="008F0FA8">
        <w:rPr>
          <w:rFonts w:ascii="Arial" w:hAnsi="Arial" w:cs="Arial"/>
        </w:rPr>
        <w:t>Lower Murray River population up to the Lower Darling River population).</w:t>
      </w:r>
      <w:r>
        <w:rPr>
          <w:rFonts w:ascii="Arial" w:hAnsi="Arial" w:cs="Arial"/>
        </w:rPr>
        <w:t xml:space="preserve"> </w:t>
      </w:r>
      <w:r w:rsidRPr="008F0FA8">
        <w:rPr>
          <w:rFonts w:ascii="Arial" w:hAnsi="Arial" w:cs="Arial"/>
        </w:rPr>
        <w:t xml:space="preserve">The proportion of fish moving from the </w:t>
      </w:r>
      <w:r>
        <w:rPr>
          <w:rFonts w:ascii="Arial" w:hAnsi="Arial" w:cs="Arial"/>
        </w:rPr>
        <w:t>Lower Darling</w:t>
      </w:r>
      <w:r w:rsidRPr="008F0FA8">
        <w:rPr>
          <w:rFonts w:ascii="Arial" w:hAnsi="Arial" w:cs="Arial"/>
        </w:rPr>
        <w:t xml:space="preserve"> River population and up or down the Murray River is driven by the upstream: downstream movement ratio (as above).</w:t>
      </w:r>
      <w:bookmarkStart w:id="398" w:name="_Hlk73014872"/>
    </w:p>
    <w:p w14:paraId="6FF0516F" w14:textId="28A0AA36" w:rsidR="00491210" w:rsidRPr="00171B99" w:rsidRDefault="00EE200C" w:rsidP="00F602FE">
      <w:pPr>
        <w:pStyle w:val="AppendixTableCaption"/>
        <w:rPr>
          <w:lang w:val="en-US"/>
        </w:rPr>
      </w:pPr>
      <w:r>
        <w:lastRenderedPageBreak/>
        <w:t>Table A2.</w:t>
      </w:r>
      <w:r>
        <w:fldChar w:fldCharType="begin"/>
      </w:r>
      <w:r>
        <w:instrText>SEQ Table_A2. \* ARABIC</w:instrText>
      </w:r>
      <w:r>
        <w:fldChar w:fldCharType="separate"/>
      </w:r>
      <w:r w:rsidR="005B672A">
        <w:rPr>
          <w:noProof/>
        </w:rPr>
        <w:t>1</w:t>
      </w:r>
      <w:r>
        <w:fldChar w:fldCharType="end"/>
      </w:r>
      <w:r>
        <w:t>.</w:t>
      </w:r>
      <w:r w:rsidRPr="00171B99">
        <w:rPr>
          <w:lang w:val="en-US"/>
        </w:rPr>
        <w:t xml:space="preserve"> Movement rules for Golden </w:t>
      </w:r>
      <w:r>
        <w:rPr>
          <w:lang w:val="en-US"/>
        </w:rPr>
        <w:t>P</w:t>
      </w:r>
      <w:r w:rsidRPr="00171B99">
        <w:rPr>
          <w:lang w:val="en-US"/>
        </w:rPr>
        <w:t xml:space="preserve">erch in the connected </w:t>
      </w:r>
      <w:r>
        <w:rPr>
          <w:lang w:val="en-US"/>
        </w:rPr>
        <w:t>L</w:t>
      </w:r>
      <w:r w:rsidRPr="00171B99">
        <w:rPr>
          <w:lang w:val="en-US"/>
        </w:rPr>
        <w:t>ower Murray</w:t>
      </w:r>
      <w:r>
        <w:rPr>
          <w:lang w:val="en-US"/>
        </w:rPr>
        <w:t>–</w:t>
      </w:r>
      <w:r w:rsidRPr="00171B99">
        <w:rPr>
          <w:lang w:val="en-US"/>
        </w:rPr>
        <w:t>Darling system.</w:t>
      </w:r>
    </w:p>
    <w:tbl>
      <w:tblPr>
        <w:tblStyle w:val="DELWPTable"/>
        <w:tblW w:w="0" w:type="auto"/>
        <w:tblLayout w:type="fixed"/>
        <w:tblLook w:val="04A0" w:firstRow="1" w:lastRow="0" w:firstColumn="1" w:lastColumn="0" w:noHBand="0" w:noVBand="1"/>
      </w:tblPr>
      <w:tblGrid>
        <w:gridCol w:w="1276"/>
        <w:gridCol w:w="1701"/>
        <w:gridCol w:w="6770"/>
      </w:tblGrid>
      <w:tr w:rsidR="00171B99" w:rsidRPr="00C2760F" w14:paraId="3CB48583" w14:textId="77777777" w:rsidTr="009034D9">
        <w:trPr>
          <w:cnfStyle w:val="100000000000" w:firstRow="1" w:lastRow="0" w:firstColumn="0" w:lastColumn="0" w:oddVBand="0" w:evenVBand="0" w:oddHBand="0" w:evenHBand="0" w:firstRowFirstColumn="0" w:firstRowLastColumn="0" w:lastRowFirstColumn="0" w:lastRowLastColumn="0"/>
          <w:tblHeader/>
        </w:trPr>
        <w:tc>
          <w:tcPr>
            <w:tcW w:w="0" w:type="dxa"/>
            <w:hideMark/>
          </w:tcPr>
          <w:p w14:paraId="7170FF6A" w14:textId="77777777" w:rsidR="00491210" w:rsidRPr="009034D9" w:rsidRDefault="00EE200C">
            <w:pPr>
              <w:rPr>
                <w:b/>
                <w:color w:val="FFFFFF"/>
                <w:sz w:val="22"/>
                <w:szCs w:val="22"/>
                <w:lang w:val="en-US" w:eastAsia="en-AU"/>
              </w:rPr>
            </w:pPr>
            <w:r w:rsidRPr="009034D9">
              <w:rPr>
                <w:b/>
                <w:color w:val="FFFFFF"/>
                <w:sz w:val="22"/>
                <w:szCs w:val="22"/>
                <w:lang w:val="en-US" w:eastAsia="en-AU"/>
              </w:rPr>
              <w:t>Location</w:t>
            </w:r>
          </w:p>
        </w:tc>
        <w:tc>
          <w:tcPr>
            <w:tcW w:w="0" w:type="dxa"/>
            <w:hideMark/>
          </w:tcPr>
          <w:p w14:paraId="17037B86" w14:textId="77777777" w:rsidR="00491210" w:rsidRPr="009034D9" w:rsidRDefault="00EE200C">
            <w:pPr>
              <w:rPr>
                <w:b/>
                <w:color w:val="FFFFFF"/>
                <w:sz w:val="22"/>
                <w:szCs w:val="22"/>
                <w:lang w:val="en-US" w:eastAsia="en-AU"/>
              </w:rPr>
            </w:pPr>
            <w:r w:rsidRPr="009034D9">
              <w:rPr>
                <w:b/>
                <w:color w:val="FFFFFF"/>
                <w:sz w:val="22"/>
                <w:szCs w:val="22"/>
                <w:lang w:val="en-US" w:eastAsia="en-AU"/>
              </w:rPr>
              <w:t>Destination</w:t>
            </w:r>
          </w:p>
        </w:tc>
        <w:tc>
          <w:tcPr>
            <w:tcW w:w="0" w:type="dxa"/>
            <w:hideMark/>
          </w:tcPr>
          <w:p w14:paraId="7BA67A73" w14:textId="77777777" w:rsidR="00491210" w:rsidRPr="009034D9" w:rsidRDefault="00EE200C">
            <w:pPr>
              <w:rPr>
                <w:b/>
                <w:color w:val="FFFFFF"/>
                <w:sz w:val="22"/>
                <w:szCs w:val="22"/>
                <w:lang w:val="en-US" w:eastAsia="en-AU"/>
              </w:rPr>
            </w:pPr>
            <w:r w:rsidRPr="009034D9">
              <w:rPr>
                <w:b/>
                <w:color w:val="FFFFFF"/>
                <w:sz w:val="22"/>
                <w:szCs w:val="22"/>
                <w:lang w:val="en-US" w:eastAsia="en-AU"/>
              </w:rPr>
              <w:t>Rule</w:t>
            </w:r>
          </w:p>
        </w:tc>
      </w:tr>
      <w:tr w:rsidR="00171B99" w:rsidRPr="00171B99" w14:paraId="590F9456" w14:textId="77777777" w:rsidTr="00171B99">
        <w:tc>
          <w:tcPr>
            <w:tcW w:w="1276" w:type="dxa"/>
            <w:vMerge w:val="restart"/>
            <w:tcBorders>
              <w:top w:val="single" w:sz="4" w:space="0" w:color="00B2A9"/>
              <w:left w:val="nil"/>
              <w:bottom w:val="single" w:sz="4" w:space="0" w:color="00B2A9"/>
              <w:right w:val="nil"/>
            </w:tcBorders>
            <w:hideMark/>
          </w:tcPr>
          <w:p w14:paraId="7472D69E" w14:textId="77777777" w:rsidR="00491210" w:rsidRPr="00171B99" w:rsidRDefault="00EE200C">
            <w:pPr>
              <w:rPr>
                <w:sz w:val="22"/>
                <w:szCs w:val="22"/>
                <w:lang w:val="en-US" w:eastAsia="en-AU"/>
              </w:rPr>
            </w:pPr>
            <w:r w:rsidRPr="00171B99">
              <w:rPr>
                <w:sz w:val="22"/>
                <w:szCs w:val="22"/>
                <w:lang w:val="en-US" w:eastAsia="en-AU"/>
              </w:rPr>
              <w:t>Lower Murray</w:t>
            </w:r>
          </w:p>
        </w:tc>
        <w:tc>
          <w:tcPr>
            <w:tcW w:w="1701" w:type="dxa"/>
            <w:tcBorders>
              <w:top w:val="single" w:sz="4" w:space="0" w:color="00B2A9"/>
              <w:left w:val="nil"/>
              <w:bottom w:val="single" w:sz="4" w:space="0" w:color="00B2A9"/>
              <w:right w:val="nil"/>
            </w:tcBorders>
            <w:hideMark/>
          </w:tcPr>
          <w:p w14:paraId="74A0580B" w14:textId="21E44C1D" w:rsidR="00491210" w:rsidRPr="00171B99" w:rsidRDefault="00EE200C">
            <w:pPr>
              <w:rPr>
                <w:sz w:val="22"/>
                <w:szCs w:val="22"/>
                <w:lang w:val="en-US" w:eastAsia="en-AU"/>
              </w:rPr>
            </w:pPr>
            <w:r w:rsidRPr="00171B99">
              <w:rPr>
                <w:sz w:val="22"/>
                <w:szCs w:val="22"/>
                <w:lang w:val="en-US" w:eastAsia="en-AU"/>
              </w:rPr>
              <w:t>Mid Murray</w:t>
            </w:r>
          </w:p>
        </w:tc>
        <w:tc>
          <w:tcPr>
            <w:tcW w:w="6770" w:type="dxa"/>
            <w:tcBorders>
              <w:top w:val="single" w:sz="4" w:space="0" w:color="00B2A9"/>
              <w:left w:val="nil"/>
              <w:bottom w:val="single" w:sz="4" w:space="0" w:color="00B2A9"/>
              <w:right w:val="nil"/>
            </w:tcBorders>
          </w:tcPr>
          <w:p w14:paraId="335B8524" w14:textId="452BFD32" w:rsidR="00491210" w:rsidRPr="00171B99" w:rsidRDefault="00EE200C" w:rsidP="00171B99">
            <w:pPr>
              <w:rPr>
                <w:sz w:val="22"/>
                <w:szCs w:val="22"/>
                <w:lang w:val="en-US" w:eastAsia="en-AU"/>
              </w:rPr>
            </w:pPr>
            <m:oMathPara>
              <m:oMath>
                <m:r>
                  <w:rPr>
                    <w:rFonts w:ascii="Cambria Math" w:hAnsi="Cambria Math"/>
                    <w:sz w:val="22"/>
                    <w:szCs w:val="22"/>
                    <w:lang w:val="en-US" w:eastAsia="en-AU"/>
                  </w:rPr>
                  <m:t>Movement= Totalmovement*u/s movement*</m:t>
                </m:r>
                <m:f>
                  <m:fPr>
                    <m:ctrlPr>
                      <w:rPr>
                        <w:rFonts w:ascii="Cambria Math" w:hAnsi="Cambria Math"/>
                        <w:i/>
                        <w:sz w:val="22"/>
                        <w:szCs w:val="22"/>
                        <w:lang w:val="en-US"/>
                      </w:rPr>
                    </m:ctrlPr>
                  </m:fPr>
                  <m:num>
                    <m:r>
                      <w:rPr>
                        <w:rFonts w:ascii="Cambria Math" w:hAnsi="Cambria Math"/>
                        <w:sz w:val="22"/>
                        <w:szCs w:val="22"/>
                        <w:lang w:val="en-US" w:eastAsia="en-AU"/>
                      </w:rPr>
                      <m:t>Pr. bankfull at Euston</m:t>
                    </m:r>
                  </m:num>
                  <m:den>
                    <m:r>
                      <w:rPr>
                        <w:rFonts w:ascii="Cambria Math" w:hAnsi="Cambria Math"/>
                        <w:sz w:val="22"/>
                        <w:szCs w:val="22"/>
                        <w:lang w:val="en-US" w:eastAsia="en-AU"/>
                      </w:rPr>
                      <m:t>Total bankfull Pr.</m:t>
                    </m:r>
                  </m:den>
                </m:f>
              </m:oMath>
            </m:oMathPara>
          </w:p>
        </w:tc>
      </w:tr>
      <w:tr w:rsidR="00171B99" w:rsidRPr="00171B99" w14:paraId="6AC0310A" w14:textId="77777777" w:rsidTr="00171B99">
        <w:tc>
          <w:tcPr>
            <w:tcW w:w="1276" w:type="dxa"/>
            <w:vMerge/>
            <w:tcBorders>
              <w:top w:val="single" w:sz="4" w:space="0" w:color="00B2A9"/>
              <w:left w:val="nil"/>
              <w:bottom w:val="single" w:sz="4" w:space="0" w:color="00B2A9"/>
              <w:right w:val="nil"/>
            </w:tcBorders>
            <w:vAlign w:val="center"/>
            <w:hideMark/>
          </w:tcPr>
          <w:p w14:paraId="45BA946A" w14:textId="77777777" w:rsidR="00491210" w:rsidRPr="00171B99" w:rsidRDefault="00491210">
            <w:pPr>
              <w:spacing w:after="0"/>
              <w:rPr>
                <w:sz w:val="22"/>
                <w:szCs w:val="22"/>
                <w:lang w:val="en-US" w:eastAsia="en-AU"/>
              </w:rPr>
            </w:pPr>
          </w:p>
        </w:tc>
        <w:tc>
          <w:tcPr>
            <w:tcW w:w="1701" w:type="dxa"/>
            <w:tcBorders>
              <w:top w:val="single" w:sz="4" w:space="0" w:color="00B2A9"/>
              <w:left w:val="nil"/>
              <w:bottom w:val="single" w:sz="4" w:space="0" w:color="00B2A9"/>
              <w:right w:val="nil"/>
            </w:tcBorders>
            <w:hideMark/>
          </w:tcPr>
          <w:p w14:paraId="21DC72F0" w14:textId="77777777" w:rsidR="00491210" w:rsidRPr="00171B99" w:rsidRDefault="00EE200C">
            <w:pPr>
              <w:rPr>
                <w:sz w:val="22"/>
                <w:szCs w:val="22"/>
                <w:lang w:val="en-US" w:eastAsia="en-AU"/>
              </w:rPr>
            </w:pPr>
            <w:r w:rsidRPr="00171B99">
              <w:rPr>
                <w:sz w:val="22"/>
                <w:szCs w:val="22"/>
                <w:lang w:val="en-US" w:eastAsia="en-AU"/>
              </w:rPr>
              <w:t>Lower Darling</w:t>
            </w:r>
          </w:p>
        </w:tc>
        <w:tc>
          <w:tcPr>
            <w:tcW w:w="6770" w:type="dxa"/>
            <w:tcBorders>
              <w:top w:val="single" w:sz="4" w:space="0" w:color="00B2A9"/>
              <w:left w:val="nil"/>
              <w:bottom w:val="single" w:sz="4" w:space="0" w:color="00B2A9"/>
              <w:right w:val="nil"/>
            </w:tcBorders>
          </w:tcPr>
          <w:p w14:paraId="1AE1FD54" w14:textId="27EB2793" w:rsidR="00491210" w:rsidRPr="00171B99" w:rsidRDefault="00EE200C" w:rsidP="00171B99">
            <w:pPr>
              <w:rPr>
                <w:sz w:val="22"/>
                <w:szCs w:val="22"/>
                <w:lang w:val="en-US" w:eastAsia="en-AU"/>
              </w:rPr>
            </w:pPr>
            <m:oMathPara>
              <m:oMath>
                <m:r>
                  <w:rPr>
                    <w:rFonts w:ascii="Cambria Math" w:hAnsi="Cambria Math"/>
                    <w:sz w:val="22"/>
                    <w:szCs w:val="22"/>
                    <w:lang w:val="en-US" w:eastAsia="en-AU"/>
                  </w:rPr>
                  <m:t>Movement= Totalmovement*u/s movement *</m:t>
                </m:r>
                <m:f>
                  <m:fPr>
                    <m:ctrlPr>
                      <w:rPr>
                        <w:rFonts w:ascii="Cambria Math" w:hAnsi="Cambria Math"/>
                        <w:i/>
                        <w:sz w:val="22"/>
                        <w:szCs w:val="22"/>
                        <w:lang w:val="en-US"/>
                      </w:rPr>
                    </m:ctrlPr>
                  </m:fPr>
                  <m:num>
                    <m:r>
                      <w:rPr>
                        <w:rFonts w:ascii="Cambria Math" w:hAnsi="Cambria Math"/>
                        <w:sz w:val="22"/>
                        <w:szCs w:val="22"/>
                        <w:lang w:val="en-US" w:eastAsia="en-AU"/>
                      </w:rPr>
                      <m:t>Pr. bankfull in Darling</m:t>
                    </m:r>
                  </m:num>
                  <m:den>
                    <m:r>
                      <w:rPr>
                        <w:rFonts w:ascii="Cambria Math" w:hAnsi="Cambria Math"/>
                        <w:sz w:val="22"/>
                        <w:szCs w:val="22"/>
                        <w:lang w:val="en-US" w:eastAsia="en-AU"/>
                      </w:rPr>
                      <m:t>Total bankfull Pr.</m:t>
                    </m:r>
                  </m:den>
                </m:f>
              </m:oMath>
            </m:oMathPara>
          </w:p>
        </w:tc>
      </w:tr>
      <w:tr w:rsidR="00171B99" w:rsidRPr="00171B99" w14:paraId="22FEE696" w14:textId="77777777" w:rsidTr="00171B99">
        <w:tc>
          <w:tcPr>
            <w:tcW w:w="1276" w:type="dxa"/>
            <w:vMerge w:val="restart"/>
            <w:tcBorders>
              <w:top w:val="single" w:sz="4" w:space="0" w:color="00B2A9"/>
              <w:left w:val="nil"/>
              <w:bottom w:val="single" w:sz="4" w:space="0" w:color="00B2A9"/>
              <w:right w:val="nil"/>
            </w:tcBorders>
            <w:hideMark/>
          </w:tcPr>
          <w:p w14:paraId="6A264F4E" w14:textId="497F722D" w:rsidR="00491210" w:rsidRPr="00171B99" w:rsidRDefault="00EE200C">
            <w:pPr>
              <w:rPr>
                <w:sz w:val="22"/>
                <w:szCs w:val="22"/>
                <w:lang w:val="en-US" w:eastAsia="en-AU"/>
              </w:rPr>
            </w:pPr>
            <w:r w:rsidRPr="00171B99">
              <w:rPr>
                <w:sz w:val="22"/>
                <w:szCs w:val="22"/>
                <w:lang w:val="en-US" w:eastAsia="en-AU"/>
              </w:rPr>
              <w:t>Mid Murray</w:t>
            </w:r>
          </w:p>
        </w:tc>
        <w:tc>
          <w:tcPr>
            <w:tcW w:w="1701" w:type="dxa"/>
            <w:tcBorders>
              <w:top w:val="single" w:sz="4" w:space="0" w:color="00B2A9"/>
              <w:left w:val="nil"/>
              <w:bottom w:val="single" w:sz="4" w:space="0" w:color="00B2A9"/>
              <w:right w:val="nil"/>
            </w:tcBorders>
            <w:hideMark/>
          </w:tcPr>
          <w:p w14:paraId="5ABD5B25" w14:textId="77777777" w:rsidR="00491210" w:rsidRPr="00171B99" w:rsidRDefault="00EE200C">
            <w:pPr>
              <w:rPr>
                <w:sz w:val="22"/>
                <w:szCs w:val="22"/>
                <w:lang w:val="en-US" w:eastAsia="en-AU"/>
              </w:rPr>
            </w:pPr>
            <w:r w:rsidRPr="00171B99">
              <w:rPr>
                <w:sz w:val="22"/>
                <w:szCs w:val="22"/>
                <w:lang w:val="en-US" w:eastAsia="en-AU"/>
              </w:rPr>
              <w:t>Lower Darling</w:t>
            </w:r>
          </w:p>
        </w:tc>
        <w:tc>
          <w:tcPr>
            <w:tcW w:w="6770" w:type="dxa"/>
            <w:tcBorders>
              <w:top w:val="single" w:sz="4" w:space="0" w:color="00B2A9"/>
              <w:left w:val="nil"/>
              <w:bottom w:val="single" w:sz="4" w:space="0" w:color="00B2A9"/>
              <w:right w:val="nil"/>
            </w:tcBorders>
          </w:tcPr>
          <w:p w14:paraId="1E2C4279" w14:textId="44060EF1" w:rsidR="00491210" w:rsidRPr="00171B99" w:rsidRDefault="00EE200C" w:rsidP="00171B99">
            <w:pPr>
              <w:rPr>
                <w:sz w:val="22"/>
                <w:szCs w:val="22"/>
                <w:lang w:val="en-US" w:eastAsia="en-AU"/>
              </w:rPr>
            </w:pPr>
            <m:oMathPara>
              <m:oMath>
                <m:r>
                  <w:rPr>
                    <w:rFonts w:ascii="Cambria Math" w:hAnsi="Cambria Math"/>
                    <w:sz w:val="22"/>
                    <w:szCs w:val="22"/>
                    <w:lang w:val="en-US" w:eastAsia="en-AU"/>
                  </w:rPr>
                  <m:t>Movement=Totalmovement*d/s movement *</m:t>
                </m:r>
                <m:f>
                  <m:fPr>
                    <m:ctrlPr>
                      <w:rPr>
                        <w:rFonts w:ascii="Cambria Math" w:hAnsi="Cambria Math"/>
                        <w:i/>
                        <w:sz w:val="22"/>
                        <w:szCs w:val="22"/>
                        <w:lang w:val="en-US"/>
                      </w:rPr>
                    </m:ctrlPr>
                  </m:fPr>
                  <m:num>
                    <m:r>
                      <w:rPr>
                        <w:rFonts w:ascii="Cambria Math" w:hAnsi="Cambria Math"/>
                        <w:sz w:val="22"/>
                        <w:szCs w:val="22"/>
                        <w:lang w:val="en-US" w:eastAsia="en-AU"/>
                      </w:rPr>
                      <m:t>Torrumbarry flow</m:t>
                    </m:r>
                  </m:num>
                  <m:den>
                    <m:r>
                      <w:rPr>
                        <w:rFonts w:ascii="Cambria Math" w:hAnsi="Cambria Math"/>
                        <w:sz w:val="22"/>
                        <w:szCs w:val="22"/>
                        <w:lang w:val="en-US" w:eastAsia="en-AU"/>
                      </w:rPr>
                      <m:t>Total flow</m:t>
                    </m:r>
                  </m:den>
                </m:f>
              </m:oMath>
            </m:oMathPara>
          </w:p>
        </w:tc>
      </w:tr>
      <w:tr w:rsidR="00171B99" w:rsidRPr="00171B99" w14:paraId="737B24B9" w14:textId="77777777" w:rsidTr="00171B99">
        <w:tc>
          <w:tcPr>
            <w:tcW w:w="1276" w:type="dxa"/>
            <w:vMerge/>
            <w:tcBorders>
              <w:top w:val="single" w:sz="4" w:space="0" w:color="00B2A9"/>
              <w:left w:val="nil"/>
              <w:bottom w:val="single" w:sz="4" w:space="0" w:color="00B2A9"/>
              <w:right w:val="nil"/>
            </w:tcBorders>
            <w:vAlign w:val="center"/>
            <w:hideMark/>
          </w:tcPr>
          <w:p w14:paraId="27E0DF09" w14:textId="77777777" w:rsidR="00491210" w:rsidRPr="00171B99" w:rsidRDefault="00491210">
            <w:pPr>
              <w:spacing w:after="0"/>
              <w:rPr>
                <w:sz w:val="22"/>
                <w:szCs w:val="22"/>
                <w:lang w:val="en-US" w:eastAsia="en-AU"/>
              </w:rPr>
            </w:pPr>
          </w:p>
        </w:tc>
        <w:tc>
          <w:tcPr>
            <w:tcW w:w="1701" w:type="dxa"/>
            <w:tcBorders>
              <w:top w:val="single" w:sz="4" w:space="0" w:color="00B2A9"/>
              <w:left w:val="nil"/>
              <w:bottom w:val="single" w:sz="4" w:space="0" w:color="00B2A9"/>
              <w:right w:val="nil"/>
            </w:tcBorders>
            <w:hideMark/>
          </w:tcPr>
          <w:p w14:paraId="78D92E3D" w14:textId="77777777" w:rsidR="00491210" w:rsidRPr="00171B99" w:rsidRDefault="00EE200C">
            <w:pPr>
              <w:rPr>
                <w:sz w:val="22"/>
                <w:szCs w:val="22"/>
                <w:lang w:val="en-US" w:eastAsia="en-AU"/>
              </w:rPr>
            </w:pPr>
            <w:r w:rsidRPr="00171B99">
              <w:rPr>
                <w:sz w:val="22"/>
                <w:szCs w:val="22"/>
                <w:lang w:val="en-US" w:eastAsia="en-AU"/>
              </w:rPr>
              <w:t>Lower Murray</w:t>
            </w:r>
          </w:p>
        </w:tc>
        <w:tc>
          <w:tcPr>
            <w:tcW w:w="6770" w:type="dxa"/>
            <w:tcBorders>
              <w:top w:val="single" w:sz="4" w:space="0" w:color="00B2A9"/>
              <w:left w:val="nil"/>
              <w:bottom w:val="single" w:sz="4" w:space="0" w:color="00B2A9"/>
              <w:right w:val="nil"/>
            </w:tcBorders>
          </w:tcPr>
          <w:p w14:paraId="4555466A" w14:textId="40B1E386" w:rsidR="00491210" w:rsidRPr="00171B99" w:rsidRDefault="00EE200C" w:rsidP="00171B99">
            <w:pPr>
              <w:rPr>
                <w:sz w:val="22"/>
                <w:szCs w:val="22"/>
                <w:lang w:val="en-US" w:eastAsia="en-AU"/>
              </w:rPr>
            </w:pPr>
            <m:oMathPara>
              <m:oMath>
                <m:r>
                  <w:rPr>
                    <w:rFonts w:ascii="Cambria Math" w:hAnsi="Cambria Math"/>
                    <w:sz w:val="22"/>
                    <w:szCs w:val="22"/>
                    <w:lang w:val="en-US" w:eastAsia="en-AU"/>
                  </w:rPr>
                  <m:t>Movement=Totalmovement*d/s movement *</m:t>
                </m:r>
                <m:f>
                  <m:fPr>
                    <m:ctrlPr>
                      <w:rPr>
                        <w:rFonts w:ascii="Cambria Math" w:hAnsi="Cambria Math"/>
                        <w:i/>
                        <w:sz w:val="22"/>
                        <w:szCs w:val="22"/>
                        <w:lang w:val="en-US"/>
                      </w:rPr>
                    </m:ctrlPr>
                  </m:fPr>
                  <m:num>
                    <m:r>
                      <w:rPr>
                        <w:rFonts w:ascii="Cambria Math" w:hAnsi="Cambria Math"/>
                        <w:sz w:val="22"/>
                        <w:szCs w:val="22"/>
                        <w:lang w:val="en-US" w:eastAsia="en-AU"/>
                      </w:rPr>
                      <m:t>Collignan flow</m:t>
                    </m:r>
                  </m:num>
                  <m:den>
                    <m:r>
                      <w:rPr>
                        <w:rFonts w:ascii="Cambria Math" w:hAnsi="Cambria Math"/>
                        <w:sz w:val="22"/>
                        <w:szCs w:val="22"/>
                        <w:lang w:val="en-US" w:eastAsia="en-AU"/>
                      </w:rPr>
                      <m:t>Total flow</m:t>
                    </m:r>
                  </m:den>
                </m:f>
              </m:oMath>
            </m:oMathPara>
          </w:p>
        </w:tc>
      </w:tr>
      <w:tr w:rsidR="00171B99" w:rsidRPr="00171B99" w14:paraId="459BBA60" w14:textId="77777777" w:rsidTr="00171B99">
        <w:tc>
          <w:tcPr>
            <w:tcW w:w="1276" w:type="dxa"/>
            <w:vMerge/>
            <w:tcBorders>
              <w:top w:val="single" w:sz="4" w:space="0" w:color="00B2A9"/>
              <w:left w:val="nil"/>
              <w:bottom w:val="single" w:sz="4" w:space="0" w:color="00B2A9"/>
              <w:right w:val="nil"/>
            </w:tcBorders>
            <w:vAlign w:val="center"/>
            <w:hideMark/>
          </w:tcPr>
          <w:p w14:paraId="563CD3B4" w14:textId="77777777" w:rsidR="00491210" w:rsidRPr="00171B99" w:rsidRDefault="00491210">
            <w:pPr>
              <w:spacing w:after="0"/>
              <w:rPr>
                <w:sz w:val="22"/>
                <w:szCs w:val="22"/>
                <w:lang w:val="en-US" w:eastAsia="en-AU"/>
              </w:rPr>
            </w:pPr>
          </w:p>
        </w:tc>
        <w:tc>
          <w:tcPr>
            <w:tcW w:w="1701" w:type="dxa"/>
            <w:tcBorders>
              <w:top w:val="single" w:sz="4" w:space="0" w:color="00B2A9"/>
              <w:left w:val="nil"/>
              <w:bottom w:val="single" w:sz="4" w:space="0" w:color="00B2A9"/>
              <w:right w:val="nil"/>
            </w:tcBorders>
            <w:hideMark/>
          </w:tcPr>
          <w:p w14:paraId="76927C06" w14:textId="58D9569E" w:rsidR="00491210" w:rsidRPr="00171B99" w:rsidRDefault="00EE200C">
            <w:pPr>
              <w:rPr>
                <w:sz w:val="22"/>
                <w:szCs w:val="22"/>
                <w:lang w:val="en-US" w:eastAsia="en-AU"/>
              </w:rPr>
            </w:pPr>
            <w:r w:rsidRPr="00171B99">
              <w:rPr>
                <w:sz w:val="22"/>
                <w:szCs w:val="22"/>
                <w:lang w:val="en-US" w:eastAsia="en-AU"/>
              </w:rPr>
              <w:t xml:space="preserve">Upper </w:t>
            </w:r>
            <w:r>
              <w:rPr>
                <w:sz w:val="22"/>
                <w:szCs w:val="22"/>
                <w:lang w:val="en-US" w:eastAsia="en-AU"/>
              </w:rPr>
              <w:t xml:space="preserve">Mid </w:t>
            </w:r>
            <w:r w:rsidRPr="00171B99">
              <w:rPr>
                <w:sz w:val="22"/>
                <w:szCs w:val="22"/>
                <w:lang w:val="en-US" w:eastAsia="en-AU"/>
              </w:rPr>
              <w:t>Murray</w:t>
            </w:r>
          </w:p>
        </w:tc>
        <w:tc>
          <w:tcPr>
            <w:tcW w:w="6770" w:type="dxa"/>
            <w:tcBorders>
              <w:top w:val="single" w:sz="4" w:space="0" w:color="00B2A9"/>
              <w:left w:val="nil"/>
              <w:bottom w:val="single" w:sz="4" w:space="0" w:color="00B2A9"/>
              <w:right w:val="nil"/>
            </w:tcBorders>
          </w:tcPr>
          <w:p w14:paraId="6CACF800" w14:textId="3318F0D4" w:rsidR="00491210" w:rsidRPr="00171B99" w:rsidRDefault="00EE200C">
            <w:pPr>
              <w:rPr>
                <w:rFonts w:eastAsia="MS Mincho"/>
                <w:sz w:val="22"/>
                <w:szCs w:val="22"/>
                <w:lang w:val="en-US" w:eastAsia="en-AU"/>
              </w:rPr>
            </w:pPr>
            <m:oMathPara>
              <m:oMath>
                <m:r>
                  <w:rPr>
                    <w:rFonts w:ascii="Cambria Math" w:hAnsi="Cambria Math"/>
                    <w:sz w:val="22"/>
                    <w:szCs w:val="22"/>
                    <w:lang w:val="en-US" w:eastAsia="en-AU"/>
                  </w:rPr>
                  <m:t>Juv Movement=Totalmovement*u/s movement *</m:t>
                </m:r>
                <m:f>
                  <m:fPr>
                    <m:ctrlPr>
                      <w:rPr>
                        <w:rFonts w:ascii="Cambria Math" w:hAnsi="Cambria Math"/>
                        <w:i/>
                        <w:sz w:val="22"/>
                        <w:szCs w:val="22"/>
                        <w:lang w:val="en-US"/>
                      </w:rPr>
                    </m:ctrlPr>
                  </m:fPr>
                  <m:num>
                    <m:r>
                      <w:rPr>
                        <w:rFonts w:ascii="Cambria Math" w:hAnsi="Cambria Math"/>
                        <w:sz w:val="22"/>
                        <w:szCs w:val="22"/>
                        <w:lang w:val="en-US" w:eastAsia="en-AU"/>
                      </w:rPr>
                      <m:t>Torrumbarry flow</m:t>
                    </m:r>
                  </m:num>
                  <m:den>
                    <m:r>
                      <w:rPr>
                        <w:rFonts w:ascii="Cambria Math" w:hAnsi="Cambria Math"/>
                        <w:sz w:val="22"/>
                        <w:szCs w:val="22"/>
                        <w:lang w:val="en-US" w:eastAsia="en-AU"/>
                      </w:rPr>
                      <m:t>Total flow</m:t>
                    </m:r>
                  </m:den>
                </m:f>
              </m:oMath>
            </m:oMathPara>
          </w:p>
          <w:p w14:paraId="6855FB6F" w14:textId="6A5342A5" w:rsidR="00491210" w:rsidRPr="00171B99" w:rsidRDefault="00EE200C" w:rsidP="00171B99">
            <w:pPr>
              <w:rPr>
                <w:sz w:val="22"/>
                <w:szCs w:val="22"/>
                <w:lang w:val="en-US" w:eastAsia="en-AU"/>
              </w:rPr>
            </w:pPr>
            <m:oMathPara>
              <m:oMath>
                <m:r>
                  <w:rPr>
                    <w:rFonts w:ascii="Cambria Math" w:hAnsi="Cambria Math"/>
                    <w:sz w:val="22"/>
                    <w:szCs w:val="22"/>
                    <w:lang w:val="en-US" w:eastAsia="en-AU"/>
                  </w:rPr>
                  <m:t>Adult Movement=Totalmovement*u/s movement *</m:t>
                </m:r>
                <m:f>
                  <m:fPr>
                    <m:ctrlPr>
                      <w:rPr>
                        <w:rFonts w:ascii="Cambria Math" w:hAnsi="Cambria Math"/>
                        <w:i/>
                        <w:sz w:val="22"/>
                        <w:szCs w:val="22"/>
                        <w:lang w:val="en-US"/>
                      </w:rPr>
                    </m:ctrlPr>
                  </m:fPr>
                  <m:num>
                    <m:r>
                      <w:rPr>
                        <w:rFonts w:ascii="Cambria Math" w:hAnsi="Cambria Math"/>
                        <w:sz w:val="22"/>
                        <w:szCs w:val="22"/>
                        <w:lang w:val="en-US" w:eastAsia="en-AU"/>
                      </w:rPr>
                      <m:t>Torrumbarry flow</m:t>
                    </m:r>
                  </m:num>
                  <m:den>
                    <m:r>
                      <w:rPr>
                        <w:rFonts w:ascii="Cambria Math" w:hAnsi="Cambria Math"/>
                        <w:sz w:val="22"/>
                        <w:szCs w:val="22"/>
                        <w:lang w:val="en-US" w:eastAsia="en-AU"/>
                      </w:rPr>
                      <m:t>Total flow</m:t>
                    </m:r>
                  </m:den>
                </m:f>
              </m:oMath>
            </m:oMathPara>
          </w:p>
        </w:tc>
      </w:tr>
      <w:tr w:rsidR="00171B99" w:rsidRPr="00171B99" w14:paraId="2FD31B02" w14:textId="77777777" w:rsidTr="00171B99">
        <w:tc>
          <w:tcPr>
            <w:tcW w:w="1276" w:type="dxa"/>
            <w:vMerge/>
            <w:tcBorders>
              <w:top w:val="single" w:sz="4" w:space="0" w:color="00B2A9"/>
              <w:left w:val="nil"/>
              <w:bottom w:val="single" w:sz="4" w:space="0" w:color="00B2A9"/>
              <w:right w:val="nil"/>
            </w:tcBorders>
            <w:vAlign w:val="center"/>
            <w:hideMark/>
          </w:tcPr>
          <w:p w14:paraId="0249C1AE" w14:textId="77777777" w:rsidR="00491210" w:rsidRPr="00171B99" w:rsidRDefault="00491210">
            <w:pPr>
              <w:spacing w:after="0"/>
              <w:rPr>
                <w:sz w:val="22"/>
                <w:szCs w:val="22"/>
                <w:lang w:val="en-US" w:eastAsia="en-AU"/>
              </w:rPr>
            </w:pPr>
          </w:p>
        </w:tc>
        <w:tc>
          <w:tcPr>
            <w:tcW w:w="1701" w:type="dxa"/>
            <w:tcBorders>
              <w:top w:val="single" w:sz="4" w:space="0" w:color="00B2A9"/>
              <w:left w:val="nil"/>
              <w:bottom w:val="single" w:sz="4" w:space="0" w:color="00B2A9"/>
              <w:right w:val="nil"/>
            </w:tcBorders>
            <w:hideMark/>
          </w:tcPr>
          <w:p w14:paraId="6297EAA7" w14:textId="77777777" w:rsidR="00491210" w:rsidRPr="00171B99" w:rsidRDefault="00EE200C">
            <w:pPr>
              <w:rPr>
                <w:sz w:val="22"/>
                <w:szCs w:val="22"/>
                <w:lang w:val="en-US" w:eastAsia="en-AU"/>
              </w:rPr>
            </w:pPr>
            <w:r w:rsidRPr="00171B99">
              <w:rPr>
                <w:sz w:val="22"/>
                <w:szCs w:val="22"/>
                <w:lang w:val="en-US" w:eastAsia="en-AU"/>
              </w:rPr>
              <w:t>Lower Murrumbidgee</w:t>
            </w:r>
          </w:p>
        </w:tc>
        <w:tc>
          <w:tcPr>
            <w:tcW w:w="6770" w:type="dxa"/>
            <w:tcBorders>
              <w:top w:val="single" w:sz="4" w:space="0" w:color="00B2A9"/>
              <w:left w:val="nil"/>
              <w:bottom w:val="single" w:sz="4" w:space="0" w:color="00B2A9"/>
              <w:right w:val="nil"/>
            </w:tcBorders>
          </w:tcPr>
          <w:p w14:paraId="7911FC95" w14:textId="2EB373BB" w:rsidR="00491210" w:rsidRPr="00171B99" w:rsidRDefault="00EE200C">
            <w:pPr>
              <w:rPr>
                <w:sz w:val="22"/>
                <w:szCs w:val="22"/>
                <w:lang w:val="en-US" w:eastAsia="en-AU"/>
              </w:rPr>
            </w:pPr>
            <m:oMathPara>
              <m:oMath>
                <m:r>
                  <w:rPr>
                    <w:rFonts w:ascii="Cambria Math" w:hAnsi="Cambria Math"/>
                    <w:sz w:val="22"/>
                    <w:szCs w:val="22"/>
                    <w:lang w:val="en-US" w:eastAsia="en-AU"/>
                  </w:rPr>
                  <m:t>Juv Movement=Totalmovement*u/s movement *</m:t>
                </m:r>
                <m:f>
                  <m:fPr>
                    <m:ctrlPr>
                      <w:rPr>
                        <w:rFonts w:ascii="Cambria Math" w:hAnsi="Cambria Math"/>
                        <w:i/>
                        <w:sz w:val="22"/>
                        <w:szCs w:val="22"/>
                        <w:lang w:val="en-US"/>
                      </w:rPr>
                    </m:ctrlPr>
                  </m:fPr>
                  <m:num>
                    <m:r>
                      <m:rPr>
                        <m:sty m:val="p"/>
                      </m:rPr>
                      <w:rPr>
                        <w:rFonts w:ascii="Cambria Math" w:hAnsi="Cambria Math"/>
                        <w:sz w:val="22"/>
                        <w:szCs w:val="22"/>
                        <w:lang w:val="en-US" w:eastAsia="en-AU"/>
                      </w:rPr>
                      <m:t>Balranald</m:t>
                    </m:r>
                    <m:r>
                      <w:rPr>
                        <w:rFonts w:ascii="Cambria Math" w:hAnsi="Cambria Math"/>
                        <w:sz w:val="22"/>
                        <w:szCs w:val="22"/>
                        <w:lang w:val="en-US" w:eastAsia="en-AU"/>
                      </w:rPr>
                      <m:t xml:space="preserve"> flow/2</m:t>
                    </m:r>
                  </m:num>
                  <m:den>
                    <m:r>
                      <w:rPr>
                        <w:rFonts w:ascii="Cambria Math" w:hAnsi="Cambria Math"/>
                        <w:sz w:val="22"/>
                        <w:szCs w:val="22"/>
                        <w:lang w:val="en-US" w:eastAsia="en-AU"/>
                      </w:rPr>
                      <m:t>Total flow</m:t>
                    </m:r>
                  </m:den>
                </m:f>
              </m:oMath>
            </m:oMathPara>
          </w:p>
          <w:p w14:paraId="0D41C945" w14:textId="69E4482F" w:rsidR="00491210" w:rsidRPr="00171B99" w:rsidRDefault="00EE200C" w:rsidP="00171B99">
            <w:pPr>
              <w:rPr>
                <w:sz w:val="22"/>
                <w:szCs w:val="22"/>
                <w:lang w:val="en-US" w:eastAsia="en-AU"/>
              </w:rPr>
            </w:pPr>
            <m:oMathPara>
              <m:oMath>
                <m:r>
                  <w:rPr>
                    <w:rFonts w:ascii="Cambria Math" w:hAnsi="Cambria Math"/>
                    <w:sz w:val="22"/>
                    <w:szCs w:val="22"/>
                    <w:lang w:val="en-US" w:eastAsia="en-AU"/>
                  </w:rPr>
                  <m:t>Adult Movement=Totalmovement*u/s movement *</m:t>
                </m:r>
                <m:f>
                  <m:fPr>
                    <m:ctrlPr>
                      <w:rPr>
                        <w:rFonts w:ascii="Cambria Math" w:hAnsi="Cambria Math"/>
                        <w:i/>
                        <w:sz w:val="22"/>
                        <w:szCs w:val="22"/>
                        <w:lang w:val="en-US"/>
                      </w:rPr>
                    </m:ctrlPr>
                  </m:fPr>
                  <m:num>
                    <m:r>
                      <m:rPr>
                        <m:sty m:val="p"/>
                      </m:rPr>
                      <w:rPr>
                        <w:rFonts w:ascii="Cambria Math" w:hAnsi="Cambria Math"/>
                        <w:sz w:val="22"/>
                        <w:szCs w:val="22"/>
                        <w:lang w:val="en-US" w:eastAsia="en-AU"/>
                      </w:rPr>
                      <m:t>Balranald</m:t>
                    </m:r>
                    <m:r>
                      <w:rPr>
                        <w:rFonts w:ascii="Cambria Math" w:hAnsi="Cambria Math"/>
                        <w:sz w:val="22"/>
                        <w:szCs w:val="22"/>
                        <w:lang w:val="en-US" w:eastAsia="en-AU"/>
                      </w:rPr>
                      <m:t xml:space="preserve"> flow</m:t>
                    </m:r>
                  </m:num>
                  <m:den>
                    <m:r>
                      <w:rPr>
                        <w:rFonts w:ascii="Cambria Math" w:hAnsi="Cambria Math"/>
                        <w:sz w:val="22"/>
                        <w:szCs w:val="22"/>
                        <w:lang w:val="en-US" w:eastAsia="en-AU"/>
                      </w:rPr>
                      <m:t>Total flow</m:t>
                    </m:r>
                  </m:den>
                </m:f>
              </m:oMath>
            </m:oMathPara>
          </w:p>
        </w:tc>
      </w:tr>
      <w:tr w:rsidR="00171B99" w:rsidRPr="00171B99" w14:paraId="28F79E37" w14:textId="77777777" w:rsidTr="00171B99">
        <w:tc>
          <w:tcPr>
            <w:tcW w:w="1276" w:type="dxa"/>
            <w:vMerge/>
            <w:tcBorders>
              <w:top w:val="single" w:sz="4" w:space="0" w:color="00B2A9"/>
              <w:left w:val="nil"/>
              <w:bottom w:val="single" w:sz="4" w:space="0" w:color="00B2A9"/>
              <w:right w:val="nil"/>
            </w:tcBorders>
            <w:vAlign w:val="center"/>
            <w:hideMark/>
          </w:tcPr>
          <w:p w14:paraId="50BFE561" w14:textId="77777777" w:rsidR="00491210" w:rsidRPr="00171B99" w:rsidRDefault="00491210">
            <w:pPr>
              <w:spacing w:after="0"/>
              <w:rPr>
                <w:sz w:val="22"/>
                <w:szCs w:val="22"/>
                <w:lang w:val="en-US" w:eastAsia="en-AU"/>
              </w:rPr>
            </w:pPr>
          </w:p>
        </w:tc>
        <w:tc>
          <w:tcPr>
            <w:tcW w:w="1701" w:type="dxa"/>
            <w:tcBorders>
              <w:top w:val="single" w:sz="4" w:space="0" w:color="00B2A9"/>
              <w:left w:val="nil"/>
              <w:bottom w:val="single" w:sz="4" w:space="0" w:color="00B2A9"/>
              <w:right w:val="nil"/>
            </w:tcBorders>
            <w:hideMark/>
          </w:tcPr>
          <w:p w14:paraId="6CCFA948" w14:textId="77777777" w:rsidR="00491210" w:rsidRPr="00171B99" w:rsidRDefault="00EE200C">
            <w:pPr>
              <w:rPr>
                <w:sz w:val="22"/>
                <w:szCs w:val="22"/>
                <w:lang w:val="en-US" w:eastAsia="en-AU"/>
              </w:rPr>
            </w:pPr>
            <w:r w:rsidRPr="00171B99">
              <w:rPr>
                <w:sz w:val="22"/>
                <w:szCs w:val="22"/>
                <w:lang w:val="en-US" w:eastAsia="en-AU"/>
              </w:rPr>
              <w:t>Edward</w:t>
            </w:r>
          </w:p>
        </w:tc>
        <w:tc>
          <w:tcPr>
            <w:tcW w:w="6770" w:type="dxa"/>
            <w:tcBorders>
              <w:top w:val="single" w:sz="4" w:space="0" w:color="00B2A9"/>
              <w:left w:val="nil"/>
              <w:bottom w:val="single" w:sz="4" w:space="0" w:color="00B2A9"/>
              <w:right w:val="nil"/>
            </w:tcBorders>
          </w:tcPr>
          <w:p w14:paraId="759E1056" w14:textId="48508E33" w:rsidR="00491210" w:rsidRPr="00171B99" w:rsidRDefault="00EE200C">
            <w:pPr>
              <w:rPr>
                <w:rFonts w:eastAsia="MS Mincho"/>
                <w:sz w:val="22"/>
                <w:szCs w:val="22"/>
                <w:lang w:val="en-US" w:eastAsia="en-AU"/>
              </w:rPr>
            </w:pPr>
            <m:oMathPara>
              <m:oMath>
                <m:r>
                  <w:rPr>
                    <w:rFonts w:ascii="Cambria Math" w:hAnsi="Cambria Math"/>
                    <w:sz w:val="22"/>
                    <w:szCs w:val="22"/>
                    <w:lang w:val="en-US" w:eastAsia="en-AU"/>
                  </w:rPr>
                  <m:t>Juv Movement=Totalmovement*u/s movement *</m:t>
                </m:r>
                <m:f>
                  <m:fPr>
                    <m:ctrlPr>
                      <w:rPr>
                        <w:rFonts w:ascii="Cambria Math" w:hAnsi="Cambria Math"/>
                        <w:i/>
                        <w:sz w:val="22"/>
                        <w:szCs w:val="22"/>
                        <w:lang w:val="en-US"/>
                      </w:rPr>
                    </m:ctrlPr>
                  </m:fPr>
                  <m:num>
                    <m:r>
                      <m:rPr>
                        <m:sty m:val="p"/>
                      </m:rPr>
                      <w:rPr>
                        <w:rFonts w:ascii="Cambria Math" w:hAnsi="Cambria Math"/>
                        <w:sz w:val="22"/>
                        <w:szCs w:val="22"/>
                        <w:lang w:val="en-US" w:eastAsia="en-AU"/>
                      </w:rPr>
                      <m:t>Toonalook</m:t>
                    </m:r>
                    <m:r>
                      <w:rPr>
                        <w:rFonts w:ascii="Cambria Math" w:hAnsi="Cambria Math"/>
                        <w:sz w:val="22"/>
                        <w:szCs w:val="22"/>
                        <w:lang w:val="en-US" w:eastAsia="en-AU"/>
                      </w:rPr>
                      <m:t xml:space="preserve"> flow</m:t>
                    </m:r>
                  </m:num>
                  <m:den>
                    <m:r>
                      <w:rPr>
                        <w:rFonts w:ascii="Cambria Math" w:hAnsi="Cambria Math"/>
                        <w:sz w:val="22"/>
                        <w:szCs w:val="22"/>
                        <w:lang w:val="en-US" w:eastAsia="en-AU"/>
                      </w:rPr>
                      <m:t>Total flow</m:t>
                    </m:r>
                  </m:den>
                </m:f>
              </m:oMath>
            </m:oMathPara>
          </w:p>
          <w:p w14:paraId="43C64952" w14:textId="09F61A9F" w:rsidR="00491210" w:rsidRPr="00171B99" w:rsidRDefault="00EE200C" w:rsidP="00171B99">
            <w:pPr>
              <w:rPr>
                <w:sz w:val="22"/>
                <w:szCs w:val="22"/>
                <w:lang w:val="en-US" w:eastAsia="en-AU"/>
              </w:rPr>
            </w:pPr>
            <m:oMathPara>
              <m:oMath>
                <m:r>
                  <w:rPr>
                    <w:rFonts w:ascii="Cambria Math" w:hAnsi="Cambria Math"/>
                    <w:sz w:val="22"/>
                    <w:szCs w:val="22"/>
                    <w:lang w:val="en-US" w:eastAsia="en-AU"/>
                  </w:rPr>
                  <m:t>Adult Movement=Totalmovement*u/s movement *</m:t>
                </m:r>
                <m:f>
                  <m:fPr>
                    <m:ctrlPr>
                      <w:rPr>
                        <w:rFonts w:ascii="Cambria Math" w:hAnsi="Cambria Math"/>
                        <w:i/>
                        <w:sz w:val="22"/>
                        <w:szCs w:val="22"/>
                        <w:lang w:val="en-US"/>
                      </w:rPr>
                    </m:ctrlPr>
                  </m:fPr>
                  <m:num>
                    <m:r>
                      <m:rPr>
                        <m:sty m:val="p"/>
                      </m:rPr>
                      <w:rPr>
                        <w:rFonts w:ascii="Cambria Math" w:hAnsi="Cambria Math"/>
                        <w:sz w:val="22"/>
                        <w:szCs w:val="22"/>
                        <w:lang w:val="en-US" w:eastAsia="en-AU"/>
                      </w:rPr>
                      <m:t>Toonalook</m:t>
                    </m:r>
                    <m:r>
                      <w:rPr>
                        <w:rFonts w:ascii="Cambria Math" w:hAnsi="Cambria Math"/>
                        <w:sz w:val="22"/>
                        <w:szCs w:val="22"/>
                        <w:lang w:val="en-US" w:eastAsia="en-AU"/>
                      </w:rPr>
                      <m:t xml:space="preserve"> flow</m:t>
                    </m:r>
                  </m:num>
                  <m:den>
                    <m:r>
                      <w:rPr>
                        <w:rFonts w:ascii="Cambria Math" w:hAnsi="Cambria Math"/>
                        <w:sz w:val="22"/>
                        <w:szCs w:val="22"/>
                        <w:lang w:val="en-US" w:eastAsia="en-AU"/>
                      </w:rPr>
                      <m:t>Total flow</m:t>
                    </m:r>
                  </m:den>
                </m:f>
              </m:oMath>
            </m:oMathPara>
          </w:p>
        </w:tc>
      </w:tr>
      <w:tr w:rsidR="00171B99" w:rsidRPr="00171B99" w14:paraId="5963D9EE" w14:textId="77777777" w:rsidTr="00171B99">
        <w:tc>
          <w:tcPr>
            <w:tcW w:w="1276" w:type="dxa"/>
            <w:vMerge w:val="restart"/>
            <w:tcBorders>
              <w:top w:val="single" w:sz="4" w:space="0" w:color="00B2A9"/>
              <w:left w:val="nil"/>
              <w:bottom w:val="single" w:sz="4" w:space="0" w:color="00B2A9"/>
              <w:right w:val="nil"/>
            </w:tcBorders>
            <w:hideMark/>
          </w:tcPr>
          <w:p w14:paraId="3E7D6C23" w14:textId="26C4FCB0" w:rsidR="00491210" w:rsidRPr="00171B99" w:rsidRDefault="00EE200C">
            <w:pPr>
              <w:rPr>
                <w:sz w:val="22"/>
                <w:szCs w:val="22"/>
                <w:lang w:val="en-US" w:eastAsia="en-AU"/>
              </w:rPr>
            </w:pPr>
            <w:r w:rsidRPr="00171B99">
              <w:rPr>
                <w:sz w:val="22"/>
                <w:szCs w:val="22"/>
                <w:lang w:val="en-US" w:eastAsia="en-AU"/>
              </w:rPr>
              <w:t xml:space="preserve">Upper </w:t>
            </w:r>
            <w:r>
              <w:rPr>
                <w:sz w:val="22"/>
                <w:szCs w:val="22"/>
                <w:lang w:val="en-US" w:eastAsia="en-AU"/>
              </w:rPr>
              <w:t xml:space="preserve">Mid </w:t>
            </w:r>
            <w:r w:rsidRPr="00171B99">
              <w:rPr>
                <w:sz w:val="22"/>
                <w:szCs w:val="22"/>
                <w:lang w:val="en-US" w:eastAsia="en-AU"/>
              </w:rPr>
              <w:t>Murray</w:t>
            </w:r>
          </w:p>
        </w:tc>
        <w:tc>
          <w:tcPr>
            <w:tcW w:w="1701" w:type="dxa"/>
            <w:tcBorders>
              <w:top w:val="single" w:sz="4" w:space="0" w:color="00B2A9"/>
              <w:left w:val="nil"/>
              <w:bottom w:val="single" w:sz="4" w:space="0" w:color="00B2A9"/>
              <w:right w:val="nil"/>
            </w:tcBorders>
            <w:hideMark/>
          </w:tcPr>
          <w:p w14:paraId="6CAA517B" w14:textId="77777777" w:rsidR="00491210" w:rsidRPr="00171B99" w:rsidRDefault="00EE200C">
            <w:pPr>
              <w:rPr>
                <w:sz w:val="22"/>
                <w:szCs w:val="22"/>
                <w:lang w:val="en-US" w:eastAsia="en-AU"/>
              </w:rPr>
            </w:pPr>
            <w:r w:rsidRPr="00171B99">
              <w:rPr>
                <w:sz w:val="22"/>
                <w:szCs w:val="22"/>
                <w:lang w:val="en-US" w:eastAsia="en-AU"/>
              </w:rPr>
              <w:t>Upper Murray</w:t>
            </w:r>
          </w:p>
        </w:tc>
        <w:tc>
          <w:tcPr>
            <w:tcW w:w="6770" w:type="dxa"/>
            <w:tcBorders>
              <w:top w:val="single" w:sz="4" w:space="0" w:color="00B2A9"/>
              <w:left w:val="nil"/>
              <w:bottom w:val="single" w:sz="4" w:space="0" w:color="00B2A9"/>
              <w:right w:val="nil"/>
            </w:tcBorders>
          </w:tcPr>
          <w:p w14:paraId="1AA8D0ED" w14:textId="4F1B225B" w:rsidR="00491210" w:rsidRPr="00171B99" w:rsidRDefault="00EE200C" w:rsidP="00171B99">
            <w:pPr>
              <w:rPr>
                <w:sz w:val="22"/>
                <w:szCs w:val="22"/>
                <w:lang w:val="en-US" w:eastAsia="en-AU"/>
              </w:rPr>
            </w:pPr>
            <m:oMath>
              <m:r>
                <w:rPr>
                  <w:rFonts w:ascii="Cambria Math" w:hAnsi="Cambria Math"/>
                  <w:sz w:val="22"/>
                  <w:szCs w:val="22"/>
                  <w:lang w:val="en-US" w:eastAsia="en-AU"/>
                </w:rPr>
                <m:t>Movement=Totalmovement*u/s movement</m:t>
              </m:r>
            </m:oMath>
            <w:r w:rsidRPr="00171B99">
              <w:rPr>
                <w:rFonts w:eastAsia="MS Mincho"/>
                <w:sz w:val="22"/>
                <w:szCs w:val="22"/>
                <w:lang w:val="en-US" w:eastAsia="en-AU"/>
              </w:rPr>
              <w:t>*0.01</w:t>
            </w:r>
          </w:p>
        </w:tc>
      </w:tr>
      <w:tr w:rsidR="00171B99" w:rsidRPr="00171B99" w14:paraId="2816940B" w14:textId="77777777" w:rsidTr="00171B99">
        <w:tc>
          <w:tcPr>
            <w:tcW w:w="1276" w:type="dxa"/>
            <w:vMerge/>
            <w:tcBorders>
              <w:top w:val="single" w:sz="4" w:space="0" w:color="00B2A9"/>
              <w:left w:val="nil"/>
              <w:bottom w:val="single" w:sz="4" w:space="0" w:color="00B2A9"/>
              <w:right w:val="nil"/>
            </w:tcBorders>
            <w:vAlign w:val="center"/>
            <w:hideMark/>
          </w:tcPr>
          <w:p w14:paraId="66AC6463" w14:textId="77777777" w:rsidR="00491210" w:rsidRPr="00171B99" w:rsidRDefault="00491210">
            <w:pPr>
              <w:spacing w:after="0"/>
              <w:rPr>
                <w:sz w:val="22"/>
                <w:szCs w:val="22"/>
                <w:lang w:val="en-US" w:eastAsia="en-AU"/>
              </w:rPr>
            </w:pPr>
          </w:p>
        </w:tc>
        <w:tc>
          <w:tcPr>
            <w:tcW w:w="1701" w:type="dxa"/>
            <w:tcBorders>
              <w:top w:val="single" w:sz="4" w:space="0" w:color="00B2A9"/>
              <w:left w:val="nil"/>
              <w:bottom w:val="single" w:sz="4" w:space="0" w:color="00B2A9"/>
              <w:right w:val="nil"/>
            </w:tcBorders>
            <w:hideMark/>
          </w:tcPr>
          <w:p w14:paraId="7E941D80" w14:textId="77777777" w:rsidR="00491210" w:rsidRPr="00171B99" w:rsidRDefault="00EE200C">
            <w:pPr>
              <w:rPr>
                <w:sz w:val="22"/>
                <w:szCs w:val="22"/>
                <w:lang w:val="en-US" w:eastAsia="en-AU"/>
              </w:rPr>
            </w:pPr>
            <w:r w:rsidRPr="00171B99">
              <w:rPr>
                <w:sz w:val="22"/>
                <w:szCs w:val="22"/>
                <w:lang w:val="en-US" w:eastAsia="en-AU"/>
              </w:rPr>
              <w:t>Edward</w:t>
            </w:r>
          </w:p>
        </w:tc>
        <w:tc>
          <w:tcPr>
            <w:tcW w:w="6770" w:type="dxa"/>
            <w:tcBorders>
              <w:top w:val="single" w:sz="4" w:space="0" w:color="00B2A9"/>
              <w:left w:val="nil"/>
              <w:bottom w:val="single" w:sz="4" w:space="0" w:color="00B2A9"/>
              <w:right w:val="nil"/>
            </w:tcBorders>
          </w:tcPr>
          <w:p w14:paraId="1BE48031" w14:textId="07E99490" w:rsidR="00491210" w:rsidRPr="00171B99" w:rsidRDefault="00EE200C" w:rsidP="00171B99">
            <w:pPr>
              <w:rPr>
                <w:sz w:val="22"/>
                <w:szCs w:val="22"/>
                <w:lang w:val="en-US" w:eastAsia="en-AU"/>
              </w:rPr>
            </w:pPr>
            <m:oMathPara>
              <m:oMath>
                <m:r>
                  <w:rPr>
                    <w:rFonts w:ascii="Cambria Math" w:hAnsi="Cambria Math"/>
                    <w:sz w:val="22"/>
                    <w:szCs w:val="22"/>
                    <w:lang w:val="en-US" w:eastAsia="en-AU"/>
                  </w:rPr>
                  <m:t>Movement=Totalmovement*d/s movement *</m:t>
                </m:r>
                <m:f>
                  <m:fPr>
                    <m:ctrlPr>
                      <w:rPr>
                        <w:rFonts w:ascii="Cambria Math" w:hAnsi="Cambria Math"/>
                        <w:i/>
                        <w:sz w:val="22"/>
                        <w:szCs w:val="22"/>
                        <w:lang w:val="en-US"/>
                      </w:rPr>
                    </m:ctrlPr>
                  </m:fPr>
                  <m:num>
                    <m:r>
                      <m:rPr>
                        <m:sty m:val="p"/>
                      </m:rPr>
                      <w:rPr>
                        <w:rFonts w:ascii="Cambria Math" w:hAnsi="Cambria Math"/>
                        <w:sz w:val="22"/>
                        <w:szCs w:val="22"/>
                        <w:lang w:val="en-US" w:eastAsia="en-AU"/>
                      </w:rPr>
                      <m:t>Toonalook</m:t>
                    </m:r>
                    <m:r>
                      <w:rPr>
                        <w:rFonts w:ascii="Cambria Math" w:hAnsi="Cambria Math"/>
                        <w:sz w:val="22"/>
                        <w:szCs w:val="22"/>
                        <w:lang w:val="en-US" w:eastAsia="en-AU"/>
                      </w:rPr>
                      <m:t xml:space="preserve"> flow</m:t>
                    </m:r>
                  </m:num>
                  <m:den>
                    <m:r>
                      <w:rPr>
                        <w:rFonts w:ascii="Cambria Math" w:hAnsi="Cambria Math"/>
                        <w:sz w:val="22"/>
                        <w:szCs w:val="22"/>
                        <w:lang w:val="en-US" w:eastAsia="en-AU"/>
                      </w:rPr>
                      <m:t>Total flow</m:t>
                    </m:r>
                  </m:den>
                </m:f>
              </m:oMath>
            </m:oMathPara>
          </w:p>
        </w:tc>
      </w:tr>
      <w:tr w:rsidR="00171B99" w:rsidRPr="00171B99" w14:paraId="50819DCA" w14:textId="77777777" w:rsidTr="00171B99">
        <w:tc>
          <w:tcPr>
            <w:tcW w:w="1276" w:type="dxa"/>
            <w:vMerge/>
            <w:tcBorders>
              <w:top w:val="single" w:sz="4" w:space="0" w:color="00B2A9"/>
              <w:left w:val="nil"/>
              <w:bottom w:val="single" w:sz="4" w:space="0" w:color="00B2A9"/>
              <w:right w:val="nil"/>
            </w:tcBorders>
            <w:vAlign w:val="center"/>
            <w:hideMark/>
          </w:tcPr>
          <w:p w14:paraId="053A4556" w14:textId="77777777" w:rsidR="00491210" w:rsidRPr="00171B99" w:rsidRDefault="00491210">
            <w:pPr>
              <w:spacing w:after="0"/>
              <w:rPr>
                <w:sz w:val="22"/>
                <w:szCs w:val="22"/>
                <w:lang w:val="en-US" w:eastAsia="en-AU"/>
              </w:rPr>
            </w:pPr>
          </w:p>
        </w:tc>
        <w:tc>
          <w:tcPr>
            <w:tcW w:w="1701" w:type="dxa"/>
            <w:tcBorders>
              <w:top w:val="single" w:sz="4" w:space="0" w:color="00B2A9"/>
              <w:left w:val="nil"/>
              <w:bottom w:val="single" w:sz="4" w:space="0" w:color="00B2A9"/>
              <w:right w:val="nil"/>
            </w:tcBorders>
            <w:hideMark/>
          </w:tcPr>
          <w:p w14:paraId="2782B7D4" w14:textId="68440703" w:rsidR="00491210" w:rsidRPr="00171B99" w:rsidRDefault="00EE200C">
            <w:pPr>
              <w:rPr>
                <w:sz w:val="22"/>
                <w:szCs w:val="22"/>
                <w:lang w:val="en-US" w:eastAsia="en-AU"/>
              </w:rPr>
            </w:pPr>
            <w:r w:rsidRPr="00171B99">
              <w:rPr>
                <w:sz w:val="22"/>
                <w:szCs w:val="22"/>
                <w:lang w:val="en-US" w:eastAsia="en-AU"/>
              </w:rPr>
              <w:t>Mid Murray</w:t>
            </w:r>
          </w:p>
        </w:tc>
        <w:tc>
          <w:tcPr>
            <w:tcW w:w="6770" w:type="dxa"/>
            <w:tcBorders>
              <w:top w:val="single" w:sz="4" w:space="0" w:color="00B2A9"/>
              <w:left w:val="nil"/>
              <w:bottom w:val="single" w:sz="4" w:space="0" w:color="00B2A9"/>
              <w:right w:val="nil"/>
            </w:tcBorders>
          </w:tcPr>
          <w:p w14:paraId="28A802D6" w14:textId="291B10C6" w:rsidR="00491210" w:rsidRPr="00171B99" w:rsidRDefault="00EE200C" w:rsidP="00171B99">
            <w:pPr>
              <w:rPr>
                <w:sz w:val="22"/>
                <w:szCs w:val="22"/>
                <w:lang w:val="en-US" w:eastAsia="en-AU"/>
              </w:rPr>
            </w:pPr>
            <m:oMathPara>
              <m:oMath>
                <m:r>
                  <w:rPr>
                    <w:rFonts w:ascii="Cambria Math" w:hAnsi="Cambria Math"/>
                    <w:sz w:val="22"/>
                    <w:szCs w:val="22"/>
                    <w:lang w:val="en-US" w:eastAsia="en-AU"/>
                  </w:rPr>
                  <m:t>Movement=Totalmovement*d/s movement *</m:t>
                </m:r>
                <m:f>
                  <m:fPr>
                    <m:ctrlPr>
                      <w:rPr>
                        <w:rFonts w:ascii="Cambria Math" w:hAnsi="Cambria Math"/>
                        <w:i/>
                        <w:sz w:val="22"/>
                        <w:szCs w:val="22"/>
                        <w:lang w:val="en-US"/>
                      </w:rPr>
                    </m:ctrlPr>
                  </m:fPr>
                  <m:num>
                    <m:r>
                      <w:rPr>
                        <w:rFonts w:ascii="Cambria Math" w:hAnsi="Cambria Math"/>
                        <w:sz w:val="22"/>
                        <w:szCs w:val="22"/>
                        <w:lang w:val="en-US" w:eastAsia="en-AU"/>
                      </w:rPr>
                      <m:t>Collignan flow</m:t>
                    </m:r>
                  </m:num>
                  <m:den>
                    <m:r>
                      <w:rPr>
                        <w:rFonts w:ascii="Cambria Math" w:hAnsi="Cambria Math"/>
                        <w:sz w:val="22"/>
                        <w:szCs w:val="22"/>
                        <w:lang w:val="en-US" w:eastAsia="en-AU"/>
                      </w:rPr>
                      <m:t>Total flow</m:t>
                    </m:r>
                  </m:den>
                </m:f>
              </m:oMath>
            </m:oMathPara>
          </w:p>
        </w:tc>
      </w:tr>
      <w:tr w:rsidR="00171B99" w:rsidRPr="00171B99" w14:paraId="11B67DAE" w14:textId="77777777" w:rsidTr="00171B99">
        <w:tc>
          <w:tcPr>
            <w:tcW w:w="1276" w:type="dxa"/>
            <w:tcBorders>
              <w:top w:val="single" w:sz="4" w:space="0" w:color="00B2A9"/>
              <w:left w:val="nil"/>
              <w:bottom w:val="single" w:sz="4" w:space="0" w:color="00B2A9"/>
              <w:right w:val="nil"/>
            </w:tcBorders>
            <w:hideMark/>
          </w:tcPr>
          <w:p w14:paraId="178F2441" w14:textId="77777777" w:rsidR="00491210" w:rsidRPr="00171B99" w:rsidRDefault="00EE200C">
            <w:pPr>
              <w:rPr>
                <w:sz w:val="22"/>
                <w:szCs w:val="22"/>
                <w:lang w:val="en-US" w:eastAsia="en-AU"/>
              </w:rPr>
            </w:pPr>
            <w:r w:rsidRPr="00171B99">
              <w:rPr>
                <w:sz w:val="22"/>
                <w:szCs w:val="22"/>
                <w:lang w:val="en-US" w:eastAsia="en-AU"/>
              </w:rPr>
              <w:t>Upper Murray</w:t>
            </w:r>
          </w:p>
        </w:tc>
        <w:tc>
          <w:tcPr>
            <w:tcW w:w="1701" w:type="dxa"/>
            <w:tcBorders>
              <w:top w:val="single" w:sz="4" w:space="0" w:color="00B2A9"/>
              <w:left w:val="nil"/>
              <w:bottom w:val="single" w:sz="4" w:space="0" w:color="00B2A9"/>
              <w:right w:val="nil"/>
            </w:tcBorders>
            <w:hideMark/>
          </w:tcPr>
          <w:p w14:paraId="696E8B3B" w14:textId="0E0F7B08" w:rsidR="00491210" w:rsidRPr="00171B99" w:rsidRDefault="00EE200C">
            <w:pPr>
              <w:rPr>
                <w:sz w:val="22"/>
                <w:szCs w:val="22"/>
                <w:lang w:val="en-US" w:eastAsia="en-AU"/>
              </w:rPr>
            </w:pPr>
            <w:r w:rsidRPr="00171B99">
              <w:rPr>
                <w:sz w:val="22"/>
                <w:szCs w:val="22"/>
                <w:lang w:val="en-US" w:eastAsia="en-AU"/>
              </w:rPr>
              <w:t xml:space="preserve">Upper </w:t>
            </w:r>
            <w:r>
              <w:rPr>
                <w:sz w:val="22"/>
                <w:szCs w:val="22"/>
                <w:lang w:val="en-US" w:eastAsia="en-AU"/>
              </w:rPr>
              <w:t xml:space="preserve">Mid </w:t>
            </w:r>
            <w:r w:rsidRPr="00171B99">
              <w:rPr>
                <w:sz w:val="22"/>
                <w:szCs w:val="22"/>
                <w:lang w:val="en-US" w:eastAsia="en-AU"/>
              </w:rPr>
              <w:t>Murray</w:t>
            </w:r>
          </w:p>
        </w:tc>
        <w:tc>
          <w:tcPr>
            <w:tcW w:w="6770" w:type="dxa"/>
            <w:tcBorders>
              <w:top w:val="single" w:sz="4" w:space="0" w:color="00B2A9"/>
              <w:left w:val="nil"/>
              <w:bottom w:val="single" w:sz="4" w:space="0" w:color="00B2A9"/>
              <w:right w:val="nil"/>
            </w:tcBorders>
          </w:tcPr>
          <w:p w14:paraId="4793F1F7" w14:textId="244A74AC" w:rsidR="00491210" w:rsidRPr="00171B99" w:rsidRDefault="00EE200C" w:rsidP="00171B99">
            <w:pPr>
              <w:rPr>
                <w:sz w:val="22"/>
                <w:szCs w:val="22"/>
                <w:lang w:val="en-US" w:eastAsia="en-AU"/>
              </w:rPr>
            </w:pPr>
            <m:oMathPara>
              <m:oMath>
                <m:r>
                  <w:rPr>
                    <w:rFonts w:ascii="Cambria Math" w:hAnsi="Cambria Math"/>
                    <w:sz w:val="22"/>
                    <w:szCs w:val="22"/>
                    <w:lang w:val="en-US" w:eastAsia="en-AU"/>
                  </w:rPr>
                  <m:t>Movement=Totalmovement*d/s movement</m:t>
                </m:r>
              </m:oMath>
            </m:oMathPara>
          </w:p>
        </w:tc>
      </w:tr>
      <w:tr w:rsidR="00171B99" w:rsidRPr="00171B99" w14:paraId="58987B4F" w14:textId="77777777" w:rsidTr="00171B99">
        <w:tc>
          <w:tcPr>
            <w:tcW w:w="1276" w:type="dxa"/>
            <w:vMerge w:val="restart"/>
            <w:tcBorders>
              <w:top w:val="single" w:sz="4" w:space="0" w:color="00B2A9"/>
              <w:left w:val="nil"/>
              <w:bottom w:val="single" w:sz="4" w:space="0" w:color="00B2A9"/>
              <w:right w:val="nil"/>
            </w:tcBorders>
            <w:hideMark/>
          </w:tcPr>
          <w:p w14:paraId="210033BC" w14:textId="77777777" w:rsidR="00491210" w:rsidRPr="00171B99" w:rsidRDefault="00EE200C">
            <w:pPr>
              <w:rPr>
                <w:sz w:val="22"/>
                <w:szCs w:val="22"/>
                <w:lang w:val="en-US" w:eastAsia="en-AU"/>
              </w:rPr>
            </w:pPr>
            <w:r w:rsidRPr="00171B99">
              <w:rPr>
                <w:sz w:val="22"/>
                <w:szCs w:val="22"/>
                <w:lang w:val="en-US" w:eastAsia="en-AU"/>
              </w:rPr>
              <w:t>Lower Darling</w:t>
            </w:r>
          </w:p>
        </w:tc>
        <w:tc>
          <w:tcPr>
            <w:tcW w:w="1701" w:type="dxa"/>
            <w:tcBorders>
              <w:top w:val="single" w:sz="4" w:space="0" w:color="00B2A9"/>
              <w:left w:val="nil"/>
              <w:bottom w:val="single" w:sz="4" w:space="0" w:color="00B2A9"/>
              <w:right w:val="nil"/>
            </w:tcBorders>
            <w:hideMark/>
          </w:tcPr>
          <w:p w14:paraId="1FCD7DA1" w14:textId="39B4E3FA" w:rsidR="00491210" w:rsidRPr="00171B99" w:rsidRDefault="00EE200C">
            <w:pPr>
              <w:rPr>
                <w:sz w:val="22"/>
                <w:szCs w:val="22"/>
                <w:lang w:val="en-US" w:eastAsia="en-AU"/>
              </w:rPr>
            </w:pPr>
            <w:r w:rsidRPr="00171B99">
              <w:rPr>
                <w:sz w:val="22"/>
                <w:szCs w:val="22"/>
                <w:lang w:val="en-US" w:eastAsia="en-AU"/>
              </w:rPr>
              <w:t>Mid Murray</w:t>
            </w:r>
          </w:p>
        </w:tc>
        <w:tc>
          <w:tcPr>
            <w:tcW w:w="6770" w:type="dxa"/>
            <w:tcBorders>
              <w:top w:val="single" w:sz="4" w:space="0" w:color="00B2A9"/>
              <w:left w:val="nil"/>
              <w:bottom w:val="single" w:sz="4" w:space="0" w:color="00B2A9"/>
              <w:right w:val="nil"/>
            </w:tcBorders>
          </w:tcPr>
          <w:p w14:paraId="609894FC" w14:textId="7F2F8B94" w:rsidR="00491210" w:rsidRPr="00171B99" w:rsidRDefault="00EE200C" w:rsidP="00171B99">
            <w:pPr>
              <w:rPr>
                <w:sz w:val="22"/>
                <w:szCs w:val="22"/>
                <w:lang w:val="en-US" w:eastAsia="en-AU"/>
              </w:rPr>
            </w:pPr>
            <m:oMathPara>
              <m:oMath>
                <m:r>
                  <w:rPr>
                    <w:rFonts w:ascii="Cambria Math" w:hAnsi="Cambria Math"/>
                    <w:sz w:val="22"/>
                    <w:szCs w:val="22"/>
                    <w:lang w:val="en-US" w:eastAsia="en-AU"/>
                  </w:rPr>
                  <m:t>Movement=Totalmovement*d/s movement *u/s movement</m:t>
                </m:r>
              </m:oMath>
            </m:oMathPara>
          </w:p>
        </w:tc>
      </w:tr>
      <w:tr w:rsidR="00171B99" w:rsidRPr="00171B99" w14:paraId="66B9A953" w14:textId="77777777" w:rsidTr="00171B99">
        <w:tc>
          <w:tcPr>
            <w:tcW w:w="1276" w:type="dxa"/>
            <w:vMerge/>
            <w:tcBorders>
              <w:top w:val="single" w:sz="4" w:space="0" w:color="00B2A9"/>
              <w:left w:val="nil"/>
              <w:bottom w:val="single" w:sz="4" w:space="0" w:color="00B2A9"/>
              <w:right w:val="nil"/>
            </w:tcBorders>
            <w:vAlign w:val="center"/>
            <w:hideMark/>
          </w:tcPr>
          <w:p w14:paraId="6CBF77E3" w14:textId="77777777" w:rsidR="00491210" w:rsidRPr="00171B99" w:rsidRDefault="00491210">
            <w:pPr>
              <w:spacing w:after="0"/>
              <w:rPr>
                <w:sz w:val="22"/>
                <w:szCs w:val="22"/>
                <w:lang w:val="en-US" w:eastAsia="en-AU"/>
              </w:rPr>
            </w:pPr>
          </w:p>
        </w:tc>
        <w:tc>
          <w:tcPr>
            <w:tcW w:w="1701" w:type="dxa"/>
            <w:tcBorders>
              <w:top w:val="single" w:sz="4" w:space="0" w:color="00B2A9"/>
              <w:left w:val="nil"/>
              <w:bottom w:val="single" w:sz="4" w:space="0" w:color="00B2A9"/>
              <w:right w:val="nil"/>
            </w:tcBorders>
            <w:hideMark/>
          </w:tcPr>
          <w:p w14:paraId="086738C7" w14:textId="77777777" w:rsidR="00491210" w:rsidRPr="00171B99" w:rsidRDefault="00EE200C">
            <w:pPr>
              <w:rPr>
                <w:sz w:val="22"/>
                <w:szCs w:val="22"/>
                <w:lang w:val="en-US" w:eastAsia="en-AU"/>
              </w:rPr>
            </w:pPr>
            <w:r w:rsidRPr="00171B99">
              <w:rPr>
                <w:sz w:val="22"/>
                <w:szCs w:val="22"/>
                <w:lang w:val="en-US" w:eastAsia="en-AU"/>
              </w:rPr>
              <w:t>Lower Murray</w:t>
            </w:r>
          </w:p>
        </w:tc>
        <w:tc>
          <w:tcPr>
            <w:tcW w:w="6770" w:type="dxa"/>
            <w:tcBorders>
              <w:top w:val="single" w:sz="4" w:space="0" w:color="00B2A9"/>
              <w:left w:val="nil"/>
              <w:bottom w:val="single" w:sz="4" w:space="0" w:color="00B2A9"/>
              <w:right w:val="nil"/>
            </w:tcBorders>
          </w:tcPr>
          <w:p w14:paraId="5F309B10" w14:textId="129395E7" w:rsidR="00491210" w:rsidRPr="00171B99" w:rsidRDefault="00EE200C" w:rsidP="00171B99">
            <w:pPr>
              <w:rPr>
                <w:sz w:val="22"/>
                <w:szCs w:val="22"/>
                <w:lang w:val="en-US" w:eastAsia="en-AU"/>
              </w:rPr>
            </w:pPr>
            <m:oMathPara>
              <m:oMath>
                <m:r>
                  <w:rPr>
                    <w:rFonts w:ascii="Cambria Math" w:hAnsi="Cambria Math"/>
                    <w:sz w:val="22"/>
                    <w:szCs w:val="22"/>
                    <w:lang w:val="en-US" w:eastAsia="en-AU"/>
                  </w:rPr>
                  <m:t>Movement= Totalmovement*d/s movement* d/s movemeny</m:t>
                </m:r>
              </m:oMath>
            </m:oMathPara>
          </w:p>
        </w:tc>
      </w:tr>
      <w:tr w:rsidR="00171B99" w:rsidRPr="00171B99" w14:paraId="34E51E32" w14:textId="77777777" w:rsidTr="00171B99">
        <w:tc>
          <w:tcPr>
            <w:tcW w:w="1276" w:type="dxa"/>
            <w:vMerge w:val="restart"/>
            <w:tcBorders>
              <w:top w:val="single" w:sz="4" w:space="0" w:color="00B2A9"/>
              <w:left w:val="nil"/>
              <w:bottom w:val="single" w:sz="4" w:space="0" w:color="00B2A9"/>
              <w:right w:val="nil"/>
            </w:tcBorders>
            <w:hideMark/>
          </w:tcPr>
          <w:p w14:paraId="7BA1C04C" w14:textId="77777777" w:rsidR="00491210" w:rsidRPr="00171B99" w:rsidRDefault="00EE200C">
            <w:pPr>
              <w:rPr>
                <w:sz w:val="22"/>
                <w:szCs w:val="22"/>
                <w:lang w:val="en-US" w:eastAsia="en-AU"/>
              </w:rPr>
            </w:pPr>
            <w:r w:rsidRPr="00171B99">
              <w:rPr>
                <w:sz w:val="22"/>
                <w:szCs w:val="22"/>
                <w:lang w:val="en-US" w:eastAsia="en-AU"/>
              </w:rPr>
              <w:t>Lower Murrumbidgee</w:t>
            </w:r>
          </w:p>
        </w:tc>
        <w:tc>
          <w:tcPr>
            <w:tcW w:w="1701" w:type="dxa"/>
            <w:tcBorders>
              <w:top w:val="single" w:sz="4" w:space="0" w:color="00B2A9"/>
              <w:left w:val="nil"/>
              <w:bottom w:val="single" w:sz="4" w:space="0" w:color="00B2A9"/>
              <w:right w:val="nil"/>
            </w:tcBorders>
            <w:hideMark/>
          </w:tcPr>
          <w:p w14:paraId="075B1A13" w14:textId="69C6644E" w:rsidR="00491210" w:rsidRPr="00171B99" w:rsidRDefault="00EE200C">
            <w:pPr>
              <w:rPr>
                <w:sz w:val="22"/>
                <w:szCs w:val="22"/>
                <w:lang w:val="en-US" w:eastAsia="en-AU"/>
              </w:rPr>
            </w:pPr>
            <w:r w:rsidRPr="00171B99">
              <w:rPr>
                <w:sz w:val="22"/>
                <w:szCs w:val="22"/>
                <w:lang w:val="en-US" w:eastAsia="en-AU"/>
              </w:rPr>
              <w:t>Mid Murray</w:t>
            </w:r>
          </w:p>
        </w:tc>
        <w:tc>
          <w:tcPr>
            <w:tcW w:w="6770" w:type="dxa"/>
            <w:tcBorders>
              <w:top w:val="single" w:sz="4" w:space="0" w:color="00B2A9"/>
              <w:left w:val="nil"/>
              <w:bottom w:val="single" w:sz="4" w:space="0" w:color="00B2A9"/>
              <w:right w:val="nil"/>
            </w:tcBorders>
          </w:tcPr>
          <w:p w14:paraId="2E455546" w14:textId="5DC0D83A" w:rsidR="00491210" w:rsidRPr="00171B99" w:rsidRDefault="00EE200C" w:rsidP="00171B99">
            <w:pPr>
              <w:rPr>
                <w:rFonts w:eastAsia="MS Mincho"/>
                <w:sz w:val="22"/>
                <w:szCs w:val="22"/>
                <w:lang w:val="en-US" w:eastAsia="en-AU"/>
              </w:rPr>
            </w:pPr>
            <m:oMathPara>
              <m:oMath>
                <m:r>
                  <w:rPr>
                    <w:rFonts w:ascii="Cambria Math" w:hAnsi="Cambria Math"/>
                    <w:sz w:val="22"/>
                    <w:szCs w:val="22"/>
                    <w:lang w:val="en-US" w:eastAsia="en-AU"/>
                  </w:rPr>
                  <m:t>Movement=Totalmovement*d/s movement</m:t>
                </m:r>
              </m:oMath>
            </m:oMathPara>
          </w:p>
        </w:tc>
      </w:tr>
      <w:tr w:rsidR="00171B99" w:rsidRPr="00171B99" w14:paraId="03C6C572" w14:textId="77777777" w:rsidTr="00171B99">
        <w:tc>
          <w:tcPr>
            <w:tcW w:w="1276" w:type="dxa"/>
            <w:vMerge/>
            <w:tcBorders>
              <w:top w:val="single" w:sz="4" w:space="0" w:color="00B2A9"/>
              <w:left w:val="nil"/>
              <w:bottom w:val="single" w:sz="4" w:space="0" w:color="00B2A9"/>
              <w:right w:val="nil"/>
            </w:tcBorders>
            <w:vAlign w:val="center"/>
            <w:hideMark/>
          </w:tcPr>
          <w:p w14:paraId="54C42DBE" w14:textId="77777777" w:rsidR="00491210" w:rsidRPr="00171B99" w:rsidRDefault="00491210">
            <w:pPr>
              <w:spacing w:after="0"/>
              <w:rPr>
                <w:sz w:val="22"/>
                <w:szCs w:val="22"/>
                <w:lang w:val="en-US" w:eastAsia="en-AU"/>
              </w:rPr>
            </w:pPr>
          </w:p>
        </w:tc>
        <w:tc>
          <w:tcPr>
            <w:tcW w:w="1701" w:type="dxa"/>
            <w:tcBorders>
              <w:top w:val="single" w:sz="4" w:space="0" w:color="00B2A9"/>
              <w:left w:val="nil"/>
              <w:bottom w:val="single" w:sz="4" w:space="0" w:color="00B2A9"/>
              <w:right w:val="nil"/>
            </w:tcBorders>
            <w:hideMark/>
          </w:tcPr>
          <w:p w14:paraId="051BBA1A" w14:textId="77777777" w:rsidR="00491210" w:rsidRPr="00171B99" w:rsidRDefault="00EE200C">
            <w:pPr>
              <w:rPr>
                <w:sz w:val="22"/>
                <w:szCs w:val="22"/>
                <w:lang w:val="en-US" w:eastAsia="en-AU"/>
              </w:rPr>
            </w:pPr>
            <w:r w:rsidRPr="00171B99">
              <w:rPr>
                <w:sz w:val="22"/>
                <w:szCs w:val="22"/>
                <w:lang w:val="en-US" w:eastAsia="en-AU"/>
              </w:rPr>
              <w:t>Upper Murrumbidgee</w:t>
            </w:r>
          </w:p>
        </w:tc>
        <w:tc>
          <w:tcPr>
            <w:tcW w:w="6770" w:type="dxa"/>
            <w:tcBorders>
              <w:top w:val="single" w:sz="4" w:space="0" w:color="00B2A9"/>
              <w:left w:val="nil"/>
              <w:bottom w:val="single" w:sz="4" w:space="0" w:color="00B2A9"/>
              <w:right w:val="nil"/>
            </w:tcBorders>
          </w:tcPr>
          <w:p w14:paraId="29963D9F" w14:textId="103F8EA0" w:rsidR="00491210" w:rsidRPr="00171B99" w:rsidRDefault="00EE200C" w:rsidP="00171B99">
            <w:pPr>
              <w:rPr>
                <w:sz w:val="22"/>
                <w:szCs w:val="22"/>
                <w:lang w:val="en-US" w:eastAsia="en-AU"/>
              </w:rPr>
            </w:pPr>
            <m:oMathPara>
              <m:oMath>
                <m:r>
                  <w:rPr>
                    <w:rFonts w:ascii="Cambria Math" w:hAnsi="Cambria Math"/>
                    <w:sz w:val="22"/>
                    <w:szCs w:val="22"/>
                    <w:lang w:val="en-US" w:eastAsia="en-AU"/>
                  </w:rPr>
                  <m:t>Movement=Totalmovement*u/s movement</m:t>
                </m:r>
              </m:oMath>
            </m:oMathPara>
          </w:p>
        </w:tc>
      </w:tr>
      <w:tr w:rsidR="00171B99" w:rsidRPr="00171B99" w14:paraId="5860D0EC" w14:textId="77777777" w:rsidTr="00171B99">
        <w:tc>
          <w:tcPr>
            <w:tcW w:w="1276" w:type="dxa"/>
            <w:vMerge w:val="restart"/>
            <w:tcBorders>
              <w:top w:val="single" w:sz="4" w:space="0" w:color="00B2A9"/>
              <w:left w:val="nil"/>
              <w:bottom w:val="single" w:sz="4" w:space="0" w:color="00B2A9"/>
              <w:right w:val="nil"/>
            </w:tcBorders>
            <w:hideMark/>
          </w:tcPr>
          <w:p w14:paraId="7B91613B" w14:textId="408BCCB1" w:rsidR="00491210" w:rsidRPr="00171B99" w:rsidRDefault="00EE200C">
            <w:pPr>
              <w:rPr>
                <w:sz w:val="22"/>
                <w:szCs w:val="22"/>
                <w:lang w:val="en-US" w:eastAsia="en-AU"/>
              </w:rPr>
            </w:pPr>
            <w:r w:rsidRPr="00171B99">
              <w:rPr>
                <w:sz w:val="22"/>
                <w:szCs w:val="22"/>
                <w:lang w:val="en-US" w:eastAsia="en-AU"/>
              </w:rPr>
              <w:t>Edward</w:t>
            </w:r>
          </w:p>
        </w:tc>
        <w:tc>
          <w:tcPr>
            <w:tcW w:w="1701" w:type="dxa"/>
            <w:tcBorders>
              <w:top w:val="single" w:sz="4" w:space="0" w:color="00B2A9"/>
              <w:left w:val="nil"/>
              <w:bottom w:val="single" w:sz="4" w:space="0" w:color="00B2A9"/>
              <w:right w:val="nil"/>
            </w:tcBorders>
            <w:hideMark/>
          </w:tcPr>
          <w:p w14:paraId="134C04D4" w14:textId="0E56D7BD" w:rsidR="00491210" w:rsidRPr="00171B99" w:rsidRDefault="00EE200C">
            <w:pPr>
              <w:rPr>
                <w:sz w:val="22"/>
                <w:szCs w:val="22"/>
                <w:lang w:val="en-US" w:eastAsia="en-AU"/>
              </w:rPr>
            </w:pPr>
            <w:r w:rsidRPr="00171B99">
              <w:rPr>
                <w:sz w:val="22"/>
                <w:szCs w:val="22"/>
                <w:lang w:val="en-US" w:eastAsia="en-AU"/>
              </w:rPr>
              <w:t>Mid Murray</w:t>
            </w:r>
          </w:p>
        </w:tc>
        <w:tc>
          <w:tcPr>
            <w:tcW w:w="6770" w:type="dxa"/>
            <w:tcBorders>
              <w:top w:val="single" w:sz="4" w:space="0" w:color="00B2A9"/>
              <w:left w:val="nil"/>
              <w:bottom w:val="single" w:sz="4" w:space="0" w:color="00B2A9"/>
              <w:right w:val="nil"/>
            </w:tcBorders>
            <w:hideMark/>
          </w:tcPr>
          <w:p w14:paraId="6661FE2C" w14:textId="45554237" w:rsidR="00491210" w:rsidRPr="00171B99" w:rsidRDefault="00EE200C">
            <w:pPr>
              <w:rPr>
                <w:sz w:val="22"/>
                <w:szCs w:val="22"/>
                <w:lang w:val="en-US" w:eastAsia="en-AU"/>
              </w:rPr>
            </w:pPr>
            <m:oMathPara>
              <m:oMath>
                <m:r>
                  <w:rPr>
                    <w:rFonts w:ascii="Cambria Math" w:hAnsi="Cambria Math"/>
                    <w:sz w:val="22"/>
                    <w:szCs w:val="22"/>
                    <w:lang w:val="en-US" w:eastAsia="en-AU"/>
                  </w:rPr>
                  <m:t>Movement=Totalmovement*d/s movement</m:t>
                </m:r>
              </m:oMath>
            </m:oMathPara>
          </w:p>
        </w:tc>
      </w:tr>
      <w:tr w:rsidR="00171B99" w:rsidRPr="00171B99" w14:paraId="099A1B94" w14:textId="77777777" w:rsidTr="00171B99">
        <w:tc>
          <w:tcPr>
            <w:tcW w:w="1276" w:type="dxa"/>
            <w:vMerge/>
            <w:tcBorders>
              <w:top w:val="single" w:sz="4" w:space="0" w:color="00B2A9"/>
              <w:left w:val="nil"/>
              <w:bottom w:val="single" w:sz="4" w:space="0" w:color="00B2A9"/>
              <w:right w:val="nil"/>
            </w:tcBorders>
            <w:vAlign w:val="center"/>
            <w:hideMark/>
          </w:tcPr>
          <w:p w14:paraId="153BE001" w14:textId="77777777" w:rsidR="00491210" w:rsidRPr="00171B99" w:rsidRDefault="00491210">
            <w:pPr>
              <w:spacing w:after="0"/>
              <w:rPr>
                <w:sz w:val="22"/>
                <w:szCs w:val="22"/>
                <w:lang w:val="en-US" w:eastAsia="en-AU"/>
              </w:rPr>
            </w:pPr>
          </w:p>
        </w:tc>
        <w:tc>
          <w:tcPr>
            <w:tcW w:w="1701" w:type="dxa"/>
            <w:tcBorders>
              <w:top w:val="single" w:sz="4" w:space="0" w:color="00B2A9"/>
              <w:left w:val="nil"/>
              <w:bottom w:val="single" w:sz="4" w:space="0" w:color="00B2A9"/>
              <w:right w:val="nil"/>
            </w:tcBorders>
            <w:hideMark/>
          </w:tcPr>
          <w:p w14:paraId="350D39EA" w14:textId="166F1DDC" w:rsidR="00491210" w:rsidRPr="00171B99" w:rsidRDefault="00EE200C">
            <w:pPr>
              <w:rPr>
                <w:sz w:val="22"/>
                <w:szCs w:val="22"/>
                <w:lang w:val="en-US" w:eastAsia="en-AU"/>
              </w:rPr>
            </w:pPr>
            <w:r w:rsidRPr="00171B99">
              <w:rPr>
                <w:sz w:val="22"/>
                <w:szCs w:val="22"/>
                <w:lang w:val="en-US" w:eastAsia="en-AU"/>
              </w:rPr>
              <w:t xml:space="preserve">Upper </w:t>
            </w:r>
            <w:r>
              <w:rPr>
                <w:sz w:val="22"/>
                <w:szCs w:val="22"/>
                <w:lang w:val="en-US" w:eastAsia="en-AU"/>
              </w:rPr>
              <w:t xml:space="preserve">Mid </w:t>
            </w:r>
            <w:r w:rsidRPr="00171B99">
              <w:rPr>
                <w:sz w:val="22"/>
                <w:szCs w:val="22"/>
                <w:lang w:val="en-US" w:eastAsia="en-AU"/>
              </w:rPr>
              <w:t>Murray</w:t>
            </w:r>
          </w:p>
        </w:tc>
        <w:tc>
          <w:tcPr>
            <w:tcW w:w="6770" w:type="dxa"/>
            <w:tcBorders>
              <w:top w:val="single" w:sz="4" w:space="0" w:color="00B2A9"/>
              <w:left w:val="nil"/>
              <w:bottom w:val="single" w:sz="4" w:space="0" w:color="00B2A9"/>
              <w:right w:val="nil"/>
            </w:tcBorders>
            <w:hideMark/>
          </w:tcPr>
          <w:p w14:paraId="57739EA6" w14:textId="275B65B2" w:rsidR="00491210" w:rsidRPr="00171B99" w:rsidRDefault="00EE200C">
            <w:pPr>
              <w:rPr>
                <w:sz w:val="22"/>
                <w:szCs w:val="22"/>
                <w:lang w:val="en-US" w:eastAsia="en-AU"/>
              </w:rPr>
            </w:pPr>
            <m:oMathPara>
              <m:oMath>
                <m:r>
                  <w:rPr>
                    <w:rFonts w:ascii="Cambria Math" w:hAnsi="Cambria Math"/>
                    <w:sz w:val="22"/>
                    <w:szCs w:val="22"/>
                    <w:lang w:val="en-US" w:eastAsia="en-AU"/>
                  </w:rPr>
                  <m:t>Movement=Totalmovement*u/s movement</m:t>
                </m:r>
              </m:oMath>
            </m:oMathPara>
          </w:p>
        </w:tc>
      </w:tr>
      <w:tr w:rsidR="00171B99" w:rsidRPr="00171B99" w14:paraId="74E41E65" w14:textId="77777777" w:rsidTr="00171B99">
        <w:tc>
          <w:tcPr>
            <w:tcW w:w="1276" w:type="dxa"/>
            <w:tcBorders>
              <w:top w:val="single" w:sz="4" w:space="0" w:color="00B2A9"/>
              <w:left w:val="nil"/>
              <w:bottom w:val="single" w:sz="4" w:space="0" w:color="00B2A9"/>
              <w:right w:val="nil"/>
            </w:tcBorders>
            <w:hideMark/>
          </w:tcPr>
          <w:p w14:paraId="7820A500" w14:textId="77777777" w:rsidR="00491210" w:rsidRPr="00171B99" w:rsidRDefault="00EE200C">
            <w:pPr>
              <w:rPr>
                <w:sz w:val="22"/>
                <w:szCs w:val="22"/>
                <w:lang w:val="en-US" w:eastAsia="en-AU"/>
              </w:rPr>
            </w:pPr>
            <w:r w:rsidRPr="00171B99">
              <w:rPr>
                <w:sz w:val="22"/>
                <w:szCs w:val="22"/>
                <w:lang w:val="en-US" w:eastAsia="en-AU"/>
              </w:rPr>
              <w:t>Upper Murrumbidgee</w:t>
            </w:r>
          </w:p>
        </w:tc>
        <w:tc>
          <w:tcPr>
            <w:tcW w:w="1701" w:type="dxa"/>
            <w:tcBorders>
              <w:top w:val="single" w:sz="4" w:space="0" w:color="00B2A9"/>
              <w:left w:val="nil"/>
              <w:bottom w:val="single" w:sz="4" w:space="0" w:color="00B2A9"/>
              <w:right w:val="nil"/>
            </w:tcBorders>
            <w:hideMark/>
          </w:tcPr>
          <w:p w14:paraId="1766DF99" w14:textId="77777777" w:rsidR="00491210" w:rsidRPr="00171B99" w:rsidRDefault="00EE200C">
            <w:pPr>
              <w:rPr>
                <w:sz w:val="22"/>
                <w:szCs w:val="22"/>
                <w:lang w:val="en-US" w:eastAsia="en-AU"/>
              </w:rPr>
            </w:pPr>
            <w:r w:rsidRPr="00171B99">
              <w:rPr>
                <w:sz w:val="22"/>
                <w:szCs w:val="22"/>
                <w:lang w:val="en-US" w:eastAsia="en-AU"/>
              </w:rPr>
              <w:t>Lower Murrumbidgee</w:t>
            </w:r>
          </w:p>
        </w:tc>
        <w:tc>
          <w:tcPr>
            <w:tcW w:w="6770" w:type="dxa"/>
            <w:tcBorders>
              <w:top w:val="single" w:sz="4" w:space="0" w:color="00B2A9"/>
              <w:left w:val="nil"/>
              <w:bottom w:val="single" w:sz="4" w:space="0" w:color="00B2A9"/>
              <w:right w:val="nil"/>
            </w:tcBorders>
            <w:hideMark/>
          </w:tcPr>
          <w:p w14:paraId="609CA7F4" w14:textId="4123AB41" w:rsidR="00491210" w:rsidRPr="00171B99" w:rsidRDefault="00EE200C">
            <w:pPr>
              <w:rPr>
                <w:rFonts w:eastAsia="MS Mincho"/>
                <w:sz w:val="22"/>
                <w:szCs w:val="22"/>
                <w:lang w:val="en-US" w:eastAsia="en-AU"/>
              </w:rPr>
            </w:pPr>
            <m:oMathPara>
              <m:oMath>
                <m:r>
                  <w:rPr>
                    <w:rFonts w:ascii="Cambria Math" w:hAnsi="Cambria Math"/>
                    <w:sz w:val="22"/>
                    <w:szCs w:val="22"/>
                    <w:lang w:val="en-US" w:eastAsia="en-AU"/>
                  </w:rPr>
                  <m:t>Movement=Totalmovement*d/s movement</m:t>
                </m:r>
              </m:oMath>
            </m:oMathPara>
          </w:p>
        </w:tc>
      </w:tr>
      <w:bookmarkEnd w:id="398"/>
    </w:tbl>
    <w:p w14:paraId="6E6EF1F7" w14:textId="77777777" w:rsidR="00491210" w:rsidRPr="00171B99" w:rsidRDefault="00491210" w:rsidP="00171B99">
      <w:pPr>
        <w:rPr>
          <w:sz w:val="22"/>
          <w:szCs w:val="22"/>
          <w:lang w:val="en-US"/>
        </w:rPr>
      </w:pPr>
    </w:p>
    <w:p w14:paraId="31457283" w14:textId="77777777" w:rsidR="00491210" w:rsidRPr="00171B99" w:rsidRDefault="00EE200C" w:rsidP="00171B99">
      <w:pPr>
        <w:rPr>
          <w:i/>
          <w:iCs/>
          <w:sz w:val="22"/>
          <w:szCs w:val="22"/>
        </w:rPr>
      </w:pPr>
      <w:r w:rsidRPr="00171B99">
        <w:rPr>
          <w:i/>
          <w:iCs/>
          <w:sz w:val="22"/>
          <w:szCs w:val="22"/>
        </w:rPr>
        <w:t>Reset flows</w:t>
      </w:r>
    </w:p>
    <w:p w14:paraId="5046E714" w14:textId="4C2BC1EA" w:rsidR="00491210" w:rsidRPr="008F0FA8" w:rsidRDefault="00EE200C" w:rsidP="008F0FA8">
      <w:pPr>
        <w:pStyle w:val="paragraph"/>
        <w:spacing w:before="0" w:beforeAutospacing="0" w:after="120" w:afterAutospacing="0" w:line="259" w:lineRule="auto"/>
        <w:jc w:val="both"/>
        <w:rPr>
          <w:rFonts w:ascii="Arial" w:hAnsi="Arial" w:cs="Arial"/>
        </w:rPr>
      </w:pPr>
      <w:r w:rsidRPr="008F0FA8">
        <w:rPr>
          <w:rFonts w:ascii="Arial" w:hAnsi="Arial" w:cs="Arial"/>
        </w:rPr>
        <w:t>Reset flows are triggered by flow on a given day that is double the bank full flow in each reach. This triggers a 50% movement event (i.e. 50% of fish move) in that year in the specific reach. Here, 30% of fish move up and 20% downstream (50% of the total population</w:t>
      </w:r>
      <w:r>
        <w:rPr>
          <w:rFonts w:ascii="Arial" w:hAnsi="Arial" w:cs="Arial"/>
        </w:rPr>
        <w:t xml:space="preserve"> move</w:t>
      </w:r>
      <w:r w:rsidRPr="008F0FA8">
        <w:rPr>
          <w:rFonts w:ascii="Arial" w:hAnsi="Arial" w:cs="Arial"/>
        </w:rPr>
        <w:t>)</w:t>
      </w:r>
      <w:r>
        <w:rPr>
          <w:rFonts w:ascii="Arial" w:hAnsi="Arial" w:cs="Arial"/>
        </w:rPr>
        <w:t>,</w:t>
      </w:r>
      <w:r w:rsidRPr="008F0FA8">
        <w:rPr>
          <w:rFonts w:ascii="Arial" w:hAnsi="Arial" w:cs="Arial"/>
        </w:rPr>
        <w:t xml:space="preserve"> and movement </w:t>
      </w:r>
      <w:r>
        <w:rPr>
          <w:rFonts w:ascii="Arial" w:hAnsi="Arial" w:cs="Arial"/>
        </w:rPr>
        <w:t>‘</w:t>
      </w:r>
      <w:r w:rsidRPr="008F0FA8">
        <w:rPr>
          <w:rFonts w:ascii="Arial" w:hAnsi="Arial" w:cs="Arial"/>
        </w:rPr>
        <w:t>decisions</w:t>
      </w:r>
      <w:r>
        <w:rPr>
          <w:rFonts w:ascii="Arial" w:hAnsi="Arial" w:cs="Arial"/>
        </w:rPr>
        <w:t>’</w:t>
      </w:r>
      <w:r w:rsidRPr="008F0FA8">
        <w:rPr>
          <w:rFonts w:ascii="Arial" w:hAnsi="Arial" w:cs="Arial"/>
        </w:rPr>
        <w:t xml:space="preserve"> are dictated by </w:t>
      </w:r>
      <w:r>
        <w:rPr>
          <w:rFonts w:ascii="Arial" w:hAnsi="Arial" w:cs="Arial"/>
        </w:rPr>
        <w:t xml:space="preserve">the </w:t>
      </w:r>
      <w:r w:rsidRPr="008F0FA8">
        <w:rPr>
          <w:rFonts w:ascii="Arial" w:hAnsi="Arial" w:cs="Arial"/>
        </w:rPr>
        <w:t>yearly proportions of daily bank full flows</w:t>
      </w:r>
      <w:r>
        <w:rPr>
          <w:rFonts w:ascii="Arial" w:hAnsi="Arial" w:cs="Arial"/>
        </w:rPr>
        <w:t>,</w:t>
      </w:r>
      <w:r w:rsidRPr="008F0FA8">
        <w:rPr>
          <w:rFonts w:ascii="Arial" w:hAnsi="Arial" w:cs="Arial"/>
        </w:rPr>
        <w:t xml:space="preserve"> where appropriate. Populations at the outer extremes of the metapopulation structure have a 50% movement into the adjoining population. </w:t>
      </w:r>
      <w:r>
        <w:rPr>
          <w:rFonts w:ascii="Arial" w:hAnsi="Arial" w:cs="Arial"/>
        </w:rPr>
        <w:t>Data on b</w:t>
      </w:r>
      <w:r w:rsidRPr="008F0FA8">
        <w:rPr>
          <w:rFonts w:ascii="Arial" w:hAnsi="Arial" w:cs="Arial"/>
        </w:rPr>
        <w:t>ank full flows come from the Murray–Lower Darling Long</w:t>
      </w:r>
      <w:r>
        <w:rPr>
          <w:rFonts w:ascii="Arial" w:hAnsi="Arial" w:cs="Arial"/>
        </w:rPr>
        <w:t>-</w:t>
      </w:r>
      <w:r w:rsidRPr="008F0FA8">
        <w:rPr>
          <w:rFonts w:ascii="Arial" w:hAnsi="Arial" w:cs="Arial"/>
        </w:rPr>
        <w:t xml:space="preserve">Term Water Plan – part B </w:t>
      </w:r>
      <w:r w:rsidRPr="008F0FA8">
        <w:rPr>
          <w:rFonts w:ascii="Arial" w:hAnsi="Arial" w:cs="Arial"/>
        </w:rPr>
        <w:fldChar w:fldCharType="begin"/>
      </w:r>
      <w:r w:rsidRPr="008F0FA8">
        <w:rPr>
          <w:rFonts w:ascii="Arial" w:hAnsi="Arial" w:cs="Arial"/>
        </w:rPr>
        <w:instrText xml:space="preserve"> ADDIN EN.CITE &lt;EndNote&gt;&lt;Cite&gt;&lt;Author&gt;DPIE&lt;/Author&gt;&lt;Year&gt;2020&lt;/Year&gt;&lt;RecNum&gt;947&lt;/RecNum&gt;&lt;DisplayText&gt;(DPIE 2020a)&lt;/DisplayText&gt;&lt;record&gt;&lt;rec-number&gt;947&lt;/rec-number&gt;&lt;foreign-keys&gt;&lt;key app="EN" db-id="prrfvv2a1z5ardew9ecp2rsbrwdf2sp0ar0w" timestamp="1628560952"&gt;947&lt;/key&gt;&lt;/foreign-keys&gt;&lt;ref-type name="Report"&gt;27&lt;/ref-type&gt;&lt;contributors&gt;&lt;authors&gt;&lt;author&gt;DPIE&lt;/author&gt;&lt;/authors&gt;&lt;/contributors&gt;&lt;titles&gt;&lt;title&gt;Murray–Lower Darling Long Term Water Plan Part B: Murray–Lower Darling planning units&lt;/title&gt;&lt;/titles&gt;&lt;dates&gt;&lt;year&gt;2020&lt;/year&gt;&lt;/dates&gt;&lt;pub-location&gt;State of New South Wales and Department of Planning, Industry and Environment&lt;/pub-location&gt;&lt;urls&gt;&lt;/urls&gt;&lt;/record&gt;&lt;/Cite&gt;&lt;/EndNote&gt;</w:instrText>
      </w:r>
      <w:r w:rsidRPr="008F0FA8">
        <w:rPr>
          <w:rFonts w:ascii="Arial" w:hAnsi="Arial" w:cs="Arial"/>
        </w:rPr>
        <w:fldChar w:fldCharType="separate"/>
      </w:r>
      <w:r w:rsidRPr="008F0FA8">
        <w:rPr>
          <w:rFonts w:ascii="Arial" w:hAnsi="Arial" w:cs="Arial"/>
        </w:rPr>
        <w:t>(DPIE 2020a)</w:t>
      </w:r>
      <w:r w:rsidRPr="008F0FA8">
        <w:rPr>
          <w:rFonts w:ascii="Arial" w:hAnsi="Arial" w:cs="Arial"/>
        </w:rPr>
        <w:fldChar w:fldCharType="end"/>
      </w:r>
      <w:r w:rsidRPr="008F0FA8">
        <w:rPr>
          <w:rFonts w:ascii="Arial" w:hAnsi="Arial" w:cs="Arial"/>
        </w:rPr>
        <w:t xml:space="preserve"> or the Murrumbidgee Long</w:t>
      </w:r>
      <w:r>
        <w:rPr>
          <w:rFonts w:ascii="Arial" w:hAnsi="Arial" w:cs="Arial"/>
        </w:rPr>
        <w:t>-</w:t>
      </w:r>
      <w:r w:rsidRPr="008F0FA8">
        <w:rPr>
          <w:rFonts w:ascii="Arial" w:hAnsi="Arial" w:cs="Arial"/>
        </w:rPr>
        <w:t xml:space="preserve">Term Water Plan – part B </w:t>
      </w:r>
      <w:r w:rsidRPr="008F0FA8">
        <w:rPr>
          <w:rFonts w:ascii="Arial" w:hAnsi="Arial" w:cs="Arial"/>
        </w:rPr>
        <w:fldChar w:fldCharType="begin"/>
      </w:r>
      <w:r w:rsidRPr="008F0FA8">
        <w:rPr>
          <w:rFonts w:ascii="Arial" w:hAnsi="Arial" w:cs="Arial"/>
        </w:rPr>
        <w:instrText xml:space="preserve"> ADDIN EN.CITE &lt;EndNote&gt;&lt;Cite&gt;&lt;Author&gt;DPIE&lt;/Author&gt;&lt;Year&gt;2020&lt;/Year&gt;&lt;RecNum&gt;946&lt;/RecNum&gt;&lt;DisplayText&gt;(DPIE 2020b)&lt;/DisplayText&gt;&lt;record&gt;&lt;rec-number&gt;946&lt;/rec-number&gt;&lt;foreign-keys&gt;&lt;key app="EN" db-id="prrfvv2a1z5ardew9ecp2rsbrwdf2sp0ar0w" timestamp="1628560887"&gt;946&lt;/key&gt;&lt;/foreign-keys&gt;&lt;ref-type name="Report"&gt;27&lt;/ref-type&gt;&lt;contributors&gt;&lt;authors&gt;&lt;author&gt;DPIE&lt;/author&gt;&lt;/authors&gt;&lt;/contributors&gt;&lt;titles&gt;&lt;title&gt;Murrumbidgee Long Term Water Plan Part B: Murrumbidgee planning units&lt;/title&gt;&lt;/titles&gt;&lt;dates&gt;&lt;year&gt;2020&lt;/year&gt;&lt;/dates&gt;&lt;pub-location&gt;State of New South Wales and Department of Planning, Industry and Environment&lt;/pub-location&gt;&lt;urls&gt;&lt;/urls&gt;&lt;/record&gt;&lt;/Cite&gt;&lt;/EndNote&gt;</w:instrText>
      </w:r>
      <w:r w:rsidRPr="008F0FA8">
        <w:rPr>
          <w:rFonts w:ascii="Arial" w:hAnsi="Arial" w:cs="Arial"/>
        </w:rPr>
        <w:fldChar w:fldCharType="separate"/>
      </w:r>
      <w:r w:rsidRPr="008F0FA8">
        <w:rPr>
          <w:rFonts w:ascii="Arial" w:hAnsi="Arial" w:cs="Arial"/>
        </w:rPr>
        <w:t>(DPIE 2020b)</w:t>
      </w:r>
      <w:r w:rsidRPr="008F0FA8">
        <w:rPr>
          <w:rFonts w:ascii="Arial" w:hAnsi="Arial" w:cs="Arial"/>
        </w:rPr>
        <w:fldChar w:fldCharType="end"/>
      </w:r>
      <w:r w:rsidRPr="008F0FA8">
        <w:rPr>
          <w:rFonts w:ascii="Arial" w:hAnsi="Arial" w:cs="Arial"/>
        </w:rPr>
        <w:t>.</w:t>
      </w:r>
    </w:p>
    <w:p w14:paraId="4B1BBBCA" w14:textId="77777777" w:rsidR="00491210" w:rsidRPr="00171B99" w:rsidRDefault="00EE200C" w:rsidP="00171B99">
      <w:pPr>
        <w:keepNext/>
        <w:spacing w:before="240"/>
        <w:rPr>
          <w:i/>
          <w:iCs/>
          <w:sz w:val="22"/>
          <w:szCs w:val="22"/>
        </w:rPr>
      </w:pPr>
      <w:r w:rsidRPr="00171B99">
        <w:rPr>
          <w:i/>
          <w:iCs/>
          <w:sz w:val="22"/>
          <w:szCs w:val="22"/>
        </w:rPr>
        <w:t>Golden Perch adult spawning run</w:t>
      </w:r>
    </w:p>
    <w:p w14:paraId="01FFFFD7" w14:textId="2B9085E8" w:rsidR="00491210" w:rsidRPr="008F0FA8" w:rsidRDefault="00EE200C" w:rsidP="008F0FA8">
      <w:pPr>
        <w:pStyle w:val="paragraph"/>
        <w:spacing w:before="0" w:beforeAutospacing="0" w:after="120" w:afterAutospacing="0" w:line="259" w:lineRule="auto"/>
        <w:jc w:val="both"/>
        <w:rPr>
          <w:rFonts w:ascii="Arial" w:hAnsi="Arial" w:cs="Arial"/>
        </w:rPr>
      </w:pPr>
      <w:r>
        <w:rPr>
          <w:rFonts w:ascii="Arial" w:hAnsi="Arial" w:cs="Arial"/>
        </w:rPr>
        <w:t>The rules for the adult spawning run are s</w:t>
      </w:r>
      <w:r w:rsidRPr="008F0FA8">
        <w:rPr>
          <w:rFonts w:ascii="Arial" w:hAnsi="Arial" w:cs="Arial"/>
        </w:rPr>
        <w:t xml:space="preserve">imilar to </w:t>
      </w:r>
      <w:r>
        <w:rPr>
          <w:rFonts w:ascii="Arial" w:hAnsi="Arial" w:cs="Arial"/>
        </w:rPr>
        <w:t xml:space="preserve">the </w:t>
      </w:r>
      <w:r w:rsidRPr="008F0FA8">
        <w:rPr>
          <w:rFonts w:ascii="Arial" w:hAnsi="Arial" w:cs="Arial"/>
        </w:rPr>
        <w:t>adult movement rules</w:t>
      </w:r>
      <w:r>
        <w:rPr>
          <w:rFonts w:ascii="Arial" w:hAnsi="Arial" w:cs="Arial"/>
        </w:rPr>
        <w:t>,</w:t>
      </w:r>
      <w:r w:rsidRPr="008F0FA8">
        <w:rPr>
          <w:rFonts w:ascii="Arial" w:hAnsi="Arial" w:cs="Arial"/>
        </w:rPr>
        <w:t xml:space="preserve"> but movement is estimated from </w:t>
      </w:r>
      <w:r>
        <w:rPr>
          <w:rFonts w:ascii="Arial" w:hAnsi="Arial" w:cs="Arial"/>
        </w:rPr>
        <w:t xml:space="preserve">the </w:t>
      </w:r>
      <w:r w:rsidRPr="008F0FA8">
        <w:rPr>
          <w:rFonts w:ascii="Arial" w:hAnsi="Arial" w:cs="Arial"/>
        </w:rPr>
        <w:t>start of August until the end of January.</w:t>
      </w:r>
    </w:p>
    <w:p w14:paraId="55068B35" w14:textId="32DBC31C" w:rsidR="00491210" w:rsidRPr="00171B99" w:rsidRDefault="00EE200C" w:rsidP="00171B99">
      <w:pPr>
        <w:rPr>
          <w:sz w:val="22"/>
          <w:szCs w:val="22"/>
        </w:rPr>
      </w:pPr>
      <w:r w:rsidRPr="00093162">
        <w:rPr>
          <w:sz w:val="22"/>
          <w:szCs w:val="22"/>
        </w:rPr>
        <w:t xml:space="preserve">It does </w:t>
      </w:r>
      <w:r w:rsidRPr="00171B99">
        <w:rPr>
          <w:sz w:val="22"/>
          <w:szCs w:val="22"/>
          <w:u w:val="single"/>
        </w:rPr>
        <w:t>not</w:t>
      </w:r>
      <w:r w:rsidRPr="00171B99">
        <w:rPr>
          <w:sz w:val="22"/>
          <w:szCs w:val="22"/>
        </w:rPr>
        <w:t xml:space="preserve"> include reset flows.</w:t>
      </w:r>
    </w:p>
    <w:p w14:paraId="7717619F" w14:textId="15953B96" w:rsidR="00491210" w:rsidRPr="00171B99" w:rsidRDefault="00EE200C" w:rsidP="00171B99">
      <w:pPr>
        <w:rPr>
          <w:sz w:val="22"/>
          <w:szCs w:val="22"/>
        </w:rPr>
      </w:pPr>
      <w:r w:rsidRPr="00171B99">
        <w:rPr>
          <w:sz w:val="22"/>
          <w:szCs w:val="22"/>
        </w:rPr>
        <w:t xml:space="preserve">A proportion of adults will go on a spawning run and return to </w:t>
      </w:r>
      <w:r>
        <w:rPr>
          <w:sz w:val="22"/>
          <w:szCs w:val="22"/>
        </w:rPr>
        <w:t xml:space="preserve">the </w:t>
      </w:r>
      <w:r w:rsidRPr="00171B99">
        <w:rPr>
          <w:sz w:val="22"/>
          <w:szCs w:val="22"/>
        </w:rPr>
        <w:t>original population.</w:t>
      </w:r>
    </w:p>
    <w:p w14:paraId="5708FAC9" w14:textId="77777777" w:rsidR="00491210" w:rsidRPr="00171B99" w:rsidRDefault="00EE200C" w:rsidP="00836EC5">
      <w:pPr>
        <w:numPr>
          <w:ilvl w:val="0"/>
          <w:numId w:val="44"/>
        </w:numPr>
        <w:spacing w:after="160" w:line="276" w:lineRule="auto"/>
        <w:contextualSpacing/>
        <w:rPr>
          <w:b/>
          <w:sz w:val="22"/>
          <w:szCs w:val="22"/>
          <w:lang w:eastAsia="en-AU"/>
        </w:rPr>
      </w:pPr>
      <w:r w:rsidRPr="00171B99">
        <w:rPr>
          <w:b/>
          <w:sz w:val="22"/>
          <w:szCs w:val="22"/>
          <w:lang w:eastAsia="en-AU"/>
        </w:rPr>
        <w:t>20% of adult movers will return to original population</w:t>
      </w:r>
    </w:p>
    <w:p w14:paraId="0E89CBC3" w14:textId="086675B6" w:rsidR="00491210" w:rsidRPr="00171B99" w:rsidRDefault="00EE200C" w:rsidP="00171B99">
      <w:pPr>
        <w:rPr>
          <w:sz w:val="22"/>
          <w:szCs w:val="22"/>
        </w:rPr>
      </w:pPr>
      <w:r w:rsidRPr="00171B99">
        <w:rPr>
          <w:sz w:val="22"/>
          <w:szCs w:val="22"/>
        </w:rPr>
        <w:t>Therefore, all results from adult movement are *</w:t>
      </w:r>
      <w:r>
        <w:rPr>
          <w:sz w:val="22"/>
          <w:szCs w:val="22"/>
        </w:rPr>
        <w:t>0</w:t>
      </w:r>
      <w:r w:rsidRPr="00171B99">
        <w:rPr>
          <w:sz w:val="22"/>
          <w:szCs w:val="22"/>
        </w:rPr>
        <w:t>.2</w:t>
      </w:r>
    </w:p>
    <w:p w14:paraId="575AAA0A" w14:textId="77777777" w:rsidR="00491210" w:rsidRPr="00171B99" w:rsidRDefault="00EE200C" w:rsidP="00171B99">
      <w:pPr>
        <w:keepNext/>
        <w:spacing w:before="240"/>
        <w:rPr>
          <w:i/>
          <w:iCs/>
          <w:sz w:val="22"/>
          <w:szCs w:val="22"/>
        </w:rPr>
      </w:pPr>
      <w:r w:rsidRPr="00171B99">
        <w:rPr>
          <w:i/>
          <w:iCs/>
          <w:sz w:val="22"/>
          <w:szCs w:val="22"/>
        </w:rPr>
        <w:t>Golden Perch productivity</w:t>
      </w:r>
    </w:p>
    <w:p w14:paraId="4C3A364C" w14:textId="6D2ADFEA" w:rsidR="00491210" w:rsidRPr="00171B99" w:rsidRDefault="00EE200C" w:rsidP="00171B99">
      <w:pPr>
        <w:keepNext/>
        <w:spacing w:before="240"/>
        <w:rPr>
          <w:sz w:val="22"/>
          <w:szCs w:val="22"/>
        </w:rPr>
      </w:pPr>
      <w:r w:rsidRPr="00171B99">
        <w:rPr>
          <w:sz w:val="22"/>
          <w:szCs w:val="22"/>
        </w:rPr>
        <w:t>Golden Perch productivity is described in the main text</w:t>
      </w:r>
      <w:r>
        <w:rPr>
          <w:sz w:val="22"/>
          <w:szCs w:val="22"/>
        </w:rPr>
        <w:t>.</w:t>
      </w:r>
    </w:p>
    <w:p w14:paraId="287B88BD" w14:textId="77777777" w:rsidR="00491210" w:rsidRPr="00171B99" w:rsidRDefault="00EE200C" w:rsidP="0015103C">
      <w:pPr>
        <w:pStyle w:val="Heading4"/>
      </w:pPr>
      <w:r w:rsidRPr="00171B99">
        <w:t>Murray Cod model rules extended</w:t>
      </w:r>
    </w:p>
    <w:p w14:paraId="263975A1" w14:textId="77777777" w:rsidR="00491210" w:rsidRPr="00171B99" w:rsidRDefault="00491210" w:rsidP="00171B99">
      <w:pPr>
        <w:rPr>
          <w:b/>
          <w:bCs/>
          <w:i/>
          <w:iCs/>
          <w:sz w:val="22"/>
          <w:szCs w:val="22"/>
        </w:rPr>
      </w:pPr>
    </w:p>
    <w:p w14:paraId="05627975" w14:textId="77777777" w:rsidR="00491210" w:rsidRPr="00171B99" w:rsidRDefault="00EE200C" w:rsidP="00171B99">
      <w:pPr>
        <w:rPr>
          <w:i/>
          <w:iCs/>
          <w:sz w:val="22"/>
          <w:szCs w:val="22"/>
        </w:rPr>
      </w:pPr>
      <w:r w:rsidRPr="00171B99">
        <w:rPr>
          <w:i/>
          <w:iCs/>
          <w:sz w:val="22"/>
          <w:szCs w:val="22"/>
        </w:rPr>
        <w:t>Murray Cod egg and larval survival</w:t>
      </w:r>
    </w:p>
    <w:p w14:paraId="2DDA3A6C" w14:textId="07535EBC" w:rsidR="00491210" w:rsidRPr="00171B99" w:rsidRDefault="00EE200C" w:rsidP="00836EC5">
      <w:pPr>
        <w:numPr>
          <w:ilvl w:val="0"/>
          <w:numId w:val="45"/>
        </w:numPr>
        <w:spacing w:after="160" w:line="276" w:lineRule="auto"/>
        <w:contextualSpacing/>
        <w:rPr>
          <w:sz w:val="22"/>
          <w:szCs w:val="22"/>
          <w:lang w:eastAsia="en-AU"/>
        </w:rPr>
      </w:pPr>
      <w:r w:rsidRPr="00171B99">
        <w:rPr>
          <w:sz w:val="22"/>
          <w:szCs w:val="22"/>
          <w:lang w:eastAsia="en-AU"/>
        </w:rPr>
        <w:t>M</w:t>
      </w:r>
      <w:r>
        <w:rPr>
          <w:sz w:val="22"/>
          <w:szCs w:val="22"/>
          <w:lang w:eastAsia="en-AU"/>
        </w:rPr>
        <w:t>urray Cod:</w:t>
      </w:r>
      <w:r w:rsidRPr="00171B99">
        <w:rPr>
          <w:sz w:val="22"/>
          <w:szCs w:val="22"/>
          <w:lang w:eastAsia="en-AU"/>
        </w:rPr>
        <w:t xml:space="preserve"> 10</w:t>
      </w:r>
      <w:r>
        <w:rPr>
          <w:sz w:val="22"/>
          <w:szCs w:val="22"/>
          <w:lang w:eastAsia="en-AU"/>
        </w:rPr>
        <w:t> </w:t>
      </w:r>
      <w:r w:rsidRPr="00171B99">
        <w:rPr>
          <w:sz w:val="22"/>
          <w:szCs w:val="22"/>
          <w:lang w:eastAsia="en-AU"/>
        </w:rPr>
        <w:t>days eggs / 10</w:t>
      </w:r>
      <w:r>
        <w:rPr>
          <w:sz w:val="22"/>
          <w:szCs w:val="22"/>
          <w:lang w:eastAsia="en-AU"/>
        </w:rPr>
        <w:t> </w:t>
      </w:r>
      <w:r w:rsidRPr="00171B99">
        <w:rPr>
          <w:sz w:val="22"/>
          <w:szCs w:val="22"/>
          <w:lang w:eastAsia="en-AU"/>
        </w:rPr>
        <w:t>days as drifting larvae</w:t>
      </w:r>
    </w:p>
    <w:p w14:paraId="28000E90" w14:textId="5ABC2990" w:rsidR="00491210" w:rsidRPr="00171B99" w:rsidRDefault="00EE200C" w:rsidP="00836EC5">
      <w:pPr>
        <w:numPr>
          <w:ilvl w:val="0"/>
          <w:numId w:val="45"/>
        </w:numPr>
        <w:spacing w:after="160" w:line="276" w:lineRule="auto"/>
        <w:contextualSpacing/>
        <w:rPr>
          <w:sz w:val="22"/>
          <w:szCs w:val="22"/>
          <w:lang w:eastAsia="en-AU"/>
        </w:rPr>
      </w:pPr>
      <w:r w:rsidRPr="00171B99">
        <w:rPr>
          <w:sz w:val="22"/>
          <w:szCs w:val="22"/>
          <w:lang w:eastAsia="en-AU"/>
        </w:rPr>
        <w:t>M</w:t>
      </w:r>
      <w:r>
        <w:rPr>
          <w:sz w:val="22"/>
          <w:szCs w:val="22"/>
          <w:lang w:eastAsia="en-AU"/>
        </w:rPr>
        <w:t>urray Cod</w:t>
      </w:r>
      <w:r w:rsidRPr="00171B99">
        <w:rPr>
          <w:sz w:val="22"/>
          <w:szCs w:val="22"/>
          <w:lang w:eastAsia="en-AU"/>
        </w:rPr>
        <w:t xml:space="preserve"> spawning occurs after 2</w:t>
      </w:r>
      <w:r>
        <w:rPr>
          <w:sz w:val="22"/>
          <w:szCs w:val="22"/>
          <w:lang w:eastAsia="en-AU"/>
        </w:rPr>
        <w:t> </w:t>
      </w:r>
      <w:r w:rsidRPr="00171B99">
        <w:rPr>
          <w:sz w:val="22"/>
          <w:szCs w:val="22"/>
          <w:lang w:eastAsia="en-AU"/>
        </w:rPr>
        <w:t>days with temperature &gt;18°C</w:t>
      </w:r>
      <w:r>
        <w:rPr>
          <w:sz w:val="22"/>
          <w:szCs w:val="22"/>
          <w:lang w:eastAsia="en-AU"/>
        </w:rPr>
        <w:t>.</w:t>
      </w:r>
    </w:p>
    <w:p w14:paraId="5297F43B" w14:textId="0F35B6B6" w:rsidR="00491210" w:rsidRDefault="00EE200C" w:rsidP="00171B99">
      <w:pPr>
        <w:rPr>
          <w:sz w:val="22"/>
          <w:szCs w:val="22"/>
        </w:rPr>
      </w:pPr>
      <w:r w:rsidRPr="00171B99">
        <w:rPr>
          <w:bCs/>
          <w:sz w:val="22"/>
          <w:szCs w:val="22"/>
        </w:rPr>
        <w:t>Equation for Murray Cod temperature</w:t>
      </w:r>
      <w:r>
        <w:rPr>
          <w:bCs/>
          <w:sz w:val="22"/>
          <w:szCs w:val="22"/>
        </w:rPr>
        <w:t>–</w:t>
      </w:r>
      <w:r w:rsidRPr="00171B99">
        <w:rPr>
          <w:bCs/>
          <w:sz w:val="22"/>
          <w:szCs w:val="22"/>
        </w:rPr>
        <w:t>survival vector</w:t>
      </w:r>
      <w:r w:rsidRPr="00171B99">
        <w:rPr>
          <w:sz w:val="22"/>
          <w:szCs w:val="22"/>
        </w:rPr>
        <w:t>:</w:t>
      </w:r>
    </w:p>
    <w:p w14:paraId="253B6F2C" w14:textId="3F4CB544" w:rsidR="00491210" w:rsidRPr="00171B99" w:rsidRDefault="00EE200C" w:rsidP="00171B99">
      <w:pPr>
        <w:rPr>
          <w:sz w:val="22"/>
          <w:szCs w:val="22"/>
        </w:rPr>
      </w:pPr>
      <w:r w:rsidRPr="00171B99">
        <w:rPr>
          <w:sz w:val="22"/>
          <w:szCs w:val="22"/>
        </w:rPr>
        <w:t>exp (log</w:t>
      </w:r>
      <w:r w:rsidRPr="00171B99">
        <w:rPr>
          <w:sz w:val="22"/>
          <w:szCs w:val="22"/>
          <w:vertAlign w:val="subscript"/>
        </w:rPr>
        <w:t>a</w:t>
      </w:r>
      <w:r>
        <w:rPr>
          <w:sz w:val="22"/>
          <w:szCs w:val="22"/>
        </w:rPr>
        <w:t> </w:t>
      </w:r>
      <w:r w:rsidRPr="00171B99">
        <w:rPr>
          <w:sz w:val="22"/>
          <w:szCs w:val="22"/>
        </w:rPr>
        <w:t>+</w:t>
      </w:r>
      <w:r>
        <w:rPr>
          <w:sz w:val="22"/>
          <w:szCs w:val="22"/>
        </w:rPr>
        <w:t> </w:t>
      </w:r>
      <w:r w:rsidRPr="00171B99">
        <w:rPr>
          <w:sz w:val="22"/>
          <w:szCs w:val="22"/>
        </w:rPr>
        <w:t>(temp</w:t>
      </w:r>
      <w:r>
        <w:rPr>
          <w:sz w:val="22"/>
          <w:szCs w:val="22"/>
        </w:rPr>
        <w:t> × </w:t>
      </w:r>
      <w:r w:rsidRPr="00171B99">
        <w:rPr>
          <w:sz w:val="22"/>
          <w:szCs w:val="22"/>
        </w:rPr>
        <w:t>log</w:t>
      </w:r>
      <w:r w:rsidRPr="00171B99">
        <w:rPr>
          <w:sz w:val="22"/>
          <w:szCs w:val="22"/>
          <w:vertAlign w:val="subscript"/>
        </w:rPr>
        <w:t>b</w:t>
      </w:r>
      <w:r w:rsidRPr="00171B99">
        <w:rPr>
          <w:sz w:val="22"/>
          <w:szCs w:val="22"/>
        </w:rPr>
        <w:t>)) / (1</w:t>
      </w:r>
      <w:r>
        <w:rPr>
          <w:sz w:val="22"/>
          <w:szCs w:val="22"/>
        </w:rPr>
        <w:t> </w:t>
      </w:r>
      <w:r w:rsidRPr="00171B99">
        <w:rPr>
          <w:sz w:val="22"/>
          <w:szCs w:val="22"/>
        </w:rPr>
        <w:t>+</w:t>
      </w:r>
      <w:r>
        <w:rPr>
          <w:sz w:val="22"/>
          <w:szCs w:val="22"/>
        </w:rPr>
        <w:t> </w:t>
      </w:r>
      <w:r w:rsidRPr="00171B99">
        <w:rPr>
          <w:sz w:val="22"/>
          <w:szCs w:val="22"/>
        </w:rPr>
        <w:t>(exp(log</w:t>
      </w:r>
      <w:r w:rsidRPr="00171B99">
        <w:rPr>
          <w:sz w:val="22"/>
          <w:szCs w:val="22"/>
          <w:vertAlign w:val="subscript"/>
        </w:rPr>
        <w:t>a</w:t>
      </w:r>
      <w:r w:rsidRPr="00171B99">
        <w:rPr>
          <w:sz w:val="22"/>
          <w:szCs w:val="22"/>
        </w:rPr>
        <w:t xml:space="preserve"> + (temp</w:t>
      </w:r>
      <w:r>
        <w:rPr>
          <w:sz w:val="22"/>
          <w:szCs w:val="22"/>
        </w:rPr>
        <w:t> × </w:t>
      </w:r>
      <w:r w:rsidRPr="00171B99">
        <w:rPr>
          <w:sz w:val="22"/>
          <w:szCs w:val="22"/>
        </w:rPr>
        <w:t>log</w:t>
      </w:r>
      <w:r w:rsidRPr="00171B99">
        <w:rPr>
          <w:sz w:val="22"/>
          <w:szCs w:val="22"/>
          <w:vertAlign w:val="subscript"/>
        </w:rPr>
        <w:t>b</w:t>
      </w:r>
      <w:r w:rsidRPr="00171B99">
        <w:rPr>
          <w:sz w:val="22"/>
          <w:szCs w:val="22"/>
        </w:rPr>
        <w:t>))))</w:t>
      </w:r>
    </w:p>
    <w:p w14:paraId="7424C20C" w14:textId="011E0042" w:rsidR="00491210" w:rsidRPr="00171B99" w:rsidRDefault="00EE200C" w:rsidP="00171B99">
      <w:pPr>
        <w:rPr>
          <w:sz w:val="22"/>
          <w:szCs w:val="22"/>
        </w:rPr>
      </w:pPr>
      <w:r w:rsidRPr="00171B99">
        <w:rPr>
          <w:sz w:val="22"/>
          <w:szCs w:val="22"/>
        </w:rPr>
        <w:t>Log</w:t>
      </w:r>
      <w:r w:rsidRPr="00171B99">
        <w:rPr>
          <w:sz w:val="22"/>
          <w:szCs w:val="22"/>
          <w:vertAlign w:val="subscript"/>
        </w:rPr>
        <w:t>a</w:t>
      </w:r>
      <w:r>
        <w:rPr>
          <w:sz w:val="22"/>
          <w:szCs w:val="22"/>
        </w:rPr>
        <w:t> </w:t>
      </w:r>
      <w:r w:rsidRPr="00171B99">
        <w:rPr>
          <w:sz w:val="22"/>
          <w:szCs w:val="22"/>
        </w:rPr>
        <w:t>=</w:t>
      </w:r>
      <w:r>
        <w:rPr>
          <w:sz w:val="22"/>
          <w:szCs w:val="22"/>
        </w:rPr>
        <w:t> –1</w:t>
      </w:r>
      <w:r w:rsidRPr="00171B99">
        <w:rPr>
          <w:sz w:val="22"/>
          <w:szCs w:val="22"/>
        </w:rPr>
        <w:t>6.902733</w:t>
      </w:r>
    </w:p>
    <w:p w14:paraId="4135491C" w14:textId="005A8FE7" w:rsidR="00491210" w:rsidRPr="00171B99" w:rsidRDefault="00EE200C" w:rsidP="00171B99">
      <w:pPr>
        <w:rPr>
          <w:sz w:val="22"/>
          <w:szCs w:val="22"/>
        </w:rPr>
      </w:pPr>
      <w:r w:rsidRPr="00171B99">
        <w:rPr>
          <w:sz w:val="22"/>
          <w:szCs w:val="22"/>
        </w:rPr>
        <w:t>Log</w:t>
      </w:r>
      <w:r w:rsidRPr="00171B99">
        <w:rPr>
          <w:sz w:val="22"/>
          <w:szCs w:val="22"/>
          <w:vertAlign w:val="subscript"/>
        </w:rPr>
        <w:t>b</w:t>
      </w:r>
      <w:r>
        <w:rPr>
          <w:sz w:val="22"/>
          <w:szCs w:val="22"/>
        </w:rPr>
        <w:t> </w:t>
      </w:r>
      <w:r w:rsidRPr="00171B99">
        <w:rPr>
          <w:sz w:val="22"/>
          <w:szCs w:val="22"/>
        </w:rPr>
        <w:t>=</w:t>
      </w:r>
      <w:r>
        <w:rPr>
          <w:sz w:val="22"/>
          <w:szCs w:val="22"/>
        </w:rPr>
        <w:t> </w:t>
      </w:r>
      <w:r w:rsidRPr="00171B99">
        <w:rPr>
          <w:sz w:val="22"/>
          <w:szCs w:val="22"/>
        </w:rPr>
        <w:t>1.141874</w:t>
      </w:r>
    </w:p>
    <w:p w14:paraId="34428FAA" w14:textId="33D52D6D" w:rsidR="00491210" w:rsidRPr="00171B99" w:rsidRDefault="00EE200C" w:rsidP="00171B99">
      <w:pPr>
        <w:rPr>
          <w:sz w:val="22"/>
          <w:szCs w:val="22"/>
        </w:rPr>
      </w:pPr>
      <w:r w:rsidRPr="00171B99">
        <w:rPr>
          <w:bCs/>
          <w:sz w:val="22"/>
          <w:szCs w:val="22"/>
        </w:rPr>
        <w:t>Survival</w:t>
      </w:r>
      <w:r>
        <w:rPr>
          <w:b/>
          <w:sz w:val="22"/>
          <w:szCs w:val="22"/>
        </w:rPr>
        <w:t> </w:t>
      </w:r>
      <w:r w:rsidRPr="00171B99">
        <w:rPr>
          <w:sz w:val="22"/>
          <w:szCs w:val="22"/>
        </w:rPr>
        <w:t>=</w:t>
      </w:r>
      <w:r>
        <w:rPr>
          <w:sz w:val="22"/>
          <w:szCs w:val="22"/>
        </w:rPr>
        <w:t> </w:t>
      </w:r>
      <w:r w:rsidRPr="00171B99">
        <w:rPr>
          <w:sz w:val="22"/>
          <w:szCs w:val="22"/>
        </w:rPr>
        <w:t>product of temperature vector between current day and end of critical period (egg and larval period)</w:t>
      </w:r>
    </w:p>
    <w:p w14:paraId="788E3416" w14:textId="1FA49339" w:rsidR="00491210" w:rsidRPr="00171B99" w:rsidRDefault="003E1401" w:rsidP="008F0FA8">
      <w:pPr>
        <w:keepNext/>
        <w:keepLines/>
        <w:rPr>
          <w:sz w:val="22"/>
          <w:szCs w:val="22"/>
        </w:rPr>
      </w:pPr>
      <w:r>
        <w:rPr>
          <w:noProof/>
          <w:sz w:val="22"/>
          <w:szCs w:val="22"/>
          <w:lang w:eastAsia="en-AU"/>
        </w:rPr>
        <w:t xml:space="preserve"> </w:t>
      </w:r>
    </w:p>
    <w:p w14:paraId="02712D34" w14:textId="384694A1" w:rsidR="00491210" w:rsidRPr="00171B99" w:rsidRDefault="00EE200C" w:rsidP="00F602FE">
      <w:pPr>
        <w:pStyle w:val="AppendixFigureCaption"/>
      </w:pPr>
      <w:r>
        <w:t>Figure A2.</w:t>
      </w:r>
      <w:r>
        <w:fldChar w:fldCharType="begin"/>
      </w:r>
      <w:r>
        <w:instrText>SEQ Figure_A2. \* ARABIC</w:instrText>
      </w:r>
      <w:r>
        <w:fldChar w:fldCharType="separate"/>
      </w:r>
      <w:r w:rsidR="005B672A">
        <w:rPr>
          <w:noProof/>
        </w:rPr>
        <w:t>14</w:t>
      </w:r>
      <w:r>
        <w:fldChar w:fldCharType="end"/>
      </w:r>
      <w:r>
        <w:t>.</w:t>
      </w:r>
      <w:r w:rsidRPr="00171B99">
        <w:t xml:space="preserve"> Proportional M</w:t>
      </w:r>
      <w:r>
        <w:t>urray Cod</w:t>
      </w:r>
      <w:r w:rsidRPr="00171B99">
        <w:t xml:space="preserve"> egg and larval survival with increasing temperature.</w:t>
      </w:r>
    </w:p>
    <w:p w14:paraId="4ADFC515" w14:textId="77777777" w:rsidR="00491210" w:rsidRPr="00171B99" w:rsidRDefault="00491210" w:rsidP="00171B99">
      <w:pPr>
        <w:rPr>
          <w:sz w:val="22"/>
          <w:szCs w:val="22"/>
        </w:rPr>
      </w:pPr>
    </w:p>
    <w:p w14:paraId="0598A262" w14:textId="235E1877" w:rsidR="00491210" w:rsidRPr="00171B99" w:rsidRDefault="003E1401" w:rsidP="00171B99">
      <w:pPr>
        <w:rPr>
          <w:sz w:val="22"/>
          <w:szCs w:val="22"/>
        </w:rPr>
      </w:pPr>
      <w:r>
        <w:rPr>
          <w:noProof/>
          <w:sz w:val="22"/>
          <w:szCs w:val="22"/>
          <w:lang w:eastAsia="en-AU"/>
        </w:rPr>
        <w:lastRenderedPageBreak/>
        <w:t xml:space="preserve"> </w:t>
      </w:r>
    </w:p>
    <w:p w14:paraId="4B9A355C" w14:textId="6E933D4D" w:rsidR="00491210" w:rsidRPr="00171B99" w:rsidRDefault="00EE200C" w:rsidP="00F602FE">
      <w:pPr>
        <w:pStyle w:val="AppendixFigureCaption"/>
      </w:pPr>
      <w:r>
        <w:t>Figure A2.</w:t>
      </w:r>
      <w:r>
        <w:fldChar w:fldCharType="begin"/>
      </w:r>
      <w:r>
        <w:instrText>SEQ Figure_A2. \* ARABIC</w:instrText>
      </w:r>
      <w:r>
        <w:fldChar w:fldCharType="separate"/>
      </w:r>
      <w:r w:rsidR="005B672A">
        <w:rPr>
          <w:noProof/>
        </w:rPr>
        <w:t>15</w:t>
      </w:r>
      <w:r>
        <w:fldChar w:fldCharType="end"/>
      </w:r>
      <w:r>
        <w:t>.</w:t>
      </w:r>
      <w:r w:rsidRPr="00171B99">
        <w:t xml:space="preserve"> M</w:t>
      </w:r>
      <w:r>
        <w:t>urray Cod e</w:t>
      </w:r>
      <w:r w:rsidRPr="00171B99">
        <w:t xml:space="preserve">gg survival with increasing ratio of maximum flow within </w:t>
      </w:r>
      <w:r>
        <w:t xml:space="preserve">the </w:t>
      </w:r>
      <w:r w:rsidRPr="00171B99">
        <w:t>10-day critical period</w:t>
      </w:r>
      <w:r>
        <w:t>.</w:t>
      </w:r>
    </w:p>
    <w:p w14:paraId="098B1061" w14:textId="17080691" w:rsidR="00491210" w:rsidRDefault="00EE200C">
      <w:pPr>
        <w:spacing w:after="0"/>
        <w:rPr>
          <w:sz w:val="22"/>
          <w:szCs w:val="22"/>
        </w:rPr>
      </w:pPr>
      <w:r>
        <w:rPr>
          <w:sz w:val="22"/>
          <w:szCs w:val="22"/>
        </w:rPr>
        <w:br w:type="page"/>
      </w:r>
    </w:p>
    <w:p w14:paraId="097F333C" w14:textId="3FEE8279" w:rsidR="00491210" w:rsidRPr="00C23C50" w:rsidRDefault="00EE200C" w:rsidP="00824D5A">
      <w:pPr>
        <w:pStyle w:val="Heading2"/>
        <w:rPr>
          <w:lang w:eastAsia="en-AU"/>
        </w:rPr>
      </w:pPr>
      <w:bookmarkStart w:id="399" w:name="_Toc116994919"/>
      <w:r w:rsidRPr="4D1BBAA5">
        <w:rPr>
          <w:lang w:eastAsia="en-AU"/>
        </w:rPr>
        <w:lastRenderedPageBreak/>
        <w:t>Appendix 3. All outputs from the modelling scenarios</w:t>
      </w:r>
      <w:bookmarkEnd w:id="399"/>
    </w:p>
    <w:p w14:paraId="5584FDED" w14:textId="6B85CCC1" w:rsidR="00491210" w:rsidRDefault="00EE200C" w:rsidP="00E11D7A">
      <w:pPr>
        <w:spacing w:before="240" w:after="240"/>
        <w:ind w:left="-100"/>
        <w:jc w:val="both"/>
        <w:rPr>
          <w:color w:val="000000"/>
          <w:sz w:val="22"/>
          <w:szCs w:val="22"/>
          <w:lang w:eastAsia="en-AU"/>
        </w:rPr>
      </w:pPr>
      <w:r w:rsidRPr="00093162">
        <w:rPr>
          <w:color w:val="000000"/>
          <w:sz w:val="22"/>
          <w:szCs w:val="22"/>
          <w:lang w:eastAsia="en-AU"/>
        </w:rPr>
        <w:t>All</w:t>
      </w:r>
      <w:r w:rsidRPr="00E2785E">
        <w:rPr>
          <w:color w:val="000000"/>
          <w:sz w:val="22"/>
          <w:szCs w:val="22"/>
          <w:lang w:eastAsia="en-AU"/>
        </w:rPr>
        <w:t xml:space="preserve"> model outputs for Golden Perch and Murray Cod </w:t>
      </w:r>
      <w:r w:rsidRPr="00093162">
        <w:rPr>
          <w:color w:val="000000"/>
          <w:sz w:val="22"/>
          <w:szCs w:val="22"/>
          <w:lang w:eastAsia="en-AU"/>
        </w:rPr>
        <w:t>other than</w:t>
      </w:r>
      <w:r w:rsidRPr="00E2785E">
        <w:rPr>
          <w:color w:val="000000"/>
          <w:sz w:val="22"/>
          <w:szCs w:val="22"/>
          <w:lang w:eastAsia="en-AU"/>
        </w:rPr>
        <w:t xml:space="preserve"> those </w:t>
      </w:r>
      <w:r w:rsidRPr="00093162">
        <w:rPr>
          <w:color w:val="000000"/>
          <w:sz w:val="22"/>
          <w:szCs w:val="22"/>
          <w:lang w:eastAsia="en-AU"/>
        </w:rPr>
        <w:t>included</w:t>
      </w:r>
      <w:r w:rsidRPr="00E2785E">
        <w:rPr>
          <w:color w:val="000000"/>
          <w:sz w:val="22"/>
          <w:szCs w:val="22"/>
          <w:lang w:eastAsia="en-AU"/>
        </w:rPr>
        <w:t xml:space="preserve"> in section 3 are</w:t>
      </w:r>
      <w:r w:rsidRPr="4D1BBAA5">
        <w:rPr>
          <w:color w:val="000000"/>
          <w:sz w:val="22"/>
          <w:szCs w:val="22"/>
          <w:lang w:eastAsia="en-AU"/>
        </w:rPr>
        <w:t xml:space="preserve"> presented below</w:t>
      </w:r>
      <w:r>
        <w:rPr>
          <w:color w:val="000000"/>
          <w:sz w:val="22"/>
          <w:szCs w:val="22"/>
          <w:lang w:eastAsia="en-AU"/>
        </w:rPr>
        <w:t>:</w:t>
      </w:r>
      <w:r w:rsidRPr="4D1BBAA5">
        <w:rPr>
          <w:color w:val="000000"/>
          <w:sz w:val="22"/>
          <w:szCs w:val="22"/>
          <w:lang w:eastAsia="en-AU"/>
        </w:rPr>
        <w:t xml:space="preserve"> 1000</w:t>
      </w:r>
      <w:r>
        <w:rPr>
          <w:color w:val="000000"/>
          <w:sz w:val="22"/>
          <w:szCs w:val="22"/>
          <w:lang w:eastAsia="en-AU"/>
        </w:rPr>
        <w:t>-</w:t>
      </w:r>
      <w:r w:rsidRPr="4D1BBAA5">
        <w:rPr>
          <w:color w:val="000000"/>
          <w:sz w:val="22"/>
          <w:szCs w:val="22"/>
          <w:lang w:eastAsia="en-AU"/>
        </w:rPr>
        <w:t xml:space="preserve">trajectory </w:t>
      </w:r>
      <w:r>
        <w:rPr>
          <w:color w:val="000000"/>
          <w:sz w:val="22"/>
          <w:szCs w:val="22"/>
          <w:lang w:eastAsia="en-AU"/>
        </w:rPr>
        <w:t xml:space="preserve">population </w:t>
      </w:r>
      <w:r w:rsidRPr="4D1BBAA5">
        <w:rPr>
          <w:color w:val="000000"/>
          <w:sz w:val="22"/>
          <w:szCs w:val="22"/>
          <w:lang w:eastAsia="en-AU"/>
        </w:rPr>
        <w:t xml:space="preserve">summaries </w:t>
      </w:r>
      <w:r>
        <w:rPr>
          <w:color w:val="000000"/>
          <w:sz w:val="22"/>
          <w:szCs w:val="22"/>
          <w:lang w:eastAsia="en-AU"/>
        </w:rPr>
        <w:t>for</w:t>
      </w:r>
      <w:r w:rsidRPr="4D1BBAA5">
        <w:rPr>
          <w:color w:val="000000"/>
          <w:sz w:val="22"/>
          <w:szCs w:val="22"/>
          <w:lang w:eastAsia="en-AU"/>
        </w:rPr>
        <w:t xml:space="preserve"> the </w:t>
      </w:r>
      <w:r>
        <w:rPr>
          <w:color w:val="000000"/>
          <w:sz w:val="22"/>
          <w:szCs w:val="22"/>
          <w:lang w:eastAsia="en-AU"/>
        </w:rPr>
        <w:t>B</w:t>
      </w:r>
      <w:r w:rsidRPr="4D1BBAA5">
        <w:rPr>
          <w:color w:val="000000"/>
          <w:sz w:val="22"/>
          <w:szCs w:val="22"/>
          <w:lang w:eastAsia="en-AU"/>
        </w:rPr>
        <w:t>ase case</w:t>
      </w:r>
      <w:r>
        <w:rPr>
          <w:color w:val="000000"/>
          <w:sz w:val="22"/>
          <w:szCs w:val="22"/>
          <w:lang w:eastAsia="en-AU"/>
        </w:rPr>
        <w:t xml:space="preserve"> scenario</w:t>
      </w:r>
      <w:r w:rsidRPr="4D1BBAA5">
        <w:rPr>
          <w:color w:val="000000"/>
          <w:sz w:val="22"/>
          <w:szCs w:val="22"/>
          <w:lang w:eastAsia="en-AU"/>
        </w:rPr>
        <w:t>, mean abundance trajectories</w:t>
      </w:r>
      <w:r>
        <w:rPr>
          <w:color w:val="000000"/>
          <w:sz w:val="22"/>
          <w:szCs w:val="22"/>
          <w:lang w:eastAsia="en-AU"/>
        </w:rPr>
        <w:t>,</w:t>
      </w:r>
      <w:r w:rsidRPr="4D1BBAA5">
        <w:rPr>
          <w:color w:val="000000"/>
          <w:sz w:val="22"/>
          <w:szCs w:val="22"/>
          <w:lang w:eastAsia="en-AU"/>
        </w:rPr>
        <w:t xml:space="preserve"> cumulative distributions</w:t>
      </w:r>
      <w:r>
        <w:rPr>
          <w:color w:val="000000"/>
          <w:sz w:val="22"/>
          <w:szCs w:val="22"/>
          <w:lang w:eastAsia="en-AU"/>
        </w:rPr>
        <w:t>,</w:t>
      </w:r>
      <w:r w:rsidRPr="4D1BBAA5">
        <w:rPr>
          <w:color w:val="000000"/>
          <w:sz w:val="22"/>
          <w:szCs w:val="22"/>
          <w:lang w:eastAsia="en-AU"/>
        </w:rPr>
        <w:t xml:space="preserve"> and expected population sizes </w:t>
      </w:r>
      <w:r>
        <w:rPr>
          <w:color w:val="000000"/>
          <w:sz w:val="22"/>
          <w:szCs w:val="22"/>
          <w:lang w:eastAsia="en-AU"/>
        </w:rPr>
        <w:t>(</w:t>
      </w:r>
      <w:r w:rsidRPr="4D1BBAA5">
        <w:rPr>
          <w:color w:val="000000"/>
          <w:sz w:val="22"/>
          <w:szCs w:val="22"/>
          <w:lang w:eastAsia="en-AU"/>
        </w:rPr>
        <w:t>mean, 10% quantile, minimum and maximum adult population size statisti</w:t>
      </w:r>
      <w:r>
        <w:rPr>
          <w:color w:val="000000"/>
          <w:sz w:val="22"/>
          <w:szCs w:val="22"/>
          <w:lang w:eastAsia="en-AU"/>
        </w:rPr>
        <w:t>cs)</w:t>
      </w:r>
      <w:r w:rsidRPr="4D1BBAA5">
        <w:rPr>
          <w:color w:val="000000"/>
          <w:sz w:val="22"/>
          <w:szCs w:val="22"/>
          <w:lang w:eastAsia="en-AU"/>
        </w:rPr>
        <w:t xml:space="preserve"> for individual populations </w:t>
      </w:r>
      <w:r>
        <w:rPr>
          <w:color w:val="000000"/>
          <w:sz w:val="22"/>
          <w:szCs w:val="22"/>
          <w:lang w:eastAsia="en-AU"/>
        </w:rPr>
        <w:t>and</w:t>
      </w:r>
      <w:r w:rsidRPr="4D1BBAA5">
        <w:rPr>
          <w:color w:val="000000"/>
          <w:sz w:val="22"/>
          <w:szCs w:val="22"/>
          <w:lang w:eastAsia="en-AU"/>
        </w:rPr>
        <w:t xml:space="preserve"> grouped populations (abundance statisti</w:t>
      </w:r>
      <w:r>
        <w:rPr>
          <w:color w:val="000000"/>
          <w:sz w:val="22"/>
          <w:szCs w:val="22"/>
          <w:lang w:eastAsia="en-AU"/>
        </w:rPr>
        <w:t>cs</w:t>
      </w:r>
      <w:r w:rsidRPr="4D1BBAA5">
        <w:rPr>
          <w:color w:val="000000"/>
          <w:sz w:val="22"/>
          <w:szCs w:val="22"/>
          <w:lang w:eastAsia="en-AU"/>
        </w:rPr>
        <w:t xml:space="preserve"> summed across populations). </w:t>
      </w:r>
      <w:r>
        <w:rPr>
          <w:color w:val="000000"/>
          <w:sz w:val="22"/>
          <w:szCs w:val="22"/>
          <w:lang w:eastAsia="en-AU"/>
        </w:rPr>
        <w:t>Trajectories of the mean recruit (</w:t>
      </w:r>
      <w:r w:rsidRPr="4D1BBAA5">
        <w:rPr>
          <w:color w:val="000000"/>
          <w:sz w:val="22"/>
          <w:szCs w:val="22"/>
          <w:lang w:eastAsia="en-AU"/>
        </w:rPr>
        <w:t>1</w:t>
      </w:r>
      <w:r>
        <w:rPr>
          <w:color w:val="000000"/>
          <w:sz w:val="22"/>
          <w:szCs w:val="22"/>
          <w:lang w:eastAsia="en-AU"/>
        </w:rPr>
        <w:t>-</w:t>
      </w:r>
      <w:r w:rsidRPr="4D1BBAA5">
        <w:rPr>
          <w:color w:val="000000"/>
          <w:sz w:val="22"/>
          <w:szCs w:val="22"/>
          <w:lang w:eastAsia="en-AU"/>
        </w:rPr>
        <w:t>y</w:t>
      </w:r>
      <w:r>
        <w:rPr>
          <w:color w:val="000000"/>
          <w:sz w:val="22"/>
          <w:szCs w:val="22"/>
          <w:lang w:eastAsia="en-AU"/>
        </w:rPr>
        <w:t>ear-old)</w:t>
      </w:r>
      <w:r w:rsidRPr="4D1BBAA5">
        <w:rPr>
          <w:color w:val="000000"/>
          <w:sz w:val="22"/>
          <w:szCs w:val="22"/>
          <w:lang w:eastAsia="en-AU"/>
        </w:rPr>
        <w:t xml:space="preserve"> population</w:t>
      </w:r>
      <w:r>
        <w:rPr>
          <w:color w:val="000000"/>
          <w:sz w:val="22"/>
          <w:szCs w:val="22"/>
          <w:lang w:eastAsia="en-AU"/>
        </w:rPr>
        <w:t>s</w:t>
      </w:r>
      <w:r w:rsidRPr="4D1BBAA5">
        <w:rPr>
          <w:color w:val="000000"/>
          <w:sz w:val="22"/>
          <w:szCs w:val="22"/>
          <w:lang w:eastAsia="en-AU"/>
        </w:rPr>
        <w:t xml:space="preserve"> are also presented.</w:t>
      </w:r>
      <w:r>
        <w:rPr>
          <w:color w:val="000000"/>
          <w:sz w:val="22"/>
          <w:szCs w:val="22"/>
          <w:lang w:eastAsia="en-AU"/>
        </w:rPr>
        <w:t xml:space="preserve"> The percentage differences reported in the expected value figures for Golden Perch (Figures A3.1 – A3.12) and Murray Cod (Figures A3.25 – A3.36) are based on all 1000 trajectories of the respective figures, whereas the summary outputs of </w:t>
      </w:r>
      <w:r w:rsidRPr="00584576">
        <w:rPr>
          <w:color w:val="000000"/>
          <w:sz w:val="22"/>
          <w:szCs w:val="22"/>
          <w:lang w:eastAsia="en-AU"/>
        </w:rPr>
        <w:fldChar w:fldCharType="begin"/>
      </w:r>
      <w:r w:rsidRPr="00584576">
        <w:rPr>
          <w:color w:val="000000"/>
          <w:sz w:val="22"/>
          <w:szCs w:val="22"/>
          <w:lang w:eastAsia="en-AU"/>
        </w:rPr>
        <w:instrText xml:space="preserve"> REF _Ref116988454 \h </w:instrText>
      </w:r>
      <w:r>
        <w:rPr>
          <w:color w:val="000000"/>
          <w:sz w:val="22"/>
          <w:szCs w:val="22"/>
          <w:lang w:eastAsia="en-AU"/>
        </w:rPr>
        <w:instrText xml:space="preserve"> \* MERGEFORMAT </w:instrText>
      </w:r>
      <w:r w:rsidRPr="00584576">
        <w:rPr>
          <w:color w:val="000000"/>
          <w:sz w:val="22"/>
          <w:szCs w:val="22"/>
          <w:lang w:eastAsia="en-AU"/>
        </w:rPr>
      </w:r>
      <w:r w:rsidRPr="00584576">
        <w:rPr>
          <w:color w:val="000000"/>
          <w:sz w:val="22"/>
          <w:szCs w:val="22"/>
          <w:lang w:eastAsia="en-AU"/>
        </w:rPr>
        <w:fldChar w:fldCharType="separate"/>
      </w:r>
      <w:r w:rsidR="005B672A" w:rsidRPr="005B672A">
        <w:rPr>
          <w:sz w:val="22"/>
          <w:szCs w:val="22"/>
        </w:rPr>
        <w:t>Table A3.1</w:t>
      </w:r>
      <w:r w:rsidRPr="00584576">
        <w:rPr>
          <w:color w:val="000000"/>
          <w:sz w:val="22"/>
          <w:szCs w:val="22"/>
          <w:lang w:eastAsia="en-AU"/>
        </w:rPr>
        <w:fldChar w:fldCharType="end"/>
      </w:r>
      <w:r>
        <w:rPr>
          <w:color w:val="000000"/>
          <w:sz w:val="22"/>
          <w:szCs w:val="22"/>
          <w:lang w:eastAsia="en-AU"/>
        </w:rPr>
        <w:t xml:space="preserve"> are based on the mean trajectory of each scenario (Option 1 – Option 4: the percentage difference from Base case), for example the minimum population size is based on the minimum of the mean trajectory. Note that</w:t>
      </w:r>
      <w:r w:rsidRPr="00BD1CCD">
        <w:rPr>
          <w:color w:val="000000"/>
          <w:sz w:val="22"/>
          <w:szCs w:val="22"/>
          <w:lang w:eastAsia="en-AU"/>
        </w:rPr>
        <w:t xml:space="preserve"> the mean of the mean trajectories is the same as the mean of the distribution of </w:t>
      </w:r>
      <w:r>
        <w:rPr>
          <w:color w:val="000000"/>
          <w:sz w:val="22"/>
          <w:szCs w:val="22"/>
          <w:lang w:eastAsia="en-AU"/>
        </w:rPr>
        <w:t xml:space="preserve">the </w:t>
      </w:r>
      <w:r w:rsidRPr="00BD1CCD">
        <w:rPr>
          <w:color w:val="000000"/>
          <w:sz w:val="22"/>
          <w:szCs w:val="22"/>
          <w:lang w:eastAsia="en-AU"/>
        </w:rPr>
        <w:t xml:space="preserve">mean </w:t>
      </w:r>
      <w:r>
        <w:rPr>
          <w:color w:val="000000"/>
          <w:sz w:val="22"/>
          <w:szCs w:val="22"/>
          <w:lang w:eastAsia="en-AU"/>
        </w:rPr>
        <w:t>from</w:t>
      </w:r>
      <w:r w:rsidRPr="00BD1CCD">
        <w:rPr>
          <w:color w:val="000000"/>
          <w:sz w:val="22"/>
          <w:szCs w:val="22"/>
          <w:lang w:eastAsia="en-AU"/>
        </w:rPr>
        <w:t xml:space="preserve"> each trajectory</w:t>
      </w:r>
      <w:r>
        <w:rPr>
          <w:color w:val="000000"/>
          <w:sz w:val="22"/>
          <w:szCs w:val="22"/>
          <w:lang w:eastAsia="en-AU"/>
        </w:rPr>
        <w:t xml:space="preserve">, compare mean population size differences in Table A3.1 with TableA3.2. </w:t>
      </w:r>
    </w:p>
    <w:p w14:paraId="54C84D01" w14:textId="7711130B" w:rsidR="00491210" w:rsidRPr="00A253F6" w:rsidRDefault="00EE200C" w:rsidP="0083166E">
      <w:pPr>
        <w:pStyle w:val="AppendixTableCaption"/>
      </w:pPr>
      <w:bookmarkStart w:id="400" w:name="_Ref116988454"/>
      <w:r>
        <w:t>Table A3.</w:t>
      </w:r>
      <w:fldSimple w:instr=" SEQ Table_Apx \* ARABIC \s 0 ">
        <w:r w:rsidR="005B672A">
          <w:rPr>
            <w:noProof/>
          </w:rPr>
          <w:t>1</w:t>
        </w:r>
      </w:fldSimple>
      <w:bookmarkEnd w:id="400"/>
      <w:r>
        <w:t xml:space="preserve">. </w:t>
      </w:r>
      <w:bookmarkStart w:id="401" w:name="_Ref116988428"/>
      <w:r>
        <w:t>Reproduced Table S2. Summarised outputs from the mean trajectories of the population modelling</w:t>
      </w:r>
      <w:r>
        <w:rPr>
          <w:noProof/>
        </w:rPr>
        <w:t xml:space="preserve"> </w:t>
      </w:r>
      <w:r>
        <w:t>for</w:t>
      </w:r>
      <w:r>
        <w:rPr>
          <w:noProof/>
        </w:rPr>
        <w:t xml:space="preserve"> </w:t>
      </w:r>
      <w:r>
        <w:t xml:space="preserve">Golden Perch and Murray Cod populations across the </w:t>
      </w:r>
      <w:r w:rsidRPr="00915A3A">
        <w:t>Total RRCP Populations</w:t>
      </w:r>
      <w:r>
        <w:t xml:space="preserve"> (inclusive to Wentworth) under the various relaxed-flow-constraints scenarios, Options 1–4. The mean, quantile and minimum value differences are calculated from the mean trajectories.</w:t>
      </w:r>
      <w:bookmarkEnd w:id="401"/>
    </w:p>
    <w:tbl>
      <w:tblPr>
        <w:tblStyle w:val="DELWPTable"/>
        <w:tblW w:w="0" w:type="auto"/>
        <w:tblLook w:val="06A0" w:firstRow="1" w:lastRow="0" w:firstColumn="1" w:lastColumn="0" w:noHBand="1" w:noVBand="1"/>
      </w:tblPr>
      <w:tblGrid>
        <w:gridCol w:w="1131"/>
        <w:gridCol w:w="1675"/>
        <w:gridCol w:w="1622"/>
        <w:gridCol w:w="1701"/>
        <w:gridCol w:w="1701"/>
        <w:gridCol w:w="1701"/>
      </w:tblGrid>
      <w:tr w:rsidR="0083166E" w14:paraId="37F09AF2" w14:textId="77777777" w:rsidTr="00CA2A2D">
        <w:trPr>
          <w:cnfStyle w:val="100000000000" w:firstRow="1" w:lastRow="0" w:firstColumn="0" w:lastColumn="0" w:oddVBand="0" w:evenVBand="0" w:oddHBand="0" w:evenHBand="0" w:firstRowFirstColumn="0" w:firstRowLastColumn="0" w:lastRowFirstColumn="0" w:lastRowLastColumn="0"/>
        </w:trPr>
        <w:tc>
          <w:tcPr>
            <w:tcW w:w="0" w:type="auto"/>
            <w:vMerge w:val="restart"/>
          </w:tcPr>
          <w:p w14:paraId="233F0E7C" w14:textId="77777777" w:rsidR="00491210" w:rsidRPr="00CA3B41" w:rsidRDefault="00EE200C" w:rsidP="00CA2A2D">
            <w:pPr>
              <w:rPr>
                <w:b/>
                <w:bCs/>
                <w:color w:val="FFFFFF" w:themeColor="background1"/>
                <w:sz w:val="22"/>
                <w:szCs w:val="22"/>
              </w:rPr>
            </w:pPr>
            <w:r w:rsidRPr="00CA3B41">
              <w:rPr>
                <w:b/>
                <w:bCs/>
                <w:color w:val="FFFFFF" w:themeColor="background1"/>
                <w:sz w:val="22"/>
                <w:szCs w:val="22"/>
              </w:rPr>
              <w:t>Species</w:t>
            </w:r>
          </w:p>
        </w:tc>
        <w:tc>
          <w:tcPr>
            <w:tcW w:w="0" w:type="auto"/>
            <w:vMerge w:val="restart"/>
          </w:tcPr>
          <w:p w14:paraId="451B6CD5" w14:textId="77777777" w:rsidR="00491210" w:rsidRPr="00CA3B41" w:rsidRDefault="00EE200C" w:rsidP="00CA2A2D">
            <w:pPr>
              <w:jc w:val="center"/>
              <w:rPr>
                <w:b/>
                <w:bCs/>
                <w:color w:val="FFFFFF" w:themeColor="background1"/>
                <w:sz w:val="22"/>
                <w:szCs w:val="22"/>
              </w:rPr>
            </w:pPr>
            <w:r w:rsidRPr="00CA3B41">
              <w:rPr>
                <w:b/>
                <w:bCs/>
                <w:color w:val="FFFFFF" w:themeColor="background1"/>
                <w:sz w:val="22"/>
                <w:szCs w:val="22"/>
              </w:rPr>
              <w:t>Catchment</w:t>
            </w:r>
          </w:p>
        </w:tc>
        <w:tc>
          <w:tcPr>
            <w:tcW w:w="1622" w:type="dxa"/>
            <w:vMerge w:val="restart"/>
          </w:tcPr>
          <w:p w14:paraId="482B13A6" w14:textId="77777777" w:rsidR="00491210" w:rsidRPr="00CA3B41" w:rsidRDefault="00EE200C" w:rsidP="00CA2A2D">
            <w:pPr>
              <w:jc w:val="center"/>
              <w:rPr>
                <w:b/>
                <w:bCs/>
                <w:color w:val="FFFFFF" w:themeColor="background1"/>
                <w:sz w:val="22"/>
                <w:szCs w:val="22"/>
              </w:rPr>
            </w:pPr>
            <w:r w:rsidRPr="00CA3B41">
              <w:rPr>
                <w:b/>
                <w:bCs/>
                <w:color w:val="FFFFFF" w:themeColor="background1"/>
                <w:sz w:val="22"/>
                <w:szCs w:val="22"/>
              </w:rPr>
              <w:t>Relaxed-flow-constraints scenario</w:t>
            </w:r>
          </w:p>
        </w:tc>
        <w:tc>
          <w:tcPr>
            <w:tcW w:w="5103" w:type="dxa"/>
            <w:gridSpan w:val="3"/>
            <w:tcBorders>
              <w:bottom w:val="single" w:sz="4" w:space="0" w:color="FFFFFF" w:themeColor="background1"/>
            </w:tcBorders>
          </w:tcPr>
          <w:p w14:paraId="379DB334" w14:textId="77777777" w:rsidR="00491210" w:rsidRPr="00CA3B41" w:rsidRDefault="00EE200C" w:rsidP="00CA2A2D">
            <w:pPr>
              <w:jc w:val="center"/>
              <w:rPr>
                <w:b/>
                <w:bCs/>
                <w:color w:val="FFFFFF" w:themeColor="background1"/>
                <w:sz w:val="22"/>
                <w:szCs w:val="22"/>
              </w:rPr>
            </w:pPr>
            <w:r w:rsidRPr="00CA3B41">
              <w:rPr>
                <w:b/>
                <w:bCs/>
                <w:color w:val="FFFFFF" w:themeColor="background1"/>
                <w:sz w:val="22"/>
                <w:szCs w:val="22"/>
              </w:rPr>
              <w:t>% difference from the Base case in</w:t>
            </w:r>
            <w:r>
              <w:rPr>
                <w:b/>
                <w:bCs/>
                <w:color w:val="FFFFFF" w:themeColor="background1"/>
                <w:sz w:val="22"/>
                <w:szCs w:val="22"/>
              </w:rPr>
              <w:t xml:space="preserve"> the expected value of:</w:t>
            </w:r>
          </w:p>
        </w:tc>
      </w:tr>
      <w:tr w:rsidR="0083166E" w:rsidRPr="00E86B73" w14:paraId="5875A9F8" w14:textId="77777777" w:rsidTr="00CA2A2D">
        <w:tc>
          <w:tcPr>
            <w:tcW w:w="0" w:type="auto"/>
            <w:vMerge/>
            <w:tcBorders>
              <w:bottom w:val="single" w:sz="4" w:space="0" w:color="00B2A9" w:themeColor="accent1"/>
            </w:tcBorders>
            <w:shd w:val="clear" w:color="auto" w:fill="00B2A9" w:themeFill="accent1"/>
          </w:tcPr>
          <w:p w14:paraId="24751394" w14:textId="77777777" w:rsidR="00491210" w:rsidRPr="00CA3B41" w:rsidRDefault="00491210" w:rsidP="00CA2A2D">
            <w:pPr>
              <w:rPr>
                <w:bCs/>
                <w:color w:val="FFFFFF" w:themeColor="background1"/>
                <w:sz w:val="22"/>
                <w:szCs w:val="22"/>
              </w:rPr>
            </w:pPr>
          </w:p>
        </w:tc>
        <w:tc>
          <w:tcPr>
            <w:tcW w:w="0" w:type="auto"/>
            <w:vMerge/>
            <w:shd w:val="clear" w:color="auto" w:fill="00B2A9" w:themeFill="accent1"/>
          </w:tcPr>
          <w:p w14:paraId="3A7CCA31" w14:textId="77777777" w:rsidR="00491210" w:rsidRPr="00CA3B41" w:rsidRDefault="00491210" w:rsidP="00CA2A2D">
            <w:pPr>
              <w:jc w:val="center"/>
              <w:rPr>
                <w:color w:val="FFFFFF" w:themeColor="background1"/>
                <w:sz w:val="22"/>
                <w:szCs w:val="22"/>
                <w:lang w:eastAsia="en-AU"/>
              </w:rPr>
            </w:pPr>
          </w:p>
        </w:tc>
        <w:tc>
          <w:tcPr>
            <w:tcW w:w="1622" w:type="dxa"/>
            <w:vMerge/>
            <w:shd w:val="clear" w:color="auto" w:fill="00B2A9" w:themeFill="accent1"/>
          </w:tcPr>
          <w:p w14:paraId="606580D5" w14:textId="77777777" w:rsidR="00491210" w:rsidRPr="00CA3B41" w:rsidRDefault="00491210" w:rsidP="00CA2A2D">
            <w:pPr>
              <w:jc w:val="center"/>
              <w:rPr>
                <w:color w:val="FFFFFF" w:themeColor="background1"/>
                <w:sz w:val="22"/>
                <w:szCs w:val="22"/>
                <w:lang w:eastAsia="en-AU"/>
              </w:rPr>
            </w:pPr>
          </w:p>
        </w:tc>
        <w:tc>
          <w:tcPr>
            <w:tcW w:w="1701" w:type="dxa"/>
            <w:tcBorders>
              <w:top w:val="single" w:sz="4" w:space="0" w:color="FFFFFF" w:themeColor="background1"/>
            </w:tcBorders>
            <w:shd w:val="clear" w:color="auto" w:fill="00B2A9" w:themeFill="accent1"/>
          </w:tcPr>
          <w:p w14:paraId="310C4CB6" w14:textId="77777777" w:rsidR="00491210" w:rsidRPr="00C53F5F" w:rsidRDefault="00EE200C" w:rsidP="00CA2A2D">
            <w:pPr>
              <w:jc w:val="center"/>
              <w:rPr>
                <w:b/>
                <w:color w:val="FFFFFF" w:themeColor="background1"/>
                <w:sz w:val="22"/>
                <w:szCs w:val="22"/>
              </w:rPr>
            </w:pPr>
            <w:r w:rsidRPr="00C53F5F">
              <w:rPr>
                <w:b/>
                <w:color w:val="FFFFFF" w:themeColor="background1"/>
                <w:sz w:val="22"/>
                <w:szCs w:val="22"/>
              </w:rPr>
              <w:t>mean population size</w:t>
            </w:r>
          </w:p>
        </w:tc>
        <w:tc>
          <w:tcPr>
            <w:tcW w:w="1701" w:type="dxa"/>
            <w:tcBorders>
              <w:top w:val="single" w:sz="4" w:space="0" w:color="FFFFFF" w:themeColor="background1"/>
            </w:tcBorders>
            <w:shd w:val="clear" w:color="auto" w:fill="00B2A9" w:themeFill="accent1"/>
          </w:tcPr>
          <w:p w14:paraId="3FE7BA15" w14:textId="77777777" w:rsidR="00491210" w:rsidRPr="00C53F5F" w:rsidRDefault="00EE200C" w:rsidP="00CA2A2D">
            <w:pPr>
              <w:jc w:val="center"/>
              <w:rPr>
                <w:b/>
                <w:color w:val="FFFFFF" w:themeColor="background1"/>
                <w:sz w:val="22"/>
                <w:szCs w:val="22"/>
              </w:rPr>
            </w:pPr>
            <w:r w:rsidRPr="00C53F5F">
              <w:rPr>
                <w:b/>
                <w:color w:val="FFFFFF" w:themeColor="background1"/>
                <w:sz w:val="22"/>
                <w:szCs w:val="22"/>
              </w:rPr>
              <w:t>10% quantile population size</w:t>
            </w:r>
          </w:p>
        </w:tc>
        <w:tc>
          <w:tcPr>
            <w:tcW w:w="1701" w:type="dxa"/>
            <w:tcBorders>
              <w:top w:val="single" w:sz="4" w:space="0" w:color="FFFFFF" w:themeColor="background1"/>
            </w:tcBorders>
            <w:shd w:val="clear" w:color="auto" w:fill="00B2A9" w:themeFill="accent1"/>
          </w:tcPr>
          <w:p w14:paraId="37DA9AE9" w14:textId="77777777" w:rsidR="00491210" w:rsidRPr="00C53F5F" w:rsidRDefault="00EE200C" w:rsidP="00CA2A2D">
            <w:pPr>
              <w:jc w:val="center"/>
              <w:rPr>
                <w:b/>
                <w:color w:val="FFFFFF" w:themeColor="background1"/>
                <w:sz w:val="22"/>
                <w:szCs w:val="22"/>
              </w:rPr>
            </w:pPr>
            <w:r w:rsidRPr="00C53F5F">
              <w:rPr>
                <w:b/>
                <w:color w:val="FFFFFF" w:themeColor="background1"/>
                <w:sz w:val="22"/>
                <w:szCs w:val="22"/>
              </w:rPr>
              <w:t>minimum population size</w:t>
            </w:r>
          </w:p>
        </w:tc>
      </w:tr>
      <w:tr w:rsidR="0083166E" w14:paraId="11AE9B93" w14:textId="77777777" w:rsidTr="00584576">
        <w:tc>
          <w:tcPr>
            <w:tcW w:w="0" w:type="auto"/>
            <w:vMerge w:val="restart"/>
            <w:tcBorders>
              <w:top w:val="single" w:sz="4" w:space="0" w:color="00B2A9" w:themeColor="accent1"/>
            </w:tcBorders>
          </w:tcPr>
          <w:p w14:paraId="35067A51" w14:textId="77777777" w:rsidR="00491210" w:rsidRDefault="00EE200C" w:rsidP="00BD1CCD">
            <w:pPr>
              <w:spacing w:after="60"/>
              <w:jc w:val="center"/>
              <w:rPr>
                <w:b/>
                <w:bCs/>
              </w:rPr>
            </w:pPr>
            <w:r w:rsidRPr="05D19AF3">
              <w:rPr>
                <w:b/>
                <w:bCs/>
              </w:rPr>
              <w:t>Golden Perch</w:t>
            </w:r>
          </w:p>
        </w:tc>
        <w:tc>
          <w:tcPr>
            <w:tcW w:w="0" w:type="auto"/>
            <w:vMerge w:val="restart"/>
          </w:tcPr>
          <w:p w14:paraId="548F4C7E" w14:textId="77777777" w:rsidR="00491210" w:rsidRPr="00EF34A3" w:rsidRDefault="00EE200C" w:rsidP="00BD1CCD">
            <w:pPr>
              <w:spacing w:after="60"/>
              <w:jc w:val="center"/>
              <w:rPr>
                <w:color w:val="000000"/>
                <w:lang w:eastAsia="en-AU"/>
              </w:rPr>
            </w:pPr>
            <w:r w:rsidRPr="3FC79A6E">
              <w:rPr>
                <w:color w:val="000000"/>
                <w:lang w:eastAsia="en-AU"/>
              </w:rPr>
              <w:t xml:space="preserve">Total RRCP </w:t>
            </w:r>
            <w:r>
              <w:rPr>
                <w:color w:val="000000"/>
                <w:lang w:eastAsia="en-AU"/>
              </w:rPr>
              <w:t>Populations*</w:t>
            </w:r>
          </w:p>
        </w:tc>
        <w:tc>
          <w:tcPr>
            <w:tcW w:w="1622" w:type="dxa"/>
          </w:tcPr>
          <w:p w14:paraId="18765A2A" w14:textId="77777777" w:rsidR="00491210" w:rsidRPr="00EF34A3" w:rsidRDefault="00EE200C" w:rsidP="00BD1CCD">
            <w:pPr>
              <w:spacing w:after="60"/>
              <w:jc w:val="center"/>
              <w:rPr>
                <w:szCs w:val="20"/>
              </w:rPr>
            </w:pPr>
            <w:r w:rsidRPr="00EF34A3">
              <w:rPr>
                <w:color w:val="000000"/>
                <w:szCs w:val="20"/>
                <w:lang w:eastAsia="en-AU"/>
              </w:rPr>
              <w:t>Option 1</w:t>
            </w:r>
          </w:p>
        </w:tc>
        <w:tc>
          <w:tcPr>
            <w:tcW w:w="1701" w:type="dxa"/>
          </w:tcPr>
          <w:p w14:paraId="0F6DAF50" w14:textId="77777777" w:rsidR="00491210" w:rsidRDefault="00EE200C" w:rsidP="00BD1CCD">
            <w:pPr>
              <w:tabs>
                <w:tab w:val="decimal" w:pos="851"/>
              </w:tabs>
              <w:spacing w:after="60"/>
              <w:jc w:val="center"/>
            </w:pPr>
            <w:r>
              <w:t>10</w:t>
            </w:r>
          </w:p>
        </w:tc>
        <w:tc>
          <w:tcPr>
            <w:tcW w:w="1701" w:type="dxa"/>
          </w:tcPr>
          <w:p w14:paraId="7DEB506C" w14:textId="77777777" w:rsidR="00491210" w:rsidRDefault="00EE200C" w:rsidP="00BD1CCD">
            <w:pPr>
              <w:tabs>
                <w:tab w:val="decimal" w:pos="851"/>
              </w:tabs>
              <w:spacing w:after="60"/>
              <w:jc w:val="center"/>
            </w:pPr>
            <w:r>
              <w:t>25</w:t>
            </w:r>
          </w:p>
        </w:tc>
        <w:tc>
          <w:tcPr>
            <w:tcW w:w="1701" w:type="dxa"/>
          </w:tcPr>
          <w:p w14:paraId="4779408F" w14:textId="77777777" w:rsidR="00491210" w:rsidRDefault="00EE200C" w:rsidP="00BD1CCD">
            <w:pPr>
              <w:tabs>
                <w:tab w:val="decimal" w:pos="851"/>
              </w:tabs>
              <w:spacing w:after="60"/>
              <w:jc w:val="center"/>
            </w:pPr>
            <w:r>
              <w:t>34</w:t>
            </w:r>
          </w:p>
        </w:tc>
      </w:tr>
      <w:tr w:rsidR="0083166E" w14:paraId="56F6B1EA" w14:textId="77777777" w:rsidTr="00584576">
        <w:tc>
          <w:tcPr>
            <w:tcW w:w="0" w:type="auto"/>
            <w:vMerge/>
            <w:tcBorders>
              <w:top w:val="nil"/>
            </w:tcBorders>
          </w:tcPr>
          <w:p w14:paraId="7292FFE9" w14:textId="77777777" w:rsidR="00491210" w:rsidRDefault="00491210" w:rsidP="00BD1CCD">
            <w:pPr>
              <w:spacing w:after="60"/>
              <w:jc w:val="center"/>
            </w:pPr>
          </w:p>
        </w:tc>
        <w:tc>
          <w:tcPr>
            <w:tcW w:w="0" w:type="auto"/>
            <w:vMerge/>
          </w:tcPr>
          <w:p w14:paraId="0C707F9D" w14:textId="77777777" w:rsidR="00491210" w:rsidRPr="00EF34A3" w:rsidRDefault="00491210" w:rsidP="00BD1CCD">
            <w:pPr>
              <w:spacing w:after="60"/>
              <w:jc w:val="center"/>
              <w:rPr>
                <w:color w:val="000000"/>
                <w:szCs w:val="20"/>
                <w:lang w:eastAsia="en-AU"/>
              </w:rPr>
            </w:pPr>
          </w:p>
        </w:tc>
        <w:tc>
          <w:tcPr>
            <w:tcW w:w="1622" w:type="dxa"/>
          </w:tcPr>
          <w:p w14:paraId="52DC6826" w14:textId="77777777" w:rsidR="00491210" w:rsidRPr="00EF34A3" w:rsidRDefault="00EE200C" w:rsidP="00BD1CCD">
            <w:pPr>
              <w:spacing w:after="60"/>
              <w:jc w:val="center"/>
              <w:rPr>
                <w:szCs w:val="20"/>
              </w:rPr>
            </w:pPr>
            <w:r w:rsidRPr="00EF34A3">
              <w:rPr>
                <w:color w:val="000000"/>
                <w:szCs w:val="20"/>
                <w:lang w:eastAsia="en-AU"/>
              </w:rPr>
              <w:t>Option 2</w:t>
            </w:r>
          </w:p>
        </w:tc>
        <w:tc>
          <w:tcPr>
            <w:tcW w:w="1701" w:type="dxa"/>
          </w:tcPr>
          <w:p w14:paraId="6C9469E5" w14:textId="77777777" w:rsidR="00491210" w:rsidRDefault="00EE200C" w:rsidP="00BD1CCD">
            <w:pPr>
              <w:tabs>
                <w:tab w:val="decimal" w:pos="851"/>
              </w:tabs>
              <w:spacing w:after="60"/>
              <w:jc w:val="center"/>
            </w:pPr>
            <w:r w:rsidRPr="00927D89">
              <w:t>16</w:t>
            </w:r>
          </w:p>
        </w:tc>
        <w:tc>
          <w:tcPr>
            <w:tcW w:w="1701" w:type="dxa"/>
          </w:tcPr>
          <w:p w14:paraId="14AF6C35" w14:textId="77777777" w:rsidR="00491210" w:rsidRDefault="00EE200C" w:rsidP="00BD1CCD">
            <w:pPr>
              <w:tabs>
                <w:tab w:val="decimal" w:pos="851"/>
              </w:tabs>
              <w:spacing w:after="60"/>
              <w:jc w:val="center"/>
            </w:pPr>
            <w:r>
              <w:t>25</w:t>
            </w:r>
          </w:p>
        </w:tc>
        <w:tc>
          <w:tcPr>
            <w:tcW w:w="1701" w:type="dxa"/>
          </w:tcPr>
          <w:p w14:paraId="28D6E407" w14:textId="77777777" w:rsidR="00491210" w:rsidRDefault="00EE200C" w:rsidP="00BD1CCD">
            <w:pPr>
              <w:tabs>
                <w:tab w:val="decimal" w:pos="851"/>
              </w:tabs>
              <w:spacing w:after="60"/>
              <w:jc w:val="center"/>
            </w:pPr>
            <w:r w:rsidRPr="00927D89">
              <w:t>32</w:t>
            </w:r>
          </w:p>
        </w:tc>
      </w:tr>
      <w:tr w:rsidR="0083166E" w14:paraId="60C66122" w14:textId="77777777" w:rsidTr="00584576">
        <w:tc>
          <w:tcPr>
            <w:tcW w:w="0" w:type="auto"/>
            <w:vMerge/>
            <w:tcBorders>
              <w:top w:val="nil"/>
            </w:tcBorders>
          </w:tcPr>
          <w:p w14:paraId="511441E3" w14:textId="77777777" w:rsidR="00491210" w:rsidRDefault="00491210" w:rsidP="00BD1CCD">
            <w:pPr>
              <w:spacing w:after="60"/>
              <w:jc w:val="center"/>
            </w:pPr>
          </w:p>
        </w:tc>
        <w:tc>
          <w:tcPr>
            <w:tcW w:w="0" w:type="auto"/>
            <w:vMerge/>
          </w:tcPr>
          <w:p w14:paraId="1130802D" w14:textId="77777777" w:rsidR="00491210" w:rsidRPr="00EF34A3" w:rsidRDefault="00491210" w:rsidP="00BD1CCD">
            <w:pPr>
              <w:spacing w:after="60"/>
              <w:jc w:val="center"/>
              <w:rPr>
                <w:color w:val="000000"/>
                <w:szCs w:val="20"/>
                <w:lang w:eastAsia="en-AU"/>
              </w:rPr>
            </w:pPr>
          </w:p>
        </w:tc>
        <w:tc>
          <w:tcPr>
            <w:tcW w:w="1622" w:type="dxa"/>
          </w:tcPr>
          <w:p w14:paraId="0CB2089B" w14:textId="77777777" w:rsidR="00491210" w:rsidRPr="00EF34A3" w:rsidRDefault="00EE200C" w:rsidP="00BD1CCD">
            <w:pPr>
              <w:spacing w:after="60"/>
              <w:jc w:val="center"/>
              <w:rPr>
                <w:szCs w:val="20"/>
              </w:rPr>
            </w:pPr>
            <w:r w:rsidRPr="00EF34A3">
              <w:rPr>
                <w:color w:val="000000"/>
                <w:szCs w:val="20"/>
                <w:lang w:eastAsia="en-AU"/>
              </w:rPr>
              <w:t>Option 3</w:t>
            </w:r>
          </w:p>
        </w:tc>
        <w:tc>
          <w:tcPr>
            <w:tcW w:w="1701" w:type="dxa"/>
          </w:tcPr>
          <w:p w14:paraId="2500D603" w14:textId="77777777" w:rsidR="00491210" w:rsidRDefault="00EE200C" w:rsidP="00BD1CCD">
            <w:pPr>
              <w:tabs>
                <w:tab w:val="decimal" w:pos="851"/>
              </w:tabs>
              <w:spacing w:after="60"/>
              <w:jc w:val="center"/>
            </w:pPr>
            <w:r w:rsidRPr="00927D89">
              <w:t>23</w:t>
            </w:r>
          </w:p>
        </w:tc>
        <w:tc>
          <w:tcPr>
            <w:tcW w:w="1701" w:type="dxa"/>
          </w:tcPr>
          <w:p w14:paraId="2C1EF14E" w14:textId="77777777" w:rsidR="00491210" w:rsidRDefault="00EE200C" w:rsidP="00BD1CCD">
            <w:pPr>
              <w:tabs>
                <w:tab w:val="decimal" w:pos="851"/>
              </w:tabs>
              <w:spacing w:after="60"/>
              <w:jc w:val="center"/>
            </w:pPr>
            <w:r>
              <w:t>39</w:t>
            </w:r>
          </w:p>
        </w:tc>
        <w:tc>
          <w:tcPr>
            <w:tcW w:w="1701" w:type="dxa"/>
          </w:tcPr>
          <w:p w14:paraId="3A1C0A5D" w14:textId="77777777" w:rsidR="00491210" w:rsidRDefault="00EE200C" w:rsidP="00BD1CCD">
            <w:pPr>
              <w:tabs>
                <w:tab w:val="decimal" w:pos="851"/>
              </w:tabs>
              <w:spacing w:after="60"/>
              <w:jc w:val="center"/>
            </w:pPr>
            <w:r w:rsidRPr="00927D89">
              <w:t>40</w:t>
            </w:r>
          </w:p>
        </w:tc>
      </w:tr>
      <w:tr w:rsidR="0083166E" w14:paraId="68DAD04B" w14:textId="77777777" w:rsidTr="00584576">
        <w:tc>
          <w:tcPr>
            <w:tcW w:w="0" w:type="auto"/>
            <w:vMerge/>
            <w:tcBorders>
              <w:top w:val="nil"/>
              <w:bottom w:val="double" w:sz="4" w:space="0" w:color="00B2A9" w:themeColor="accent1"/>
            </w:tcBorders>
          </w:tcPr>
          <w:p w14:paraId="35893CE7" w14:textId="77777777" w:rsidR="00491210" w:rsidRDefault="00491210" w:rsidP="00BD1CCD">
            <w:pPr>
              <w:spacing w:after="60"/>
              <w:jc w:val="center"/>
            </w:pPr>
          </w:p>
        </w:tc>
        <w:tc>
          <w:tcPr>
            <w:tcW w:w="0" w:type="auto"/>
            <w:vMerge/>
            <w:tcBorders>
              <w:bottom w:val="double" w:sz="4" w:space="0" w:color="00B2A9" w:themeColor="accent1"/>
            </w:tcBorders>
          </w:tcPr>
          <w:p w14:paraId="6CF244CE" w14:textId="77777777" w:rsidR="00491210" w:rsidRPr="00EF34A3" w:rsidRDefault="00491210" w:rsidP="00BD1CCD">
            <w:pPr>
              <w:spacing w:after="60"/>
              <w:jc w:val="center"/>
              <w:rPr>
                <w:color w:val="000000"/>
                <w:szCs w:val="20"/>
                <w:lang w:eastAsia="en-AU"/>
              </w:rPr>
            </w:pPr>
          </w:p>
        </w:tc>
        <w:tc>
          <w:tcPr>
            <w:tcW w:w="1622" w:type="dxa"/>
            <w:tcBorders>
              <w:bottom w:val="double" w:sz="4" w:space="0" w:color="00B2A9" w:themeColor="accent1"/>
            </w:tcBorders>
          </w:tcPr>
          <w:p w14:paraId="25467957" w14:textId="77777777" w:rsidR="00491210" w:rsidRPr="00EF34A3" w:rsidRDefault="00EE200C" w:rsidP="00BD1CCD">
            <w:pPr>
              <w:spacing w:after="60"/>
              <w:jc w:val="center"/>
              <w:rPr>
                <w:szCs w:val="20"/>
              </w:rPr>
            </w:pPr>
            <w:r w:rsidRPr="00EF34A3">
              <w:rPr>
                <w:color w:val="000000"/>
                <w:szCs w:val="20"/>
                <w:lang w:eastAsia="en-AU"/>
              </w:rPr>
              <w:t>Option 4</w:t>
            </w:r>
          </w:p>
        </w:tc>
        <w:tc>
          <w:tcPr>
            <w:tcW w:w="1701" w:type="dxa"/>
            <w:tcBorders>
              <w:bottom w:val="double" w:sz="4" w:space="0" w:color="00B2A9" w:themeColor="accent1"/>
            </w:tcBorders>
          </w:tcPr>
          <w:p w14:paraId="1BA9C4AA" w14:textId="77777777" w:rsidR="00491210" w:rsidRDefault="00EE200C" w:rsidP="00BD1CCD">
            <w:pPr>
              <w:tabs>
                <w:tab w:val="decimal" w:pos="851"/>
              </w:tabs>
              <w:spacing w:after="60"/>
              <w:jc w:val="center"/>
            </w:pPr>
            <w:r w:rsidRPr="00927D89">
              <w:t>30</w:t>
            </w:r>
          </w:p>
        </w:tc>
        <w:tc>
          <w:tcPr>
            <w:tcW w:w="1701" w:type="dxa"/>
            <w:tcBorders>
              <w:bottom w:val="double" w:sz="4" w:space="0" w:color="00B2A9" w:themeColor="accent1"/>
            </w:tcBorders>
          </w:tcPr>
          <w:p w14:paraId="5AEA813A" w14:textId="77777777" w:rsidR="00491210" w:rsidRDefault="00EE200C" w:rsidP="00BD1CCD">
            <w:pPr>
              <w:tabs>
                <w:tab w:val="decimal" w:pos="851"/>
              </w:tabs>
              <w:spacing w:after="60"/>
              <w:jc w:val="center"/>
            </w:pPr>
            <w:r>
              <w:t>54</w:t>
            </w:r>
          </w:p>
        </w:tc>
        <w:tc>
          <w:tcPr>
            <w:tcW w:w="1701" w:type="dxa"/>
            <w:tcBorders>
              <w:bottom w:val="double" w:sz="4" w:space="0" w:color="00B2A9" w:themeColor="accent1"/>
            </w:tcBorders>
          </w:tcPr>
          <w:p w14:paraId="716C753E" w14:textId="77777777" w:rsidR="00491210" w:rsidRDefault="00EE200C" w:rsidP="00BD1CCD">
            <w:pPr>
              <w:tabs>
                <w:tab w:val="decimal" w:pos="851"/>
              </w:tabs>
              <w:spacing w:after="60"/>
              <w:jc w:val="center"/>
            </w:pPr>
            <w:r w:rsidRPr="00927D89">
              <w:t>43</w:t>
            </w:r>
          </w:p>
        </w:tc>
      </w:tr>
      <w:tr w:rsidR="0083166E" w14:paraId="027D7DFA" w14:textId="77777777" w:rsidTr="00584576">
        <w:tc>
          <w:tcPr>
            <w:tcW w:w="0" w:type="auto"/>
            <w:vMerge w:val="restart"/>
            <w:tcBorders>
              <w:top w:val="double" w:sz="4" w:space="0" w:color="00B2A9" w:themeColor="accent1"/>
            </w:tcBorders>
          </w:tcPr>
          <w:p w14:paraId="2D75C85B" w14:textId="77777777" w:rsidR="00491210" w:rsidRPr="4D1BBAA5" w:rsidRDefault="00491210" w:rsidP="00BD1CCD">
            <w:pPr>
              <w:spacing w:after="60"/>
              <w:jc w:val="center"/>
              <w:rPr>
                <w:b/>
                <w:bCs/>
              </w:rPr>
            </w:pPr>
          </w:p>
        </w:tc>
        <w:tc>
          <w:tcPr>
            <w:tcW w:w="0" w:type="auto"/>
            <w:vMerge w:val="restart"/>
            <w:tcBorders>
              <w:top w:val="double" w:sz="4" w:space="0" w:color="00B2A9" w:themeColor="accent1"/>
            </w:tcBorders>
          </w:tcPr>
          <w:p w14:paraId="1A940F3F" w14:textId="77777777" w:rsidR="00491210" w:rsidRPr="00EF34A3" w:rsidRDefault="00EE200C" w:rsidP="00BD1CCD">
            <w:pPr>
              <w:spacing w:after="60"/>
              <w:jc w:val="center"/>
              <w:rPr>
                <w:color w:val="000000"/>
                <w:szCs w:val="20"/>
                <w:lang w:eastAsia="en-AU"/>
              </w:rPr>
            </w:pPr>
            <w:r>
              <w:rPr>
                <w:color w:val="000000"/>
                <w:szCs w:val="20"/>
                <w:lang w:eastAsia="en-AU"/>
              </w:rPr>
              <w:t>Murray River</w:t>
            </w:r>
          </w:p>
        </w:tc>
        <w:tc>
          <w:tcPr>
            <w:tcW w:w="1622" w:type="dxa"/>
            <w:tcBorders>
              <w:top w:val="double" w:sz="4" w:space="0" w:color="00B2A9" w:themeColor="accent1"/>
            </w:tcBorders>
          </w:tcPr>
          <w:p w14:paraId="3D19A29A"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1</w:t>
            </w:r>
          </w:p>
        </w:tc>
        <w:tc>
          <w:tcPr>
            <w:tcW w:w="1701" w:type="dxa"/>
            <w:tcBorders>
              <w:top w:val="double" w:sz="4" w:space="0" w:color="00B2A9" w:themeColor="accent1"/>
            </w:tcBorders>
          </w:tcPr>
          <w:p w14:paraId="1B7FC910" w14:textId="77777777" w:rsidR="00491210" w:rsidRPr="00D62F1C" w:rsidRDefault="00EE200C" w:rsidP="00BD1CCD">
            <w:pPr>
              <w:tabs>
                <w:tab w:val="decimal" w:pos="851"/>
              </w:tabs>
              <w:spacing w:after="60"/>
              <w:jc w:val="center"/>
            </w:pPr>
            <w:r w:rsidRPr="00FD5032">
              <w:t>10</w:t>
            </w:r>
          </w:p>
        </w:tc>
        <w:tc>
          <w:tcPr>
            <w:tcW w:w="1701" w:type="dxa"/>
            <w:tcBorders>
              <w:top w:val="double" w:sz="4" w:space="0" w:color="00B2A9" w:themeColor="accent1"/>
            </w:tcBorders>
          </w:tcPr>
          <w:p w14:paraId="1051197F" w14:textId="77777777" w:rsidR="00491210" w:rsidRDefault="00EE200C" w:rsidP="00BD1CCD">
            <w:pPr>
              <w:tabs>
                <w:tab w:val="decimal" w:pos="851"/>
              </w:tabs>
              <w:spacing w:after="60"/>
              <w:jc w:val="center"/>
            </w:pPr>
            <w:r w:rsidRPr="00FD5032">
              <w:t>19</w:t>
            </w:r>
          </w:p>
        </w:tc>
        <w:tc>
          <w:tcPr>
            <w:tcW w:w="1701" w:type="dxa"/>
            <w:tcBorders>
              <w:top w:val="double" w:sz="4" w:space="0" w:color="00B2A9" w:themeColor="accent1"/>
            </w:tcBorders>
          </w:tcPr>
          <w:p w14:paraId="124BD6D6" w14:textId="77777777" w:rsidR="00491210" w:rsidRDefault="00EE200C" w:rsidP="00BD1CCD">
            <w:pPr>
              <w:tabs>
                <w:tab w:val="decimal" w:pos="851"/>
              </w:tabs>
              <w:spacing w:after="60"/>
              <w:jc w:val="center"/>
            </w:pPr>
            <w:r w:rsidRPr="00FD5032">
              <w:t>30</w:t>
            </w:r>
          </w:p>
        </w:tc>
      </w:tr>
      <w:tr w:rsidR="0083166E" w14:paraId="4A5336AA" w14:textId="77777777" w:rsidTr="00584576">
        <w:tc>
          <w:tcPr>
            <w:tcW w:w="0" w:type="auto"/>
            <w:vMerge/>
            <w:tcBorders>
              <w:top w:val="nil"/>
            </w:tcBorders>
          </w:tcPr>
          <w:p w14:paraId="23569612" w14:textId="77777777" w:rsidR="00491210" w:rsidRPr="4D1BBAA5" w:rsidRDefault="00491210" w:rsidP="00BD1CCD">
            <w:pPr>
              <w:spacing w:after="60"/>
              <w:jc w:val="center"/>
              <w:rPr>
                <w:b/>
                <w:bCs/>
              </w:rPr>
            </w:pPr>
          </w:p>
        </w:tc>
        <w:tc>
          <w:tcPr>
            <w:tcW w:w="0" w:type="auto"/>
            <w:vMerge/>
          </w:tcPr>
          <w:p w14:paraId="4BC7F780" w14:textId="77777777" w:rsidR="00491210" w:rsidRPr="00EF34A3" w:rsidRDefault="00491210" w:rsidP="00BD1CCD">
            <w:pPr>
              <w:spacing w:after="60"/>
              <w:jc w:val="center"/>
              <w:rPr>
                <w:color w:val="000000"/>
                <w:szCs w:val="20"/>
                <w:lang w:eastAsia="en-AU"/>
              </w:rPr>
            </w:pPr>
          </w:p>
        </w:tc>
        <w:tc>
          <w:tcPr>
            <w:tcW w:w="1622" w:type="dxa"/>
          </w:tcPr>
          <w:p w14:paraId="516EB481"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2</w:t>
            </w:r>
          </w:p>
        </w:tc>
        <w:tc>
          <w:tcPr>
            <w:tcW w:w="1701" w:type="dxa"/>
          </w:tcPr>
          <w:p w14:paraId="1F0F8BE3" w14:textId="77777777" w:rsidR="00491210" w:rsidRPr="00D62F1C" w:rsidRDefault="00EE200C" w:rsidP="00BD1CCD">
            <w:pPr>
              <w:tabs>
                <w:tab w:val="decimal" w:pos="851"/>
              </w:tabs>
              <w:spacing w:after="60"/>
              <w:jc w:val="center"/>
            </w:pPr>
            <w:r w:rsidRPr="00FD5032">
              <w:t>16</w:t>
            </w:r>
          </w:p>
        </w:tc>
        <w:tc>
          <w:tcPr>
            <w:tcW w:w="1701" w:type="dxa"/>
          </w:tcPr>
          <w:p w14:paraId="327640D5" w14:textId="77777777" w:rsidR="00491210" w:rsidRDefault="00EE200C" w:rsidP="00BD1CCD">
            <w:pPr>
              <w:tabs>
                <w:tab w:val="decimal" w:pos="851"/>
              </w:tabs>
              <w:spacing w:after="60"/>
              <w:jc w:val="center"/>
            </w:pPr>
            <w:r w:rsidRPr="00FD5032">
              <w:t>20</w:t>
            </w:r>
          </w:p>
        </w:tc>
        <w:tc>
          <w:tcPr>
            <w:tcW w:w="1701" w:type="dxa"/>
          </w:tcPr>
          <w:p w14:paraId="7DA1FC26" w14:textId="77777777" w:rsidR="00491210" w:rsidRDefault="00EE200C" w:rsidP="00BD1CCD">
            <w:pPr>
              <w:tabs>
                <w:tab w:val="decimal" w:pos="851"/>
              </w:tabs>
              <w:spacing w:after="60"/>
              <w:jc w:val="center"/>
            </w:pPr>
            <w:r w:rsidRPr="00FD5032">
              <w:t>29</w:t>
            </w:r>
          </w:p>
        </w:tc>
      </w:tr>
      <w:tr w:rsidR="0083166E" w14:paraId="34FB6F43" w14:textId="77777777" w:rsidTr="00584576">
        <w:tc>
          <w:tcPr>
            <w:tcW w:w="0" w:type="auto"/>
            <w:vMerge/>
            <w:tcBorders>
              <w:top w:val="nil"/>
            </w:tcBorders>
          </w:tcPr>
          <w:p w14:paraId="7564F125" w14:textId="77777777" w:rsidR="00491210" w:rsidRPr="4D1BBAA5" w:rsidRDefault="00491210" w:rsidP="00BD1CCD">
            <w:pPr>
              <w:spacing w:after="60"/>
              <w:jc w:val="center"/>
              <w:rPr>
                <w:b/>
                <w:bCs/>
              </w:rPr>
            </w:pPr>
          </w:p>
        </w:tc>
        <w:tc>
          <w:tcPr>
            <w:tcW w:w="0" w:type="auto"/>
            <w:vMerge/>
          </w:tcPr>
          <w:p w14:paraId="3C840D08" w14:textId="77777777" w:rsidR="00491210" w:rsidRPr="00EF34A3" w:rsidRDefault="00491210" w:rsidP="00BD1CCD">
            <w:pPr>
              <w:spacing w:after="60"/>
              <w:jc w:val="center"/>
              <w:rPr>
                <w:color w:val="000000"/>
                <w:szCs w:val="20"/>
                <w:lang w:eastAsia="en-AU"/>
              </w:rPr>
            </w:pPr>
          </w:p>
        </w:tc>
        <w:tc>
          <w:tcPr>
            <w:tcW w:w="1622" w:type="dxa"/>
          </w:tcPr>
          <w:p w14:paraId="30F4B7A9"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3</w:t>
            </w:r>
          </w:p>
        </w:tc>
        <w:tc>
          <w:tcPr>
            <w:tcW w:w="1701" w:type="dxa"/>
          </w:tcPr>
          <w:p w14:paraId="37369A5F" w14:textId="77777777" w:rsidR="00491210" w:rsidRPr="00D62F1C" w:rsidRDefault="00EE200C" w:rsidP="00BD1CCD">
            <w:pPr>
              <w:tabs>
                <w:tab w:val="decimal" w:pos="851"/>
              </w:tabs>
              <w:spacing w:after="60"/>
              <w:jc w:val="center"/>
            </w:pPr>
            <w:r w:rsidRPr="00FD5032">
              <w:t>23</w:t>
            </w:r>
          </w:p>
        </w:tc>
        <w:tc>
          <w:tcPr>
            <w:tcW w:w="1701" w:type="dxa"/>
          </w:tcPr>
          <w:p w14:paraId="44CD0F65" w14:textId="77777777" w:rsidR="00491210" w:rsidRDefault="00EE200C" w:rsidP="00BD1CCD">
            <w:pPr>
              <w:tabs>
                <w:tab w:val="decimal" w:pos="851"/>
              </w:tabs>
              <w:spacing w:after="60"/>
              <w:jc w:val="center"/>
            </w:pPr>
            <w:r w:rsidRPr="00FD5032">
              <w:t>37</w:t>
            </w:r>
          </w:p>
        </w:tc>
        <w:tc>
          <w:tcPr>
            <w:tcW w:w="1701" w:type="dxa"/>
          </w:tcPr>
          <w:p w14:paraId="09D46A37" w14:textId="77777777" w:rsidR="00491210" w:rsidRDefault="00EE200C" w:rsidP="00BD1CCD">
            <w:pPr>
              <w:tabs>
                <w:tab w:val="decimal" w:pos="851"/>
              </w:tabs>
              <w:spacing w:after="60"/>
              <w:jc w:val="center"/>
            </w:pPr>
            <w:r w:rsidRPr="00FD5032">
              <w:t>30</w:t>
            </w:r>
          </w:p>
        </w:tc>
      </w:tr>
      <w:tr w:rsidR="0083166E" w14:paraId="5743ED62" w14:textId="77777777" w:rsidTr="00584576">
        <w:tc>
          <w:tcPr>
            <w:tcW w:w="0" w:type="auto"/>
            <w:vMerge/>
            <w:tcBorders>
              <w:top w:val="nil"/>
            </w:tcBorders>
          </w:tcPr>
          <w:p w14:paraId="2CE8286B" w14:textId="77777777" w:rsidR="00491210" w:rsidRPr="4D1BBAA5" w:rsidRDefault="00491210" w:rsidP="00BD1CCD">
            <w:pPr>
              <w:spacing w:after="60"/>
              <w:jc w:val="center"/>
              <w:rPr>
                <w:b/>
                <w:bCs/>
              </w:rPr>
            </w:pPr>
          </w:p>
        </w:tc>
        <w:tc>
          <w:tcPr>
            <w:tcW w:w="0" w:type="auto"/>
            <w:vMerge/>
            <w:tcBorders>
              <w:bottom w:val="double" w:sz="4" w:space="0" w:color="00B2A9" w:themeColor="accent1"/>
            </w:tcBorders>
          </w:tcPr>
          <w:p w14:paraId="61636ADC" w14:textId="77777777" w:rsidR="00491210" w:rsidRPr="00EF34A3" w:rsidRDefault="00491210" w:rsidP="00BD1CCD">
            <w:pPr>
              <w:spacing w:after="60"/>
              <w:jc w:val="center"/>
              <w:rPr>
                <w:color w:val="000000"/>
                <w:szCs w:val="20"/>
                <w:lang w:eastAsia="en-AU"/>
              </w:rPr>
            </w:pPr>
          </w:p>
        </w:tc>
        <w:tc>
          <w:tcPr>
            <w:tcW w:w="1622" w:type="dxa"/>
            <w:tcBorders>
              <w:bottom w:val="double" w:sz="4" w:space="0" w:color="00B2A9" w:themeColor="accent1"/>
            </w:tcBorders>
          </w:tcPr>
          <w:p w14:paraId="3E075988"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4</w:t>
            </w:r>
          </w:p>
        </w:tc>
        <w:tc>
          <w:tcPr>
            <w:tcW w:w="1701" w:type="dxa"/>
            <w:tcBorders>
              <w:bottom w:val="double" w:sz="4" w:space="0" w:color="00B2A9" w:themeColor="accent1"/>
            </w:tcBorders>
          </w:tcPr>
          <w:p w14:paraId="3B02878E" w14:textId="77777777" w:rsidR="00491210" w:rsidRPr="00D62F1C" w:rsidRDefault="00EE200C" w:rsidP="00BD1CCD">
            <w:pPr>
              <w:tabs>
                <w:tab w:val="decimal" w:pos="851"/>
              </w:tabs>
              <w:spacing w:after="60"/>
              <w:jc w:val="center"/>
            </w:pPr>
            <w:r w:rsidRPr="00FD5032">
              <w:t>29</w:t>
            </w:r>
          </w:p>
        </w:tc>
        <w:tc>
          <w:tcPr>
            <w:tcW w:w="1701" w:type="dxa"/>
            <w:tcBorders>
              <w:bottom w:val="double" w:sz="4" w:space="0" w:color="00B2A9" w:themeColor="accent1"/>
            </w:tcBorders>
          </w:tcPr>
          <w:p w14:paraId="6B17218F" w14:textId="77777777" w:rsidR="00491210" w:rsidRDefault="00EE200C" w:rsidP="00BD1CCD">
            <w:pPr>
              <w:tabs>
                <w:tab w:val="decimal" w:pos="851"/>
              </w:tabs>
              <w:spacing w:after="60"/>
              <w:jc w:val="center"/>
            </w:pPr>
            <w:r w:rsidRPr="00FD5032">
              <w:t>45</w:t>
            </w:r>
          </w:p>
        </w:tc>
        <w:tc>
          <w:tcPr>
            <w:tcW w:w="1701" w:type="dxa"/>
            <w:tcBorders>
              <w:bottom w:val="double" w:sz="4" w:space="0" w:color="00B2A9" w:themeColor="accent1"/>
            </w:tcBorders>
          </w:tcPr>
          <w:p w14:paraId="716F5605" w14:textId="77777777" w:rsidR="00491210" w:rsidRDefault="00EE200C" w:rsidP="00BD1CCD">
            <w:pPr>
              <w:tabs>
                <w:tab w:val="decimal" w:pos="851"/>
              </w:tabs>
              <w:spacing w:after="60"/>
              <w:jc w:val="center"/>
            </w:pPr>
            <w:r w:rsidRPr="00FD5032">
              <w:t>28</w:t>
            </w:r>
          </w:p>
        </w:tc>
      </w:tr>
      <w:tr w:rsidR="0083166E" w14:paraId="30E45A0B" w14:textId="77777777" w:rsidTr="00584576">
        <w:tc>
          <w:tcPr>
            <w:tcW w:w="0" w:type="auto"/>
            <w:vMerge/>
            <w:tcBorders>
              <w:top w:val="nil"/>
            </w:tcBorders>
          </w:tcPr>
          <w:p w14:paraId="63F6B446" w14:textId="77777777" w:rsidR="00491210" w:rsidRPr="4D1BBAA5" w:rsidRDefault="00491210" w:rsidP="00BD1CCD">
            <w:pPr>
              <w:spacing w:after="60"/>
              <w:jc w:val="center"/>
              <w:rPr>
                <w:b/>
                <w:bCs/>
              </w:rPr>
            </w:pPr>
          </w:p>
        </w:tc>
        <w:tc>
          <w:tcPr>
            <w:tcW w:w="0" w:type="auto"/>
            <w:vMerge w:val="restart"/>
            <w:tcBorders>
              <w:top w:val="double" w:sz="4" w:space="0" w:color="00B2A9" w:themeColor="accent1"/>
            </w:tcBorders>
          </w:tcPr>
          <w:p w14:paraId="0A6EBBF2" w14:textId="77777777" w:rsidR="00491210" w:rsidRPr="00EF34A3" w:rsidRDefault="00EE200C" w:rsidP="00BD1CCD">
            <w:pPr>
              <w:spacing w:after="60"/>
              <w:jc w:val="center"/>
              <w:rPr>
                <w:color w:val="000000"/>
                <w:szCs w:val="20"/>
                <w:lang w:eastAsia="en-AU"/>
              </w:rPr>
            </w:pPr>
            <w:r>
              <w:rPr>
                <w:color w:val="000000"/>
                <w:szCs w:val="20"/>
                <w:lang w:eastAsia="en-AU"/>
              </w:rPr>
              <w:t>Murrumbidgee River</w:t>
            </w:r>
          </w:p>
        </w:tc>
        <w:tc>
          <w:tcPr>
            <w:tcW w:w="1622" w:type="dxa"/>
            <w:tcBorders>
              <w:top w:val="double" w:sz="4" w:space="0" w:color="00B2A9" w:themeColor="accent1"/>
            </w:tcBorders>
          </w:tcPr>
          <w:p w14:paraId="552CF693"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1</w:t>
            </w:r>
          </w:p>
        </w:tc>
        <w:tc>
          <w:tcPr>
            <w:tcW w:w="1701" w:type="dxa"/>
            <w:tcBorders>
              <w:top w:val="double" w:sz="4" w:space="0" w:color="00B2A9" w:themeColor="accent1"/>
            </w:tcBorders>
          </w:tcPr>
          <w:p w14:paraId="38FC4011" w14:textId="77777777" w:rsidR="00491210" w:rsidRPr="00D62F1C" w:rsidRDefault="00EE200C" w:rsidP="00BD1CCD">
            <w:pPr>
              <w:tabs>
                <w:tab w:val="decimal" w:pos="851"/>
              </w:tabs>
              <w:spacing w:after="60"/>
              <w:jc w:val="center"/>
            </w:pPr>
            <w:r w:rsidRPr="00FD5032">
              <w:t>7</w:t>
            </w:r>
          </w:p>
        </w:tc>
        <w:tc>
          <w:tcPr>
            <w:tcW w:w="1701" w:type="dxa"/>
            <w:tcBorders>
              <w:top w:val="double" w:sz="4" w:space="0" w:color="00B2A9" w:themeColor="accent1"/>
            </w:tcBorders>
          </w:tcPr>
          <w:p w14:paraId="40329DC6" w14:textId="77777777" w:rsidR="00491210" w:rsidRDefault="00EE200C" w:rsidP="00BD1CCD">
            <w:pPr>
              <w:tabs>
                <w:tab w:val="decimal" w:pos="851"/>
              </w:tabs>
              <w:spacing w:after="60"/>
              <w:jc w:val="center"/>
            </w:pPr>
            <w:r w:rsidRPr="00FD5032">
              <w:t>6</w:t>
            </w:r>
          </w:p>
        </w:tc>
        <w:tc>
          <w:tcPr>
            <w:tcW w:w="1701" w:type="dxa"/>
            <w:tcBorders>
              <w:top w:val="double" w:sz="4" w:space="0" w:color="00B2A9" w:themeColor="accent1"/>
            </w:tcBorders>
          </w:tcPr>
          <w:p w14:paraId="70DB8759" w14:textId="77777777" w:rsidR="00491210" w:rsidRDefault="00EE200C" w:rsidP="00BD1CCD">
            <w:pPr>
              <w:tabs>
                <w:tab w:val="decimal" w:pos="851"/>
              </w:tabs>
              <w:spacing w:after="60"/>
              <w:jc w:val="center"/>
            </w:pPr>
            <w:r w:rsidRPr="00354EE5">
              <w:t>14</w:t>
            </w:r>
          </w:p>
        </w:tc>
      </w:tr>
      <w:tr w:rsidR="0083166E" w14:paraId="353AA87D" w14:textId="77777777" w:rsidTr="00584576">
        <w:tc>
          <w:tcPr>
            <w:tcW w:w="0" w:type="auto"/>
            <w:vMerge/>
            <w:tcBorders>
              <w:top w:val="nil"/>
            </w:tcBorders>
          </w:tcPr>
          <w:p w14:paraId="435F2373" w14:textId="77777777" w:rsidR="00491210" w:rsidRPr="4D1BBAA5" w:rsidRDefault="00491210" w:rsidP="00BD1CCD">
            <w:pPr>
              <w:spacing w:after="60"/>
              <w:jc w:val="center"/>
              <w:rPr>
                <w:b/>
                <w:bCs/>
              </w:rPr>
            </w:pPr>
          </w:p>
        </w:tc>
        <w:tc>
          <w:tcPr>
            <w:tcW w:w="0" w:type="auto"/>
            <w:vMerge/>
          </w:tcPr>
          <w:p w14:paraId="33DFC93F" w14:textId="77777777" w:rsidR="00491210" w:rsidRPr="00EF34A3" w:rsidRDefault="00491210" w:rsidP="00BD1CCD">
            <w:pPr>
              <w:spacing w:after="60"/>
              <w:jc w:val="center"/>
              <w:rPr>
                <w:color w:val="000000"/>
                <w:szCs w:val="20"/>
                <w:lang w:eastAsia="en-AU"/>
              </w:rPr>
            </w:pPr>
          </w:p>
        </w:tc>
        <w:tc>
          <w:tcPr>
            <w:tcW w:w="1622" w:type="dxa"/>
          </w:tcPr>
          <w:p w14:paraId="2B3840E4"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2</w:t>
            </w:r>
          </w:p>
        </w:tc>
        <w:tc>
          <w:tcPr>
            <w:tcW w:w="1701" w:type="dxa"/>
          </w:tcPr>
          <w:p w14:paraId="281E3DDA" w14:textId="77777777" w:rsidR="00491210" w:rsidRPr="00D62F1C" w:rsidRDefault="00EE200C" w:rsidP="00BD1CCD">
            <w:pPr>
              <w:tabs>
                <w:tab w:val="decimal" w:pos="851"/>
              </w:tabs>
              <w:spacing w:after="60"/>
              <w:jc w:val="center"/>
            </w:pPr>
            <w:r w:rsidRPr="00FD5032">
              <w:t>16</w:t>
            </w:r>
          </w:p>
        </w:tc>
        <w:tc>
          <w:tcPr>
            <w:tcW w:w="1701" w:type="dxa"/>
          </w:tcPr>
          <w:p w14:paraId="2B379190" w14:textId="77777777" w:rsidR="00491210" w:rsidRDefault="00EE200C" w:rsidP="00BD1CCD">
            <w:pPr>
              <w:tabs>
                <w:tab w:val="decimal" w:pos="851"/>
              </w:tabs>
              <w:spacing w:after="60"/>
              <w:jc w:val="center"/>
            </w:pPr>
            <w:r w:rsidRPr="00FD5032">
              <w:t>8</w:t>
            </w:r>
          </w:p>
        </w:tc>
        <w:tc>
          <w:tcPr>
            <w:tcW w:w="1701" w:type="dxa"/>
          </w:tcPr>
          <w:p w14:paraId="0DD81217" w14:textId="77777777" w:rsidR="00491210" w:rsidRDefault="00EE200C" w:rsidP="00BD1CCD">
            <w:pPr>
              <w:tabs>
                <w:tab w:val="decimal" w:pos="851"/>
              </w:tabs>
              <w:spacing w:after="60"/>
              <w:jc w:val="center"/>
            </w:pPr>
            <w:r w:rsidRPr="00354EE5">
              <w:t>38</w:t>
            </w:r>
          </w:p>
        </w:tc>
      </w:tr>
      <w:tr w:rsidR="0083166E" w14:paraId="1F83226B" w14:textId="77777777" w:rsidTr="00584576">
        <w:tc>
          <w:tcPr>
            <w:tcW w:w="0" w:type="auto"/>
            <w:vMerge/>
            <w:tcBorders>
              <w:top w:val="nil"/>
            </w:tcBorders>
          </w:tcPr>
          <w:p w14:paraId="265E9CBA" w14:textId="77777777" w:rsidR="00491210" w:rsidRPr="4D1BBAA5" w:rsidRDefault="00491210" w:rsidP="00BD1CCD">
            <w:pPr>
              <w:spacing w:after="60"/>
              <w:jc w:val="center"/>
              <w:rPr>
                <w:b/>
                <w:bCs/>
              </w:rPr>
            </w:pPr>
          </w:p>
        </w:tc>
        <w:tc>
          <w:tcPr>
            <w:tcW w:w="0" w:type="auto"/>
            <w:vMerge/>
          </w:tcPr>
          <w:p w14:paraId="16AF52D4" w14:textId="77777777" w:rsidR="00491210" w:rsidRPr="00EF34A3" w:rsidRDefault="00491210" w:rsidP="00BD1CCD">
            <w:pPr>
              <w:spacing w:after="60"/>
              <w:jc w:val="center"/>
              <w:rPr>
                <w:color w:val="000000"/>
                <w:szCs w:val="20"/>
                <w:lang w:eastAsia="en-AU"/>
              </w:rPr>
            </w:pPr>
          </w:p>
        </w:tc>
        <w:tc>
          <w:tcPr>
            <w:tcW w:w="1622" w:type="dxa"/>
          </w:tcPr>
          <w:p w14:paraId="5F095EE3"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3</w:t>
            </w:r>
          </w:p>
        </w:tc>
        <w:tc>
          <w:tcPr>
            <w:tcW w:w="1701" w:type="dxa"/>
          </w:tcPr>
          <w:p w14:paraId="058A1C6F" w14:textId="77777777" w:rsidR="00491210" w:rsidRPr="00D62F1C" w:rsidRDefault="00EE200C" w:rsidP="00BD1CCD">
            <w:pPr>
              <w:tabs>
                <w:tab w:val="decimal" w:pos="851"/>
              </w:tabs>
              <w:spacing w:after="60"/>
              <w:jc w:val="center"/>
            </w:pPr>
            <w:r w:rsidRPr="00FD5032">
              <w:t>26</w:t>
            </w:r>
          </w:p>
        </w:tc>
        <w:tc>
          <w:tcPr>
            <w:tcW w:w="1701" w:type="dxa"/>
          </w:tcPr>
          <w:p w14:paraId="1E718C5E" w14:textId="77777777" w:rsidR="00491210" w:rsidRDefault="00EE200C" w:rsidP="00BD1CCD">
            <w:pPr>
              <w:tabs>
                <w:tab w:val="decimal" w:pos="851"/>
              </w:tabs>
              <w:spacing w:after="60"/>
              <w:jc w:val="center"/>
            </w:pPr>
            <w:r w:rsidRPr="00FD5032">
              <w:t>8</w:t>
            </w:r>
          </w:p>
        </w:tc>
        <w:tc>
          <w:tcPr>
            <w:tcW w:w="1701" w:type="dxa"/>
          </w:tcPr>
          <w:p w14:paraId="0522B4EA" w14:textId="77777777" w:rsidR="00491210" w:rsidRDefault="00EE200C" w:rsidP="00BD1CCD">
            <w:pPr>
              <w:tabs>
                <w:tab w:val="decimal" w:pos="851"/>
              </w:tabs>
              <w:spacing w:after="60"/>
              <w:jc w:val="center"/>
            </w:pPr>
            <w:r w:rsidRPr="00354EE5">
              <w:t>28</w:t>
            </w:r>
          </w:p>
        </w:tc>
      </w:tr>
      <w:tr w:rsidR="0083166E" w14:paraId="433DECC1" w14:textId="77777777" w:rsidTr="00584576">
        <w:tc>
          <w:tcPr>
            <w:tcW w:w="0" w:type="auto"/>
            <w:vMerge/>
            <w:tcBorders>
              <w:top w:val="nil"/>
              <w:bottom w:val="thinThickMediumGap" w:sz="24" w:space="0" w:color="00B2A9" w:themeColor="accent1"/>
            </w:tcBorders>
          </w:tcPr>
          <w:p w14:paraId="04CC1933" w14:textId="77777777" w:rsidR="00491210" w:rsidRPr="4D1BBAA5" w:rsidRDefault="00491210" w:rsidP="00BD1CCD">
            <w:pPr>
              <w:spacing w:after="60"/>
              <w:jc w:val="center"/>
              <w:rPr>
                <w:b/>
                <w:bCs/>
              </w:rPr>
            </w:pPr>
          </w:p>
        </w:tc>
        <w:tc>
          <w:tcPr>
            <w:tcW w:w="0" w:type="auto"/>
            <w:vMerge/>
            <w:tcBorders>
              <w:bottom w:val="thinThickMediumGap" w:sz="24" w:space="0" w:color="00B2A9" w:themeColor="accent1"/>
            </w:tcBorders>
          </w:tcPr>
          <w:p w14:paraId="24EF6117" w14:textId="77777777" w:rsidR="00491210" w:rsidRPr="00EF34A3" w:rsidRDefault="00491210" w:rsidP="00BD1CCD">
            <w:pPr>
              <w:spacing w:after="60"/>
              <w:jc w:val="center"/>
              <w:rPr>
                <w:color w:val="000000"/>
                <w:szCs w:val="20"/>
                <w:lang w:eastAsia="en-AU"/>
              </w:rPr>
            </w:pPr>
          </w:p>
        </w:tc>
        <w:tc>
          <w:tcPr>
            <w:tcW w:w="1622" w:type="dxa"/>
            <w:tcBorders>
              <w:bottom w:val="thinThickMediumGap" w:sz="24" w:space="0" w:color="00B2A9" w:themeColor="accent1"/>
            </w:tcBorders>
          </w:tcPr>
          <w:p w14:paraId="0E6C859A"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4</w:t>
            </w:r>
          </w:p>
        </w:tc>
        <w:tc>
          <w:tcPr>
            <w:tcW w:w="1701" w:type="dxa"/>
            <w:tcBorders>
              <w:bottom w:val="thinThickMediumGap" w:sz="24" w:space="0" w:color="00B2A9" w:themeColor="accent1"/>
            </w:tcBorders>
          </w:tcPr>
          <w:p w14:paraId="744E1B0A" w14:textId="77777777" w:rsidR="00491210" w:rsidRPr="00D62F1C" w:rsidRDefault="00EE200C" w:rsidP="00BD1CCD">
            <w:pPr>
              <w:tabs>
                <w:tab w:val="decimal" w:pos="851"/>
              </w:tabs>
              <w:spacing w:after="60"/>
              <w:jc w:val="center"/>
            </w:pPr>
            <w:r w:rsidRPr="00FD5032">
              <w:t>34</w:t>
            </w:r>
          </w:p>
        </w:tc>
        <w:tc>
          <w:tcPr>
            <w:tcW w:w="1701" w:type="dxa"/>
            <w:tcBorders>
              <w:bottom w:val="thinThickMediumGap" w:sz="24" w:space="0" w:color="00B2A9" w:themeColor="accent1"/>
            </w:tcBorders>
          </w:tcPr>
          <w:p w14:paraId="73705461" w14:textId="77777777" w:rsidR="00491210" w:rsidRDefault="00EE200C" w:rsidP="00BD1CCD">
            <w:pPr>
              <w:tabs>
                <w:tab w:val="decimal" w:pos="851"/>
              </w:tabs>
              <w:spacing w:after="60"/>
              <w:jc w:val="center"/>
            </w:pPr>
            <w:r w:rsidRPr="00FD5032">
              <w:t>31</w:t>
            </w:r>
          </w:p>
        </w:tc>
        <w:tc>
          <w:tcPr>
            <w:tcW w:w="1701" w:type="dxa"/>
            <w:tcBorders>
              <w:bottom w:val="thinThickMediumGap" w:sz="24" w:space="0" w:color="00B2A9" w:themeColor="accent1"/>
            </w:tcBorders>
          </w:tcPr>
          <w:p w14:paraId="3761EFEB" w14:textId="77777777" w:rsidR="00491210" w:rsidRDefault="00EE200C" w:rsidP="00BD1CCD">
            <w:pPr>
              <w:tabs>
                <w:tab w:val="decimal" w:pos="851"/>
              </w:tabs>
              <w:spacing w:after="60"/>
              <w:jc w:val="center"/>
            </w:pPr>
            <w:r w:rsidRPr="00354EE5">
              <w:t>43</w:t>
            </w:r>
          </w:p>
        </w:tc>
      </w:tr>
      <w:tr w:rsidR="0083166E" w14:paraId="256B9112" w14:textId="77777777" w:rsidTr="00584576">
        <w:tc>
          <w:tcPr>
            <w:tcW w:w="0" w:type="auto"/>
            <w:vMerge w:val="restart"/>
            <w:tcBorders>
              <w:top w:val="thinThickMediumGap" w:sz="24" w:space="0" w:color="00B2A9" w:themeColor="accent1"/>
            </w:tcBorders>
          </w:tcPr>
          <w:p w14:paraId="39B06E8C" w14:textId="77777777" w:rsidR="00491210" w:rsidRDefault="00EE200C" w:rsidP="00BD1CCD">
            <w:pPr>
              <w:spacing w:after="60"/>
              <w:jc w:val="center"/>
              <w:rPr>
                <w:b/>
                <w:bCs/>
              </w:rPr>
            </w:pPr>
            <w:r w:rsidRPr="4D1BBAA5">
              <w:rPr>
                <w:b/>
                <w:bCs/>
              </w:rPr>
              <w:t>Murray Cod</w:t>
            </w:r>
          </w:p>
        </w:tc>
        <w:tc>
          <w:tcPr>
            <w:tcW w:w="0" w:type="auto"/>
            <w:vMerge w:val="restart"/>
            <w:tcBorders>
              <w:top w:val="thinThickMediumGap" w:sz="24" w:space="0" w:color="00B2A9" w:themeColor="accent1"/>
            </w:tcBorders>
          </w:tcPr>
          <w:p w14:paraId="408DC0CF" w14:textId="77777777" w:rsidR="00491210" w:rsidRPr="00EF34A3" w:rsidRDefault="00EE200C" w:rsidP="00BD1CCD">
            <w:pPr>
              <w:spacing w:after="60"/>
              <w:jc w:val="center"/>
              <w:rPr>
                <w:color w:val="000000"/>
                <w:szCs w:val="20"/>
                <w:lang w:eastAsia="en-AU"/>
              </w:rPr>
            </w:pPr>
            <w:r w:rsidRPr="3FC79A6E">
              <w:rPr>
                <w:color w:val="000000"/>
                <w:lang w:eastAsia="en-AU"/>
              </w:rPr>
              <w:t xml:space="preserve">Total RRCP </w:t>
            </w:r>
            <w:r>
              <w:rPr>
                <w:color w:val="000000"/>
                <w:lang w:eastAsia="en-AU"/>
              </w:rPr>
              <w:t>Populations*</w:t>
            </w:r>
          </w:p>
        </w:tc>
        <w:tc>
          <w:tcPr>
            <w:tcW w:w="1622" w:type="dxa"/>
            <w:tcBorders>
              <w:top w:val="thinThickMediumGap" w:sz="24" w:space="0" w:color="00B2A9" w:themeColor="accent1"/>
            </w:tcBorders>
          </w:tcPr>
          <w:p w14:paraId="192A97C6" w14:textId="77777777" w:rsidR="00491210" w:rsidRPr="00EF34A3" w:rsidRDefault="00EE200C" w:rsidP="00BD1CCD">
            <w:pPr>
              <w:spacing w:after="60"/>
              <w:jc w:val="center"/>
              <w:rPr>
                <w:szCs w:val="20"/>
              </w:rPr>
            </w:pPr>
            <w:r w:rsidRPr="00EF34A3">
              <w:rPr>
                <w:color w:val="000000"/>
                <w:szCs w:val="20"/>
                <w:lang w:eastAsia="en-AU"/>
              </w:rPr>
              <w:t>Option 1</w:t>
            </w:r>
          </w:p>
        </w:tc>
        <w:tc>
          <w:tcPr>
            <w:tcW w:w="1701" w:type="dxa"/>
            <w:tcBorders>
              <w:top w:val="thinThickMediumGap" w:sz="24" w:space="0" w:color="00B2A9" w:themeColor="accent1"/>
            </w:tcBorders>
          </w:tcPr>
          <w:p w14:paraId="120D40DA" w14:textId="77777777" w:rsidR="00491210" w:rsidRDefault="00EE200C" w:rsidP="00BD1CCD">
            <w:pPr>
              <w:tabs>
                <w:tab w:val="decimal" w:pos="851"/>
              </w:tabs>
              <w:spacing w:after="60"/>
              <w:jc w:val="center"/>
            </w:pPr>
            <w:r w:rsidRPr="00D62F1C">
              <w:t>0</w:t>
            </w:r>
          </w:p>
        </w:tc>
        <w:tc>
          <w:tcPr>
            <w:tcW w:w="1701" w:type="dxa"/>
            <w:tcBorders>
              <w:top w:val="thinThickMediumGap" w:sz="24" w:space="0" w:color="00B2A9" w:themeColor="accent1"/>
            </w:tcBorders>
          </w:tcPr>
          <w:p w14:paraId="217DAE55" w14:textId="77777777" w:rsidR="00491210" w:rsidRDefault="00EE200C" w:rsidP="00BD1CCD">
            <w:pPr>
              <w:tabs>
                <w:tab w:val="decimal" w:pos="851"/>
              </w:tabs>
              <w:spacing w:after="60"/>
              <w:jc w:val="center"/>
            </w:pPr>
            <w:r>
              <w:t>1</w:t>
            </w:r>
          </w:p>
        </w:tc>
        <w:tc>
          <w:tcPr>
            <w:tcW w:w="1701" w:type="dxa"/>
            <w:tcBorders>
              <w:top w:val="thinThickMediumGap" w:sz="24" w:space="0" w:color="00B2A9" w:themeColor="accent1"/>
            </w:tcBorders>
          </w:tcPr>
          <w:p w14:paraId="6D95C320" w14:textId="77777777" w:rsidR="00491210" w:rsidRDefault="00EE200C" w:rsidP="00BD1CCD">
            <w:pPr>
              <w:tabs>
                <w:tab w:val="decimal" w:pos="851"/>
              </w:tabs>
              <w:spacing w:after="60"/>
              <w:jc w:val="center"/>
            </w:pPr>
            <w:r>
              <w:t>1</w:t>
            </w:r>
          </w:p>
        </w:tc>
      </w:tr>
      <w:tr w:rsidR="0083166E" w14:paraId="79AA5E54" w14:textId="77777777" w:rsidTr="00584576">
        <w:tc>
          <w:tcPr>
            <w:tcW w:w="0" w:type="auto"/>
            <w:vMerge/>
          </w:tcPr>
          <w:p w14:paraId="2AA92F7D" w14:textId="77777777" w:rsidR="00491210" w:rsidRDefault="00491210" w:rsidP="00BD1CCD">
            <w:pPr>
              <w:spacing w:after="60"/>
              <w:jc w:val="center"/>
            </w:pPr>
          </w:p>
        </w:tc>
        <w:tc>
          <w:tcPr>
            <w:tcW w:w="0" w:type="auto"/>
            <w:vMerge/>
          </w:tcPr>
          <w:p w14:paraId="378FA0FB" w14:textId="77777777" w:rsidR="00491210" w:rsidRPr="00EF34A3" w:rsidRDefault="00491210" w:rsidP="00BD1CCD">
            <w:pPr>
              <w:spacing w:after="60"/>
              <w:jc w:val="center"/>
              <w:rPr>
                <w:color w:val="000000"/>
                <w:szCs w:val="20"/>
                <w:lang w:eastAsia="en-AU"/>
              </w:rPr>
            </w:pPr>
          </w:p>
        </w:tc>
        <w:tc>
          <w:tcPr>
            <w:tcW w:w="1622" w:type="dxa"/>
            <w:tcBorders>
              <w:bottom w:val="single" w:sz="4" w:space="0" w:color="00B2A9" w:themeColor="accent1"/>
            </w:tcBorders>
          </w:tcPr>
          <w:p w14:paraId="1C1F9D78" w14:textId="77777777" w:rsidR="00491210" w:rsidRPr="00EF34A3" w:rsidRDefault="00EE200C" w:rsidP="00BD1CCD">
            <w:pPr>
              <w:spacing w:after="60"/>
              <w:jc w:val="center"/>
              <w:rPr>
                <w:szCs w:val="20"/>
              </w:rPr>
            </w:pPr>
            <w:r w:rsidRPr="00EF34A3">
              <w:rPr>
                <w:color w:val="000000"/>
                <w:szCs w:val="20"/>
                <w:lang w:eastAsia="en-AU"/>
              </w:rPr>
              <w:t>Option 2</w:t>
            </w:r>
          </w:p>
        </w:tc>
        <w:tc>
          <w:tcPr>
            <w:tcW w:w="1701" w:type="dxa"/>
            <w:tcBorders>
              <w:bottom w:val="single" w:sz="4" w:space="0" w:color="00B2A9" w:themeColor="accent1"/>
            </w:tcBorders>
          </w:tcPr>
          <w:p w14:paraId="03E8C7BC" w14:textId="77777777" w:rsidR="00491210" w:rsidRDefault="00EE200C" w:rsidP="00BD1CCD">
            <w:pPr>
              <w:tabs>
                <w:tab w:val="decimal" w:pos="851"/>
              </w:tabs>
              <w:spacing w:after="60"/>
              <w:jc w:val="center"/>
            </w:pPr>
            <w:r w:rsidRPr="00D62F1C">
              <w:t>0</w:t>
            </w:r>
          </w:p>
        </w:tc>
        <w:tc>
          <w:tcPr>
            <w:tcW w:w="1701" w:type="dxa"/>
            <w:tcBorders>
              <w:bottom w:val="single" w:sz="4" w:space="0" w:color="00B2A9" w:themeColor="accent1"/>
            </w:tcBorders>
          </w:tcPr>
          <w:p w14:paraId="1443212F" w14:textId="77777777" w:rsidR="00491210" w:rsidRDefault="00EE200C" w:rsidP="00BD1CCD">
            <w:pPr>
              <w:tabs>
                <w:tab w:val="decimal" w:pos="851"/>
              </w:tabs>
              <w:spacing w:after="60"/>
              <w:jc w:val="center"/>
            </w:pPr>
            <w:r>
              <w:t>1</w:t>
            </w:r>
          </w:p>
        </w:tc>
        <w:tc>
          <w:tcPr>
            <w:tcW w:w="1701" w:type="dxa"/>
            <w:tcBorders>
              <w:bottom w:val="single" w:sz="4" w:space="0" w:color="00B2A9" w:themeColor="accent1"/>
            </w:tcBorders>
          </w:tcPr>
          <w:p w14:paraId="6E5CD027" w14:textId="77777777" w:rsidR="00491210" w:rsidRDefault="00EE200C" w:rsidP="00BD1CCD">
            <w:pPr>
              <w:tabs>
                <w:tab w:val="decimal" w:pos="851"/>
              </w:tabs>
              <w:spacing w:after="60"/>
              <w:jc w:val="center"/>
            </w:pPr>
            <w:r>
              <w:t>2</w:t>
            </w:r>
          </w:p>
        </w:tc>
      </w:tr>
      <w:tr w:rsidR="0083166E" w14:paraId="4AE68D90" w14:textId="77777777" w:rsidTr="00584576">
        <w:tc>
          <w:tcPr>
            <w:tcW w:w="0" w:type="auto"/>
            <w:vMerge/>
          </w:tcPr>
          <w:p w14:paraId="17F1A797" w14:textId="77777777" w:rsidR="00491210" w:rsidRDefault="00491210" w:rsidP="00BD1CCD">
            <w:pPr>
              <w:spacing w:after="60"/>
              <w:jc w:val="center"/>
            </w:pPr>
          </w:p>
        </w:tc>
        <w:tc>
          <w:tcPr>
            <w:tcW w:w="0" w:type="auto"/>
            <w:vMerge/>
          </w:tcPr>
          <w:p w14:paraId="2CB71510" w14:textId="77777777" w:rsidR="00491210" w:rsidRPr="00EF34A3" w:rsidRDefault="00491210" w:rsidP="00BD1CCD">
            <w:pPr>
              <w:spacing w:after="60"/>
              <w:jc w:val="center"/>
              <w:rPr>
                <w:color w:val="000000"/>
                <w:szCs w:val="20"/>
                <w:lang w:eastAsia="en-AU"/>
              </w:rPr>
            </w:pPr>
          </w:p>
        </w:tc>
        <w:tc>
          <w:tcPr>
            <w:tcW w:w="1622" w:type="dxa"/>
            <w:tcBorders>
              <w:top w:val="single" w:sz="4" w:space="0" w:color="00B2A9" w:themeColor="accent1"/>
            </w:tcBorders>
          </w:tcPr>
          <w:p w14:paraId="06AFCC0D" w14:textId="77777777" w:rsidR="00491210" w:rsidRPr="00EF34A3" w:rsidRDefault="00EE200C" w:rsidP="00BD1CCD">
            <w:pPr>
              <w:spacing w:after="60"/>
              <w:jc w:val="center"/>
              <w:rPr>
                <w:szCs w:val="20"/>
              </w:rPr>
            </w:pPr>
            <w:r w:rsidRPr="00EF34A3">
              <w:rPr>
                <w:color w:val="000000"/>
                <w:szCs w:val="20"/>
                <w:lang w:eastAsia="en-AU"/>
              </w:rPr>
              <w:t>Option 3</w:t>
            </w:r>
          </w:p>
        </w:tc>
        <w:tc>
          <w:tcPr>
            <w:tcW w:w="1701" w:type="dxa"/>
            <w:tcBorders>
              <w:top w:val="single" w:sz="4" w:space="0" w:color="00B2A9" w:themeColor="accent1"/>
            </w:tcBorders>
          </w:tcPr>
          <w:p w14:paraId="2133BBE8" w14:textId="77777777" w:rsidR="00491210" w:rsidRDefault="00EE200C" w:rsidP="00BD1CCD">
            <w:pPr>
              <w:tabs>
                <w:tab w:val="decimal" w:pos="851"/>
              </w:tabs>
              <w:spacing w:after="60"/>
              <w:jc w:val="center"/>
            </w:pPr>
            <w:r w:rsidRPr="00D62F1C">
              <w:t>0</w:t>
            </w:r>
          </w:p>
        </w:tc>
        <w:tc>
          <w:tcPr>
            <w:tcW w:w="1701" w:type="dxa"/>
            <w:tcBorders>
              <w:top w:val="single" w:sz="4" w:space="0" w:color="00B2A9" w:themeColor="accent1"/>
            </w:tcBorders>
          </w:tcPr>
          <w:p w14:paraId="58BC7B10" w14:textId="77777777" w:rsidR="00491210" w:rsidRDefault="00EE200C" w:rsidP="00BD1CCD">
            <w:pPr>
              <w:tabs>
                <w:tab w:val="decimal" w:pos="851"/>
              </w:tabs>
              <w:spacing w:after="60"/>
              <w:jc w:val="center"/>
            </w:pPr>
            <w:r>
              <w:t>0</w:t>
            </w:r>
          </w:p>
        </w:tc>
        <w:tc>
          <w:tcPr>
            <w:tcW w:w="1701" w:type="dxa"/>
            <w:tcBorders>
              <w:top w:val="single" w:sz="4" w:space="0" w:color="00B2A9" w:themeColor="accent1"/>
            </w:tcBorders>
          </w:tcPr>
          <w:p w14:paraId="51C9EF1A" w14:textId="77777777" w:rsidR="00491210" w:rsidRDefault="00EE200C" w:rsidP="00BD1CCD">
            <w:pPr>
              <w:tabs>
                <w:tab w:val="decimal" w:pos="851"/>
              </w:tabs>
              <w:spacing w:after="60"/>
              <w:jc w:val="center"/>
            </w:pPr>
            <w:r>
              <w:t>0</w:t>
            </w:r>
          </w:p>
        </w:tc>
      </w:tr>
      <w:tr w:rsidR="0083166E" w14:paraId="02A3263E" w14:textId="77777777" w:rsidTr="00584576">
        <w:tc>
          <w:tcPr>
            <w:tcW w:w="0" w:type="auto"/>
            <w:vMerge/>
            <w:tcBorders>
              <w:bottom w:val="double" w:sz="4" w:space="0" w:color="00B2A9" w:themeColor="accent1"/>
            </w:tcBorders>
          </w:tcPr>
          <w:p w14:paraId="09D1B458" w14:textId="77777777" w:rsidR="00491210" w:rsidRDefault="00491210" w:rsidP="00BD1CCD">
            <w:pPr>
              <w:spacing w:after="60"/>
              <w:jc w:val="center"/>
            </w:pPr>
          </w:p>
        </w:tc>
        <w:tc>
          <w:tcPr>
            <w:tcW w:w="0" w:type="auto"/>
            <w:vMerge/>
            <w:tcBorders>
              <w:bottom w:val="double" w:sz="4" w:space="0" w:color="00B2A9" w:themeColor="accent1"/>
            </w:tcBorders>
          </w:tcPr>
          <w:p w14:paraId="4D003E14" w14:textId="77777777" w:rsidR="00491210" w:rsidRPr="00EF34A3" w:rsidRDefault="00491210" w:rsidP="00BD1CCD">
            <w:pPr>
              <w:spacing w:after="60"/>
              <w:jc w:val="center"/>
              <w:rPr>
                <w:color w:val="000000"/>
                <w:szCs w:val="20"/>
                <w:lang w:eastAsia="en-AU"/>
              </w:rPr>
            </w:pPr>
          </w:p>
        </w:tc>
        <w:tc>
          <w:tcPr>
            <w:tcW w:w="1622" w:type="dxa"/>
            <w:tcBorders>
              <w:bottom w:val="double" w:sz="4" w:space="0" w:color="00B2A9" w:themeColor="accent1"/>
            </w:tcBorders>
          </w:tcPr>
          <w:p w14:paraId="1D5A6241" w14:textId="77777777" w:rsidR="00491210" w:rsidRPr="00EF34A3" w:rsidRDefault="00EE200C" w:rsidP="00BD1CCD">
            <w:pPr>
              <w:spacing w:after="60"/>
              <w:jc w:val="center"/>
              <w:rPr>
                <w:szCs w:val="20"/>
              </w:rPr>
            </w:pPr>
            <w:r w:rsidRPr="00EF34A3">
              <w:rPr>
                <w:color w:val="000000"/>
                <w:szCs w:val="20"/>
                <w:lang w:eastAsia="en-AU"/>
              </w:rPr>
              <w:t>Option 4</w:t>
            </w:r>
          </w:p>
        </w:tc>
        <w:tc>
          <w:tcPr>
            <w:tcW w:w="1701" w:type="dxa"/>
            <w:tcBorders>
              <w:bottom w:val="double" w:sz="4" w:space="0" w:color="00B2A9" w:themeColor="accent1"/>
            </w:tcBorders>
          </w:tcPr>
          <w:p w14:paraId="2F781B0D" w14:textId="77777777" w:rsidR="00491210" w:rsidRDefault="00EE200C" w:rsidP="00BD1CCD">
            <w:pPr>
              <w:tabs>
                <w:tab w:val="decimal" w:pos="851"/>
              </w:tabs>
              <w:spacing w:after="60"/>
              <w:jc w:val="center"/>
            </w:pPr>
            <w:r>
              <w:t>0</w:t>
            </w:r>
          </w:p>
        </w:tc>
        <w:tc>
          <w:tcPr>
            <w:tcW w:w="1701" w:type="dxa"/>
            <w:tcBorders>
              <w:bottom w:val="double" w:sz="4" w:space="0" w:color="00B2A9" w:themeColor="accent1"/>
            </w:tcBorders>
          </w:tcPr>
          <w:p w14:paraId="2DB2877B" w14:textId="77777777" w:rsidR="00491210" w:rsidRDefault="00EE200C" w:rsidP="00BD1CCD">
            <w:pPr>
              <w:tabs>
                <w:tab w:val="decimal" w:pos="851"/>
              </w:tabs>
              <w:spacing w:after="60"/>
              <w:jc w:val="center"/>
            </w:pPr>
            <w:r>
              <w:t>1</w:t>
            </w:r>
          </w:p>
        </w:tc>
        <w:tc>
          <w:tcPr>
            <w:tcW w:w="1701" w:type="dxa"/>
            <w:tcBorders>
              <w:bottom w:val="double" w:sz="4" w:space="0" w:color="00B2A9" w:themeColor="accent1"/>
            </w:tcBorders>
          </w:tcPr>
          <w:p w14:paraId="350457A5" w14:textId="77777777" w:rsidR="00491210" w:rsidRDefault="00EE200C" w:rsidP="00BD1CCD">
            <w:pPr>
              <w:tabs>
                <w:tab w:val="decimal" w:pos="851"/>
              </w:tabs>
              <w:spacing w:after="60"/>
              <w:jc w:val="center"/>
            </w:pPr>
            <w:r>
              <w:t>1</w:t>
            </w:r>
          </w:p>
        </w:tc>
      </w:tr>
      <w:tr w:rsidR="0083166E" w14:paraId="5EACE0BB" w14:textId="77777777" w:rsidTr="00584576">
        <w:tc>
          <w:tcPr>
            <w:tcW w:w="0" w:type="auto"/>
            <w:vMerge w:val="restart"/>
            <w:tcBorders>
              <w:top w:val="double" w:sz="4" w:space="0" w:color="00B2A9" w:themeColor="accent1"/>
            </w:tcBorders>
          </w:tcPr>
          <w:p w14:paraId="47FECF12" w14:textId="77777777" w:rsidR="00491210" w:rsidRDefault="00491210" w:rsidP="00BD1CCD">
            <w:pPr>
              <w:spacing w:after="60"/>
              <w:jc w:val="center"/>
            </w:pPr>
          </w:p>
        </w:tc>
        <w:tc>
          <w:tcPr>
            <w:tcW w:w="0" w:type="auto"/>
            <w:vMerge w:val="restart"/>
            <w:tcBorders>
              <w:top w:val="double" w:sz="4" w:space="0" w:color="00B2A9" w:themeColor="accent1"/>
            </w:tcBorders>
          </w:tcPr>
          <w:p w14:paraId="155AC860" w14:textId="77777777" w:rsidR="00491210" w:rsidRDefault="00EE200C" w:rsidP="00BD1CCD">
            <w:pPr>
              <w:spacing w:after="60"/>
              <w:jc w:val="center"/>
              <w:rPr>
                <w:color w:val="000000"/>
                <w:szCs w:val="20"/>
                <w:lang w:eastAsia="en-AU"/>
              </w:rPr>
            </w:pPr>
            <w:r>
              <w:rPr>
                <w:color w:val="000000"/>
                <w:szCs w:val="20"/>
                <w:lang w:eastAsia="en-AU"/>
              </w:rPr>
              <w:t>Murray River</w:t>
            </w:r>
          </w:p>
        </w:tc>
        <w:tc>
          <w:tcPr>
            <w:tcW w:w="1622" w:type="dxa"/>
            <w:tcBorders>
              <w:top w:val="double" w:sz="4" w:space="0" w:color="00B2A9" w:themeColor="accent1"/>
            </w:tcBorders>
          </w:tcPr>
          <w:p w14:paraId="56C5C565"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1</w:t>
            </w:r>
          </w:p>
        </w:tc>
        <w:tc>
          <w:tcPr>
            <w:tcW w:w="1701" w:type="dxa"/>
            <w:tcBorders>
              <w:top w:val="double" w:sz="4" w:space="0" w:color="00B2A9" w:themeColor="accent1"/>
            </w:tcBorders>
          </w:tcPr>
          <w:p w14:paraId="7C328835" w14:textId="77777777" w:rsidR="00491210" w:rsidRDefault="00EE200C" w:rsidP="00BD1CCD">
            <w:pPr>
              <w:tabs>
                <w:tab w:val="decimal" w:pos="851"/>
              </w:tabs>
              <w:spacing w:after="60"/>
              <w:jc w:val="center"/>
            </w:pPr>
            <w:r w:rsidRPr="00262C80">
              <w:t>1</w:t>
            </w:r>
          </w:p>
        </w:tc>
        <w:tc>
          <w:tcPr>
            <w:tcW w:w="1701" w:type="dxa"/>
            <w:tcBorders>
              <w:top w:val="double" w:sz="4" w:space="0" w:color="00B2A9" w:themeColor="accent1"/>
            </w:tcBorders>
          </w:tcPr>
          <w:p w14:paraId="39A05543" w14:textId="77777777" w:rsidR="00491210" w:rsidRDefault="00EE200C" w:rsidP="00BD1CCD">
            <w:pPr>
              <w:tabs>
                <w:tab w:val="decimal" w:pos="851"/>
              </w:tabs>
              <w:spacing w:after="60"/>
              <w:jc w:val="center"/>
            </w:pPr>
            <w:r w:rsidRPr="00262C80">
              <w:t>2</w:t>
            </w:r>
          </w:p>
        </w:tc>
        <w:tc>
          <w:tcPr>
            <w:tcW w:w="1701" w:type="dxa"/>
            <w:tcBorders>
              <w:top w:val="double" w:sz="4" w:space="0" w:color="00B2A9" w:themeColor="accent1"/>
            </w:tcBorders>
          </w:tcPr>
          <w:p w14:paraId="56F3B67E" w14:textId="77777777" w:rsidR="00491210" w:rsidRDefault="00EE200C" w:rsidP="00BD1CCD">
            <w:pPr>
              <w:tabs>
                <w:tab w:val="decimal" w:pos="851"/>
              </w:tabs>
              <w:spacing w:after="60"/>
              <w:jc w:val="center"/>
            </w:pPr>
            <w:r w:rsidRPr="00262C80">
              <w:t>2</w:t>
            </w:r>
          </w:p>
        </w:tc>
      </w:tr>
      <w:tr w:rsidR="0083166E" w14:paraId="4396A5FB" w14:textId="77777777" w:rsidTr="00584576">
        <w:tc>
          <w:tcPr>
            <w:tcW w:w="0" w:type="auto"/>
            <w:vMerge/>
          </w:tcPr>
          <w:p w14:paraId="2936416C" w14:textId="77777777" w:rsidR="00491210" w:rsidRDefault="00491210" w:rsidP="00BD1CCD">
            <w:pPr>
              <w:spacing w:after="60"/>
              <w:jc w:val="center"/>
            </w:pPr>
          </w:p>
        </w:tc>
        <w:tc>
          <w:tcPr>
            <w:tcW w:w="0" w:type="auto"/>
            <w:vMerge/>
          </w:tcPr>
          <w:p w14:paraId="21789DC2" w14:textId="77777777" w:rsidR="00491210" w:rsidRDefault="00491210" w:rsidP="00BD1CCD">
            <w:pPr>
              <w:spacing w:after="60"/>
              <w:jc w:val="center"/>
              <w:rPr>
                <w:color w:val="000000"/>
                <w:szCs w:val="20"/>
                <w:lang w:eastAsia="en-AU"/>
              </w:rPr>
            </w:pPr>
          </w:p>
        </w:tc>
        <w:tc>
          <w:tcPr>
            <w:tcW w:w="1622" w:type="dxa"/>
          </w:tcPr>
          <w:p w14:paraId="2B48E6EE"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2</w:t>
            </w:r>
          </w:p>
        </w:tc>
        <w:tc>
          <w:tcPr>
            <w:tcW w:w="1701" w:type="dxa"/>
          </w:tcPr>
          <w:p w14:paraId="26D00EEE" w14:textId="77777777" w:rsidR="00491210" w:rsidRDefault="00EE200C" w:rsidP="00BD1CCD">
            <w:pPr>
              <w:tabs>
                <w:tab w:val="decimal" w:pos="851"/>
              </w:tabs>
              <w:spacing w:after="60"/>
              <w:jc w:val="center"/>
            </w:pPr>
            <w:r w:rsidRPr="00262C80">
              <w:t>1</w:t>
            </w:r>
          </w:p>
        </w:tc>
        <w:tc>
          <w:tcPr>
            <w:tcW w:w="1701" w:type="dxa"/>
          </w:tcPr>
          <w:p w14:paraId="16D98B78" w14:textId="77777777" w:rsidR="00491210" w:rsidRDefault="00EE200C" w:rsidP="00BD1CCD">
            <w:pPr>
              <w:tabs>
                <w:tab w:val="decimal" w:pos="851"/>
              </w:tabs>
              <w:spacing w:after="60"/>
              <w:jc w:val="center"/>
            </w:pPr>
            <w:r w:rsidRPr="00262C80">
              <w:t>2</w:t>
            </w:r>
          </w:p>
        </w:tc>
        <w:tc>
          <w:tcPr>
            <w:tcW w:w="1701" w:type="dxa"/>
          </w:tcPr>
          <w:p w14:paraId="32C82741" w14:textId="77777777" w:rsidR="00491210" w:rsidRDefault="00EE200C" w:rsidP="00BD1CCD">
            <w:pPr>
              <w:tabs>
                <w:tab w:val="decimal" w:pos="851"/>
              </w:tabs>
              <w:spacing w:after="60"/>
              <w:jc w:val="center"/>
            </w:pPr>
            <w:r w:rsidRPr="00262C80">
              <w:t>2</w:t>
            </w:r>
          </w:p>
        </w:tc>
      </w:tr>
      <w:tr w:rsidR="0083166E" w14:paraId="4E0B3E24" w14:textId="77777777" w:rsidTr="00584576">
        <w:tc>
          <w:tcPr>
            <w:tcW w:w="0" w:type="auto"/>
            <w:vMerge/>
          </w:tcPr>
          <w:p w14:paraId="056A5EF6" w14:textId="77777777" w:rsidR="00491210" w:rsidRDefault="00491210" w:rsidP="00BD1CCD">
            <w:pPr>
              <w:spacing w:after="60"/>
              <w:jc w:val="center"/>
            </w:pPr>
          </w:p>
        </w:tc>
        <w:tc>
          <w:tcPr>
            <w:tcW w:w="0" w:type="auto"/>
            <w:vMerge/>
          </w:tcPr>
          <w:p w14:paraId="5CC9AF80" w14:textId="77777777" w:rsidR="00491210" w:rsidRDefault="00491210" w:rsidP="00BD1CCD">
            <w:pPr>
              <w:spacing w:after="60"/>
              <w:jc w:val="center"/>
              <w:rPr>
                <w:color w:val="000000"/>
                <w:szCs w:val="20"/>
                <w:lang w:eastAsia="en-AU"/>
              </w:rPr>
            </w:pPr>
          </w:p>
        </w:tc>
        <w:tc>
          <w:tcPr>
            <w:tcW w:w="1622" w:type="dxa"/>
          </w:tcPr>
          <w:p w14:paraId="405E9AD1"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3</w:t>
            </w:r>
          </w:p>
        </w:tc>
        <w:tc>
          <w:tcPr>
            <w:tcW w:w="1701" w:type="dxa"/>
          </w:tcPr>
          <w:p w14:paraId="08660B30" w14:textId="77777777" w:rsidR="00491210" w:rsidRDefault="00EE200C" w:rsidP="00BD1CCD">
            <w:pPr>
              <w:tabs>
                <w:tab w:val="decimal" w:pos="851"/>
              </w:tabs>
              <w:spacing w:after="60"/>
              <w:jc w:val="center"/>
            </w:pPr>
            <w:r w:rsidRPr="00262C80">
              <w:t>0</w:t>
            </w:r>
          </w:p>
        </w:tc>
        <w:tc>
          <w:tcPr>
            <w:tcW w:w="1701" w:type="dxa"/>
          </w:tcPr>
          <w:p w14:paraId="4DC7D9F2" w14:textId="77777777" w:rsidR="00491210" w:rsidRDefault="00EE200C" w:rsidP="00BD1CCD">
            <w:pPr>
              <w:tabs>
                <w:tab w:val="decimal" w:pos="851"/>
              </w:tabs>
              <w:spacing w:after="60"/>
              <w:jc w:val="center"/>
            </w:pPr>
            <w:r>
              <w:t>0</w:t>
            </w:r>
          </w:p>
        </w:tc>
        <w:tc>
          <w:tcPr>
            <w:tcW w:w="1701" w:type="dxa"/>
          </w:tcPr>
          <w:p w14:paraId="07010AE2" w14:textId="77777777" w:rsidR="00491210" w:rsidRDefault="00EE200C" w:rsidP="00BD1CCD">
            <w:pPr>
              <w:tabs>
                <w:tab w:val="decimal" w:pos="851"/>
              </w:tabs>
              <w:spacing w:after="60"/>
              <w:jc w:val="center"/>
            </w:pPr>
            <w:r w:rsidRPr="00262C80">
              <w:t>1</w:t>
            </w:r>
          </w:p>
        </w:tc>
      </w:tr>
      <w:tr w:rsidR="0083166E" w14:paraId="0EB4A2E9" w14:textId="77777777" w:rsidTr="00584576">
        <w:tc>
          <w:tcPr>
            <w:tcW w:w="0" w:type="auto"/>
            <w:vMerge/>
          </w:tcPr>
          <w:p w14:paraId="205BD434" w14:textId="77777777" w:rsidR="00491210" w:rsidRDefault="00491210" w:rsidP="00BD1CCD">
            <w:pPr>
              <w:spacing w:after="60"/>
              <w:jc w:val="center"/>
            </w:pPr>
          </w:p>
        </w:tc>
        <w:tc>
          <w:tcPr>
            <w:tcW w:w="0" w:type="auto"/>
            <w:vMerge/>
            <w:tcBorders>
              <w:bottom w:val="double" w:sz="4" w:space="0" w:color="00B2A9" w:themeColor="accent1"/>
            </w:tcBorders>
          </w:tcPr>
          <w:p w14:paraId="7DE8A2A8" w14:textId="77777777" w:rsidR="00491210" w:rsidRDefault="00491210" w:rsidP="00BD1CCD">
            <w:pPr>
              <w:spacing w:after="60"/>
              <w:jc w:val="center"/>
              <w:rPr>
                <w:color w:val="000000"/>
                <w:szCs w:val="20"/>
                <w:lang w:eastAsia="en-AU"/>
              </w:rPr>
            </w:pPr>
          </w:p>
        </w:tc>
        <w:tc>
          <w:tcPr>
            <w:tcW w:w="1622" w:type="dxa"/>
            <w:tcBorders>
              <w:bottom w:val="double" w:sz="4" w:space="0" w:color="00B2A9" w:themeColor="accent1"/>
            </w:tcBorders>
          </w:tcPr>
          <w:p w14:paraId="60B50A14"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4</w:t>
            </w:r>
          </w:p>
        </w:tc>
        <w:tc>
          <w:tcPr>
            <w:tcW w:w="1701" w:type="dxa"/>
            <w:tcBorders>
              <w:bottom w:val="double" w:sz="4" w:space="0" w:color="00B2A9" w:themeColor="accent1"/>
            </w:tcBorders>
          </w:tcPr>
          <w:p w14:paraId="1C5095A2" w14:textId="77777777" w:rsidR="00491210" w:rsidRDefault="00EE200C" w:rsidP="00BD1CCD">
            <w:pPr>
              <w:tabs>
                <w:tab w:val="decimal" w:pos="851"/>
              </w:tabs>
              <w:spacing w:after="60"/>
              <w:jc w:val="center"/>
            </w:pPr>
            <w:r w:rsidRPr="00262C80">
              <w:t>0</w:t>
            </w:r>
          </w:p>
        </w:tc>
        <w:tc>
          <w:tcPr>
            <w:tcW w:w="1701" w:type="dxa"/>
            <w:tcBorders>
              <w:bottom w:val="double" w:sz="4" w:space="0" w:color="00B2A9" w:themeColor="accent1"/>
            </w:tcBorders>
          </w:tcPr>
          <w:p w14:paraId="5A891EB3" w14:textId="77777777" w:rsidR="00491210" w:rsidRDefault="00EE200C" w:rsidP="00BD1CCD">
            <w:pPr>
              <w:tabs>
                <w:tab w:val="decimal" w:pos="851"/>
              </w:tabs>
              <w:spacing w:after="60"/>
              <w:jc w:val="center"/>
            </w:pPr>
            <w:r w:rsidRPr="00262C80">
              <w:t>2</w:t>
            </w:r>
          </w:p>
        </w:tc>
        <w:tc>
          <w:tcPr>
            <w:tcW w:w="1701" w:type="dxa"/>
            <w:tcBorders>
              <w:bottom w:val="double" w:sz="4" w:space="0" w:color="00B2A9" w:themeColor="accent1"/>
            </w:tcBorders>
          </w:tcPr>
          <w:p w14:paraId="596B915E" w14:textId="77777777" w:rsidR="00491210" w:rsidRDefault="00EE200C" w:rsidP="00BD1CCD">
            <w:pPr>
              <w:tabs>
                <w:tab w:val="decimal" w:pos="851"/>
              </w:tabs>
              <w:spacing w:after="60"/>
              <w:jc w:val="center"/>
            </w:pPr>
            <w:r w:rsidRPr="00262C80">
              <w:t>2</w:t>
            </w:r>
          </w:p>
        </w:tc>
      </w:tr>
      <w:tr w:rsidR="0083166E" w14:paraId="551651DE" w14:textId="77777777" w:rsidTr="00584576">
        <w:tc>
          <w:tcPr>
            <w:tcW w:w="0" w:type="auto"/>
            <w:vMerge/>
          </w:tcPr>
          <w:p w14:paraId="42DA7D5E" w14:textId="77777777" w:rsidR="00491210" w:rsidRDefault="00491210" w:rsidP="00BD1CCD">
            <w:pPr>
              <w:spacing w:after="60"/>
              <w:jc w:val="center"/>
            </w:pPr>
          </w:p>
        </w:tc>
        <w:tc>
          <w:tcPr>
            <w:tcW w:w="0" w:type="auto"/>
            <w:vMerge w:val="restart"/>
            <w:tcBorders>
              <w:top w:val="double" w:sz="4" w:space="0" w:color="00B2A9" w:themeColor="accent1"/>
            </w:tcBorders>
          </w:tcPr>
          <w:p w14:paraId="530845E1" w14:textId="77777777" w:rsidR="00491210" w:rsidRDefault="00EE200C" w:rsidP="00BD1CCD">
            <w:pPr>
              <w:spacing w:after="60"/>
              <w:jc w:val="center"/>
              <w:rPr>
                <w:color w:val="000000"/>
                <w:szCs w:val="20"/>
                <w:lang w:eastAsia="en-AU"/>
              </w:rPr>
            </w:pPr>
            <w:r>
              <w:rPr>
                <w:color w:val="000000"/>
                <w:szCs w:val="20"/>
                <w:lang w:eastAsia="en-AU"/>
              </w:rPr>
              <w:t>Murrumbidgee River</w:t>
            </w:r>
          </w:p>
        </w:tc>
        <w:tc>
          <w:tcPr>
            <w:tcW w:w="1622" w:type="dxa"/>
            <w:tcBorders>
              <w:top w:val="double" w:sz="4" w:space="0" w:color="00B2A9" w:themeColor="accent1"/>
            </w:tcBorders>
          </w:tcPr>
          <w:p w14:paraId="7F6DB48E"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1</w:t>
            </w:r>
          </w:p>
        </w:tc>
        <w:tc>
          <w:tcPr>
            <w:tcW w:w="1701" w:type="dxa"/>
            <w:tcBorders>
              <w:top w:val="double" w:sz="4" w:space="0" w:color="00B2A9" w:themeColor="accent1"/>
            </w:tcBorders>
          </w:tcPr>
          <w:p w14:paraId="2EB4BA67" w14:textId="77777777" w:rsidR="00491210" w:rsidRDefault="00EE200C" w:rsidP="00BD1CCD">
            <w:pPr>
              <w:tabs>
                <w:tab w:val="decimal" w:pos="851"/>
              </w:tabs>
              <w:spacing w:after="60"/>
              <w:jc w:val="center"/>
            </w:pPr>
            <w:r w:rsidRPr="00262C80">
              <w:t>0</w:t>
            </w:r>
          </w:p>
        </w:tc>
        <w:tc>
          <w:tcPr>
            <w:tcW w:w="1701" w:type="dxa"/>
            <w:tcBorders>
              <w:top w:val="double" w:sz="4" w:space="0" w:color="00B2A9" w:themeColor="accent1"/>
            </w:tcBorders>
          </w:tcPr>
          <w:p w14:paraId="665FBCFC" w14:textId="77777777" w:rsidR="00491210" w:rsidRDefault="00EE200C" w:rsidP="00BD1CCD">
            <w:pPr>
              <w:tabs>
                <w:tab w:val="decimal" w:pos="851"/>
              </w:tabs>
              <w:spacing w:after="60"/>
              <w:jc w:val="center"/>
            </w:pPr>
            <w:r w:rsidRPr="00262C80">
              <w:t>0</w:t>
            </w:r>
          </w:p>
        </w:tc>
        <w:tc>
          <w:tcPr>
            <w:tcW w:w="1701" w:type="dxa"/>
            <w:tcBorders>
              <w:top w:val="double" w:sz="4" w:space="0" w:color="00B2A9" w:themeColor="accent1"/>
            </w:tcBorders>
          </w:tcPr>
          <w:p w14:paraId="01E1F8E6" w14:textId="77777777" w:rsidR="00491210" w:rsidRDefault="00EE200C" w:rsidP="00BD1CCD">
            <w:pPr>
              <w:tabs>
                <w:tab w:val="decimal" w:pos="851"/>
              </w:tabs>
              <w:spacing w:after="60"/>
              <w:jc w:val="center"/>
            </w:pPr>
            <w:r>
              <w:t>–</w:t>
            </w:r>
            <w:r w:rsidRPr="00262C80">
              <w:t>2</w:t>
            </w:r>
          </w:p>
        </w:tc>
      </w:tr>
      <w:tr w:rsidR="0083166E" w14:paraId="6035201D" w14:textId="77777777" w:rsidTr="00584576">
        <w:tc>
          <w:tcPr>
            <w:tcW w:w="0" w:type="auto"/>
            <w:vMerge/>
          </w:tcPr>
          <w:p w14:paraId="544F81F9" w14:textId="77777777" w:rsidR="00491210" w:rsidRDefault="00491210" w:rsidP="00BD1CCD">
            <w:pPr>
              <w:spacing w:after="60"/>
              <w:jc w:val="center"/>
            </w:pPr>
          </w:p>
        </w:tc>
        <w:tc>
          <w:tcPr>
            <w:tcW w:w="0" w:type="auto"/>
            <w:vMerge/>
          </w:tcPr>
          <w:p w14:paraId="093A1383" w14:textId="77777777" w:rsidR="00491210" w:rsidRDefault="00491210" w:rsidP="00BD1CCD">
            <w:pPr>
              <w:spacing w:after="60"/>
              <w:jc w:val="center"/>
              <w:rPr>
                <w:color w:val="000000"/>
                <w:szCs w:val="20"/>
                <w:lang w:eastAsia="en-AU"/>
              </w:rPr>
            </w:pPr>
          </w:p>
        </w:tc>
        <w:tc>
          <w:tcPr>
            <w:tcW w:w="1622" w:type="dxa"/>
          </w:tcPr>
          <w:p w14:paraId="140B4B34"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2</w:t>
            </w:r>
          </w:p>
        </w:tc>
        <w:tc>
          <w:tcPr>
            <w:tcW w:w="1701" w:type="dxa"/>
          </w:tcPr>
          <w:p w14:paraId="1050CFBA" w14:textId="77777777" w:rsidR="00491210" w:rsidRDefault="00EE200C" w:rsidP="00BD1CCD">
            <w:pPr>
              <w:tabs>
                <w:tab w:val="decimal" w:pos="851"/>
              </w:tabs>
              <w:spacing w:after="60"/>
              <w:jc w:val="center"/>
            </w:pPr>
            <w:r w:rsidRPr="00262C80">
              <w:t>0</w:t>
            </w:r>
          </w:p>
        </w:tc>
        <w:tc>
          <w:tcPr>
            <w:tcW w:w="1701" w:type="dxa"/>
          </w:tcPr>
          <w:p w14:paraId="073DD124" w14:textId="77777777" w:rsidR="00491210" w:rsidRDefault="00EE200C" w:rsidP="00BD1CCD">
            <w:pPr>
              <w:tabs>
                <w:tab w:val="decimal" w:pos="851"/>
              </w:tabs>
              <w:spacing w:after="60"/>
              <w:jc w:val="center"/>
            </w:pPr>
            <w:r w:rsidRPr="00262C80">
              <w:t>0</w:t>
            </w:r>
          </w:p>
        </w:tc>
        <w:tc>
          <w:tcPr>
            <w:tcW w:w="1701" w:type="dxa"/>
          </w:tcPr>
          <w:p w14:paraId="698CF8E4" w14:textId="77777777" w:rsidR="00491210" w:rsidRDefault="00EE200C" w:rsidP="00BD1CCD">
            <w:pPr>
              <w:tabs>
                <w:tab w:val="decimal" w:pos="851"/>
              </w:tabs>
              <w:spacing w:after="60"/>
              <w:jc w:val="center"/>
            </w:pPr>
            <w:r>
              <w:t>–</w:t>
            </w:r>
            <w:r w:rsidRPr="00262C80">
              <w:t>3</w:t>
            </w:r>
          </w:p>
        </w:tc>
      </w:tr>
      <w:tr w:rsidR="0083166E" w14:paraId="3AA30A0C" w14:textId="77777777" w:rsidTr="00584576">
        <w:tc>
          <w:tcPr>
            <w:tcW w:w="0" w:type="auto"/>
            <w:vMerge/>
          </w:tcPr>
          <w:p w14:paraId="711DD7D7" w14:textId="77777777" w:rsidR="00491210" w:rsidRDefault="00491210" w:rsidP="00BD1CCD">
            <w:pPr>
              <w:spacing w:after="60"/>
              <w:jc w:val="center"/>
            </w:pPr>
          </w:p>
        </w:tc>
        <w:tc>
          <w:tcPr>
            <w:tcW w:w="0" w:type="auto"/>
            <w:vMerge/>
          </w:tcPr>
          <w:p w14:paraId="20EE551C" w14:textId="77777777" w:rsidR="00491210" w:rsidRDefault="00491210" w:rsidP="00BD1CCD">
            <w:pPr>
              <w:spacing w:after="60"/>
              <w:jc w:val="center"/>
              <w:rPr>
                <w:color w:val="000000"/>
                <w:szCs w:val="20"/>
                <w:lang w:eastAsia="en-AU"/>
              </w:rPr>
            </w:pPr>
          </w:p>
        </w:tc>
        <w:tc>
          <w:tcPr>
            <w:tcW w:w="1622" w:type="dxa"/>
          </w:tcPr>
          <w:p w14:paraId="7243CC57"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3</w:t>
            </w:r>
          </w:p>
        </w:tc>
        <w:tc>
          <w:tcPr>
            <w:tcW w:w="1701" w:type="dxa"/>
          </w:tcPr>
          <w:p w14:paraId="2E031626" w14:textId="77777777" w:rsidR="00491210" w:rsidRDefault="00EE200C" w:rsidP="00BD1CCD">
            <w:pPr>
              <w:tabs>
                <w:tab w:val="decimal" w:pos="851"/>
              </w:tabs>
              <w:spacing w:after="60"/>
              <w:jc w:val="center"/>
            </w:pPr>
            <w:r w:rsidRPr="00262C80">
              <w:t>0</w:t>
            </w:r>
          </w:p>
        </w:tc>
        <w:tc>
          <w:tcPr>
            <w:tcW w:w="1701" w:type="dxa"/>
          </w:tcPr>
          <w:p w14:paraId="4775830D" w14:textId="77777777" w:rsidR="00491210" w:rsidRDefault="00EE200C" w:rsidP="00BD1CCD">
            <w:pPr>
              <w:tabs>
                <w:tab w:val="decimal" w:pos="851"/>
              </w:tabs>
              <w:spacing w:after="60"/>
              <w:jc w:val="center"/>
            </w:pPr>
            <w:r>
              <w:t>–</w:t>
            </w:r>
            <w:r w:rsidRPr="00262C80">
              <w:t>2</w:t>
            </w:r>
          </w:p>
        </w:tc>
        <w:tc>
          <w:tcPr>
            <w:tcW w:w="1701" w:type="dxa"/>
          </w:tcPr>
          <w:p w14:paraId="02315BFF" w14:textId="77777777" w:rsidR="00491210" w:rsidRDefault="00EE200C" w:rsidP="00BD1CCD">
            <w:pPr>
              <w:tabs>
                <w:tab w:val="decimal" w:pos="851"/>
              </w:tabs>
              <w:spacing w:after="60"/>
              <w:jc w:val="center"/>
            </w:pPr>
            <w:r>
              <w:t>–1</w:t>
            </w:r>
          </w:p>
        </w:tc>
      </w:tr>
      <w:tr w:rsidR="0083166E" w14:paraId="4173C4E3" w14:textId="77777777" w:rsidTr="00584576">
        <w:trPr>
          <w:trHeight w:val="221"/>
        </w:trPr>
        <w:tc>
          <w:tcPr>
            <w:tcW w:w="0" w:type="auto"/>
            <w:vMerge/>
          </w:tcPr>
          <w:p w14:paraId="1BC541FC" w14:textId="77777777" w:rsidR="00491210" w:rsidRDefault="00491210" w:rsidP="00BD1CCD">
            <w:pPr>
              <w:spacing w:after="60"/>
              <w:jc w:val="center"/>
            </w:pPr>
          </w:p>
        </w:tc>
        <w:tc>
          <w:tcPr>
            <w:tcW w:w="0" w:type="auto"/>
            <w:vMerge/>
          </w:tcPr>
          <w:p w14:paraId="79811FEF" w14:textId="77777777" w:rsidR="00491210" w:rsidRDefault="00491210" w:rsidP="00BD1CCD">
            <w:pPr>
              <w:spacing w:after="60"/>
              <w:jc w:val="center"/>
              <w:rPr>
                <w:color w:val="000000"/>
                <w:szCs w:val="20"/>
                <w:lang w:eastAsia="en-AU"/>
              </w:rPr>
            </w:pPr>
          </w:p>
        </w:tc>
        <w:tc>
          <w:tcPr>
            <w:tcW w:w="1622" w:type="dxa"/>
          </w:tcPr>
          <w:p w14:paraId="69B30749" w14:textId="77777777" w:rsidR="00491210" w:rsidRPr="00EF34A3" w:rsidRDefault="00EE200C" w:rsidP="00BD1CCD">
            <w:pPr>
              <w:spacing w:after="60"/>
              <w:jc w:val="center"/>
              <w:rPr>
                <w:color w:val="000000"/>
                <w:szCs w:val="20"/>
                <w:lang w:eastAsia="en-AU"/>
              </w:rPr>
            </w:pPr>
            <w:r w:rsidRPr="00EF34A3">
              <w:rPr>
                <w:color w:val="000000"/>
                <w:szCs w:val="20"/>
                <w:lang w:eastAsia="en-AU"/>
              </w:rPr>
              <w:t>Option 4</w:t>
            </w:r>
          </w:p>
        </w:tc>
        <w:tc>
          <w:tcPr>
            <w:tcW w:w="1701" w:type="dxa"/>
          </w:tcPr>
          <w:p w14:paraId="142B7847" w14:textId="77777777" w:rsidR="00491210" w:rsidRDefault="00EE200C" w:rsidP="00BD1CCD">
            <w:pPr>
              <w:tabs>
                <w:tab w:val="decimal" w:pos="851"/>
              </w:tabs>
              <w:spacing w:after="60"/>
              <w:jc w:val="center"/>
            </w:pPr>
            <w:r w:rsidRPr="00262C80">
              <w:t>0</w:t>
            </w:r>
          </w:p>
        </w:tc>
        <w:tc>
          <w:tcPr>
            <w:tcW w:w="1701" w:type="dxa"/>
          </w:tcPr>
          <w:p w14:paraId="62B1FFD3" w14:textId="77777777" w:rsidR="00491210" w:rsidRDefault="00EE200C" w:rsidP="00BD1CCD">
            <w:pPr>
              <w:tabs>
                <w:tab w:val="decimal" w:pos="851"/>
              </w:tabs>
              <w:spacing w:after="60"/>
              <w:jc w:val="center"/>
            </w:pPr>
            <w:r>
              <w:t>–</w:t>
            </w:r>
            <w:r w:rsidRPr="00262C80">
              <w:t>2</w:t>
            </w:r>
          </w:p>
        </w:tc>
        <w:tc>
          <w:tcPr>
            <w:tcW w:w="1701" w:type="dxa"/>
          </w:tcPr>
          <w:p w14:paraId="61B03F28" w14:textId="77777777" w:rsidR="00491210" w:rsidRDefault="00EE200C" w:rsidP="00BD1CCD">
            <w:pPr>
              <w:tabs>
                <w:tab w:val="decimal" w:pos="851"/>
              </w:tabs>
              <w:spacing w:after="60"/>
              <w:jc w:val="center"/>
            </w:pPr>
            <w:r>
              <w:t>–1</w:t>
            </w:r>
          </w:p>
        </w:tc>
      </w:tr>
    </w:tbl>
    <w:p w14:paraId="11550CC3" w14:textId="77777777" w:rsidR="00491210" w:rsidRDefault="00EE200C" w:rsidP="0083166E">
      <w:pPr>
        <w:rPr>
          <w:rStyle w:val="eop"/>
          <w:color w:val="000000"/>
        </w:rPr>
      </w:pPr>
      <w:r>
        <w:rPr>
          <w:rStyle w:val="eop"/>
          <w:color w:val="000000"/>
        </w:rPr>
        <w:t>*</w:t>
      </w:r>
      <w:r w:rsidRPr="00A85A89">
        <w:rPr>
          <w:rStyle w:val="eop"/>
          <w:color w:val="000000"/>
        </w:rPr>
        <w:t>Total RRCP Populations define</w:t>
      </w:r>
      <w:r>
        <w:rPr>
          <w:rStyle w:val="eop"/>
          <w:color w:val="000000"/>
        </w:rPr>
        <w:t>d</w:t>
      </w:r>
      <w:r w:rsidRPr="00A85A89">
        <w:rPr>
          <w:rStyle w:val="eop"/>
          <w:color w:val="000000"/>
        </w:rPr>
        <w:t xml:space="preserve"> </w:t>
      </w:r>
      <w:r>
        <w:rPr>
          <w:rStyle w:val="eop"/>
          <w:color w:val="000000"/>
        </w:rPr>
        <w:t xml:space="preserve">as </w:t>
      </w:r>
      <w:r w:rsidRPr="00A85A89">
        <w:rPr>
          <w:rStyle w:val="eop"/>
          <w:color w:val="000000"/>
        </w:rPr>
        <w:t xml:space="preserve">the RRCP focal zones </w:t>
      </w:r>
      <w:r>
        <w:rPr>
          <w:rStyle w:val="eop"/>
          <w:color w:val="000000"/>
        </w:rPr>
        <w:t>and</w:t>
      </w:r>
      <w:r w:rsidRPr="00A85A89">
        <w:rPr>
          <w:rStyle w:val="eop"/>
          <w:color w:val="000000"/>
        </w:rPr>
        <w:t xml:space="preserve"> Wakool </w:t>
      </w:r>
      <w:r>
        <w:rPr>
          <w:rStyle w:val="eop"/>
          <w:color w:val="000000"/>
        </w:rPr>
        <w:t>Junction</w:t>
      </w:r>
      <w:r w:rsidRPr="00A85A89">
        <w:rPr>
          <w:rStyle w:val="eop"/>
          <w:color w:val="000000"/>
        </w:rPr>
        <w:t xml:space="preserve"> to Wentworth</w:t>
      </w:r>
      <w:r>
        <w:rPr>
          <w:rStyle w:val="eop"/>
          <w:color w:val="000000"/>
        </w:rPr>
        <w:t>.</w:t>
      </w:r>
    </w:p>
    <w:p w14:paraId="39B36CE8" w14:textId="759C5F0B" w:rsidR="00491210" w:rsidRDefault="00491210" w:rsidP="00E11D7A">
      <w:pPr>
        <w:spacing w:before="240" w:after="240"/>
        <w:ind w:left="-100"/>
        <w:jc w:val="both"/>
        <w:rPr>
          <w:color w:val="000000"/>
          <w:sz w:val="22"/>
          <w:szCs w:val="22"/>
          <w:lang w:eastAsia="en-AU"/>
        </w:rPr>
      </w:pPr>
    </w:p>
    <w:p w14:paraId="0AF72D06" w14:textId="77777777" w:rsidR="00491210" w:rsidRDefault="00491210" w:rsidP="00E11D7A">
      <w:pPr>
        <w:spacing w:before="240" w:after="240"/>
        <w:ind w:left="-100"/>
        <w:jc w:val="both"/>
        <w:rPr>
          <w:color w:val="000000"/>
          <w:sz w:val="22"/>
          <w:szCs w:val="22"/>
          <w:lang w:eastAsia="en-AU"/>
        </w:rPr>
      </w:pPr>
    </w:p>
    <w:p w14:paraId="2DA8353A" w14:textId="1ABFEFF4" w:rsidR="00491210" w:rsidRPr="00A253F6" w:rsidRDefault="00EE200C" w:rsidP="00BD1CCD">
      <w:pPr>
        <w:pStyle w:val="AppendixTableCaption"/>
      </w:pPr>
      <w:r>
        <w:t>Table A3.</w:t>
      </w:r>
      <w:fldSimple w:instr=" SEQ Table_Apx \* ARABIC \s 0 ">
        <w:r w:rsidR="005B672A">
          <w:rPr>
            <w:noProof/>
          </w:rPr>
          <w:t>2</w:t>
        </w:r>
      </w:fldSimple>
      <w:r>
        <w:t xml:space="preserve">. Summarised outputs from all trajectories of the population modelling for Golden Perch and Murray Cod populations across the </w:t>
      </w:r>
      <w:r w:rsidRPr="00915A3A">
        <w:t>Total RRCP Populations</w:t>
      </w:r>
      <w:r>
        <w:t xml:space="preserve"> (inclusive to Wentworth) under the various relaxed-flow-constraints scenarios, Options 1–4. The mean, quantile and minimum value differences are calculated from all trajectories.</w:t>
      </w:r>
    </w:p>
    <w:tbl>
      <w:tblPr>
        <w:tblStyle w:val="DELWPTable"/>
        <w:tblW w:w="0" w:type="auto"/>
        <w:tblLook w:val="06A0" w:firstRow="1" w:lastRow="0" w:firstColumn="1" w:lastColumn="0" w:noHBand="1" w:noVBand="1"/>
      </w:tblPr>
      <w:tblGrid>
        <w:gridCol w:w="1131"/>
        <w:gridCol w:w="1675"/>
        <w:gridCol w:w="1622"/>
        <w:gridCol w:w="1701"/>
        <w:gridCol w:w="1701"/>
        <w:gridCol w:w="1701"/>
      </w:tblGrid>
      <w:tr w:rsidR="00BD1CCD" w14:paraId="64B2BF82" w14:textId="77777777" w:rsidTr="00CA2A2D">
        <w:trPr>
          <w:cnfStyle w:val="100000000000" w:firstRow="1" w:lastRow="0" w:firstColumn="0" w:lastColumn="0" w:oddVBand="0" w:evenVBand="0" w:oddHBand="0" w:evenHBand="0" w:firstRowFirstColumn="0" w:firstRowLastColumn="0" w:lastRowFirstColumn="0" w:lastRowLastColumn="0"/>
        </w:trPr>
        <w:tc>
          <w:tcPr>
            <w:tcW w:w="0" w:type="auto"/>
            <w:vMerge w:val="restart"/>
          </w:tcPr>
          <w:p w14:paraId="290EC624" w14:textId="77777777" w:rsidR="00491210" w:rsidRPr="00CA3B41" w:rsidRDefault="00EE200C" w:rsidP="00CA2A2D">
            <w:pPr>
              <w:rPr>
                <w:b/>
                <w:bCs/>
                <w:color w:val="FFFFFF" w:themeColor="background1"/>
                <w:sz w:val="22"/>
                <w:szCs w:val="22"/>
              </w:rPr>
            </w:pPr>
            <w:r w:rsidRPr="00CA3B41">
              <w:rPr>
                <w:b/>
                <w:bCs/>
                <w:color w:val="FFFFFF" w:themeColor="background1"/>
                <w:sz w:val="22"/>
                <w:szCs w:val="22"/>
              </w:rPr>
              <w:t>Species</w:t>
            </w:r>
          </w:p>
        </w:tc>
        <w:tc>
          <w:tcPr>
            <w:tcW w:w="0" w:type="auto"/>
            <w:vMerge w:val="restart"/>
          </w:tcPr>
          <w:p w14:paraId="36D42546" w14:textId="77777777" w:rsidR="00491210" w:rsidRPr="00CA3B41" w:rsidRDefault="00EE200C" w:rsidP="00CA2A2D">
            <w:pPr>
              <w:jc w:val="center"/>
              <w:rPr>
                <w:b/>
                <w:bCs/>
                <w:color w:val="FFFFFF" w:themeColor="background1"/>
                <w:sz w:val="22"/>
                <w:szCs w:val="22"/>
              </w:rPr>
            </w:pPr>
            <w:r w:rsidRPr="00CA3B41">
              <w:rPr>
                <w:b/>
                <w:bCs/>
                <w:color w:val="FFFFFF" w:themeColor="background1"/>
                <w:sz w:val="22"/>
                <w:szCs w:val="22"/>
              </w:rPr>
              <w:t>Catchment</w:t>
            </w:r>
          </w:p>
        </w:tc>
        <w:tc>
          <w:tcPr>
            <w:tcW w:w="1622" w:type="dxa"/>
            <w:vMerge w:val="restart"/>
          </w:tcPr>
          <w:p w14:paraId="03A6D23D" w14:textId="77777777" w:rsidR="00491210" w:rsidRPr="00CA3B41" w:rsidRDefault="00EE200C" w:rsidP="00CA2A2D">
            <w:pPr>
              <w:jc w:val="center"/>
              <w:rPr>
                <w:b/>
                <w:bCs/>
                <w:color w:val="FFFFFF" w:themeColor="background1"/>
                <w:sz w:val="22"/>
                <w:szCs w:val="22"/>
              </w:rPr>
            </w:pPr>
            <w:r w:rsidRPr="00CA3B41">
              <w:rPr>
                <w:b/>
                <w:bCs/>
                <w:color w:val="FFFFFF" w:themeColor="background1"/>
                <w:sz w:val="22"/>
                <w:szCs w:val="22"/>
              </w:rPr>
              <w:t>Relaxed-flow-constraints scenario</w:t>
            </w:r>
          </w:p>
        </w:tc>
        <w:tc>
          <w:tcPr>
            <w:tcW w:w="5103" w:type="dxa"/>
            <w:gridSpan w:val="3"/>
            <w:tcBorders>
              <w:bottom w:val="single" w:sz="4" w:space="0" w:color="FFFFFF" w:themeColor="background1"/>
            </w:tcBorders>
          </w:tcPr>
          <w:p w14:paraId="31DC1F8A" w14:textId="77777777" w:rsidR="00491210" w:rsidRPr="00CA3B41" w:rsidRDefault="00EE200C" w:rsidP="00CA2A2D">
            <w:pPr>
              <w:jc w:val="center"/>
              <w:rPr>
                <w:b/>
                <w:bCs/>
                <w:color w:val="FFFFFF" w:themeColor="background1"/>
                <w:sz w:val="22"/>
                <w:szCs w:val="22"/>
              </w:rPr>
            </w:pPr>
            <w:r w:rsidRPr="00CA3B41">
              <w:rPr>
                <w:b/>
                <w:bCs/>
                <w:color w:val="FFFFFF" w:themeColor="background1"/>
                <w:sz w:val="22"/>
                <w:szCs w:val="22"/>
              </w:rPr>
              <w:t>% difference from the Base case in</w:t>
            </w:r>
            <w:r>
              <w:rPr>
                <w:b/>
                <w:bCs/>
                <w:color w:val="FFFFFF" w:themeColor="background1"/>
                <w:sz w:val="22"/>
                <w:szCs w:val="22"/>
              </w:rPr>
              <w:t xml:space="preserve"> the expected value of:</w:t>
            </w:r>
          </w:p>
        </w:tc>
      </w:tr>
      <w:tr w:rsidR="00BD1CCD" w:rsidRPr="00E86B73" w14:paraId="26EC2561" w14:textId="77777777" w:rsidTr="00CA2A2D">
        <w:tc>
          <w:tcPr>
            <w:tcW w:w="0" w:type="auto"/>
            <w:vMerge/>
            <w:tcBorders>
              <w:bottom w:val="single" w:sz="4" w:space="0" w:color="00B2A9" w:themeColor="accent1"/>
            </w:tcBorders>
            <w:shd w:val="clear" w:color="auto" w:fill="00B2A9" w:themeFill="accent1"/>
          </w:tcPr>
          <w:p w14:paraId="3869B7EB" w14:textId="77777777" w:rsidR="00491210" w:rsidRPr="00CA3B41" w:rsidRDefault="00491210" w:rsidP="00CA2A2D">
            <w:pPr>
              <w:rPr>
                <w:bCs/>
                <w:color w:val="FFFFFF" w:themeColor="background1"/>
                <w:sz w:val="22"/>
                <w:szCs w:val="22"/>
              </w:rPr>
            </w:pPr>
          </w:p>
        </w:tc>
        <w:tc>
          <w:tcPr>
            <w:tcW w:w="0" w:type="auto"/>
            <w:vMerge/>
            <w:shd w:val="clear" w:color="auto" w:fill="00B2A9" w:themeFill="accent1"/>
          </w:tcPr>
          <w:p w14:paraId="4AC1761B" w14:textId="77777777" w:rsidR="00491210" w:rsidRPr="00CA3B41" w:rsidRDefault="00491210" w:rsidP="00CA2A2D">
            <w:pPr>
              <w:jc w:val="center"/>
              <w:rPr>
                <w:color w:val="FFFFFF" w:themeColor="background1"/>
                <w:sz w:val="22"/>
                <w:szCs w:val="22"/>
                <w:lang w:eastAsia="en-AU"/>
              </w:rPr>
            </w:pPr>
          </w:p>
        </w:tc>
        <w:tc>
          <w:tcPr>
            <w:tcW w:w="1622" w:type="dxa"/>
            <w:vMerge/>
            <w:shd w:val="clear" w:color="auto" w:fill="00B2A9" w:themeFill="accent1"/>
          </w:tcPr>
          <w:p w14:paraId="7ADCCB70" w14:textId="77777777" w:rsidR="00491210" w:rsidRPr="00CA3B41" w:rsidRDefault="00491210" w:rsidP="00CA2A2D">
            <w:pPr>
              <w:jc w:val="center"/>
              <w:rPr>
                <w:color w:val="FFFFFF" w:themeColor="background1"/>
                <w:sz w:val="22"/>
                <w:szCs w:val="22"/>
                <w:lang w:eastAsia="en-AU"/>
              </w:rPr>
            </w:pPr>
          </w:p>
        </w:tc>
        <w:tc>
          <w:tcPr>
            <w:tcW w:w="1701" w:type="dxa"/>
            <w:tcBorders>
              <w:top w:val="single" w:sz="4" w:space="0" w:color="FFFFFF" w:themeColor="background1"/>
            </w:tcBorders>
            <w:shd w:val="clear" w:color="auto" w:fill="00B2A9" w:themeFill="accent1"/>
          </w:tcPr>
          <w:p w14:paraId="03757B88" w14:textId="77777777" w:rsidR="00491210" w:rsidRPr="00C53F5F" w:rsidRDefault="00EE200C" w:rsidP="00CA2A2D">
            <w:pPr>
              <w:jc w:val="center"/>
              <w:rPr>
                <w:b/>
                <w:color w:val="FFFFFF" w:themeColor="background1"/>
                <w:sz w:val="22"/>
                <w:szCs w:val="22"/>
              </w:rPr>
            </w:pPr>
            <w:r w:rsidRPr="00C53F5F">
              <w:rPr>
                <w:b/>
                <w:color w:val="FFFFFF" w:themeColor="background1"/>
                <w:sz w:val="22"/>
                <w:szCs w:val="22"/>
              </w:rPr>
              <w:t>mean population size</w:t>
            </w:r>
          </w:p>
        </w:tc>
        <w:tc>
          <w:tcPr>
            <w:tcW w:w="1701" w:type="dxa"/>
            <w:tcBorders>
              <w:top w:val="single" w:sz="4" w:space="0" w:color="FFFFFF" w:themeColor="background1"/>
            </w:tcBorders>
            <w:shd w:val="clear" w:color="auto" w:fill="00B2A9" w:themeFill="accent1"/>
          </w:tcPr>
          <w:p w14:paraId="4D10BCFD" w14:textId="77777777" w:rsidR="00491210" w:rsidRPr="00C53F5F" w:rsidRDefault="00EE200C" w:rsidP="00CA2A2D">
            <w:pPr>
              <w:jc w:val="center"/>
              <w:rPr>
                <w:b/>
                <w:color w:val="FFFFFF" w:themeColor="background1"/>
                <w:sz w:val="22"/>
                <w:szCs w:val="22"/>
              </w:rPr>
            </w:pPr>
            <w:r w:rsidRPr="00C53F5F">
              <w:rPr>
                <w:b/>
                <w:color w:val="FFFFFF" w:themeColor="background1"/>
                <w:sz w:val="22"/>
                <w:szCs w:val="22"/>
              </w:rPr>
              <w:t>10% quantile population size</w:t>
            </w:r>
          </w:p>
        </w:tc>
        <w:tc>
          <w:tcPr>
            <w:tcW w:w="1701" w:type="dxa"/>
            <w:tcBorders>
              <w:top w:val="single" w:sz="4" w:space="0" w:color="FFFFFF" w:themeColor="background1"/>
            </w:tcBorders>
            <w:shd w:val="clear" w:color="auto" w:fill="00B2A9" w:themeFill="accent1"/>
          </w:tcPr>
          <w:p w14:paraId="162F12AD" w14:textId="77777777" w:rsidR="00491210" w:rsidRPr="00C53F5F" w:rsidRDefault="00EE200C" w:rsidP="00CA2A2D">
            <w:pPr>
              <w:jc w:val="center"/>
              <w:rPr>
                <w:b/>
                <w:color w:val="FFFFFF" w:themeColor="background1"/>
                <w:sz w:val="22"/>
                <w:szCs w:val="22"/>
              </w:rPr>
            </w:pPr>
            <w:r w:rsidRPr="00C53F5F">
              <w:rPr>
                <w:b/>
                <w:color w:val="FFFFFF" w:themeColor="background1"/>
                <w:sz w:val="22"/>
                <w:szCs w:val="22"/>
              </w:rPr>
              <w:t>minimum population size</w:t>
            </w:r>
          </w:p>
        </w:tc>
      </w:tr>
      <w:tr w:rsidR="002E1674" w14:paraId="06D4AE4C" w14:textId="77777777" w:rsidTr="00CA2A2D">
        <w:tc>
          <w:tcPr>
            <w:tcW w:w="0" w:type="auto"/>
            <w:vMerge w:val="restart"/>
            <w:tcBorders>
              <w:top w:val="single" w:sz="4" w:space="0" w:color="00B2A9" w:themeColor="accent1"/>
            </w:tcBorders>
          </w:tcPr>
          <w:p w14:paraId="4C62CC5C" w14:textId="77777777" w:rsidR="00491210" w:rsidRDefault="00EE200C" w:rsidP="002E1674">
            <w:pPr>
              <w:spacing w:after="60"/>
              <w:jc w:val="center"/>
              <w:rPr>
                <w:b/>
                <w:bCs/>
              </w:rPr>
            </w:pPr>
            <w:r w:rsidRPr="05D19AF3">
              <w:rPr>
                <w:b/>
                <w:bCs/>
              </w:rPr>
              <w:t>Golden Perch</w:t>
            </w:r>
          </w:p>
        </w:tc>
        <w:tc>
          <w:tcPr>
            <w:tcW w:w="0" w:type="auto"/>
            <w:vMerge w:val="restart"/>
          </w:tcPr>
          <w:p w14:paraId="0546C243" w14:textId="77777777" w:rsidR="00491210" w:rsidRPr="00EF34A3" w:rsidRDefault="00EE200C" w:rsidP="002E1674">
            <w:pPr>
              <w:spacing w:after="60"/>
              <w:jc w:val="center"/>
              <w:rPr>
                <w:color w:val="000000"/>
                <w:lang w:eastAsia="en-AU"/>
              </w:rPr>
            </w:pPr>
            <w:r w:rsidRPr="3FC79A6E">
              <w:rPr>
                <w:color w:val="000000"/>
                <w:lang w:eastAsia="en-AU"/>
              </w:rPr>
              <w:t xml:space="preserve">Total RRCP </w:t>
            </w:r>
            <w:r>
              <w:rPr>
                <w:color w:val="000000"/>
                <w:lang w:eastAsia="en-AU"/>
              </w:rPr>
              <w:t>Populations*</w:t>
            </w:r>
          </w:p>
        </w:tc>
        <w:tc>
          <w:tcPr>
            <w:tcW w:w="1622" w:type="dxa"/>
          </w:tcPr>
          <w:p w14:paraId="069739D8" w14:textId="77777777" w:rsidR="00491210" w:rsidRPr="00EF34A3" w:rsidRDefault="00EE200C" w:rsidP="002E1674">
            <w:pPr>
              <w:spacing w:after="60"/>
              <w:jc w:val="center"/>
              <w:rPr>
                <w:szCs w:val="20"/>
              </w:rPr>
            </w:pPr>
            <w:r w:rsidRPr="00EF34A3">
              <w:rPr>
                <w:color w:val="000000"/>
                <w:szCs w:val="20"/>
                <w:lang w:eastAsia="en-AU"/>
              </w:rPr>
              <w:t>Option 1</w:t>
            </w:r>
          </w:p>
        </w:tc>
        <w:tc>
          <w:tcPr>
            <w:tcW w:w="1701" w:type="dxa"/>
          </w:tcPr>
          <w:p w14:paraId="7292BB1A" w14:textId="77777777" w:rsidR="00491210" w:rsidRDefault="00EE200C" w:rsidP="002E1674">
            <w:pPr>
              <w:tabs>
                <w:tab w:val="decimal" w:pos="851"/>
              </w:tabs>
              <w:spacing w:after="60"/>
              <w:jc w:val="center"/>
            </w:pPr>
            <w:r>
              <w:t>10</w:t>
            </w:r>
          </w:p>
        </w:tc>
        <w:tc>
          <w:tcPr>
            <w:tcW w:w="1701" w:type="dxa"/>
          </w:tcPr>
          <w:p w14:paraId="0220D806" w14:textId="199B7F6F" w:rsidR="00491210" w:rsidRDefault="00EE200C" w:rsidP="002E1674">
            <w:pPr>
              <w:tabs>
                <w:tab w:val="decimal" w:pos="851"/>
              </w:tabs>
              <w:spacing w:after="60"/>
              <w:jc w:val="center"/>
            </w:pPr>
            <w:r w:rsidRPr="00BD49B5">
              <w:t>23</w:t>
            </w:r>
          </w:p>
        </w:tc>
        <w:tc>
          <w:tcPr>
            <w:tcW w:w="1701" w:type="dxa"/>
          </w:tcPr>
          <w:p w14:paraId="410C1028" w14:textId="7557D7F3" w:rsidR="00491210" w:rsidRDefault="00EE200C" w:rsidP="002E1674">
            <w:pPr>
              <w:tabs>
                <w:tab w:val="decimal" w:pos="851"/>
              </w:tabs>
              <w:spacing w:after="60"/>
              <w:jc w:val="center"/>
            </w:pPr>
            <w:r w:rsidRPr="001C2CA8">
              <w:t>23</w:t>
            </w:r>
          </w:p>
        </w:tc>
      </w:tr>
      <w:tr w:rsidR="002E1674" w14:paraId="33901A8B" w14:textId="77777777" w:rsidTr="00CA2A2D">
        <w:tc>
          <w:tcPr>
            <w:tcW w:w="0" w:type="auto"/>
            <w:vMerge/>
            <w:tcBorders>
              <w:top w:val="nil"/>
            </w:tcBorders>
          </w:tcPr>
          <w:p w14:paraId="282F42F9" w14:textId="77777777" w:rsidR="00491210" w:rsidRDefault="00491210" w:rsidP="002E1674">
            <w:pPr>
              <w:spacing w:after="60"/>
              <w:jc w:val="center"/>
            </w:pPr>
          </w:p>
        </w:tc>
        <w:tc>
          <w:tcPr>
            <w:tcW w:w="0" w:type="auto"/>
            <w:vMerge/>
          </w:tcPr>
          <w:p w14:paraId="38290820" w14:textId="77777777" w:rsidR="00491210" w:rsidRPr="00EF34A3" w:rsidRDefault="00491210" w:rsidP="002E1674">
            <w:pPr>
              <w:spacing w:after="60"/>
              <w:jc w:val="center"/>
              <w:rPr>
                <w:color w:val="000000"/>
                <w:szCs w:val="20"/>
                <w:lang w:eastAsia="en-AU"/>
              </w:rPr>
            </w:pPr>
          </w:p>
        </w:tc>
        <w:tc>
          <w:tcPr>
            <w:tcW w:w="1622" w:type="dxa"/>
          </w:tcPr>
          <w:p w14:paraId="192979E9" w14:textId="77777777" w:rsidR="00491210" w:rsidRPr="00EF34A3" w:rsidRDefault="00EE200C" w:rsidP="002E1674">
            <w:pPr>
              <w:spacing w:after="60"/>
              <w:jc w:val="center"/>
              <w:rPr>
                <w:szCs w:val="20"/>
              </w:rPr>
            </w:pPr>
            <w:r w:rsidRPr="00EF34A3">
              <w:rPr>
                <w:color w:val="000000"/>
                <w:szCs w:val="20"/>
                <w:lang w:eastAsia="en-AU"/>
              </w:rPr>
              <w:t>Option 2</w:t>
            </w:r>
          </w:p>
        </w:tc>
        <w:tc>
          <w:tcPr>
            <w:tcW w:w="1701" w:type="dxa"/>
          </w:tcPr>
          <w:p w14:paraId="6736A1A7" w14:textId="77777777" w:rsidR="00491210" w:rsidRDefault="00EE200C" w:rsidP="002E1674">
            <w:pPr>
              <w:tabs>
                <w:tab w:val="decimal" w:pos="851"/>
              </w:tabs>
              <w:spacing w:after="60"/>
              <w:jc w:val="center"/>
            </w:pPr>
            <w:r w:rsidRPr="00927D89">
              <w:t>16</w:t>
            </w:r>
          </w:p>
        </w:tc>
        <w:tc>
          <w:tcPr>
            <w:tcW w:w="1701" w:type="dxa"/>
          </w:tcPr>
          <w:p w14:paraId="35E484D8" w14:textId="7A75E92E" w:rsidR="00491210" w:rsidRDefault="00EE200C" w:rsidP="002E1674">
            <w:pPr>
              <w:tabs>
                <w:tab w:val="decimal" w:pos="851"/>
              </w:tabs>
              <w:spacing w:after="60"/>
              <w:jc w:val="center"/>
            </w:pPr>
            <w:r w:rsidRPr="00BD49B5">
              <w:t>28</w:t>
            </w:r>
          </w:p>
        </w:tc>
        <w:tc>
          <w:tcPr>
            <w:tcW w:w="1701" w:type="dxa"/>
          </w:tcPr>
          <w:p w14:paraId="1AC93201" w14:textId="367EB1A3" w:rsidR="00491210" w:rsidRDefault="00EE200C" w:rsidP="002E1674">
            <w:pPr>
              <w:tabs>
                <w:tab w:val="decimal" w:pos="851"/>
              </w:tabs>
              <w:spacing w:after="60"/>
              <w:jc w:val="center"/>
            </w:pPr>
            <w:r w:rsidRPr="001C2CA8">
              <w:t>24</w:t>
            </w:r>
          </w:p>
        </w:tc>
      </w:tr>
      <w:tr w:rsidR="002E1674" w14:paraId="39B6BEDB" w14:textId="77777777" w:rsidTr="00CA2A2D">
        <w:tc>
          <w:tcPr>
            <w:tcW w:w="0" w:type="auto"/>
            <w:vMerge/>
            <w:tcBorders>
              <w:top w:val="nil"/>
            </w:tcBorders>
          </w:tcPr>
          <w:p w14:paraId="3A571998" w14:textId="77777777" w:rsidR="00491210" w:rsidRDefault="00491210" w:rsidP="002E1674">
            <w:pPr>
              <w:spacing w:after="60"/>
              <w:jc w:val="center"/>
            </w:pPr>
          </w:p>
        </w:tc>
        <w:tc>
          <w:tcPr>
            <w:tcW w:w="0" w:type="auto"/>
            <w:vMerge/>
          </w:tcPr>
          <w:p w14:paraId="3A7DA08E" w14:textId="77777777" w:rsidR="00491210" w:rsidRPr="00EF34A3" w:rsidRDefault="00491210" w:rsidP="002E1674">
            <w:pPr>
              <w:spacing w:after="60"/>
              <w:jc w:val="center"/>
              <w:rPr>
                <w:color w:val="000000"/>
                <w:szCs w:val="20"/>
                <w:lang w:eastAsia="en-AU"/>
              </w:rPr>
            </w:pPr>
          </w:p>
        </w:tc>
        <w:tc>
          <w:tcPr>
            <w:tcW w:w="1622" w:type="dxa"/>
          </w:tcPr>
          <w:p w14:paraId="0085343E" w14:textId="77777777" w:rsidR="00491210" w:rsidRPr="00EF34A3" w:rsidRDefault="00EE200C" w:rsidP="002E1674">
            <w:pPr>
              <w:spacing w:after="60"/>
              <w:jc w:val="center"/>
              <w:rPr>
                <w:szCs w:val="20"/>
              </w:rPr>
            </w:pPr>
            <w:r w:rsidRPr="00EF34A3">
              <w:rPr>
                <w:color w:val="000000"/>
                <w:szCs w:val="20"/>
                <w:lang w:eastAsia="en-AU"/>
              </w:rPr>
              <w:t>Option 3</w:t>
            </w:r>
          </w:p>
        </w:tc>
        <w:tc>
          <w:tcPr>
            <w:tcW w:w="1701" w:type="dxa"/>
          </w:tcPr>
          <w:p w14:paraId="1131DB09" w14:textId="77777777" w:rsidR="00491210" w:rsidRDefault="00EE200C" w:rsidP="002E1674">
            <w:pPr>
              <w:tabs>
                <w:tab w:val="decimal" w:pos="851"/>
              </w:tabs>
              <w:spacing w:after="60"/>
              <w:jc w:val="center"/>
            </w:pPr>
            <w:r w:rsidRPr="00927D89">
              <w:t>23</w:t>
            </w:r>
          </w:p>
        </w:tc>
        <w:tc>
          <w:tcPr>
            <w:tcW w:w="1701" w:type="dxa"/>
          </w:tcPr>
          <w:p w14:paraId="40AC97B3" w14:textId="715616AE" w:rsidR="00491210" w:rsidRDefault="00EE200C" w:rsidP="002E1674">
            <w:pPr>
              <w:tabs>
                <w:tab w:val="decimal" w:pos="851"/>
              </w:tabs>
              <w:spacing w:after="60"/>
              <w:jc w:val="center"/>
            </w:pPr>
            <w:r w:rsidRPr="00BD49B5">
              <w:t>38</w:t>
            </w:r>
          </w:p>
        </w:tc>
        <w:tc>
          <w:tcPr>
            <w:tcW w:w="1701" w:type="dxa"/>
          </w:tcPr>
          <w:p w14:paraId="3844928B" w14:textId="5E2D7294" w:rsidR="00491210" w:rsidRDefault="00EE200C" w:rsidP="002E1674">
            <w:pPr>
              <w:tabs>
                <w:tab w:val="decimal" w:pos="851"/>
              </w:tabs>
              <w:spacing w:after="60"/>
              <w:jc w:val="center"/>
            </w:pPr>
            <w:r w:rsidRPr="001C2CA8">
              <w:t>37</w:t>
            </w:r>
          </w:p>
        </w:tc>
      </w:tr>
      <w:tr w:rsidR="002E1674" w14:paraId="6C239AC5" w14:textId="77777777" w:rsidTr="00CA2A2D">
        <w:tc>
          <w:tcPr>
            <w:tcW w:w="0" w:type="auto"/>
            <w:vMerge/>
            <w:tcBorders>
              <w:top w:val="nil"/>
              <w:bottom w:val="double" w:sz="4" w:space="0" w:color="00B2A9" w:themeColor="accent1"/>
            </w:tcBorders>
          </w:tcPr>
          <w:p w14:paraId="32C4A1AA" w14:textId="77777777" w:rsidR="00491210" w:rsidRDefault="00491210" w:rsidP="002E1674">
            <w:pPr>
              <w:spacing w:after="60"/>
              <w:jc w:val="center"/>
            </w:pPr>
          </w:p>
        </w:tc>
        <w:tc>
          <w:tcPr>
            <w:tcW w:w="0" w:type="auto"/>
            <w:vMerge/>
            <w:tcBorders>
              <w:bottom w:val="double" w:sz="4" w:space="0" w:color="00B2A9" w:themeColor="accent1"/>
            </w:tcBorders>
          </w:tcPr>
          <w:p w14:paraId="3C7AC2E3" w14:textId="77777777" w:rsidR="00491210" w:rsidRPr="00EF34A3" w:rsidRDefault="00491210" w:rsidP="002E1674">
            <w:pPr>
              <w:spacing w:after="60"/>
              <w:jc w:val="center"/>
              <w:rPr>
                <w:color w:val="000000"/>
                <w:szCs w:val="20"/>
                <w:lang w:eastAsia="en-AU"/>
              </w:rPr>
            </w:pPr>
          </w:p>
        </w:tc>
        <w:tc>
          <w:tcPr>
            <w:tcW w:w="1622" w:type="dxa"/>
            <w:tcBorders>
              <w:bottom w:val="double" w:sz="4" w:space="0" w:color="00B2A9" w:themeColor="accent1"/>
            </w:tcBorders>
          </w:tcPr>
          <w:p w14:paraId="4C9346EC" w14:textId="77777777" w:rsidR="00491210" w:rsidRPr="00EF34A3" w:rsidRDefault="00EE200C" w:rsidP="002E1674">
            <w:pPr>
              <w:spacing w:after="60"/>
              <w:jc w:val="center"/>
              <w:rPr>
                <w:szCs w:val="20"/>
              </w:rPr>
            </w:pPr>
            <w:r w:rsidRPr="00EF34A3">
              <w:rPr>
                <w:color w:val="000000"/>
                <w:szCs w:val="20"/>
                <w:lang w:eastAsia="en-AU"/>
              </w:rPr>
              <w:t>Option 4</w:t>
            </w:r>
          </w:p>
        </w:tc>
        <w:tc>
          <w:tcPr>
            <w:tcW w:w="1701" w:type="dxa"/>
            <w:tcBorders>
              <w:bottom w:val="double" w:sz="4" w:space="0" w:color="00B2A9" w:themeColor="accent1"/>
            </w:tcBorders>
          </w:tcPr>
          <w:p w14:paraId="49149803" w14:textId="77777777" w:rsidR="00491210" w:rsidRDefault="00EE200C" w:rsidP="002E1674">
            <w:pPr>
              <w:tabs>
                <w:tab w:val="decimal" w:pos="851"/>
              </w:tabs>
              <w:spacing w:after="60"/>
              <w:jc w:val="center"/>
            </w:pPr>
            <w:r w:rsidRPr="00927D89">
              <w:t>30</w:t>
            </w:r>
          </w:p>
        </w:tc>
        <w:tc>
          <w:tcPr>
            <w:tcW w:w="1701" w:type="dxa"/>
            <w:tcBorders>
              <w:bottom w:val="double" w:sz="4" w:space="0" w:color="00B2A9" w:themeColor="accent1"/>
            </w:tcBorders>
          </w:tcPr>
          <w:p w14:paraId="3618817C" w14:textId="39E781FA" w:rsidR="00491210" w:rsidRDefault="00EE200C" w:rsidP="002E1674">
            <w:pPr>
              <w:tabs>
                <w:tab w:val="decimal" w:pos="851"/>
              </w:tabs>
              <w:spacing w:after="60"/>
              <w:jc w:val="center"/>
            </w:pPr>
            <w:r w:rsidRPr="00BD49B5">
              <w:t>52</w:t>
            </w:r>
          </w:p>
        </w:tc>
        <w:tc>
          <w:tcPr>
            <w:tcW w:w="1701" w:type="dxa"/>
            <w:tcBorders>
              <w:bottom w:val="double" w:sz="4" w:space="0" w:color="00B2A9" w:themeColor="accent1"/>
            </w:tcBorders>
          </w:tcPr>
          <w:p w14:paraId="652C3614" w14:textId="3B0747B5" w:rsidR="00491210" w:rsidRDefault="00EE200C" w:rsidP="002E1674">
            <w:pPr>
              <w:tabs>
                <w:tab w:val="decimal" w:pos="851"/>
              </w:tabs>
              <w:spacing w:after="60"/>
              <w:jc w:val="center"/>
            </w:pPr>
            <w:r w:rsidRPr="001C2CA8">
              <w:t>46</w:t>
            </w:r>
          </w:p>
        </w:tc>
      </w:tr>
      <w:tr w:rsidR="002E1674" w14:paraId="2D0C54E8" w14:textId="77777777" w:rsidTr="00CA2A2D">
        <w:tc>
          <w:tcPr>
            <w:tcW w:w="0" w:type="auto"/>
            <w:vMerge w:val="restart"/>
            <w:tcBorders>
              <w:top w:val="double" w:sz="4" w:space="0" w:color="00B2A9" w:themeColor="accent1"/>
            </w:tcBorders>
          </w:tcPr>
          <w:p w14:paraId="2CF55AEC" w14:textId="77777777" w:rsidR="00491210" w:rsidRPr="4D1BBAA5" w:rsidRDefault="00491210" w:rsidP="002E1674">
            <w:pPr>
              <w:spacing w:after="60"/>
              <w:jc w:val="center"/>
              <w:rPr>
                <w:b/>
                <w:bCs/>
              </w:rPr>
            </w:pPr>
          </w:p>
        </w:tc>
        <w:tc>
          <w:tcPr>
            <w:tcW w:w="0" w:type="auto"/>
            <w:vMerge w:val="restart"/>
            <w:tcBorders>
              <w:top w:val="double" w:sz="4" w:space="0" w:color="00B2A9" w:themeColor="accent1"/>
            </w:tcBorders>
          </w:tcPr>
          <w:p w14:paraId="5BADE42D" w14:textId="77777777" w:rsidR="00491210" w:rsidRPr="00EF34A3" w:rsidRDefault="00EE200C" w:rsidP="002E1674">
            <w:pPr>
              <w:spacing w:after="60"/>
              <w:jc w:val="center"/>
              <w:rPr>
                <w:color w:val="000000"/>
                <w:szCs w:val="20"/>
                <w:lang w:eastAsia="en-AU"/>
              </w:rPr>
            </w:pPr>
            <w:r>
              <w:rPr>
                <w:color w:val="000000"/>
                <w:szCs w:val="20"/>
                <w:lang w:eastAsia="en-AU"/>
              </w:rPr>
              <w:t>Murray River</w:t>
            </w:r>
          </w:p>
        </w:tc>
        <w:tc>
          <w:tcPr>
            <w:tcW w:w="1622" w:type="dxa"/>
            <w:tcBorders>
              <w:top w:val="double" w:sz="4" w:space="0" w:color="00B2A9" w:themeColor="accent1"/>
            </w:tcBorders>
          </w:tcPr>
          <w:p w14:paraId="39178763" w14:textId="77777777" w:rsidR="00491210" w:rsidRPr="00EF34A3" w:rsidRDefault="00EE200C" w:rsidP="002E1674">
            <w:pPr>
              <w:spacing w:after="60"/>
              <w:jc w:val="center"/>
              <w:rPr>
                <w:color w:val="000000"/>
                <w:szCs w:val="20"/>
                <w:lang w:eastAsia="en-AU"/>
              </w:rPr>
            </w:pPr>
            <w:r w:rsidRPr="00EF34A3">
              <w:rPr>
                <w:color w:val="000000"/>
                <w:szCs w:val="20"/>
                <w:lang w:eastAsia="en-AU"/>
              </w:rPr>
              <w:t>Option 1</w:t>
            </w:r>
          </w:p>
        </w:tc>
        <w:tc>
          <w:tcPr>
            <w:tcW w:w="1701" w:type="dxa"/>
            <w:tcBorders>
              <w:top w:val="double" w:sz="4" w:space="0" w:color="00B2A9" w:themeColor="accent1"/>
            </w:tcBorders>
          </w:tcPr>
          <w:p w14:paraId="56B1B02A" w14:textId="77777777" w:rsidR="00491210" w:rsidRPr="00D62F1C" w:rsidRDefault="00EE200C" w:rsidP="002E1674">
            <w:pPr>
              <w:tabs>
                <w:tab w:val="decimal" w:pos="851"/>
              </w:tabs>
              <w:spacing w:after="60"/>
              <w:jc w:val="center"/>
            </w:pPr>
            <w:r w:rsidRPr="00FD5032">
              <w:t>10</w:t>
            </w:r>
          </w:p>
        </w:tc>
        <w:tc>
          <w:tcPr>
            <w:tcW w:w="1701" w:type="dxa"/>
            <w:tcBorders>
              <w:top w:val="double" w:sz="4" w:space="0" w:color="00B2A9" w:themeColor="accent1"/>
            </w:tcBorders>
          </w:tcPr>
          <w:p w14:paraId="79C014DE" w14:textId="01C51C1E" w:rsidR="00491210" w:rsidRDefault="00EE200C" w:rsidP="002E1674">
            <w:pPr>
              <w:tabs>
                <w:tab w:val="decimal" w:pos="851"/>
              </w:tabs>
              <w:spacing w:after="60"/>
              <w:jc w:val="center"/>
            </w:pPr>
            <w:r w:rsidRPr="00DF1FA2">
              <w:t>22</w:t>
            </w:r>
          </w:p>
        </w:tc>
        <w:tc>
          <w:tcPr>
            <w:tcW w:w="1701" w:type="dxa"/>
            <w:tcBorders>
              <w:top w:val="double" w:sz="4" w:space="0" w:color="00B2A9" w:themeColor="accent1"/>
            </w:tcBorders>
          </w:tcPr>
          <w:p w14:paraId="58ED9224" w14:textId="26CDE405" w:rsidR="00491210" w:rsidRDefault="00EE200C" w:rsidP="002E1674">
            <w:pPr>
              <w:tabs>
                <w:tab w:val="decimal" w:pos="851"/>
              </w:tabs>
              <w:spacing w:after="60"/>
              <w:jc w:val="center"/>
            </w:pPr>
            <w:r w:rsidRPr="007D27DF">
              <w:t>21</w:t>
            </w:r>
          </w:p>
        </w:tc>
      </w:tr>
      <w:tr w:rsidR="002E1674" w14:paraId="47052B45" w14:textId="77777777" w:rsidTr="00CA2A2D">
        <w:tc>
          <w:tcPr>
            <w:tcW w:w="0" w:type="auto"/>
            <w:vMerge/>
            <w:tcBorders>
              <w:top w:val="nil"/>
            </w:tcBorders>
          </w:tcPr>
          <w:p w14:paraId="4D221C5A" w14:textId="77777777" w:rsidR="00491210" w:rsidRPr="4D1BBAA5" w:rsidRDefault="00491210" w:rsidP="002E1674">
            <w:pPr>
              <w:spacing w:after="60"/>
              <w:jc w:val="center"/>
              <w:rPr>
                <w:b/>
                <w:bCs/>
              </w:rPr>
            </w:pPr>
          </w:p>
        </w:tc>
        <w:tc>
          <w:tcPr>
            <w:tcW w:w="0" w:type="auto"/>
            <w:vMerge/>
          </w:tcPr>
          <w:p w14:paraId="30A67AE5" w14:textId="77777777" w:rsidR="00491210" w:rsidRPr="00EF34A3" w:rsidRDefault="00491210" w:rsidP="002E1674">
            <w:pPr>
              <w:spacing w:after="60"/>
              <w:jc w:val="center"/>
              <w:rPr>
                <w:color w:val="000000"/>
                <w:szCs w:val="20"/>
                <w:lang w:eastAsia="en-AU"/>
              </w:rPr>
            </w:pPr>
          </w:p>
        </w:tc>
        <w:tc>
          <w:tcPr>
            <w:tcW w:w="1622" w:type="dxa"/>
          </w:tcPr>
          <w:p w14:paraId="7DC560A1" w14:textId="77777777" w:rsidR="00491210" w:rsidRPr="00EF34A3" w:rsidRDefault="00EE200C" w:rsidP="002E1674">
            <w:pPr>
              <w:spacing w:after="60"/>
              <w:jc w:val="center"/>
              <w:rPr>
                <w:color w:val="000000"/>
                <w:szCs w:val="20"/>
                <w:lang w:eastAsia="en-AU"/>
              </w:rPr>
            </w:pPr>
            <w:r w:rsidRPr="00EF34A3">
              <w:rPr>
                <w:color w:val="000000"/>
                <w:szCs w:val="20"/>
                <w:lang w:eastAsia="en-AU"/>
              </w:rPr>
              <w:t>Option 2</w:t>
            </w:r>
          </w:p>
        </w:tc>
        <w:tc>
          <w:tcPr>
            <w:tcW w:w="1701" w:type="dxa"/>
          </w:tcPr>
          <w:p w14:paraId="1818FE98" w14:textId="77777777" w:rsidR="00491210" w:rsidRPr="00D62F1C" w:rsidRDefault="00EE200C" w:rsidP="002E1674">
            <w:pPr>
              <w:tabs>
                <w:tab w:val="decimal" w:pos="851"/>
              </w:tabs>
              <w:spacing w:after="60"/>
              <w:jc w:val="center"/>
            </w:pPr>
            <w:r w:rsidRPr="00FD5032">
              <w:t>16</w:t>
            </w:r>
          </w:p>
        </w:tc>
        <w:tc>
          <w:tcPr>
            <w:tcW w:w="1701" w:type="dxa"/>
          </w:tcPr>
          <w:p w14:paraId="11EBDBAC" w14:textId="4D0145DB" w:rsidR="00491210" w:rsidRDefault="00EE200C" w:rsidP="002E1674">
            <w:pPr>
              <w:tabs>
                <w:tab w:val="decimal" w:pos="851"/>
              </w:tabs>
              <w:spacing w:after="60"/>
              <w:jc w:val="center"/>
            </w:pPr>
            <w:r w:rsidRPr="00DF1FA2">
              <w:t>26</w:t>
            </w:r>
          </w:p>
        </w:tc>
        <w:tc>
          <w:tcPr>
            <w:tcW w:w="1701" w:type="dxa"/>
          </w:tcPr>
          <w:p w14:paraId="20570FC8" w14:textId="07A644C5" w:rsidR="00491210" w:rsidRDefault="00EE200C" w:rsidP="002E1674">
            <w:pPr>
              <w:tabs>
                <w:tab w:val="decimal" w:pos="851"/>
              </w:tabs>
              <w:spacing w:after="60"/>
              <w:jc w:val="center"/>
            </w:pPr>
            <w:r w:rsidRPr="007D27DF">
              <w:t>22</w:t>
            </w:r>
          </w:p>
        </w:tc>
      </w:tr>
      <w:tr w:rsidR="002E1674" w14:paraId="44E2BDBE" w14:textId="77777777" w:rsidTr="00CA2A2D">
        <w:tc>
          <w:tcPr>
            <w:tcW w:w="0" w:type="auto"/>
            <w:vMerge/>
            <w:tcBorders>
              <w:top w:val="nil"/>
            </w:tcBorders>
          </w:tcPr>
          <w:p w14:paraId="2C59D813" w14:textId="77777777" w:rsidR="00491210" w:rsidRPr="4D1BBAA5" w:rsidRDefault="00491210" w:rsidP="002E1674">
            <w:pPr>
              <w:spacing w:after="60"/>
              <w:jc w:val="center"/>
              <w:rPr>
                <w:b/>
                <w:bCs/>
              </w:rPr>
            </w:pPr>
          </w:p>
        </w:tc>
        <w:tc>
          <w:tcPr>
            <w:tcW w:w="0" w:type="auto"/>
            <w:vMerge/>
          </w:tcPr>
          <w:p w14:paraId="0DC31ADC" w14:textId="77777777" w:rsidR="00491210" w:rsidRPr="00EF34A3" w:rsidRDefault="00491210" w:rsidP="002E1674">
            <w:pPr>
              <w:spacing w:after="60"/>
              <w:jc w:val="center"/>
              <w:rPr>
                <w:color w:val="000000"/>
                <w:szCs w:val="20"/>
                <w:lang w:eastAsia="en-AU"/>
              </w:rPr>
            </w:pPr>
          </w:p>
        </w:tc>
        <w:tc>
          <w:tcPr>
            <w:tcW w:w="1622" w:type="dxa"/>
          </w:tcPr>
          <w:p w14:paraId="10EA281E" w14:textId="77777777" w:rsidR="00491210" w:rsidRPr="00EF34A3" w:rsidRDefault="00EE200C" w:rsidP="002E1674">
            <w:pPr>
              <w:spacing w:after="60"/>
              <w:jc w:val="center"/>
              <w:rPr>
                <w:color w:val="000000"/>
                <w:szCs w:val="20"/>
                <w:lang w:eastAsia="en-AU"/>
              </w:rPr>
            </w:pPr>
            <w:r w:rsidRPr="00EF34A3">
              <w:rPr>
                <w:color w:val="000000"/>
                <w:szCs w:val="20"/>
                <w:lang w:eastAsia="en-AU"/>
              </w:rPr>
              <w:t>Option 3</w:t>
            </w:r>
          </w:p>
        </w:tc>
        <w:tc>
          <w:tcPr>
            <w:tcW w:w="1701" w:type="dxa"/>
          </w:tcPr>
          <w:p w14:paraId="0211B13D" w14:textId="77777777" w:rsidR="00491210" w:rsidRPr="00D62F1C" w:rsidRDefault="00EE200C" w:rsidP="002E1674">
            <w:pPr>
              <w:tabs>
                <w:tab w:val="decimal" w:pos="851"/>
              </w:tabs>
              <w:spacing w:after="60"/>
              <w:jc w:val="center"/>
            </w:pPr>
            <w:r w:rsidRPr="00FD5032">
              <w:t>23</w:t>
            </w:r>
          </w:p>
        </w:tc>
        <w:tc>
          <w:tcPr>
            <w:tcW w:w="1701" w:type="dxa"/>
          </w:tcPr>
          <w:p w14:paraId="7BC91652" w14:textId="25527E36" w:rsidR="00491210" w:rsidRDefault="00EE200C" w:rsidP="002E1674">
            <w:pPr>
              <w:tabs>
                <w:tab w:val="decimal" w:pos="851"/>
              </w:tabs>
              <w:spacing w:after="60"/>
              <w:jc w:val="center"/>
            </w:pPr>
            <w:r w:rsidRPr="00DF1FA2">
              <w:t>38</w:t>
            </w:r>
          </w:p>
        </w:tc>
        <w:tc>
          <w:tcPr>
            <w:tcW w:w="1701" w:type="dxa"/>
          </w:tcPr>
          <w:p w14:paraId="6C6A4B96" w14:textId="3AABFB67" w:rsidR="00491210" w:rsidRDefault="00EE200C" w:rsidP="002E1674">
            <w:pPr>
              <w:tabs>
                <w:tab w:val="decimal" w:pos="851"/>
              </w:tabs>
              <w:spacing w:after="60"/>
              <w:jc w:val="center"/>
            </w:pPr>
            <w:r w:rsidRPr="007D27DF">
              <w:t>34</w:t>
            </w:r>
          </w:p>
        </w:tc>
      </w:tr>
      <w:tr w:rsidR="002E1674" w14:paraId="233A9103" w14:textId="77777777" w:rsidTr="00CA2A2D">
        <w:tc>
          <w:tcPr>
            <w:tcW w:w="0" w:type="auto"/>
            <w:vMerge/>
            <w:tcBorders>
              <w:top w:val="nil"/>
            </w:tcBorders>
          </w:tcPr>
          <w:p w14:paraId="4995EC6D" w14:textId="77777777" w:rsidR="00491210" w:rsidRPr="4D1BBAA5" w:rsidRDefault="00491210" w:rsidP="002E1674">
            <w:pPr>
              <w:spacing w:after="60"/>
              <w:jc w:val="center"/>
              <w:rPr>
                <w:b/>
                <w:bCs/>
              </w:rPr>
            </w:pPr>
          </w:p>
        </w:tc>
        <w:tc>
          <w:tcPr>
            <w:tcW w:w="0" w:type="auto"/>
            <w:vMerge/>
            <w:tcBorders>
              <w:bottom w:val="double" w:sz="4" w:space="0" w:color="00B2A9" w:themeColor="accent1"/>
            </w:tcBorders>
          </w:tcPr>
          <w:p w14:paraId="179BF99A" w14:textId="77777777" w:rsidR="00491210" w:rsidRPr="00EF34A3" w:rsidRDefault="00491210" w:rsidP="002E1674">
            <w:pPr>
              <w:spacing w:after="60"/>
              <w:jc w:val="center"/>
              <w:rPr>
                <w:color w:val="000000"/>
                <w:szCs w:val="20"/>
                <w:lang w:eastAsia="en-AU"/>
              </w:rPr>
            </w:pPr>
          </w:p>
        </w:tc>
        <w:tc>
          <w:tcPr>
            <w:tcW w:w="1622" w:type="dxa"/>
            <w:tcBorders>
              <w:bottom w:val="double" w:sz="4" w:space="0" w:color="00B2A9" w:themeColor="accent1"/>
            </w:tcBorders>
          </w:tcPr>
          <w:p w14:paraId="55C340EA" w14:textId="77777777" w:rsidR="00491210" w:rsidRPr="00EF34A3" w:rsidRDefault="00EE200C" w:rsidP="002E1674">
            <w:pPr>
              <w:spacing w:after="60"/>
              <w:jc w:val="center"/>
              <w:rPr>
                <w:color w:val="000000"/>
                <w:szCs w:val="20"/>
                <w:lang w:eastAsia="en-AU"/>
              </w:rPr>
            </w:pPr>
            <w:r w:rsidRPr="00EF34A3">
              <w:rPr>
                <w:color w:val="000000"/>
                <w:szCs w:val="20"/>
                <w:lang w:eastAsia="en-AU"/>
              </w:rPr>
              <w:t>Option 4</w:t>
            </w:r>
          </w:p>
        </w:tc>
        <w:tc>
          <w:tcPr>
            <w:tcW w:w="1701" w:type="dxa"/>
            <w:tcBorders>
              <w:bottom w:val="double" w:sz="4" w:space="0" w:color="00B2A9" w:themeColor="accent1"/>
            </w:tcBorders>
          </w:tcPr>
          <w:p w14:paraId="3E9E4526" w14:textId="77777777" w:rsidR="00491210" w:rsidRPr="00D62F1C" w:rsidRDefault="00EE200C" w:rsidP="002E1674">
            <w:pPr>
              <w:tabs>
                <w:tab w:val="decimal" w:pos="851"/>
              </w:tabs>
              <w:spacing w:after="60"/>
              <w:jc w:val="center"/>
            </w:pPr>
            <w:r w:rsidRPr="00FD5032">
              <w:t>29</w:t>
            </w:r>
          </w:p>
        </w:tc>
        <w:tc>
          <w:tcPr>
            <w:tcW w:w="1701" w:type="dxa"/>
            <w:tcBorders>
              <w:bottom w:val="double" w:sz="4" w:space="0" w:color="00B2A9" w:themeColor="accent1"/>
            </w:tcBorders>
          </w:tcPr>
          <w:p w14:paraId="58CF8B1C" w14:textId="4111DA4B" w:rsidR="00491210" w:rsidRDefault="00EE200C" w:rsidP="002E1674">
            <w:pPr>
              <w:tabs>
                <w:tab w:val="decimal" w:pos="851"/>
              </w:tabs>
              <w:spacing w:after="60"/>
              <w:jc w:val="center"/>
            </w:pPr>
            <w:r w:rsidRPr="00DF1FA2">
              <w:t>52</w:t>
            </w:r>
          </w:p>
        </w:tc>
        <w:tc>
          <w:tcPr>
            <w:tcW w:w="1701" w:type="dxa"/>
            <w:tcBorders>
              <w:bottom w:val="double" w:sz="4" w:space="0" w:color="00B2A9" w:themeColor="accent1"/>
            </w:tcBorders>
          </w:tcPr>
          <w:p w14:paraId="2D1895E1" w14:textId="74FD73FC" w:rsidR="00491210" w:rsidRDefault="00EE200C" w:rsidP="002E1674">
            <w:pPr>
              <w:tabs>
                <w:tab w:val="decimal" w:pos="851"/>
              </w:tabs>
              <w:spacing w:after="60"/>
              <w:jc w:val="center"/>
            </w:pPr>
            <w:r w:rsidRPr="007D27DF">
              <w:t>38</w:t>
            </w:r>
          </w:p>
        </w:tc>
      </w:tr>
      <w:tr w:rsidR="002E1674" w14:paraId="7D6DE1FE" w14:textId="77777777" w:rsidTr="00CA2A2D">
        <w:tc>
          <w:tcPr>
            <w:tcW w:w="0" w:type="auto"/>
            <w:vMerge/>
            <w:tcBorders>
              <w:top w:val="nil"/>
            </w:tcBorders>
          </w:tcPr>
          <w:p w14:paraId="18D9E361" w14:textId="77777777" w:rsidR="00491210" w:rsidRPr="4D1BBAA5" w:rsidRDefault="00491210" w:rsidP="002E1674">
            <w:pPr>
              <w:spacing w:after="60"/>
              <w:jc w:val="center"/>
              <w:rPr>
                <w:b/>
                <w:bCs/>
              </w:rPr>
            </w:pPr>
          </w:p>
        </w:tc>
        <w:tc>
          <w:tcPr>
            <w:tcW w:w="0" w:type="auto"/>
            <w:vMerge w:val="restart"/>
            <w:tcBorders>
              <w:top w:val="double" w:sz="4" w:space="0" w:color="00B2A9" w:themeColor="accent1"/>
            </w:tcBorders>
          </w:tcPr>
          <w:p w14:paraId="79F4B80F" w14:textId="77777777" w:rsidR="00491210" w:rsidRPr="00EF34A3" w:rsidRDefault="00EE200C" w:rsidP="002E1674">
            <w:pPr>
              <w:spacing w:after="60"/>
              <w:jc w:val="center"/>
              <w:rPr>
                <w:color w:val="000000"/>
                <w:szCs w:val="20"/>
                <w:lang w:eastAsia="en-AU"/>
              </w:rPr>
            </w:pPr>
            <w:r>
              <w:rPr>
                <w:color w:val="000000"/>
                <w:szCs w:val="20"/>
                <w:lang w:eastAsia="en-AU"/>
              </w:rPr>
              <w:t>Murrumbidgee River</w:t>
            </w:r>
          </w:p>
        </w:tc>
        <w:tc>
          <w:tcPr>
            <w:tcW w:w="1622" w:type="dxa"/>
            <w:tcBorders>
              <w:top w:val="double" w:sz="4" w:space="0" w:color="00B2A9" w:themeColor="accent1"/>
            </w:tcBorders>
          </w:tcPr>
          <w:p w14:paraId="3C45FDA7" w14:textId="77777777" w:rsidR="00491210" w:rsidRPr="00EF34A3" w:rsidRDefault="00EE200C" w:rsidP="002E1674">
            <w:pPr>
              <w:spacing w:after="60"/>
              <w:jc w:val="center"/>
              <w:rPr>
                <w:color w:val="000000"/>
                <w:szCs w:val="20"/>
                <w:lang w:eastAsia="en-AU"/>
              </w:rPr>
            </w:pPr>
            <w:r w:rsidRPr="00EF34A3">
              <w:rPr>
                <w:color w:val="000000"/>
                <w:szCs w:val="20"/>
                <w:lang w:eastAsia="en-AU"/>
              </w:rPr>
              <w:t>Option 1</w:t>
            </w:r>
          </w:p>
        </w:tc>
        <w:tc>
          <w:tcPr>
            <w:tcW w:w="1701" w:type="dxa"/>
            <w:tcBorders>
              <w:top w:val="double" w:sz="4" w:space="0" w:color="00B2A9" w:themeColor="accent1"/>
            </w:tcBorders>
          </w:tcPr>
          <w:p w14:paraId="6420C037" w14:textId="77777777" w:rsidR="00491210" w:rsidRPr="00D62F1C" w:rsidRDefault="00EE200C" w:rsidP="002E1674">
            <w:pPr>
              <w:tabs>
                <w:tab w:val="decimal" w:pos="851"/>
              </w:tabs>
              <w:spacing w:after="60"/>
              <w:jc w:val="center"/>
            </w:pPr>
            <w:r w:rsidRPr="00FD5032">
              <w:t>7</w:t>
            </w:r>
          </w:p>
        </w:tc>
        <w:tc>
          <w:tcPr>
            <w:tcW w:w="1701" w:type="dxa"/>
            <w:tcBorders>
              <w:top w:val="double" w:sz="4" w:space="0" w:color="00B2A9" w:themeColor="accent1"/>
            </w:tcBorders>
          </w:tcPr>
          <w:p w14:paraId="577AE1EF" w14:textId="218EE244" w:rsidR="00491210" w:rsidRDefault="00EE200C" w:rsidP="002E1674">
            <w:pPr>
              <w:tabs>
                <w:tab w:val="decimal" w:pos="851"/>
              </w:tabs>
              <w:spacing w:after="60"/>
              <w:jc w:val="center"/>
            </w:pPr>
            <w:r w:rsidRPr="00BB53E7">
              <w:t>9</w:t>
            </w:r>
          </w:p>
        </w:tc>
        <w:tc>
          <w:tcPr>
            <w:tcW w:w="1701" w:type="dxa"/>
            <w:tcBorders>
              <w:top w:val="double" w:sz="4" w:space="0" w:color="00B2A9" w:themeColor="accent1"/>
            </w:tcBorders>
          </w:tcPr>
          <w:p w14:paraId="203A7381" w14:textId="17F00C72" w:rsidR="00491210" w:rsidRDefault="00EE200C" w:rsidP="002E1674">
            <w:pPr>
              <w:tabs>
                <w:tab w:val="decimal" w:pos="851"/>
              </w:tabs>
              <w:spacing w:after="60"/>
              <w:jc w:val="center"/>
            </w:pPr>
            <w:r w:rsidRPr="005B1D59">
              <w:t>9</w:t>
            </w:r>
          </w:p>
        </w:tc>
      </w:tr>
      <w:tr w:rsidR="002E1674" w14:paraId="72B454AB" w14:textId="77777777" w:rsidTr="00CA2A2D">
        <w:tc>
          <w:tcPr>
            <w:tcW w:w="0" w:type="auto"/>
            <w:vMerge/>
            <w:tcBorders>
              <w:top w:val="nil"/>
            </w:tcBorders>
          </w:tcPr>
          <w:p w14:paraId="7B83CE12" w14:textId="77777777" w:rsidR="00491210" w:rsidRPr="4D1BBAA5" w:rsidRDefault="00491210" w:rsidP="002E1674">
            <w:pPr>
              <w:spacing w:after="60"/>
              <w:jc w:val="center"/>
              <w:rPr>
                <w:b/>
                <w:bCs/>
              </w:rPr>
            </w:pPr>
          </w:p>
        </w:tc>
        <w:tc>
          <w:tcPr>
            <w:tcW w:w="0" w:type="auto"/>
            <w:vMerge/>
          </w:tcPr>
          <w:p w14:paraId="0A859209" w14:textId="77777777" w:rsidR="00491210" w:rsidRPr="00EF34A3" w:rsidRDefault="00491210" w:rsidP="002E1674">
            <w:pPr>
              <w:spacing w:after="60"/>
              <w:jc w:val="center"/>
              <w:rPr>
                <w:color w:val="000000"/>
                <w:szCs w:val="20"/>
                <w:lang w:eastAsia="en-AU"/>
              </w:rPr>
            </w:pPr>
          </w:p>
        </w:tc>
        <w:tc>
          <w:tcPr>
            <w:tcW w:w="1622" w:type="dxa"/>
          </w:tcPr>
          <w:p w14:paraId="414022BC" w14:textId="77777777" w:rsidR="00491210" w:rsidRPr="00EF34A3" w:rsidRDefault="00EE200C" w:rsidP="002E1674">
            <w:pPr>
              <w:spacing w:after="60"/>
              <w:jc w:val="center"/>
              <w:rPr>
                <w:color w:val="000000"/>
                <w:szCs w:val="20"/>
                <w:lang w:eastAsia="en-AU"/>
              </w:rPr>
            </w:pPr>
            <w:r w:rsidRPr="00EF34A3">
              <w:rPr>
                <w:color w:val="000000"/>
                <w:szCs w:val="20"/>
                <w:lang w:eastAsia="en-AU"/>
              </w:rPr>
              <w:t>Option 2</w:t>
            </w:r>
          </w:p>
        </w:tc>
        <w:tc>
          <w:tcPr>
            <w:tcW w:w="1701" w:type="dxa"/>
          </w:tcPr>
          <w:p w14:paraId="54815A5E" w14:textId="77777777" w:rsidR="00491210" w:rsidRPr="00D62F1C" w:rsidRDefault="00EE200C" w:rsidP="002E1674">
            <w:pPr>
              <w:tabs>
                <w:tab w:val="decimal" w:pos="851"/>
              </w:tabs>
              <w:spacing w:after="60"/>
              <w:jc w:val="center"/>
            </w:pPr>
            <w:r w:rsidRPr="00FD5032">
              <w:t>16</w:t>
            </w:r>
          </w:p>
        </w:tc>
        <w:tc>
          <w:tcPr>
            <w:tcW w:w="1701" w:type="dxa"/>
          </w:tcPr>
          <w:p w14:paraId="01749A59" w14:textId="4D14F312" w:rsidR="00491210" w:rsidRDefault="00EE200C" w:rsidP="002E1674">
            <w:pPr>
              <w:tabs>
                <w:tab w:val="decimal" w:pos="851"/>
              </w:tabs>
              <w:spacing w:after="60"/>
              <w:jc w:val="center"/>
            </w:pPr>
            <w:r w:rsidRPr="00BB53E7">
              <w:t>10</w:t>
            </w:r>
          </w:p>
        </w:tc>
        <w:tc>
          <w:tcPr>
            <w:tcW w:w="1701" w:type="dxa"/>
          </w:tcPr>
          <w:p w14:paraId="715205C5" w14:textId="58D252D4" w:rsidR="00491210" w:rsidRDefault="00EE200C" w:rsidP="002E1674">
            <w:pPr>
              <w:tabs>
                <w:tab w:val="decimal" w:pos="851"/>
              </w:tabs>
              <w:spacing w:after="60"/>
              <w:jc w:val="center"/>
            </w:pPr>
            <w:r w:rsidRPr="005B1D59">
              <w:t>22</w:t>
            </w:r>
          </w:p>
        </w:tc>
      </w:tr>
      <w:tr w:rsidR="002E1674" w14:paraId="7141C790" w14:textId="77777777" w:rsidTr="00CA2A2D">
        <w:tc>
          <w:tcPr>
            <w:tcW w:w="0" w:type="auto"/>
            <w:vMerge/>
            <w:tcBorders>
              <w:top w:val="nil"/>
            </w:tcBorders>
          </w:tcPr>
          <w:p w14:paraId="0B21247A" w14:textId="77777777" w:rsidR="00491210" w:rsidRPr="4D1BBAA5" w:rsidRDefault="00491210" w:rsidP="002E1674">
            <w:pPr>
              <w:spacing w:after="60"/>
              <w:jc w:val="center"/>
              <w:rPr>
                <w:b/>
                <w:bCs/>
              </w:rPr>
            </w:pPr>
          </w:p>
        </w:tc>
        <w:tc>
          <w:tcPr>
            <w:tcW w:w="0" w:type="auto"/>
            <w:vMerge/>
          </w:tcPr>
          <w:p w14:paraId="118115A5" w14:textId="77777777" w:rsidR="00491210" w:rsidRPr="00EF34A3" w:rsidRDefault="00491210" w:rsidP="002E1674">
            <w:pPr>
              <w:spacing w:after="60"/>
              <w:jc w:val="center"/>
              <w:rPr>
                <w:color w:val="000000"/>
                <w:szCs w:val="20"/>
                <w:lang w:eastAsia="en-AU"/>
              </w:rPr>
            </w:pPr>
          </w:p>
        </w:tc>
        <w:tc>
          <w:tcPr>
            <w:tcW w:w="1622" w:type="dxa"/>
          </w:tcPr>
          <w:p w14:paraId="20280CB2" w14:textId="77777777" w:rsidR="00491210" w:rsidRPr="00EF34A3" w:rsidRDefault="00EE200C" w:rsidP="002E1674">
            <w:pPr>
              <w:spacing w:after="60"/>
              <w:jc w:val="center"/>
              <w:rPr>
                <w:color w:val="000000"/>
                <w:szCs w:val="20"/>
                <w:lang w:eastAsia="en-AU"/>
              </w:rPr>
            </w:pPr>
            <w:r w:rsidRPr="00EF34A3">
              <w:rPr>
                <w:color w:val="000000"/>
                <w:szCs w:val="20"/>
                <w:lang w:eastAsia="en-AU"/>
              </w:rPr>
              <w:t>Option 3</w:t>
            </w:r>
          </w:p>
        </w:tc>
        <w:tc>
          <w:tcPr>
            <w:tcW w:w="1701" w:type="dxa"/>
          </w:tcPr>
          <w:p w14:paraId="3B7BD385" w14:textId="77777777" w:rsidR="00491210" w:rsidRPr="00D62F1C" w:rsidRDefault="00EE200C" w:rsidP="002E1674">
            <w:pPr>
              <w:tabs>
                <w:tab w:val="decimal" w:pos="851"/>
              </w:tabs>
              <w:spacing w:after="60"/>
              <w:jc w:val="center"/>
            </w:pPr>
            <w:r w:rsidRPr="00FD5032">
              <w:t>26</w:t>
            </w:r>
          </w:p>
        </w:tc>
        <w:tc>
          <w:tcPr>
            <w:tcW w:w="1701" w:type="dxa"/>
          </w:tcPr>
          <w:p w14:paraId="186E5A67" w14:textId="09D8BC91" w:rsidR="00491210" w:rsidRDefault="00EE200C" w:rsidP="002E1674">
            <w:pPr>
              <w:tabs>
                <w:tab w:val="decimal" w:pos="851"/>
              </w:tabs>
              <w:spacing w:after="60"/>
              <w:jc w:val="center"/>
            </w:pPr>
            <w:r w:rsidRPr="00BB53E7">
              <w:t>13</w:t>
            </w:r>
          </w:p>
        </w:tc>
        <w:tc>
          <w:tcPr>
            <w:tcW w:w="1701" w:type="dxa"/>
          </w:tcPr>
          <w:p w14:paraId="5C8EE706" w14:textId="4B107067" w:rsidR="00491210" w:rsidRDefault="00EE200C" w:rsidP="002E1674">
            <w:pPr>
              <w:tabs>
                <w:tab w:val="decimal" w:pos="851"/>
              </w:tabs>
              <w:spacing w:after="60"/>
              <w:jc w:val="center"/>
            </w:pPr>
            <w:r w:rsidRPr="005B1D59">
              <w:t>20</w:t>
            </w:r>
          </w:p>
        </w:tc>
      </w:tr>
      <w:tr w:rsidR="002E1674" w14:paraId="249AC851" w14:textId="77777777" w:rsidTr="00CA2A2D">
        <w:tc>
          <w:tcPr>
            <w:tcW w:w="0" w:type="auto"/>
            <w:vMerge/>
            <w:tcBorders>
              <w:top w:val="nil"/>
              <w:bottom w:val="thinThickMediumGap" w:sz="24" w:space="0" w:color="00B2A9" w:themeColor="accent1"/>
            </w:tcBorders>
          </w:tcPr>
          <w:p w14:paraId="0391DF38" w14:textId="77777777" w:rsidR="00491210" w:rsidRPr="4D1BBAA5" w:rsidRDefault="00491210" w:rsidP="002E1674">
            <w:pPr>
              <w:spacing w:after="60"/>
              <w:jc w:val="center"/>
              <w:rPr>
                <w:b/>
                <w:bCs/>
              </w:rPr>
            </w:pPr>
          </w:p>
        </w:tc>
        <w:tc>
          <w:tcPr>
            <w:tcW w:w="0" w:type="auto"/>
            <w:vMerge/>
            <w:tcBorders>
              <w:bottom w:val="thinThickMediumGap" w:sz="24" w:space="0" w:color="00B2A9" w:themeColor="accent1"/>
            </w:tcBorders>
          </w:tcPr>
          <w:p w14:paraId="0E2D1D38" w14:textId="77777777" w:rsidR="00491210" w:rsidRPr="00EF34A3" w:rsidRDefault="00491210" w:rsidP="002E1674">
            <w:pPr>
              <w:spacing w:after="60"/>
              <w:jc w:val="center"/>
              <w:rPr>
                <w:color w:val="000000"/>
                <w:szCs w:val="20"/>
                <w:lang w:eastAsia="en-AU"/>
              </w:rPr>
            </w:pPr>
          </w:p>
        </w:tc>
        <w:tc>
          <w:tcPr>
            <w:tcW w:w="1622" w:type="dxa"/>
            <w:tcBorders>
              <w:bottom w:val="thinThickMediumGap" w:sz="24" w:space="0" w:color="00B2A9" w:themeColor="accent1"/>
            </w:tcBorders>
          </w:tcPr>
          <w:p w14:paraId="73C6B7D2" w14:textId="77777777" w:rsidR="00491210" w:rsidRPr="00EF34A3" w:rsidRDefault="00EE200C" w:rsidP="002E1674">
            <w:pPr>
              <w:spacing w:after="60"/>
              <w:jc w:val="center"/>
              <w:rPr>
                <w:color w:val="000000"/>
                <w:szCs w:val="20"/>
                <w:lang w:eastAsia="en-AU"/>
              </w:rPr>
            </w:pPr>
            <w:r w:rsidRPr="00EF34A3">
              <w:rPr>
                <w:color w:val="000000"/>
                <w:szCs w:val="20"/>
                <w:lang w:eastAsia="en-AU"/>
              </w:rPr>
              <w:t>Option 4</w:t>
            </w:r>
          </w:p>
        </w:tc>
        <w:tc>
          <w:tcPr>
            <w:tcW w:w="1701" w:type="dxa"/>
            <w:tcBorders>
              <w:bottom w:val="thinThickMediumGap" w:sz="24" w:space="0" w:color="00B2A9" w:themeColor="accent1"/>
            </w:tcBorders>
          </w:tcPr>
          <w:p w14:paraId="2986E242" w14:textId="77777777" w:rsidR="00491210" w:rsidRPr="00D62F1C" w:rsidRDefault="00EE200C" w:rsidP="002E1674">
            <w:pPr>
              <w:tabs>
                <w:tab w:val="decimal" w:pos="851"/>
              </w:tabs>
              <w:spacing w:after="60"/>
              <w:jc w:val="center"/>
            </w:pPr>
            <w:r w:rsidRPr="00FD5032">
              <w:t>34</w:t>
            </w:r>
          </w:p>
        </w:tc>
        <w:tc>
          <w:tcPr>
            <w:tcW w:w="1701" w:type="dxa"/>
            <w:tcBorders>
              <w:bottom w:val="thinThickMediumGap" w:sz="24" w:space="0" w:color="00B2A9" w:themeColor="accent1"/>
            </w:tcBorders>
          </w:tcPr>
          <w:p w14:paraId="36A2D844" w14:textId="13CF2821" w:rsidR="00491210" w:rsidRDefault="00EE200C" w:rsidP="002E1674">
            <w:pPr>
              <w:tabs>
                <w:tab w:val="decimal" w:pos="851"/>
              </w:tabs>
              <w:spacing w:after="60"/>
              <w:jc w:val="center"/>
            </w:pPr>
            <w:r w:rsidRPr="00BB53E7">
              <w:t>31</w:t>
            </w:r>
          </w:p>
        </w:tc>
        <w:tc>
          <w:tcPr>
            <w:tcW w:w="1701" w:type="dxa"/>
            <w:tcBorders>
              <w:bottom w:val="thinThickMediumGap" w:sz="24" w:space="0" w:color="00B2A9" w:themeColor="accent1"/>
            </w:tcBorders>
          </w:tcPr>
          <w:p w14:paraId="204F7DD3" w14:textId="4B6ED7C4" w:rsidR="00491210" w:rsidRDefault="00EE200C" w:rsidP="002E1674">
            <w:pPr>
              <w:tabs>
                <w:tab w:val="decimal" w:pos="851"/>
              </w:tabs>
              <w:spacing w:after="60"/>
              <w:jc w:val="center"/>
            </w:pPr>
            <w:r w:rsidRPr="005B1D59">
              <w:t>39</w:t>
            </w:r>
          </w:p>
        </w:tc>
      </w:tr>
      <w:tr w:rsidR="002E1674" w14:paraId="7CEE0277" w14:textId="77777777" w:rsidTr="00CA2A2D">
        <w:tc>
          <w:tcPr>
            <w:tcW w:w="0" w:type="auto"/>
            <w:vMerge w:val="restart"/>
            <w:tcBorders>
              <w:top w:val="thinThickMediumGap" w:sz="24" w:space="0" w:color="00B2A9" w:themeColor="accent1"/>
            </w:tcBorders>
          </w:tcPr>
          <w:p w14:paraId="61039BE6" w14:textId="77777777" w:rsidR="00491210" w:rsidRDefault="00EE200C" w:rsidP="002E1674">
            <w:pPr>
              <w:spacing w:after="60"/>
              <w:jc w:val="center"/>
              <w:rPr>
                <w:b/>
                <w:bCs/>
              </w:rPr>
            </w:pPr>
            <w:r w:rsidRPr="4D1BBAA5">
              <w:rPr>
                <w:b/>
                <w:bCs/>
              </w:rPr>
              <w:t>Murray Cod</w:t>
            </w:r>
          </w:p>
        </w:tc>
        <w:tc>
          <w:tcPr>
            <w:tcW w:w="0" w:type="auto"/>
            <w:vMerge w:val="restart"/>
            <w:tcBorders>
              <w:top w:val="thinThickMediumGap" w:sz="24" w:space="0" w:color="00B2A9" w:themeColor="accent1"/>
            </w:tcBorders>
          </w:tcPr>
          <w:p w14:paraId="6280A38A" w14:textId="77777777" w:rsidR="00491210" w:rsidRPr="00EF34A3" w:rsidRDefault="00EE200C" w:rsidP="002E1674">
            <w:pPr>
              <w:spacing w:after="60"/>
              <w:jc w:val="center"/>
              <w:rPr>
                <w:color w:val="000000"/>
                <w:szCs w:val="20"/>
                <w:lang w:eastAsia="en-AU"/>
              </w:rPr>
            </w:pPr>
            <w:r w:rsidRPr="3FC79A6E">
              <w:rPr>
                <w:color w:val="000000"/>
                <w:lang w:eastAsia="en-AU"/>
              </w:rPr>
              <w:t xml:space="preserve">Total RRCP </w:t>
            </w:r>
            <w:r>
              <w:rPr>
                <w:color w:val="000000"/>
                <w:lang w:eastAsia="en-AU"/>
              </w:rPr>
              <w:t>Populations*</w:t>
            </w:r>
          </w:p>
        </w:tc>
        <w:tc>
          <w:tcPr>
            <w:tcW w:w="1622" w:type="dxa"/>
            <w:tcBorders>
              <w:top w:val="thinThickMediumGap" w:sz="24" w:space="0" w:color="00B2A9" w:themeColor="accent1"/>
            </w:tcBorders>
          </w:tcPr>
          <w:p w14:paraId="7C0ECEEE" w14:textId="77777777" w:rsidR="00491210" w:rsidRPr="00EF34A3" w:rsidRDefault="00EE200C" w:rsidP="002E1674">
            <w:pPr>
              <w:spacing w:after="60"/>
              <w:jc w:val="center"/>
              <w:rPr>
                <w:szCs w:val="20"/>
              </w:rPr>
            </w:pPr>
            <w:r w:rsidRPr="00EF34A3">
              <w:rPr>
                <w:color w:val="000000"/>
                <w:szCs w:val="20"/>
                <w:lang w:eastAsia="en-AU"/>
              </w:rPr>
              <w:t>Option 1</w:t>
            </w:r>
          </w:p>
        </w:tc>
        <w:tc>
          <w:tcPr>
            <w:tcW w:w="1701" w:type="dxa"/>
            <w:tcBorders>
              <w:top w:val="thinThickMediumGap" w:sz="24" w:space="0" w:color="00B2A9" w:themeColor="accent1"/>
            </w:tcBorders>
          </w:tcPr>
          <w:p w14:paraId="5F256C95" w14:textId="77777777" w:rsidR="00491210" w:rsidRDefault="00EE200C" w:rsidP="002E1674">
            <w:pPr>
              <w:tabs>
                <w:tab w:val="decimal" w:pos="851"/>
              </w:tabs>
              <w:spacing w:after="60"/>
              <w:jc w:val="center"/>
            </w:pPr>
            <w:r w:rsidRPr="00D62F1C">
              <w:t>0</w:t>
            </w:r>
          </w:p>
        </w:tc>
        <w:tc>
          <w:tcPr>
            <w:tcW w:w="1701" w:type="dxa"/>
            <w:tcBorders>
              <w:top w:val="thinThickMediumGap" w:sz="24" w:space="0" w:color="00B2A9" w:themeColor="accent1"/>
            </w:tcBorders>
          </w:tcPr>
          <w:p w14:paraId="39C36E2A" w14:textId="111123D7" w:rsidR="00491210" w:rsidRDefault="00EE200C" w:rsidP="002E1674">
            <w:pPr>
              <w:tabs>
                <w:tab w:val="decimal" w:pos="851"/>
              </w:tabs>
              <w:spacing w:after="60"/>
              <w:jc w:val="center"/>
            </w:pPr>
            <w:r w:rsidRPr="00D02797">
              <w:t>0</w:t>
            </w:r>
          </w:p>
        </w:tc>
        <w:tc>
          <w:tcPr>
            <w:tcW w:w="1701" w:type="dxa"/>
            <w:tcBorders>
              <w:top w:val="thinThickMediumGap" w:sz="24" w:space="0" w:color="00B2A9" w:themeColor="accent1"/>
            </w:tcBorders>
          </w:tcPr>
          <w:p w14:paraId="19661987" w14:textId="77777777" w:rsidR="00491210" w:rsidRDefault="00EE200C" w:rsidP="002E1674">
            <w:pPr>
              <w:tabs>
                <w:tab w:val="decimal" w:pos="851"/>
              </w:tabs>
              <w:spacing w:after="60"/>
              <w:jc w:val="center"/>
            </w:pPr>
            <w:r>
              <w:t>1</w:t>
            </w:r>
          </w:p>
        </w:tc>
      </w:tr>
      <w:tr w:rsidR="002E1674" w14:paraId="01310D66" w14:textId="77777777" w:rsidTr="00CA2A2D">
        <w:tc>
          <w:tcPr>
            <w:tcW w:w="0" w:type="auto"/>
            <w:vMerge/>
          </w:tcPr>
          <w:p w14:paraId="51E198CC" w14:textId="77777777" w:rsidR="00491210" w:rsidRDefault="00491210" w:rsidP="002E1674">
            <w:pPr>
              <w:spacing w:after="60"/>
              <w:jc w:val="center"/>
            </w:pPr>
          </w:p>
        </w:tc>
        <w:tc>
          <w:tcPr>
            <w:tcW w:w="0" w:type="auto"/>
            <w:vMerge/>
          </w:tcPr>
          <w:p w14:paraId="56AFB6D4" w14:textId="77777777" w:rsidR="00491210" w:rsidRPr="00EF34A3" w:rsidRDefault="00491210" w:rsidP="002E1674">
            <w:pPr>
              <w:spacing w:after="60"/>
              <w:jc w:val="center"/>
              <w:rPr>
                <w:color w:val="000000"/>
                <w:szCs w:val="20"/>
                <w:lang w:eastAsia="en-AU"/>
              </w:rPr>
            </w:pPr>
          </w:p>
        </w:tc>
        <w:tc>
          <w:tcPr>
            <w:tcW w:w="1622" w:type="dxa"/>
            <w:tcBorders>
              <w:bottom w:val="single" w:sz="4" w:space="0" w:color="00B2A9" w:themeColor="accent1"/>
            </w:tcBorders>
          </w:tcPr>
          <w:p w14:paraId="2E05D25C" w14:textId="77777777" w:rsidR="00491210" w:rsidRPr="00EF34A3" w:rsidRDefault="00EE200C" w:rsidP="002E1674">
            <w:pPr>
              <w:spacing w:after="60"/>
              <w:jc w:val="center"/>
              <w:rPr>
                <w:szCs w:val="20"/>
              </w:rPr>
            </w:pPr>
            <w:r w:rsidRPr="00EF34A3">
              <w:rPr>
                <w:color w:val="000000"/>
                <w:szCs w:val="20"/>
                <w:lang w:eastAsia="en-AU"/>
              </w:rPr>
              <w:t>Option 2</w:t>
            </w:r>
          </w:p>
        </w:tc>
        <w:tc>
          <w:tcPr>
            <w:tcW w:w="1701" w:type="dxa"/>
            <w:tcBorders>
              <w:bottom w:val="single" w:sz="4" w:space="0" w:color="00B2A9" w:themeColor="accent1"/>
            </w:tcBorders>
          </w:tcPr>
          <w:p w14:paraId="3063EA1D" w14:textId="77777777" w:rsidR="00491210" w:rsidRDefault="00EE200C" w:rsidP="002E1674">
            <w:pPr>
              <w:tabs>
                <w:tab w:val="decimal" w:pos="851"/>
              </w:tabs>
              <w:spacing w:after="60"/>
              <w:jc w:val="center"/>
            </w:pPr>
            <w:r w:rsidRPr="00D62F1C">
              <w:t>0</w:t>
            </w:r>
          </w:p>
        </w:tc>
        <w:tc>
          <w:tcPr>
            <w:tcW w:w="1701" w:type="dxa"/>
            <w:tcBorders>
              <w:bottom w:val="single" w:sz="4" w:space="0" w:color="00B2A9" w:themeColor="accent1"/>
            </w:tcBorders>
          </w:tcPr>
          <w:p w14:paraId="04193A73" w14:textId="5298DDA8" w:rsidR="00491210" w:rsidRDefault="00EE200C" w:rsidP="002E1674">
            <w:pPr>
              <w:tabs>
                <w:tab w:val="decimal" w:pos="851"/>
              </w:tabs>
              <w:spacing w:after="60"/>
              <w:jc w:val="center"/>
            </w:pPr>
            <w:r w:rsidRPr="00D02797">
              <w:t>0</w:t>
            </w:r>
          </w:p>
        </w:tc>
        <w:tc>
          <w:tcPr>
            <w:tcW w:w="1701" w:type="dxa"/>
            <w:tcBorders>
              <w:bottom w:val="single" w:sz="4" w:space="0" w:color="00B2A9" w:themeColor="accent1"/>
            </w:tcBorders>
          </w:tcPr>
          <w:p w14:paraId="56E3EE12" w14:textId="77777777" w:rsidR="00491210" w:rsidRDefault="00EE200C" w:rsidP="002E1674">
            <w:pPr>
              <w:tabs>
                <w:tab w:val="decimal" w:pos="851"/>
              </w:tabs>
              <w:spacing w:after="60"/>
              <w:jc w:val="center"/>
            </w:pPr>
            <w:r>
              <w:t>2</w:t>
            </w:r>
          </w:p>
        </w:tc>
      </w:tr>
      <w:tr w:rsidR="002E1674" w14:paraId="5C525184" w14:textId="77777777" w:rsidTr="00CA2A2D">
        <w:tc>
          <w:tcPr>
            <w:tcW w:w="0" w:type="auto"/>
            <w:vMerge/>
          </w:tcPr>
          <w:p w14:paraId="51DBA1E6" w14:textId="77777777" w:rsidR="00491210" w:rsidRDefault="00491210" w:rsidP="002E1674">
            <w:pPr>
              <w:spacing w:after="60"/>
              <w:jc w:val="center"/>
            </w:pPr>
          </w:p>
        </w:tc>
        <w:tc>
          <w:tcPr>
            <w:tcW w:w="0" w:type="auto"/>
            <w:vMerge/>
          </w:tcPr>
          <w:p w14:paraId="71DED5F6" w14:textId="77777777" w:rsidR="00491210" w:rsidRPr="00EF34A3" w:rsidRDefault="00491210" w:rsidP="002E1674">
            <w:pPr>
              <w:spacing w:after="60"/>
              <w:jc w:val="center"/>
              <w:rPr>
                <w:color w:val="000000"/>
                <w:szCs w:val="20"/>
                <w:lang w:eastAsia="en-AU"/>
              </w:rPr>
            </w:pPr>
          </w:p>
        </w:tc>
        <w:tc>
          <w:tcPr>
            <w:tcW w:w="1622" w:type="dxa"/>
            <w:tcBorders>
              <w:top w:val="single" w:sz="4" w:space="0" w:color="00B2A9" w:themeColor="accent1"/>
            </w:tcBorders>
          </w:tcPr>
          <w:p w14:paraId="0CC328C5" w14:textId="77777777" w:rsidR="00491210" w:rsidRPr="00EF34A3" w:rsidRDefault="00EE200C" w:rsidP="002E1674">
            <w:pPr>
              <w:spacing w:after="60"/>
              <w:jc w:val="center"/>
              <w:rPr>
                <w:szCs w:val="20"/>
              </w:rPr>
            </w:pPr>
            <w:r w:rsidRPr="00EF34A3">
              <w:rPr>
                <w:color w:val="000000"/>
                <w:szCs w:val="20"/>
                <w:lang w:eastAsia="en-AU"/>
              </w:rPr>
              <w:t>Option 3</w:t>
            </w:r>
          </w:p>
        </w:tc>
        <w:tc>
          <w:tcPr>
            <w:tcW w:w="1701" w:type="dxa"/>
            <w:tcBorders>
              <w:top w:val="single" w:sz="4" w:space="0" w:color="00B2A9" w:themeColor="accent1"/>
            </w:tcBorders>
          </w:tcPr>
          <w:p w14:paraId="35FFBE58" w14:textId="77777777" w:rsidR="00491210" w:rsidRDefault="00EE200C" w:rsidP="002E1674">
            <w:pPr>
              <w:tabs>
                <w:tab w:val="decimal" w:pos="851"/>
              </w:tabs>
              <w:spacing w:after="60"/>
              <w:jc w:val="center"/>
            </w:pPr>
            <w:r w:rsidRPr="00D62F1C">
              <w:t>0</w:t>
            </w:r>
          </w:p>
        </w:tc>
        <w:tc>
          <w:tcPr>
            <w:tcW w:w="1701" w:type="dxa"/>
            <w:tcBorders>
              <w:top w:val="single" w:sz="4" w:space="0" w:color="00B2A9" w:themeColor="accent1"/>
            </w:tcBorders>
          </w:tcPr>
          <w:p w14:paraId="2F361953" w14:textId="38AE860B" w:rsidR="00491210" w:rsidRDefault="00EE200C" w:rsidP="002E1674">
            <w:pPr>
              <w:tabs>
                <w:tab w:val="decimal" w:pos="851"/>
              </w:tabs>
              <w:spacing w:after="60"/>
              <w:jc w:val="center"/>
            </w:pPr>
            <w:r w:rsidRPr="00D02797">
              <w:t>0</w:t>
            </w:r>
          </w:p>
        </w:tc>
        <w:tc>
          <w:tcPr>
            <w:tcW w:w="1701" w:type="dxa"/>
            <w:tcBorders>
              <w:top w:val="single" w:sz="4" w:space="0" w:color="00B2A9" w:themeColor="accent1"/>
            </w:tcBorders>
          </w:tcPr>
          <w:p w14:paraId="49765972" w14:textId="77777777" w:rsidR="00491210" w:rsidRDefault="00EE200C" w:rsidP="002E1674">
            <w:pPr>
              <w:tabs>
                <w:tab w:val="decimal" w:pos="851"/>
              </w:tabs>
              <w:spacing w:after="60"/>
              <w:jc w:val="center"/>
            </w:pPr>
            <w:r>
              <w:t>0</w:t>
            </w:r>
          </w:p>
        </w:tc>
      </w:tr>
      <w:tr w:rsidR="002E1674" w14:paraId="30ABFF18" w14:textId="77777777" w:rsidTr="00CA2A2D">
        <w:tc>
          <w:tcPr>
            <w:tcW w:w="0" w:type="auto"/>
            <w:vMerge/>
            <w:tcBorders>
              <w:bottom w:val="double" w:sz="4" w:space="0" w:color="00B2A9" w:themeColor="accent1"/>
            </w:tcBorders>
          </w:tcPr>
          <w:p w14:paraId="5D0E0C65" w14:textId="77777777" w:rsidR="00491210" w:rsidRDefault="00491210" w:rsidP="002E1674">
            <w:pPr>
              <w:spacing w:after="60"/>
              <w:jc w:val="center"/>
            </w:pPr>
          </w:p>
        </w:tc>
        <w:tc>
          <w:tcPr>
            <w:tcW w:w="0" w:type="auto"/>
            <w:vMerge/>
            <w:tcBorders>
              <w:bottom w:val="double" w:sz="4" w:space="0" w:color="00B2A9" w:themeColor="accent1"/>
            </w:tcBorders>
          </w:tcPr>
          <w:p w14:paraId="7EFE578E" w14:textId="77777777" w:rsidR="00491210" w:rsidRPr="00EF34A3" w:rsidRDefault="00491210" w:rsidP="002E1674">
            <w:pPr>
              <w:spacing w:after="60"/>
              <w:jc w:val="center"/>
              <w:rPr>
                <w:color w:val="000000"/>
                <w:szCs w:val="20"/>
                <w:lang w:eastAsia="en-AU"/>
              </w:rPr>
            </w:pPr>
          </w:p>
        </w:tc>
        <w:tc>
          <w:tcPr>
            <w:tcW w:w="1622" w:type="dxa"/>
            <w:tcBorders>
              <w:bottom w:val="double" w:sz="4" w:space="0" w:color="00B2A9" w:themeColor="accent1"/>
            </w:tcBorders>
          </w:tcPr>
          <w:p w14:paraId="7E71CCC1" w14:textId="77777777" w:rsidR="00491210" w:rsidRPr="00EF34A3" w:rsidRDefault="00EE200C" w:rsidP="002E1674">
            <w:pPr>
              <w:spacing w:after="60"/>
              <w:jc w:val="center"/>
              <w:rPr>
                <w:szCs w:val="20"/>
              </w:rPr>
            </w:pPr>
            <w:r w:rsidRPr="00EF34A3">
              <w:rPr>
                <w:color w:val="000000"/>
                <w:szCs w:val="20"/>
                <w:lang w:eastAsia="en-AU"/>
              </w:rPr>
              <w:t>Option 4</w:t>
            </w:r>
          </w:p>
        </w:tc>
        <w:tc>
          <w:tcPr>
            <w:tcW w:w="1701" w:type="dxa"/>
            <w:tcBorders>
              <w:bottom w:val="double" w:sz="4" w:space="0" w:color="00B2A9" w:themeColor="accent1"/>
            </w:tcBorders>
          </w:tcPr>
          <w:p w14:paraId="6EC91726" w14:textId="77777777" w:rsidR="00491210" w:rsidRDefault="00EE200C" w:rsidP="002E1674">
            <w:pPr>
              <w:tabs>
                <w:tab w:val="decimal" w:pos="851"/>
              </w:tabs>
              <w:spacing w:after="60"/>
              <w:jc w:val="center"/>
            </w:pPr>
            <w:r>
              <w:t>0</w:t>
            </w:r>
          </w:p>
        </w:tc>
        <w:tc>
          <w:tcPr>
            <w:tcW w:w="1701" w:type="dxa"/>
            <w:tcBorders>
              <w:bottom w:val="double" w:sz="4" w:space="0" w:color="00B2A9" w:themeColor="accent1"/>
            </w:tcBorders>
          </w:tcPr>
          <w:p w14:paraId="338A0391" w14:textId="66CAE43F" w:rsidR="00491210" w:rsidRDefault="00EE200C" w:rsidP="002E1674">
            <w:pPr>
              <w:tabs>
                <w:tab w:val="decimal" w:pos="851"/>
              </w:tabs>
              <w:spacing w:after="60"/>
              <w:jc w:val="center"/>
            </w:pPr>
            <w:r w:rsidRPr="00D02797">
              <w:t>0</w:t>
            </w:r>
          </w:p>
        </w:tc>
        <w:tc>
          <w:tcPr>
            <w:tcW w:w="1701" w:type="dxa"/>
            <w:tcBorders>
              <w:bottom w:val="double" w:sz="4" w:space="0" w:color="00B2A9" w:themeColor="accent1"/>
            </w:tcBorders>
          </w:tcPr>
          <w:p w14:paraId="50B7A7C5" w14:textId="77777777" w:rsidR="00491210" w:rsidRDefault="00EE200C" w:rsidP="002E1674">
            <w:pPr>
              <w:tabs>
                <w:tab w:val="decimal" w:pos="851"/>
              </w:tabs>
              <w:spacing w:after="60"/>
              <w:jc w:val="center"/>
            </w:pPr>
            <w:r>
              <w:t>1</w:t>
            </w:r>
          </w:p>
        </w:tc>
      </w:tr>
      <w:tr w:rsidR="00B339F8" w14:paraId="0507006C" w14:textId="77777777" w:rsidTr="00CA2A2D">
        <w:tc>
          <w:tcPr>
            <w:tcW w:w="0" w:type="auto"/>
            <w:vMerge w:val="restart"/>
            <w:tcBorders>
              <w:top w:val="double" w:sz="4" w:space="0" w:color="00B2A9" w:themeColor="accent1"/>
            </w:tcBorders>
          </w:tcPr>
          <w:p w14:paraId="5165FCFB" w14:textId="77777777" w:rsidR="00491210" w:rsidRDefault="00491210" w:rsidP="00B339F8">
            <w:pPr>
              <w:spacing w:after="60"/>
              <w:jc w:val="center"/>
            </w:pPr>
          </w:p>
        </w:tc>
        <w:tc>
          <w:tcPr>
            <w:tcW w:w="0" w:type="auto"/>
            <w:vMerge w:val="restart"/>
            <w:tcBorders>
              <w:top w:val="double" w:sz="4" w:space="0" w:color="00B2A9" w:themeColor="accent1"/>
            </w:tcBorders>
          </w:tcPr>
          <w:p w14:paraId="50A70B0A" w14:textId="77777777" w:rsidR="00491210" w:rsidRDefault="00EE200C" w:rsidP="00B339F8">
            <w:pPr>
              <w:spacing w:after="60"/>
              <w:jc w:val="center"/>
              <w:rPr>
                <w:color w:val="000000"/>
                <w:szCs w:val="20"/>
                <w:lang w:eastAsia="en-AU"/>
              </w:rPr>
            </w:pPr>
            <w:r>
              <w:rPr>
                <w:color w:val="000000"/>
                <w:szCs w:val="20"/>
                <w:lang w:eastAsia="en-AU"/>
              </w:rPr>
              <w:t>Murray River</w:t>
            </w:r>
          </w:p>
        </w:tc>
        <w:tc>
          <w:tcPr>
            <w:tcW w:w="1622" w:type="dxa"/>
            <w:tcBorders>
              <w:top w:val="double" w:sz="4" w:space="0" w:color="00B2A9" w:themeColor="accent1"/>
            </w:tcBorders>
          </w:tcPr>
          <w:p w14:paraId="335F6104" w14:textId="77777777" w:rsidR="00491210" w:rsidRPr="00EF34A3" w:rsidRDefault="00EE200C" w:rsidP="00B339F8">
            <w:pPr>
              <w:spacing w:after="60"/>
              <w:jc w:val="center"/>
              <w:rPr>
                <w:color w:val="000000"/>
                <w:szCs w:val="20"/>
                <w:lang w:eastAsia="en-AU"/>
              </w:rPr>
            </w:pPr>
            <w:r w:rsidRPr="00EF34A3">
              <w:rPr>
                <w:color w:val="000000"/>
                <w:szCs w:val="20"/>
                <w:lang w:eastAsia="en-AU"/>
              </w:rPr>
              <w:t>Option 1</w:t>
            </w:r>
          </w:p>
        </w:tc>
        <w:tc>
          <w:tcPr>
            <w:tcW w:w="1701" w:type="dxa"/>
            <w:tcBorders>
              <w:top w:val="double" w:sz="4" w:space="0" w:color="00B2A9" w:themeColor="accent1"/>
            </w:tcBorders>
          </w:tcPr>
          <w:p w14:paraId="6D199CE2" w14:textId="77777777" w:rsidR="00491210" w:rsidRDefault="00EE200C" w:rsidP="00B339F8">
            <w:pPr>
              <w:tabs>
                <w:tab w:val="decimal" w:pos="851"/>
              </w:tabs>
              <w:spacing w:after="60"/>
              <w:jc w:val="center"/>
            </w:pPr>
            <w:r w:rsidRPr="00262C80">
              <w:t>1</w:t>
            </w:r>
          </w:p>
        </w:tc>
        <w:tc>
          <w:tcPr>
            <w:tcW w:w="1701" w:type="dxa"/>
            <w:tcBorders>
              <w:top w:val="double" w:sz="4" w:space="0" w:color="00B2A9" w:themeColor="accent1"/>
            </w:tcBorders>
          </w:tcPr>
          <w:p w14:paraId="0AA4806B" w14:textId="5306EB21" w:rsidR="00491210" w:rsidRDefault="00EE200C" w:rsidP="00B339F8">
            <w:pPr>
              <w:tabs>
                <w:tab w:val="decimal" w:pos="851"/>
              </w:tabs>
              <w:spacing w:after="60"/>
              <w:jc w:val="center"/>
            </w:pPr>
            <w:r w:rsidRPr="00E43F47">
              <w:t>1</w:t>
            </w:r>
          </w:p>
        </w:tc>
        <w:tc>
          <w:tcPr>
            <w:tcW w:w="1701" w:type="dxa"/>
            <w:tcBorders>
              <w:top w:val="double" w:sz="4" w:space="0" w:color="00B2A9" w:themeColor="accent1"/>
            </w:tcBorders>
          </w:tcPr>
          <w:p w14:paraId="63DF3527" w14:textId="77777777" w:rsidR="00491210" w:rsidRDefault="00EE200C" w:rsidP="00B339F8">
            <w:pPr>
              <w:tabs>
                <w:tab w:val="decimal" w:pos="851"/>
              </w:tabs>
              <w:spacing w:after="60"/>
              <w:jc w:val="center"/>
            </w:pPr>
            <w:r w:rsidRPr="00262C80">
              <w:t>2</w:t>
            </w:r>
          </w:p>
        </w:tc>
      </w:tr>
      <w:tr w:rsidR="00B339F8" w14:paraId="3775A3CE" w14:textId="77777777" w:rsidTr="00CA2A2D">
        <w:tc>
          <w:tcPr>
            <w:tcW w:w="0" w:type="auto"/>
            <w:vMerge/>
          </w:tcPr>
          <w:p w14:paraId="78A7EE3F" w14:textId="77777777" w:rsidR="00491210" w:rsidRDefault="00491210" w:rsidP="00B339F8">
            <w:pPr>
              <w:spacing w:after="60"/>
              <w:jc w:val="center"/>
            </w:pPr>
          </w:p>
        </w:tc>
        <w:tc>
          <w:tcPr>
            <w:tcW w:w="0" w:type="auto"/>
            <w:vMerge/>
          </w:tcPr>
          <w:p w14:paraId="5D6BDDDF" w14:textId="77777777" w:rsidR="00491210" w:rsidRDefault="00491210" w:rsidP="00B339F8">
            <w:pPr>
              <w:spacing w:after="60"/>
              <w:jc w:val="center"/>
              <w:rPr>
                <w:color w:val="000000"/>
                <w:szCs w:val="20"/>
                <w:lang w:eastAsia="en-AU"/>
              </w:rPr>
            </w:pPr>
          </w:p>
        </w:tc>
        <w:tc>
          <w:tcPr>
            <w:tcW w:w="1622" w:type="dxa"/>
          </w:tcPr>
          <w:p w14:paraId="0E2B9EF0" w14:textId="77777777" w:rsidR="00491210" w:rsidRPr="00EF34A3" w:rsidRDefault="00EE200C" w:rsidP="00B339F8">
            <w:pPr>
              <w:spacing w:after="60"/>
              <w:jc w:val="center"/>
              <w:rPr>
                <w:color w:val="000000"/>
                <w:szCs w:val="20"/>
                <w:lang w:eastAsia="en-AU"/>
              </w:rPr>
            </w:pPr>
            <w:r w:rsidRPr="00EF34A3">
              <w:rPr>
                <w:color w:val="000000"/>
                <w:szCs w:val="20"/>
                <w:lang w:eastAsia="en-AU"/>
              </w:rPr>
              <w:t>Option 2</w:t>
            </w:r>
          </w:p>
        </w:tc>
        <w:tc>
          <w:tcPr>
            <w:tcW w:w="1701" w:type="dxa"/>
          </w:tcPr>
          <w:p w14:paraId="3A7D1862" w14:textId="77777777" w:rsidR="00491210" w:rsidRDefault="00EE200C" w:rsidP="00B339F8">
            <w:pPr>
              <w:tabs>
                <w:tab w:val="decimal" w:pos="851"/>
              </w:tabs>
              <w:spacing w:after="60"/>
              <w:jc w:val="center"/>
            </w:pPr>
            <w:r w:rsidRPr="00262C80">
              <w:t>1</w:t>
            </w:r>
          </w:p>
        </w:tc>
        <w:tc>
          <w:tcPr>
            <w:tcW w:w="1701" w:type="dxa"/>
          </w:tcPr>
          <w:p w14:paraId="6C1D2E1B" w14:textId="3753A5F0" w:rsidR="00491210" w:rsidRDefault="00EE200C" w:rsidP="00B339F8">
            <w:pPr>
              <w:tabs>
                <w:tab w:val="decimal" w:pos="851"/>
              </w:tabs>
              <w:spacing w:after="60"/>
              <w:jc w:val="center"/>
            </w:pPr>
            <w:r w:rsidRPr="00E43F47">
              <w:t>1</w:t>
            </w:r>
          </w:p>
        </w:tc>
        <w:tc>
          <w:tcPr>
            <w:tcW w:w="1701" w:type="dxa"/>
          </w:tcPr>
          <w:p w14:paraId="367EBF17" w14:textId="77777777" w:rsidR="00491210" w:rsidRDefault="00EE200C" w:rsidP="00B339F8">
            <w:pPr>
              <w:tabs>
                <w:tab w:val="decimal" w:pos="851"/>
              </w:tabs>
              <w:spacing w:after="60"/>
              <w:jc w:val="center"/>
            </w:pPr>
            <w:r w:rsidRPr="00262C80">
              <w:t>2</w:t>
            </w:r>
          </w:p>
        </w:tc>
      </w:tr>
      <w:tr w:rsidR="00B339F8" w14:paraId="415959CF" w14:textId="77777777" w:rsidTr="00CA2A2D">
        <w:tc>
          <w:tcPr>
            <w:tcW w:w="0" w:type="auto"/>
            <w:vMerge/>
          </w:tcPr>
          <w:p w14:paraId="3719F67F" w14:textId="77777777" w:rsidR="00491210" w:rsidRDefault="00491210" w:rsidP="00B339F8">
            <w:pPr>
              <w:spacing w:after="60"/>
              <w:jc w:val="center"/>
            </w:pPr>
          </w:p>
        </w:tc>
        <w:tc>
          <w:tcPr>
            <w:tcW w:w="0" w:type="auto"/>
            <w:vMerge/>
          </w:tcPr>
          <w:p w14:paraId="7A1225BF" w14:textId="77777777" w:rsidR="00491210" w:rsidRDefault="00491210" w:rsidP="00B339F8">
            <w:pPr>
              <w:spacing w:after="60"/>
              <w:jc w:val="center"/>
              <w:rPr>
                <w:color w:val="000000"/>
                <w:szCs w:val="20"/>
                <w:lang w:eastAsia="en-AU"/>
              </w:rPr>
            </w:pPr>
          </w:p>
        </w:tc>
        <w:tc>
          <w:tcPr>
            <w:tcW w:w="1622" w:type="dxa"/>
          </w:tcPr>
          <w:p w14:paraId="253F18C2" w14:textId="77777777" w:rsidR="00491210" w:rsidRPr="00EF34A3" w:rsidRDefault="00EE200C" w:rsidP="00B339F8">
            <w:pPr>
              <w:spacing w:after="60"/>
              <w:jc w:val="center"/>
              <w:rPr>
                <w:color w:val="000000"/>
                <w:szCs w:val="20"/>
                <w:lang w:eastAsia="en-AU"/>
              </w:rPr>
            </w:pPr>
            <w:r w:rsidRPr="00EF34A3">
              <w:rPr>
                <w:color w:val="000000"/>
                <w:szCs w:val="20"/>
                <w:lang w:eastAsia="en-AU"/>
              </w:rPr>
              <w:t>Option 3</w:t>
            </w:r>
          </w:p>
        </w:tc>
        <w:tc>
          <w:tcPr>
            <w:tcW w:w="1701" w:type="dxa"/>
          </w:tcPr>
          <w:p w14:paraId="00A5946F" w14:textId="77777777" w:rsidR="00491210" w:rsidRDefault="00EE200C" w:rsidP="00B339F8">
            <w:pPr>
              <w:tabs>
                <w:tab w:val="decimal" w:pos="851"/>
              </w:tabs>
              <w:spacing w:after="60"/>
              <w:jc w:val="center"/>
            </w:pPr>
            <w:r w:rsidRPr="00262C80">
              <w:t>0</w:t>
            </w:r>
          </w:p>
        </w:tc>
        <w:tc>
          <w:tcPr>
            <w:tcW w:w="1701" w:type="dxa"/>
          </w:tcPr>
          <w:p w14:paraId="6B3C2483" w14:textId="03EC1F25" w:rsidR="00491210" w:rsidRDefault="00EE200C" w:rsidP="00B339F8">
            <w:pPr>
              <w:tabs>
                <w:tab w:val="decimal" w:pos="851"/>
              </w:tabs>
              <w:spacing w:after="60"/>
              <w:jc w:val="center"/>
            </w:pPr>
            <w:r w:rsidRPr="00E43F47">
              <w:t>0</w:t>
            </w:r>
          </w:p>
        </w:tc>
        <w:tc>
          <w:tcPr>
            <w:tcW w:w="1701" w:type="dxa"/>
          </w:tcPr>
          <w:p w14:paraId="7D51ACA6" w14:textId="77777777" w:rsidR="00491210" w:rsidRDefault="00EE200C" w:rsidP="00B339F8">
            <w:pPr>
              <w:tabs>
                <w:tab w:val="decimal" w:pos="851"/>
              </w:tabs>
              <w:spacing w:after="60"/>
              <w:jc w:val="center"/>
            </w:pPr>
            <w:r w:rsidRPr="00262C80">
              <w:t>1</w:t>
            </w:r>
          </w:p>
        </w:tc>
      </w:tr>
      <w:tr w:rsidR="00B339F8" w14:paraId="49B150FE" w14:textId="77777777" w:rsidTr="00CA2A2D">
        <w:tc>
          <w:tcPr>
            <w:tcW w:w="0" w:type="auto"/>
            <w:vMerge/>
          </w:tcPr>
          <w:p w14:paraId="1BD73DA2" w14:textId="77777777" w:rsidR="00491210" w:rsidRDefault="00491210" w:rsidP="00B339F8">
            <w:pPr>
              <w:spacing w:after="60"/>
              <w:jc w:val="center"/>
            </w:pPr>
          </w:p>
        </w:tc>
        <w:tc>
          <w:tcPr>
            <w:tcW w:w="0" w:type="auto"/>
            <w:vMerge/>
            <w:tcBorders>
              <w:bottom w:val="double" w:sz="4" w:space="0" w:color="00B2A9" w:themeColor="accent1"/>
            </w:tcBorders>
          </w:tcPr>
          <w:p w14:paraId="2B6424C1" w14:textId="77777777" w:rsidR="00491210" w:rsidRDefault="00491210" w:rsidP="00B339F8">
            <w:pPr>
              <w:spacing w:after="60"/>
              <w:jc w:val="center"/>
              <w:rPr>
                <w:color w:val="000000"/>
                <w:szCs w:val="20"/>
                <w:lang w:eastAsia="en-AU"/>
              </w:rPr>
            </w:pPr>
          </w:p>
        </w:tc>
        <w:tc>
          <w:tcPr>
            <w:tcW w:w="1622" w:type="dxa"/>
            <w:tcBorders>
              <w:bottom w:val="double" w:sz="4" w:space="0" w:color="00B2A9" w:themeColor="accent1"/>
            </w:tcBorders>
          </w:tcPr>
          <w:p w14:paraId="3BE2BCBB" w14:textId="77777777" w:rsidR="00491210" w:rsidRPr="00EF34A3" w:rsidRDefault="00EE200C" w:rsidP="00B339F8">
            <w:pPr>
              <w:spacing w:after="60"/>
              <w:jc w:val="center"/>
              <w:rPr>
                <w:color w:val="000000"/>
                <w:szCs w:val="20"/>
                <w:lang w:eastAsia="en-AU"/>
              </w:rPr>
            </w:pPr>
            <w:r w:rsidRPr="00EF34A3">
              <w:rPr>
                <w:color w:val="000000"/>
                <w:szCs w:val="20"/>
                <w:lang w:eastAsia="en-AU"/>
              </w:rPr>
              <w:t>Option 4</w:t>
            </w:r>
          </w:p>
        </w:tc>
        <w:tc>
          <w:tcPr>
            <w:tcW w:w="1701" w:type="dxa"/>
            <w:tcBorders>
              <w:bottom w:val="double" w:sz="4" w:space="0" w:color="00B2A9" w:themeColor="accent1"/>
            </w:tcBorders>
          </w:tcPr>
          <w:p w14:paraId="046F29C1" w14:textId="77777777" w:rsidR="00491210" w:rsidRDefault="00EE200C" w:rsidP="00B339F8">
            <w:pPr>
              <w:tabs>
                <w:tab w:val="decimal" w:pos="851"/>
              </w:tabs>
              <w:spacing w:after="60"/>
              <w:jc w:val="center"/>
            </w:pPr>
            <w:r w:rsidRPr="00262C80">
              <w:t>0</w:t>
            </w:r>
          </w:p>
        </w:tc>
        <w:tc>
          <w:tcPr>
            <w:tcW w:w="1701" w:type="dxa"/>
            <w:tcBorders>
              <w:bottom w:val="double" w:sz="4" w:space="0" w:color="00B2A9" w:themeColor="accent1"/>
            </w:tcBorders>
          </w:tcPr>
          <w:p w14:paraId="37A18018" w14:textId="302630B5" w:rsidR="00491210" w:rsidRDefault="00EE200C" w:rsidP="00B339F8">
            <w:pPr>
              <w:tabs>
                <w:tab w:val="decimal" w:pos="851"/>
              </w:tabs>
              <w:spacing w:after="60"/>
              <w:jc w:val="center"/>
            </w:pPr>
            <w:r w:rsidRPr="00E43F47">
              <w:t>1</w:t>
            </w:r>
          </w:p>
        </w:tc>
        <w:tc>
          <w:tcPr>
            <w:tcW w:w="1701" w:type="dxa"/>
            <w:tcBorders>
              <w:bottom w:val="double" w:sz="4" w:space="0" w:color="00B2A9" w:themeColor="accent1"/>
            </w:tcBorders>
          </w:tcPr>
          <w:p w14:paraId="49BBEE49" w14:textId="77777777" w:rsidR="00491210" w:rsidRDefault="00EE200C" w:rsidP="00B339F8">
            <w:pPr>
              <w:tabs>
                <w:tab w:val="decimal" w:pos="851"/>
              </w:tabs>
              <w:spacing w:after="60"/>
              <w:jc w:val="center"/>
            </w:pPr>
            <w:r w:rsidRPr="00262C80">
              <w:t>2</w:t>
            </w:r>
          </w:p>
        </w:tc>
      </w:tr>
      <w:tr w:rsidR="00B339F8" w14:paraId="3D04A2C8" w14:textId="77777777" w:rsidTr="00CA2A2D">
        <w:tc>
          <w:tcPr>
            <w:tcW w:w="0" w:type="auto"/>
            <w:vMerge/>
          </w:tcPr>
          <w:p w14:paraId="327CFE62" w14:textId="77777777" w:rsidR="00491210" w:rsidRDefault="00491210" w:rsidP="00B339F8">
            <w:pPr>
              <w:spacing w:after="60"/>
              <w:jc w:val="center"/>
            </w:pPr>
          </w:p>
        </w:tc>
        <w:tc>
          <w:tcPr>
            <w:tcW w:w="0" w:type="auto"/>
            <w:vMerge w:val="restart"/>
            <w:tcBorders>
              <w:top w:val="double" w:sz="4" w:space="0" w:color="00B2A9" w:themeColor="accent1"/>
            </w:tcBorders>
          </w:tcPr>
          <w:p w14:paraId="0037D4D7" w14:textId="77777777" w:rsidR="00491210" w:rsidRDefault="00EE200C" w:rsidP="00B339F8">
            <w:pPr>
              <w:spacing w:after="60"/>
              <w:jc w:val="center"/>
              <w:rPr>
                <w:color w:val="000000"/>
                <w:szCs w:val="20"/>
                <w:lang w:eastAsia="en-AU"/>
              </w:rPr>
            </w:pPr>
            <w:r>
              <w:rPr>
                <w:color w:val="000000"/>
                <w:szCs w:val="20"/>
                <w:lang w:eastAsia="en-AU"/>
              </w:rPr>
              <w:t>Murrumbidgee River</w:t>
            </w:r>
          </w:p>
        </w:tc>
        <w:tc>
          <w:tcPr>
            <w:tcW w:w="1622" w:type="dxa"/>
            <w:tcBorders>
              <w:top w:val="double" w:sz="4" w:space="0" w:color="00B2A9" w:themeColor="accent1"/>
            </w:tcBorders>
          </w:tcPr>
          <w:p w14:paraId="78ECEA68" w14:textId="77777777" w:rsidR="00491210" w:rsidRPr="00EF34A3" w:rsidRDefault="00EE200C" w:rsidP="00B339F8">
            <w:pPr>
              <w:spacing w:after="60"/>
              <w:jc w:val="center"/>
              <w:rPr>
                <w:color w:val="000000"/>
                <w:szCs w:val="20"/>
                <w:lang w:eastAsia="en-AU"/>
              </w:rPr>
            </w:pPr>
            <w:r w:rsidRPr="00EF34A3">
              <w:rPr>
                <w:color w:val="000000"/>
                <w:szCs w:val="20"/>
                <w:lang w:eastAsia="en-AU"/>
              </w:rPr>
              <w:t>Option 1</w:t>
            </w:r>
          </w:p>
        </w:tc>
        <w:tc>
          <w:tcPr>
            <w:tcW w:w="1701" w:type="dxa"/>
            <w:tcBorders>
              <w:top w:val="double" w:sz="4" w:space="0" w:color="00B2A9" w:themeColor="accent1"/>
            </w:tcBorders>
          </w:tcPr>
          <w:p w14:paraId="33E9A1BA" w14:textId="77777777" w:rsidR="00491210" w:rsidRDefault="00EE200C" w:rsidP="00B339F8">
            <w:pPr>
              <w:tabs>
                <w:tab w:val="decimal" w:pos="851"/>
              </w:tabs>
              <w:spacing w:after="60"/>
              <w:jc w:val="center"/>
            </w:pPr>
            <w:r w:rsidRPr="00262C80">
              <w:t>0</w:t>
            </w:r>
          </w:p>
        </w:tc>
        <w:tc>
          <w:tcPr>
            <w:tcW w:w="1701" w:type="dxa"/>
            <w:tcBorders>
              <w:top w:val="double" w:sz="4" w:space="0" w:color="00B2A9" w:themeColor="accent1"/>
            </w:tcBorders>
          </w:tcPr>
          <w:p w14:paraId="24EE2DDF" w14:textId="3824EAFD" w:rsidR="00491210" w:rsidRDefault="00EE200C" w:rsidP="00B339F8">
            <w:pPr>
              <w:tabs>
                <w:tab w:val="decimal" w:pos="851"/>
              </w:tabs>
              <w:spacing w:after="60"/>
              <w:jc w:val="center"/>
            </w:pPr>
            <w:r w:rsidRPr="00C8747B">
              <w:t>0</w:t>
            </w:r>
          </w:p>
        </w:tc>
        <w:tc>
          <w:tcPr>
            <w:tcW w:w="1701" w:type="dxa"/>
            <w:tcBorders>
              <w:top w:val="double" w:sz="4" w:space="0" w:color="00B2A9" w:themeColor="accent1"/>
            </w:tcBorders>
          </w:tcPr>
          <w:p w14:paraId="60627A8F" w14:textId="22355B8D" w:rsidR="00491210" w:rsidRDefault="00EE200C" w:rsidP="00B339F8">
            <w:pPr>
              <w:tabs>
                <w:tab w:val="decimal" w:pos="851"/>
              </w:tabs>
              <w:spacing w:after="60"/>
              <w:jc w:val="center"/>
            </w:pPr>
            <w:r w:rsidRPr="00B246E6">
              <w:t>-1</w:t>
            </w:r>
          </w:p>
        </w:tc>
      </w:tr>
      <w:tr w:rsidR="00B339F8" w14:paraId="3BC2E710" w14:textId="77777777" w:rsidTr="00CA2A2D">
        <w:tc>
          <w:tcPr>
            <w:tcW w:w="0" w:type="auto"/>
            <w:vMerge/>
          </w:tcPr>
          <w:p w14:paraId="75E59C88" w14:textId="77777777" w:rsidR="00491210" w:rsidRDefault="00491210" w:rsidP="00B339F8">
            <w:pPr>
              <w:spacing w:after="60"/>
              <w:jc w:val="center"/>
            </w:pPr>
          </w:p>
        </w:tc>
        <w:tc>
          <w:tcPr>
            <w:tcW w:w="0" w:type="auto"/>
            <w:vMerge/>
          </w:tcPr>
          <w:p w14:paraId="04B3115C" w14:textId="77777777" w:rsidR="00491210" w:rsidRDefault="00491210" w:rsidP="00B339F8">
            <w:pPr>
              <w:spacing w:after="60"/>
              <w:jc w:val="center"/>
              <w:rPr>
                <w:color w:val="000000"/>
                <w:szCs w:val="20"/>
                <w:lang w:eastAsia="en-AU"/>
              </w:rPr>
            </w:pPr>
          </w:p>
        </w:tc>
        <w:tc>
          <w:tcPr>
            <w:tcW w:w="1622" w:type="dxa"/>
          </w:tcPr>
          <w:p w14:paraId="64ADA4F3" w14:textId="77777777" w:rsidR="00491210" w:rsidRPr="00EF34A3" w:rsidRDefault="00EE200C" w:rsidP="00B339F8">
            <w:pPr>
              <w:spacing w:after="60"/>
              <w:jc w:val="center"/>
              <w:rPr>
                <w:color w:val="000000"/>
                <w:szCs w:val="20"/>
                <w:lang w:eastAsia="en-AU"/>
              </w:rPr>
            </w:pPr>
            <w:r w:rsidRPr="00EF34A3">
              <w:rPr>
                <w:color w:val="000000"/>
                <w:szCs w:val="20"/>
                <w:lang w:eastAsia="en-AU"/>
              </w:rPr>
              <w:t>Option 2</w:t>
            </w:r>
          </w:p>
        </w:tc>
        <w:tc>
          <w:tcPr>
            <w:tcW w:w="1701" w:type="dxa"/>
          </w:tcPr>
          <w:p w14:paraId="749DF6C2" w14:textId="77777777" w:rsidR="00491210" w:rsidRDefault="00EE200C" w:rsidP="00B339F8">
            <w:pPr>
              <w:tabs>
                <w:tab w:val="decimal" w:pos="851"/>
              </w:tabs>
              <w:spacing w:after="60"/>
              <w:jc w:val="center"/>
            </w:pPr>
            <w:r w:rsidRPr="00262C80">
              <w:t>0</w:t>
            </w:r>
          </w:p>
        </w:tc>
        <w:tc>
          <w:tcPr>
            <w:tcW w:w="1701" w:type="dxa"/>
          </w:tcPr>
          <w:p w14:paraId="6B1073AC" w14:textId="72249E97" w:rsidR="00491210" w:rsidRDefault="00EE200C" w:rsidP="00B339F8">
            <w:pPr>
              <w:tabs>
                <w:tab w:val="decimal" w:pos="851"/>
              </w:tabs>
              <w:spacing w:after="60"/>
              <w:jc w:val="center"/>
            </w:pPr>
            <w:r w:rsidRPr="00C8747B">
              <w:t>0</w:t>
            </w:r>
          </w:p>
        </w:tc>
        <w:tc>
          <w:tcPr>
            <w:tcW w:w="1701" w:type="dxa"/>
          </w:tcPr>
          <w:p w14:paraId="71328FC8" w14:textId="2410B844" w:rsidR="00491210" w:rsidRDefault="00EE200C" w:rsidP="00B339F8">
            <w:pPr>
              <w:tabs>
                <w:tab w:val="decimal" w:pos="851"/>
              </w:tabs>
              <w:spacing w:after="60"/>
              <w:jc w:val="center"/>
            </w:pPr>
            <w:r w:rsidRPr="00B246E6">
              <w:t>-2</w:t>
            </w:r>
          </w:p>
        </w:tc>
      </w:tr>
      <w:tr w:rsidR="00B339F8" w14:paraId="48DFEFAE" w14:textId="77777777" w:rsidTr="00CA2A2D">
        <w:tc>
          <w:tcPr>
            <w:tcW w:w="0" w:type="auto"/>
            <w:vMerge/>
          </w:tcPr>
          <w:p w14:paraId="3F2730F2" w14:textId="77777777" w:rsidR="00491210" w:rsidRDefault="00491210" w:rsidP="00B339F8">
            <w:pPr>
              <w:spacing w:after="60"/>
              <w:jc w:val="center"/>
            </w:pPr>
          </w:p>
        </w:tc>
        <w:tc>
          <w:tcPr>
            <w:tcW w:w="0" w:type="auto"/>
            <w:vMerge/>
          </w:tcPr>
          <w:p w14:paraId="5D8D8F7A" w14:textId="77777777" w:rsidR="00491210" w:rsidRDefault="00491210" w:rsidP="00B339F8">
            <w:pPr>
              <w:spacing w:after="60"/>
              <w:jc w:val="center"/>
              <w:rPr>
                <w:color w:val="000000"/>
                <w:szCs w:val="20"/>
                <w:lang w:eastAsia="en-AU"/>
              </w:rPr>
            </w:pPr>
          </w:p>
        </w:tc>
        <w:tc>
          <w:tcPr>
            <w:tcW w:w="1622" w:type="dxa"/>
          </w:tcPr>
          <w:p w14:paraId="1AC613D0" w14:textId="77777777" w:rsidR="00491210" w:rsidRPr="00EF34A3" w:rsidRDefault="00EE200C" w:rsidP="00B339F8">
            <w:pPr>
              <w:spacing w:after="60"/>
              <w:jc w:val="center"/>
              <w:rPr>
                <w:color w:val="000000"/>
                <w:szCs w:val="20"/>
                <w:lang w:eastAsia="en-AU"/>
              </w:rPr>
            </w:pPr>
            <w:r w:rsidRPr="00EF34A3">
              <w:rPr>
                <w:color w:val="000000"/>
                <w:szCs w:val="20"/>
                <w:lang w:eastAsia="en-AU"/>
              </w:rPr>
              <w:t>Option 3</w:t>
            </w:r>
          </w:p>
        </w:tc>
        <w:tc>
          <w:tcPr>
            <w:tcW w:w="1701" w:type="dxa"/>
          </w:tcPr>
          <w:p w14:paraId="3BF2D9E5" w14:textId="77777777" w:rsidR="00491210" w:rsidRDefault="00EE200C" w:rsidP="00B339F8">
            <w:pPr>
              <w:tabs>
                <w:tab w:val="decimal" w:pos="851"/>
              </w:tabs>
              <w:spacing w:after="60"/>
              <w:jc w:val="center"/>
            </w:pPr>
            <w:r w:rsidRPr="00262C80">
              <w:t>0</w:t>
            </w:r>
          </w:p>
        </w:tc>
        <w:tc>
          <w:tcPr>
            <w:tcW w:w="1701" w:type="dxa"/>
          </w:tcPr>
          <w:p w14:paraId="6E9DFD08" w14:textId="494FA794" w:rsidR="00491210" w:rsidRDefault="00EE200C" w:rsidP="00B339F8">
            <w:pPr>
              <w:tabs>
                <w:tab w:val="decimal" w:pos="851"/>
              </w:tabs>
              <w:spacing w:after="60"/>
              <w:jc w:val="center"/>
            </w:pPr>
            <w:r w:rsidRPr="00C8747B">
              <w:t>0</w:t>
            </w:r>
          </w:p>
        </w:tc>
        <w:tc>
          <w:tcPr>
            <w:tcW w:w="1701" w:type="dxa"/>
          </w:tcPr>
          <w:p w14:paraId="3E0109C0" w14:textId="4C655DA7" w:rsidR="00491210" w:rsidRDefault="00EE200C" w:rsidP="00B339F8">
            <w:pPr>
              <w:tabs>
                <w:tab w:val="decimal" w:pos="851"/>
              </w:tabs>
              <w:spacing w:after="60"/>
              <w:jc w:val="center"/>
            </w:pPr>
            <w:r w:rsidRPr="00B246E6">
              <w:t>-1</w:t>
            </w:r>
          </w:p>
        </w:tc>
      </w:tr>
      <w:tr w:rsidR="00B339F8" w14:paraId="4B687F69" w14:textId="77777777" w:rsidTr="00CA2A2D">
        <w:trPr>
          <w:trHeight w:val="221"/>
        </w:trPr>
        <w:tc>
          <w:tcPr>
            <w:tcW w:w="0" w:type="auto"/>
            <w:vMerge/>
          </w:tcPr>
          <w:p w14:paraId="51FAB363" w14:textId="77777777" w:rsidR="00491210" w:rsidRDefault="00491210" w:rsidP="00B339F8">
            <w:pPr>
              <w:spacing w:after="60"/>
              <w:jc w:val="center"/>
            </w:pPr>
          </w:p>
        </w:tc>
        <w:tc>
          <w:tcPr>
            <w:tcW w:w="0" w:type="auto"/>
            <w:vMerge/>
          </w:tcPr>
          <w:p w14:paraId="19C0BA41" w14:textId="77777777" w:rsidR="00491210" w:rsidRDefault="00491210" w:rsidP="00B339F8">
            <w:pPr>
              <w:spacing w:after="60"/>
              <w:jc w:val="center"/>
              <w:rPr>
                <w:color w:val="000000"/>
                <w:szCs w:val="20"/>
                <w:lang w:eastAsia="en-AU"/>
              </w:rPr>
            </w:pPr>
          </w:p>
        </w:tc>
        <w:tc>
          <w:tcPr>
            <w:tcW w:w="1622" w:type="dxa"/>
          </w:tcPr>
          <w:p w14:paraId="11B60890" w14:textId="77777777" w:rsidR="00491210" w:rsidRPr="00EF34A3" w:rsidRDefault="00EE200C" w:rsidP="00B339F8">
            <w:pPr>
              <w:spacing w:after="60"/>
              <w:jc w:val="center"/>
              <w:rPr>
                <w:color w:val="000000"/>
                <w:szCs w:val="20"/>
                <w:lang w:eastAsia="en-AU"/>
              </w:rPr>
            </w:pPr>
            <w:r w:rsidRPr="00EF34A3">
              <w:rPr>
                <w:color w:val="000000"/>
                <w:szCs w:val="20"/>
                <w:lang w:eastAsia="en-AU"/>
              </w:rPr>
              <w:t>Option 4</w:t>
            </w:r>
          </w:p>
        </w:tc>
        <w:tc>
          <w:tcPr>
            <w:tcW w:w="1701" w:type="dxa"/>
          </w:tcPr>
          <w:p w14:paraId="0F733197" w14:textId="77777777" w:rsidR="00491210" w:rsidRDefault="00EE200C" w:rsidP="00B339F8">
            <w:pPr>
              <w:tabs>
                <w:tab w:val="decimal" w:pos="851"/>
              </w:tabs>
              <w:spacing w:after="60"/>
              <w:jc w:val="center"/>
            </w:pPr>
            <w:r w:rsidRPr="00262C80">
              <w:t>0</w:t>
            </w:r>
          </w:p>
        </w:tc>
        <w:tc>
          <w:tcPr>
            <w:tcW w:w="1701" w:type="dxa"/>
          </w:tcPr>
          <w:p w14:paraId="514226F3" w14:textId="1E9205F2" w:rsidR="00491210" w:rsidRDefault="00EE200C" w:rsidP="00B339F8">
            <w:pPr>
              <w:tabs>
                <w:tab w:val="decimal" w:pos="851"/>
              </w:tabs>
              <w:spacing w:after="60"/>
              <w:jc w:val="center"/>
            </w:pPr>
            <w:r w:rsidRPr="00C8747B">
              <w:t>0</w:t>
            </w:r>
          </w:p>
        </w:tc>
        <w:tc>
          <w:tcPr>
            <w:tcW w:w="1701" w:type="dxa"/>
          </w:tcPr>
          <w:p w14:paraId="71DD21D9" w14:textId="4E24D215" w:rsidR="00491210" w:rsidRDefault="00EE200C" w:rsidP="00B339F8">
            <w:pPr>
              <w:tabs>
                <w:tab w:val="decimal" w:pos="851"/>
              </w:tabs>
              <w:spacing w:after="60"/>
              <w:jc w:val="center"/>
            </w:pPr>
            <w:r w:rsidRPr="00B246E6">
              <w:t>-1</w:t>
            </w:r>
          </w:p>
        </w:tc>
      </w:tr>
    </w:tbl>
    <w:p w14:paraId="02ECC979" w14:textId="77777777" w:rsidR="00491210" w:rsidRDefault="00EE200C" w:rsidP="00BD1CCD">
      <w:pPr>
        <w:rPr>
          <w:rStyle w:val="eop"/>
          <w:color w:val="000000"/>
        </w:rPr>
      </w:pPr>
      <w:r>
        <w:rPr>
          <w:rStyle w:val="eop"/>
          <w:color w:val="000000"/>
        </w:rPr>
        <w:t>*</w:t>
      </w:r>
      <w:r w:rsidRPr="00A85A89">
        <w:rPr>
          <w:rStyle w:val="eop"/>
          <w:color w:val="000000"/>
        </w:rPr>
        <w:t>Total RRCP Populations define</w:t>
      </w:r>
      <w:r>
        <w:rPr>
          <w:rStyle w:val="eop"/>
          <w:color w:val="000000"/>
        </w:rPr>
        <w:t>d</w:t>
      </w:r>
      <w:r w:rsidRPr="00A85A89">
        <w:rPr>
          <w:rStyle w:val="eop"/>
          <w:color w:val="000000"/>
        </w:rPr>
        <w:t xml:space="preserve"> </w:t>
      </w:r>
      <w:r>
        <w:rPr>
          <w:rStyle w:val="eop"/>
          <w:color w:val="000000"/>
        </w:rPr>
        <w:t xml:space="preserve">as </w:t>
      </w:r>
      <w:r w:rsidRPr="00A85A89">
        <w:rPr>
          <w:rStyle w:val="eop"/>
          <w:color w:val="000000"/>
        </w:rPr>
        <w:t xml:space="preserve">the RRCP focal zones </w:t>
      </w:r>
      <w:r>
        <w:rPr>
          <w:rStyle w:val="eop"/>
          <w:color w:val="000000"/>
        </w:rPr>
        <w:t>and</w:t>
      </w:r>
      <w:r w:rsidRPr="00A85A89">
        <w:rPr>
          <w:rStyle w:val="eop"/>
          <w:color w:val="000000"/>
        </w:rPr>
        <w:t xml:space="preserve"> Wakool </w:t>
      </w:r>
      <w:r>
        <w:rPr>
          <w:rStyle w:val="eop"/>
          <w:color w:val="000000"/>
        </w:rPr>
        <w:t>Junction</w:t>
      </w:r>
      <w:r w:rsidRPr="00A85A89">
        <w:rPr>
          <w:rStyle w:val="eop"/>
          <w:color w:val="000000"/>
        </w:rPr>
        <w:t xml:space="preserve"> to Wentworth</w:t>
      </w:r>
      <w:r>
        <w:rPr>
          <w:rStyle w:val="eop"/>
          <w:color w:val="000000"/>
        </w:rPr>
        <w:t>.</w:t>
      </w:r>
    </w:p>
    <w:p w14:paraId="3CD40A9E" w14:textId="77777777" w:rsidR="00491210" w:rsidRDefault="00491210" w:rsidP="00E11D7A">
      <w:pPr>
        <w:spacing w:before="240" w:after="240"/>
        <w:ind w:left="-100"/>
        <w:jc w:val="both"/>
        <w:rPr>
          <w:color w:val="000000"/>
          <w:sz w:val="22"/>
          <w:szCs w:val="22"/>
          <w:lang w:eastAsia="en-AU"/>
        </w:rPr>
      </w:pPr>
    </w:p>
    <w:p w14:paraId="46D589A6" w14:textId="77777777" w:rsidR="00491210" w:rsidRDefault="00EE200C">
      <w:pPr>
        <w:spacing w:after="0"/>
        <w:rPr>
          <w:rFonts w:eastAsia="Arial"/>
          <w:b/>
          <w:sz w:val="24"/>
          <w:lang w:eastAsia="en-AU"/>
        </w:rPr>
      </w:pPr>
      <w:r>
        <w:rPr>
          <w:lang w:eastAsia="en-AU"/>
        </w:rPr>
        <w:br w:type="page"/>
      </w:r>
    </w:p>
    <w:p w14:paraId="38AAC614" w14:textId="2E1A6D08" w:rsidR="00491210" w:rsidRDefault="00EE200C" w:rsidP="005F1F7F">
      <w:pPr>
        <w:pStyle w:val="Heading3"/>
        <w:rPr>
          <w:lang w:eastAsia="en-AU"/>
        </w:rPr>
      </w:pPr>
      <w:bookmarkStart w:id="402" w:name="_Toc116994920"/>
      <w:r w:rsidRPr="7ADEDDC3">
        <w:rPr>
          <w:lang w:eastAsia="en-AU"/>
        </w:rPr>
        <w:lastRenderedPageBreak/>
        <w:t>Golden Perch</w:t>
      </w:r>
      <w:r>
        <w:rPr>
          <w:lang w:eastAsia="en-AU"/>
        </w:rPr>
        <w:t xml:space="preserve"> a</w:t>
      </w:r>
      <w:r w:rsidRPr="7ADEDDC3">
        <w:rPr>
          <w:lang w:eastAsia="en-AU"/>
        </w:rPr>
        <w:t>dult</w:t>
      </w:r>
      <w:r>
        <w:rPr>
          <w:lang w:eastAsia="en-AU"/>
        </w:rPr>
        <w:t xml:space="preserve"> populations</w:t>
      </w:r>
      <w:bookmarkEnd w:id="402"/>
    </w:p>
    <w:p w14:paraId="7A10B6D8" w14:textId="0149BB44" w:rsidR="00491210" w:rsidRDefault="00EE200C" w:rsidP="000F43B0">
      <w:pPr>
        <w:pStyle w:val="Heading3"/>
        <w:rPr>
          <w:lang w:eastAsia="en-AU"/>
        </w:rPr>
      </w:pPr>
      <w:bookmarkStart w:id="403" w:name="_Toc116994921"/>
      <w:r w:rsidRPr="7ADEDDC3">
        <w:rPr>
          <w:lang w:eastAsia="en-AU"/>
        </w:rPr>
        <w:t>Golden Perch</w:t>
      </w:r>
      <w:r>
        <w:rPr>
          <w:lang w:eastAsia="en-AU"/>
        </w:rPr>
        <w:t xml:space="preserve"> – Total populations</w:t>
      </w:r>
      <w:bookmarkEnd w:id="403"/>
    </w:p>
    <w:p w14:paraId="65E15B8A" w14:textId="263B410F" w:rsidR="00491210" w:rsidRDefault="003E1401" w:rsidP="00F34569">
      <w:pPr>
        <w:spacing w:after="0"/>
      </w:pPr>
      <w:r>
        <w:rPr>
          <w:noProof/>
          <w:lang w:eastAsia="en-AU"/>
        </w:rPr>
        <w:t xml:space="preserve"> </w:t>
      </w:r>
    </w:p>
    <w:p w14:paraId="38B6C483" w14:textId="6EB912F8" w:rsidR="00491210" w:rsidRDefault="003E1401" w:rsidP="00F34569">
      <w:pPr>
        <w:spacing w:after="0"/>
      </w:pPr>
      <w:r>
        <w:rPr>
          <w:noProof/>
          <w:lang w:eastAsia="en-AU"/>
        </w:rPr>
        <w:t xml:space="preserve"> </w:t>
      </w:r>
    </w:p>
    <w:p w14:paraId="774F23F0" w14:textId="6A2187A7" w:rsidR="00491210" w:rsidRDefault="003E1401" w:rsidP="00F34569">
      <w:pPr>
        <w:spacing w:after="0"/>
      </w:pPr>
      <w:r>
        <w:rPr>
          <w:noProof/>
          <w:lang w:eastAsia="en-AU"/>
        </w:rPr>
        <w:t xml:space="preserve"> </w:t>
      </w:r>
    </w:p>
    <w:p w14:paraId="36E9B871" w14:textId="68BB6262" w:rsidR="00491210" w:rsidRDefault="003E1401" w:rsidP="00F34569">
      <w:pPr>
        <w:spacing w:after="0"/>
      </w:pPr>
      <w:r>
        <w:rPr>
          <w:noProof/>
          <w:lang w:eastAsia="en-AU"/>
        </w:rPr>
        <w:t xml:space="preserve"> </w:t>
      </w:r>
    </w:p>
    <w:p w14:paraId="7DB7F679" w14:textId="3DD6F63A" w:rsidR="00491210" w:rsidRDefault="003E1401" w:rsidP="00F34569">
      <w:pPr>
        <w:spacing w:after="0"/>
      </w:pPr>
      <w:r>
        <w:rPr>
          <w:noProof/>
          <w:lang w:eastAsia="en-AU"/>
        </w:rPr>
        <w:t xml:space="preserve"> </w:t>
      </w:r>
    </w:p>
    <w:p w14:paraId="264E21B1" w14:textId="70DB3931" w:rsidR="00491210" w:rsidRDefault="003E1401" w:rsidP="00F34569">
      <w:pPr>
        <w:spacing w:after="0"/>
      </w:pPr>
      <w:r>
        <w:rPr>
          <w:noProof/>
          <w:lang w:eastAsia="en-AU"/>
        </w:rPr>
        <w:t xml:space="preserve"> </w:t>
      </w:r>
    </w:p>
    <w:p w14:paraId="2FFEEF24" w14:textId="7145C1A9" w:rsidR="00491210" w:rsidRDefault="003E1401" w:rsidP="00F34569">
      <w:pPr>
        <w:spacing w:after="0"/>
      </w:pPr>
      <w:r>
        <w:rPr>
          <w:noProof/>
          <w:lang w:eastAsia="en-AU"/>
        </w:rPr>
        <w:t xml:space="preserve"> </w:t>
      </w:r>
    </w:p>
    <w:p w14:paraId="73981164" w14:textId="162D94B5" w:rsidR="00491210" w:rsidRDefault="003E1401" w:rsidP="00F34569">
      <w:pPr>
        <w:spacing w:after="0"/>
      </w:pPr>
      <w:r>
        <w:rPr>
          <w:noProof/>
          <w:lang w:eastAsia="en-AU"/>
        </w:rPr>
        <w:t xml:space="preserve"> </w:t>
      </w:r>
    </w:p>
    <w:p w14:paraId="0F7F555A" w14:textId="6244F20E" w:rsidR="00491210" w:rsidRDefault="003E1401" w:rsidP="00F34569">
      <w:pPr>
        <w:spacing w:after="0"/>
      </w:pPr>
      <w:r>
        <w:rPr>
          <w:noProof/>
          <w:lang w:eastAsia="en-AU"/>
        </w:rPr>
        <w:t xml:space="preserve"> </w:t>
      </w:r>
    </w:p>
    <w:p w14:paraId="5B50E52C" w14:textId="46BD6618" w:rsidR="00491210" w:rsidRDefault="003E1401" w:rsidP="00F34569">
      <w:pPr>
        <w:spacing w:after="0"/>
      </w:pPr>
      <w:r>
        <w:rPr>
          <w:noProof/>
          <w:lang w:eastAsia="en-AU"/>
        </w:rPr>
        <w:t xml:space="preserve"> </w:t>
      </w:r>
    </w:p>
    <w:p w14:paraId="73F99409" w14:textId="13EDFABF" w:rsidR="00491210" w:rsidRPr="00093162" w:rsidRDefault="00EE200C" w:rsidP="00F602FE">
      <w:pPr>
        <w:pStyle w:val="AppendixFigureCaption"/>
        <w:rPr>
          <w:b w:val="0"/>
        </w:rPr>
      </w:pPr>
      <w:r w:rsidRPr="003D58D5">
        <w:t>Figure A3.</w:t>
      </w:r>
      <w:r>
        <w:fldChar w:fldCharType="begin"/>
      </w:r>
      <w:r>
        <w:instrText>SEQ Figure_A3. \* ARABIC</w:instrText>
      </w:r>
      <w:r>
        <w:fldChar w:fldCharType="separate"/>
      </w:r>
      <w:r w:rsidR="005B672A">
        <w:rPr>
          <w:noProof/>
        </w:rPr>
        <w:t>1</w:t>
      </w:r>
      <w:r>
        <w:fldChar w:fldCharType="end"/>
      </w:r>
      <w:r w:rsidRPr="003D58D5">
        <w:t>. Golden Perch adult</w:t>
      </w:r>
      <w:r>
        <w:t xml:space="preserve"> population</w:t>
      </w:r>
      <w:r w:rsidRPr="003D58D5">
        <w:t>s</w:t>
      </w:r>
      <w:r>
        <w:t xml:space="preserve"> aggregated</w:t>
      </w:r>
      <w:r w:rsidRPr="003D58D5">
        <w:t xml:space="preserve"> across </w:t>
      </w:r>
      <w:r>
        <w:t xml:space="preserve">all </w:t>
      </w:r>
      <w:r w:rsidRPr="003D58D5">
        <w:t xml:space="preserve">reaches in this study in the </w:t>
      </w:r>
      <w:r>
        <w:t>s</w:t>
      </w:r>
      <w:r w:rsidRPr="003D58D5">
        <w:t xml:space="preserve">outhern </w:t>
      </w:r>
      <w:r>
        <w:t>MDB</w:t>
      </w:r>
      <w:r w:rsidRPr="003D58D5">
        <w:t xml:space="preserve"> for the RRCP flow scenarios Base case – Option 4.</w:t>
      </w:r>
      <w:r w:rsidRPr="00964E55">
        <w:t xml:space="preserve"> Top panel: summary of 1000 adult </w:t>
      </w:r>
      <w:r w:rsidRPr="00093162">
        <w:t xml:space="preserve">population </w:t>
      </w:r>
      <w:r w:rsidRPr="00964E55">
        <w:t>trajectories for the Base case scenario; second panel: the mean adult population size</w:t>
      </w:r>
      <w:r w:rsidRPr="00093162">
        <w:t>s</w:t>
      </w:r>
      <w:r w:rsidRPr="00964E55">
        <w:t xml:space="preserve">; third panel: associated distributions of mean </w:t>
      </w:r>
      <w:r w:rsidRPr="00093162">
        <w:t xml:space="preserve">adult </w:t>
      </w:r>
      <w:r w:rsidRPr="00964E55">
        <w:t xml:space="preserve">population sizes; fourth panel: expected mean </w:t>
      </w:r>
      <w:r w:rsidRPr="00093162">
        <w:t xml:space="preserve">adult </w:t>
      </w:r>
      <w:r w:rsidRPr="00964E55">
        <w:t>population size</w:t>
      </w:r>
      <w:r w:rsidRPr="00093162">
        <w:t>s,</w:t>
      </w:r>
      <w:r w:rsidRPr="00964E55">
        <w:t xml:space="preserve"> with </w:t>
      </w:r>
      <w:r w:rsidRPr="00093162">
        <w:t>the percentage</w:t>
      </w:r>
      <w:r w:rsidRPr="00964E55">
        <w:t xml:space="preserve"> change from </w:t>
      </w:r>
      <w:r w:rsidRPr="00093162">
        <w:t xml:space="preserve">the </w:t>
      </w:r>
      <w:r w:rsidRPr="00964E55">
        <w:t>Base case shown in each bar; fifth panel: associated distributions of 10% quantile</w:t>
      </w:r>
      <w:r w:rsidRPr="00093162">
        <w:t>s of</w:t>
      </w:r>
      <w:r w:rsidRPr="00964E55">
        <w:t xml:space="preserve"> </w:t>
      </w:r>
      <w:r w:rsidRPr="00093162">
        <w:t xml:space="preserve">adult </w:t>
      </w:r>
      <w:r w:rsidRPr="00964E55">
        <w:t>population sizes; sixth panel: expected 10% quantile</w:t>
      </w:r>
      <w:r w:rsidRPr="00093162">
        <w:t>s of</w:t>
      </w:r>
      <w:r w:rsidRPr="00964E55">
        <w:t xml:space="preserve"> </w:t>
      </w:r>
      <w:r w:rsidRPr="00093162">
        <w:t xml:space="preserve">adult </w:t>
      </w:r>
      <w:r w:rsidRPr="00964E55">
        <w:t>population size</w:t>
      </w:r>
      <w:r w:rsidRPr="00093162">
        <w:t>s</w:t>
      </w:r>
      <w:r w:rsidRPr="00964E55">
        <w:t xml:space="preserve">; seventh panel: associated distributions of minimum </w:t>
      </w:r>
      <w:r w:rsidRPr="00093162">
        <w:t xml:space="preserve">adult </w:t>
      </w:r>
      <w:r w:rsidRPr="00964E55">
        <w:t xml:space="preserve">population sizes; eighth panel: expected minimum </w:t>
      </w:r>
      <w:r w:rsidRPr="00093162">
        <w:t xml:space="preserve">adult </w:t>
      </w:r>
      <w:r w:rsidRPr="00964E55">
        <w:t>population size</w:t>
      </w:r>
      <w:r w:rsidRPr="00093162">
        <w:t>s</w:t>
      </w:r>
      <w:r w:rsidRPr="00964E55">
        <w:t xml:space="preserve">; ninth panel: associated distributions of maximum </w:t>
      </w:r>
      <w:r w:rsidRPr="00093162">
        <w:t xml:space="preserve">adult </w:t>
      </w:r>
      <w:r w:rsidRPr="00964E55">
        <w:t xml:space="preserve">population sizes; tenth panel: expected maximum </w:t>
      </w:r>
      <w:r w:rsidRPr="00093162">
        <w:t xml:space="preserve">adult </w:t>
      </w:r>
      <w:r w:rsidRPr="00964E55">
        <w:t>population size</w:t>
      </w:r>
      <w:r w:rsidRPr="00093162">
        <w:t>s</w:t>
      </w:r>
      <w:r w:rsidRPr="00964E55">
        <w:t>.</w:t>
      </w:r>
    </w:p>
    <w:p w14:paraId="0A4D95D8" w14:textId="15FAE218" w:rsidR="00491210" w:rsidRDefault="00EE200C" w:rsidP="000F43B0">
      <w:pPr>
        <w:pStyle w:val="Heading3"/>
        <w:rPr>
          <w:lang w:eastAsia="en-AU"/>
        </w:rPr>
      </w:pPr>
      <w:bookmarkStart w:id="404" w:name="_Toc116994922"/>
      <w:r w:rsidRPr="7ADEDDC3">
        <w:rPr>
          <w:lang w:eastAsia="en-AU"/>
        </w:rPr>
        <w:t>Golden Perch</w:t>
      </w:r>
      <w:r>
        <w:rPr>
          <w:lang w:eastAsia="en-AU"/>
        </w:rPr>
        <w:t xml:space="preserve"> – Total RRCP populations inclusive to Wentworth</w:t>
      </w:r>
      <w:bookmarkEnd w:id="404"/>
    </w:p>
    <w:p w14:paraId="48449DD3" w14:textId="5A0ABF9F" w:rsidR="00491210" w:rsidRDefault="003E1401" w:rsidP="003D28FB">
      <w:pPr>
        <w:spacing w:after="0"/>
      </w:pPr>
      <w:r>
        <w:rPr>
          <w:noProof/>
          <w:lang w:eastAsia="en-AU"/>
        </w:rPr>
        <w:t xml:space="preserve"> </w:t>
      </w:r>
    </w:p>
    <w:p w14:paraId="68A6800F" w14:textId="0B8C3623" w:rsidR="00491210" w:rsidRDefault="003E1401" w:rsidP="003D28FB">
      <w:pPr>
        <w:spacing w:after="0"/>
      </w:pPr>
      <w:r>
        <w:rPr>
          <w:noProof/>
          <w:lang w:eastAsia="en-AU"/>
        </w:rPr>
        <w:t xml:space="preserve"> </w:t>
      </w:r>
    </w:p>
    <w:p w14:paraId="435A7C10" w14:textId="7BE09DCB" w:rsidR="00491210" w:rsidRDefault="003E1401" w:rsidP="003D28FB">
      <w:pPr>
        <w:spacing w:after="0"/>
      </w:pPr>
      <w:r>
        <w:rPr>
          <w:noProof/>
          <w:lang w:eastAsia="en-AU"/>
        </w:rPr>
        <w:t xml:space="preserve"> </w:t>
      </w:r>
    </w:p>
    <w:p w14:paraId="2DD49C89" w14:textId="261D6007" w:rsidR="00491210" w:rsidRDefault="003E1401" w:rsidP="003D28FB">
      <w:pPr>
        <w:spacing w:after="0"/>
      </w:pPr>
      <w:r>
        <w:rPr>
          <w:noProof/>
          <w:lang w:eastAsia="en-AU"/>
        </w:rPr>
        <w:t xml:space="preserve"> </w:t>
      </w:r>
    </w:p>
    <w:p w14:paraId="7032565B" w14:textId="3779A61C" w:rsidR="00491210" w:rsidRDefault="003E1401" w:rsidP="003D28FB">
      <w:pPr>
        <w:spacing w:after="0"/>
      </w:pPr>
      <w:r>
        <w:rPr>
          <w:noProof/>
          <w:lang w:eastAsia="en-AU"/>
        </w:rPr>
        <w:t xml:space="preserve"> </w:t>
      </w:r>
    </w:p>
    <w:p w14:paraId="4FB23ED9" w14:textId="2D6BD58B" w:rsidR="00491210" w:rsidRDefault="003E1401" w:rsidP="003D28FB">
      <w:pPr>
        <w:spacing w:after="0"/>
      </w:pPr>
      <w:r>
        <w:rPr>
          <w:noProof/>
          <w:lang w:eastAsia="en-AU"/>
        </w:rPr>
        <w:t xml:space="preserve"> </w:t>
      </w:r>
    </w:p>
    <w:p w14:paraId="7A3B3AB8" w14:textId="2485C567" w:rsidR="00491210" w:rsidRDefault="003E1401" w:rsidP="003D28FB">
      <w:pPr>
        <w:spacing w:after="0"/>
      </w:pPr>
      <w:r>
        <w:rPr>
          <w:noProof/>
          <w:lang w:eastAsia="en-AU"/>
        </w:rPr>
        <w:t xml:space="preserve"> </w:t>
      </w:r>
    </w:p>
    <w:p w14:paraId="1C4CF70B" w14:textId="0EAF4A0D" w:rsidR="00491210" w:rsidRDefault="003E1401" w:rsidP="003D28FB">
      <w:pPr>
        <w:spacing w:after="0"/>
      </w:pPr>
      <w:r>
        <w:rPr>
          <w:noProof/>
          <w:lang w:eastAsia="en-AU"/>
        </w:rPr>
        <w:t xml:space="preserve"> </w:t>
      </w:r>
    </w:p>
    <w:p w14:paraId="2B27FF7D" w14:textId="4689B8F4" w:rsidR="00491210" w:rsidRDefault="003E1401" w:rsidP="003D28FB">
      <w:pPr>
        <w:spacing w:after="0"/>
      </w:pPr>
      <w:r>
        <w:rPr>
          <w:noProof/>
          <w:lang w:eastAsia="en-AU"/>
        </w:rPr>
        <w:t xml:space="preserve"> </w:t>
      </w:r>
    </w:p>
    <w:p w14:paraId="2664E898" w14:textId="2918B6BC" w:rsidR="00491210" w:rsidRDefault="003E1401" w:rsidP="003D28FB">
      <w:pPr>
        <w:spacing w:after="0"/>
      </w:pPr>
      <w:r>
        <w:rPr>
          <w:noProof/>
          <w:lang w:eastAsia="en-AU"/>
        </w:rPr>
        <w:t xml:space="preserve"> </w:t>
      </w:r>
    </w:p>
    <w:p w14:paraId="08E82AFF" w14:textId="3B2725C3" w:rsidR="00491210" w:rsidRPr="00093162" w:rsidRDefault="00EE200C" w:rsidP="00F602FE">
      <w:pPr>
        <w:pStyle w:val="AppendixFigureCaption"/>
        <w:rPr>
          <w:b w:val="0"/>
          <w:lang w:val="en-US"/>
        </w:rPr>
      </w:pPr>
      <w:r>
        <w:t>Figure A3.</w:t>
      </w:r>
      <w:r>
        <w:fldChar w:fldCharType="begin"/>
      </w:r>
      <w:r>
        <w:instrText>SEQ Figure_A3. \* ARABIC</w:instrText>
      </w:r>
      <w:r>
        <w:fldChar w:fldCharType="separate"/>
      </w:r>
      <w:r w:rsidR="005B672A">
        <w:rPr>
          <w:noProof/>
        </w:rPr>
        <w:t>2</w:t>
      </w:r>
      <w:r>
        <w:fldChar w:fldCharType="end"/>
      </w:r>
      <w:r>
        <w:t>.</w:t>
      </w:r>
      <w:r w:rsidRPr="7ADEDDC3">
        <w:t xml:space="preserve"> </w:t>
      </w:r>
      <w:r>
        <w:t xml:space="preserve">Golden Perch adult populations aggregated </w:t>
      </w:r>
      <w:r w:rsidRPr="00DD7D8C">
        <w:t>across all</w:t>
      </w:r>
      <w:r>
        <w:t xml:space="preserve"> modelled RRCP</w:t>
      </w:r>
      <w:r w:rsidRPr="00DD7D8C">
        <w:t xml:space="preserve"> </w:t>
      </w:r>
      <w:r>
        <w:t xml:space="preserve">focal zones, together with the Wakool Junction to Wentworth reach, </w:t>
      </w:r>
      <w:r w:rsidRPr="7ADEDDC3">
        <w:t xml:space="preserve">for the </w:t>
      </w:r>
      <w:r>
        <w:t>RRCP flow scenarios</w:t>
      </w:r>
      <w:r w:rsidRPr="7ADEDDC3">
        <w:t xml:space="preserve"> </w:t>
      </w:r>
      <w:r>
        <w:t>Base case</w:t>
      </w:r>
      <w:r w:rsidRPr="7ADEDDC3">
        <w:t xml:space="preserve"> – </w:t>
      </w:r>
      <w:r>
        <w:t>Option 4</w:t>
      </w:r>
      <w:r w:rsidRPr="00964E55">
        <w:t xml:space="preserve">. </w:t>
      </w:r>
      <w:r w:rsidRPr="00093162">
        <w:t>Top panel: summary of 1000 adult population trajectories for the Base case scenario; second panel: the mean adult population sizes; third panel: associated distributions of mean adult population sizes; fourth panel: expected mean adult population sizes, with the percentage change from the Base case shown in each bar; fifth panel: associated distributions of 10% quantiles of adult population sizes; sixth panel: expected 10% quantiles of adult population sizes; seventh panel: associated distributions of minimum adult population sizes; eighth panel: expected minimum adult population sizes; ninth panel: associated distributions of maximum adult population sizes; tenth panel: expected maximum adult population sizes.</w:t>
      </w:r>
    </w:p>
    <w:p w14:paraId="09CC1D6E" w14:textId="54C06512" w:rsidR="00491210" w:rsidRDefault="00EE200C" w:rsidP="000F43B0">
      <w:pPr>
        <w:pStyle w:val="Heading3"/>
        <w:rPr>
          <w:lang w:eastAsia="en-AU"/>
        </w:rPr>
      </w:pPr>
      <w:bookmarkStart w:id="405" w:name="_Toc116994923"/>
      <w:r w:rsidRPr="7ADEDDC3">
        <w:rPr>
          <w:lang w:eastAsia="en-AU"/>
        </w:rPr>
        <w:t>Golden Perch</w:t>
      </w:r>
      <w:r>
        <w:rPr>
          <w:lang w:eastAsia="en-AU"/>
        </w:rPr>
        <w:t xml:space="preserve"> – Total Murray River populations inclusive to Wentworth</w:t>
      </w:r>
      <w:bookmarkEnd w:id="405"/>
    </w:p>
    <w:p w14:paraId="6C28FBF5" w14:textId="5C8565AE" w:rsidR="00491210" w:rsidRDefault="003E1401" w:rsidP="004D3EF6">
      <w:pPr>
        <w:spacing w:after="0"/>
        <w:rPr>
          <w:noProof/>
        </w:rPr>
      </w:pPr>
      <w:r>
        <w:rPr>
          <w:noProof/>
          <w:lang w:eastAsia="en-AU"/>
        </w:rPr>
        <w:t xml:space="preserve"> </w:t>
      </w:r>
    </w:p>
    <w:p w14:paraId="6B6345F4" w14:textId="3B0A2642" w:rsidR="00491210" w:rsidRDefault="003E1401" w:rsidP="004D3EF6">
      <w:pPr>
        <w:spacing w:after="0"/>
        <w:rPr>
          <w:noProof/>
        </w:rPr>
      </w:pPr>
      <w:r>
        <w:rPr>
          <w:noProof/>
          <w:lang w:eastAsia="en-AU"/>
        </w:rPr>
        <w:t xml:space="preserve"> </w:t>
      </w:r>
    </w:p>
    <w:p w14:paraId="4A287EDC" w14:textId="02ED8059" w:rsidR="00491210" w:rsidRDefault="003E1401" w:rsidP="004D3EF6">
      <w:pPr>
        <w:spacing w:after="0"/>
        <w:rPr>
          <w:noProof/>
        </w:rPr>
      </w:pPr>
      <w:r>
        <w:rPr>
          <w:noProof/>
          <w:lang w:eastAsia="en-AU"/>
        </w:rPr>
        <w:t xml:space="preserve"> </w:t>
      </w:r>
    </w:p>
    <w:p w14:paraId="60A837E5" w14:textId="7330300C" w:rsidR="00491210" w:rsidRDefault="003E1401" w:rsidP="004D3EF6">
      <w:pPr>
        <w:spacing w:after="0"/>
        <w:rPr>
          <w:noProof/>
        </w:rPr>
      </w:pPr>
      <w:r>
        <w:rPr>
          <w:noProof/>
          <w:lang w:eastAsia="en-AU"/>
        </w:rPr>
        <w:t xml:space="preserve"> </w:t>
      </w:r>
    </w:p>
    <w:p w14:paraId="2BC41B4B" w14:textId="72501D40" w:rsidR="00491210" w:rsidRDefault="003E1401" w:rsidP="004D3EF6">
      <w:pPr>
        <w:spacing w:after="0"/>
        <w:rPr>
          <w:noProof/>
        </w:rPr>
      </w:pPr>
      <w:r>
        <w:rPr>
          <w:noProof/>
          <w:lang w:eastAsia="en-AU"/>
        </w:rPr>
        <w:t xml:space="preserve"> </w:t>
      </w:r>
    </w:p>
    <w:p w14:paraId="4E651FB5" w14:textId="5654B094" w:rsidR="00491210" w:rsidRDefault="003E1401" w:rsidP="004D3EF6">
      <w:pPr>
        <w:spacing w:after="0"/>
        <w:rPr>
          <w:noProof/>
        </w:rPr>
      </w:pPr>
      <w:r>
        <w:rPr>
          <w:noProof/>
          <w:lang w:eastAsia="en-AU"/>
        </w:rPr>
        <w:t xml:space="preserve"> </w:t>
      </w:r>
    </w:p>
    <w:p w14:paraId="41935A9A" w14:textId="4A1352EF" w:rsidR="00491210" w:rsidRDefault="003E1401" w:rsidP="004D3EF6">
      <w:pPr>
        <w:spacing w:after="0"/>
        <w:rPr>
          <w:noProof/>
        </w:rPr>
      </w:pPr>
      <w:r>
        <w:rPr>
          <w:noProof/>
          <w:lang w:eastAsia="en-AU"/>
        </w:rPr>
        <w:t xml:space="preserve"> </w:t>
      </w:r>
    </w:p>
    <w:p w14:paraId="4C6ED798" w14:textId="51B6B90E" w:rsidR="00491210" w:rsidRDefault="003E1401" w:rsidP="004D3EF6">
      <w:pPr>
        <w:spacing w:after="0"/>
        <w:rPr>
          <w:noProof/>
        </w:rPr>
      </w:pPr>
      <w:r>
        <w:rPr>
          <w:noProof/>
          <w:lang w:eastAsia="en-AU"/>
        </w:rPr>
        <w:t xml:space="preserve"> </w:t>
      </w:r>
    </w:p>
    <w:p w14:paraId="7232FFEA" w14:textId="3FE98600" w:rsidR="00491210" w:rsidRDefault="003E1401" w:rsidP="004D3EF6">
      <w:pPr>
        <w:spacing w:after="0"/>
        <w:rPr>
          <w:noProof/>
        </w:rPr>
      </w:pPr>
      <w:r>
        <w:rPr>
          <w:noProof/>
          <w:lang w:eastAsia="en-AU"/>
        </w:rPr>
        <w:t xml:space="preserve"> </w:t>
      </w:r>
    </w:p>
    <w:p w14:paraId="37BD9CE0" w14:textId="65E90533" w:rsidR="00491210" w:rsidRDefault="003E1401" w:rsidP="004D3EF6">
      <w:pPr>
        <w:spacing w:after="0"/>
        <w:rPr>
          <w:noProof/>
        </w:rPr>
      </w:pPr>
      <w:r>
        <w:rPr>
          <w:noProof/>
          <w:lang w:eastAsia="en-AU"/>
        </w:rPr>
        <w:t xml:space="preserve"> </w:t>
      </w:r>
    </w:p>
    <w:p w14:paraId="33322ACE" w14:textId="533E6410" w:rsidR="00491210" w:rsidRDefault="00EE200C" w:rsidP="00F602FE">
      <w:pPr>
        <w:pStyle w:val="AppendixFigureCaption"/>
        <w:rPr>
          <w:lang w:val="en-US"/>
        </w:rPr>
      </w:pPr>
      <w:r>
        <w:lastRenderedPageBreak/>
        <w:t>Figure A3.</w:t>
      </w:r>
      <w:r>
        <w:fldChar w:fldCharType="begin"/>
      </w:r>
      <w:r>
        <w:instrText>SEQ Figure_A3. \* ARABIC</w:instrText>
      </w:r>
      <w:r>
        <w:fldChar w:fldCharType="separate"/>
      </w:r>
      <w:r w:rsidR="005B672A">
        <w:rPr>
          <w:noProof/>
        </w:rPr>
        <w:t>3</w:t>
      </w:r>
      <w:r>
        <w:fldChar w:fldCharType="end"/>
      </w:r>
      <w:r>
        <w:t>.</w:t>
      </w:r>
      <w:r w:rsidRPr="7ADEDDC3">
        <w:t xml:space="preserve"> </w:t>
      </w:r>
      <w:r>
        <w:t xml:space="preserve">Golden Perch adults aggregated </w:t>
      </w:r>
      <w:r w:rsidRPr="00DD7D8C">
        <w:t xml:space="preserve">across </w:t>
      </w:r>
      <w:r>
        <w:t>the Murray River RRCP</w:t>
      </w:r>
      <w:r w:rsidRPr="00DD7D8C">
        <w:t xml:space="preserve"> </w:t>
      </w:r>
      <w:r>
        <w:t>focal zones</w:t>
      </w:r>
      <w:r w:rsidRPr="00DD7D8C">
        <w:t xml:space="preserve"> </w:t>
      </w:r>
      <w:r>
        <w:t>(including the Edward River),</w:t>
      </w:r>
      <w:r w:rsidRPr="006B0ECF">
        <w:t xml:space="preserve"> </w:t>
      </w:r>
      <w:r>
        <w:t>together with the Wakool Junction to Wentworth reach,</w:t>
      </w:r>
      <w:r w:rsidRPr="00DD7D8C">
        <w:t xml:space="preserve">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611311CA" w14:textId="73F23FC6" w:rsidR="00491210" w:rsidRDefault="00EE200C" w:rsidP="000F43B0">
      <w:pPr>
        <w:pStyle w:val="Heading3"/>
        <w:rPr>
          <w:lang w:eastAsia="en-AU"/>
        </w:rPr>
      </w:pPr>
      <w:bookmarkStart w:id="406" w:name="_Toc116994924"/>
      <w:r w:rsidRPr="7ADEDDC3">
        <w:rPr>
          <w:lang w:eastAsia="en-AU"/>
        </w:rPr>
        <w:t>Golden Perch</w:t>
      </w:r>
      <w:r>
        <w:rPr>
          <w:lang w:eastAsia="en-AU"/>
        </w:rPr>
        <w:t xml:space="preserve"> – Total Murrumbidgee River populations</w:t>
      </w:r>
      <w:bookmarkEnd w:id="406"/>
    </w:p>
    <w:p w14:paraId="3DBF9944" w14:textId="4789F0EB" w:rsidR="00491210" w:rsidRDefault="003E1401" w:rsidP="00D7268A">
      <w:pPr>
        <w:spacing w:after="0"/>
        <w:rPr>
          <w:noProof/>
        </w:rPr>
      </w:pPr>
      <w:r>
        <w:rPr>
          <w:noProof/>
          <w:lang w:eastAsia="en-AU"/>
        </w:rPr>
        <w:t xml:space="preserve"> </w:t>
      </w:r>
    </w:p>
    <w:p w14:paraId="44F463C7" w14:textId="309CBA22" w:rsidR="00491210" w:rsidRDefault="003E1401" w:rsidP="00D7268A">
      <w:pPr>
        <w:spacing w:after="0"/>
        <w:rPr>
          <w:noProof/>
        </w:rPr>
      </w:pPr>
      <w:r>
        <w:rPr>
          <w:noProof/>
          <w:lang w:eastAsia="en-AU"/>
        </w:rPr>
        <w:t xml:space="preserve"> </w:t>
      </w:r>
    </w:p>
    <w:p w14:paraId="0E5A7B5D" w14:textId="404424B7" w:rsidR="00491210" w:rsidRDefault="003E1401" w:rsidP="00D7268A">
      <w:pPr>
        <w:spacing w:after="0"/>
        <w:rPr>
          <w:noProof/>
        </w:rPr>
      </w:pPr>
      <w:r>
        <w:rPr>
          <w:noProof/>
          <w:lang w:eastAsia="en-AU"/>
        </w:rPr>
        <w:t xml:space="preserve"> </w:t>
      </w:r>
    </w:p>
    <w:p w14:paraId="60462F3C" w14:textId="13388D35" w:rsidR="00491210" w:rsidRDefault="003E1401" w:rsidP="00D7268A">
      <w:pPr>
        <w:spacing w:after="0"/>
        <w:rPr>
          <w:noProof/>
        </w:rPr>
      </w:pPr>
      <w:r>
        <w:rPr>
          <w:noProof/>
          <w:lang w:eastAsia="en-AU"/>
        </w:rPr>
        <w:t xml:space="preserve"> </w:t>
      </w:r>
    </w:p>
    <w:p w14:paraId="289544A4" w14:textId="0B32AF9C" w:rsidR="00491210" w:rsidRDefault="003E1401" w:rsidP="00D7268A">
      <w:pPr>
        <w:spacing w:after="0"/>
        <w:rPr>
          <w:noProof/>
        </w:rPr>
      </w:pPr>
      <w:r>
        <w:rPr>
          <w:noProof/>
          <w:lang w:eastAsia="en-AU"/>
        </w:rPr>
        <w:t xml:space="preserve"> </w:t>
      </w:r>
    </w:p>
    <w:p w14:paraId="3FCB4229" w14:textId="1BBF107A" w:rsidR="00491210" w:rsidRDefault="003E1401" w:rsidP="00D7268A">
      <w:pPr>
        <w:spacing w:after="0"/>
        <w:rPr>
          <w:noProof/>
        </w:rPr>
      </w:pPr>
      <w:r>
        <w:rPr>
          <w:noProof/>
          <w:lang w:eastAsia="en-AU"/>
        </w:rPr>
        <w:t xml:space="preserve"> </w:t>
      </w:r>
    </w:p>
    <w:p w14:paraId="4FF3F271" w14:textId="56E3DE62" w:rsidR="00491210" w:rsidRDefault="003E1401" w:rsidP="00D7268A">
      <w:pPr>
        <w:spacing w:after="0"/>
        <w:rPr>
          <w:noProof/>
        </w:rPr>
      </w:pPr>
      <w:r>
        <w:rPr>
          <w:noProof/>
          <w:lang w:eastAsia="en-AU"/>
        </w:rPr>
        <w:t xml:space="preserve"> </w:t>
      </w:r>
    </w:p>
    <w:p w14:paraId="71C5872B" w14:textId="22323D7B" w:rsidR="00491210" w:rsidRDefault="003E1401" w:rsidP="00D7268A">
      <w:pPr>
        <w:spacing w:after="0"/>
        <w:rPr>
          <w:noProof/>
        </w:rPr>
      </w:pPr>
      <w:r>
        <w:rPr>
          <w:noProof/>
          <w:lang w:eastAsia="en-AU"/>
        </w:rPr>
        <w:t xml:space="preserve"> </w:t>
      </w:r>
    </w:p>
    <w:p w14:paraId="27F2CC84" w14:textId="0AE0136E" w:rsidR="00491210" w:rsidRDefault="003E1401" w:rsidP="00D7268A">
      <w:pPr>
        <w:spacing w:after="0"/>
        <w:rPr>
          <w:noProof/>
        </w:rPr>
      </w:pPr>
      <w:r>
        <w:rPr>
          <w:noProof/>
          <w:lang w:eastAsia="en-AU"/>
        </w:rPr>
        <w:t xml:space="preserve"> </w:t>
      </w:r>
    </w:p>
    <w:p w14:paraId="50CC5BFA" w14:textId="6C8B30AC" w:rsidR="00491210" w:rsidRDefault="003E1401" w:rsidP="00D7268A">
      <w:pPr>
        <w:spacing w:after="0"/>
        <w:rPr>
          <w:noProof/>
        </w:rPr>
      </w:pPr>
      <w:r>
        <w:rPr>
          <w:noProof/>
          <w:lang w:eastAsia="en-AU"/>
        </w:rPr>
        <w:t xml:space="preserve"> </w:t>
      </w:r>
    </w:p>
    <w:p w14:paraId="00C17188" w14:textId="7EFD9372"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4</w:t>
      </w:r>
      <w:r>
        <w:fldChar w:fldCharType="end"/>
      </w:r>
      <w:r>
        <w:t>.</w:t>
      </w:r>
      <w:r w:rsidRPr="7ADEDDC3">
        <w:t xml:space="preserve"> </w:t>
      </w:r>
      <w:r>
        <w:t>Golden Perch adults aggregated across the Murrumbidgee River RRCP</w:t>
      </w:r>
      <w:r w:rsidRPr="00DD7D8C">
        <w:t xml:space="preserve"> </w:t>
      </w:r>
      <w:r>
        <w:t xml:space="preserve">focal zone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120A7FFA" w14:textId="2F857FC6" w:rsidR="00491210" w:rsidRDefault="00EE200C" w:rsidP="000F43B0">
      <w:pPr>
        <w:pStyle w:val="Heading3"/>
        <w:rPr>
          <w:lang w:eastAsia="en-AU"/>
        </w:rPr>
      </w:pPr>
      <w:bookmarkStart w:id="407" w:name="_Toc116994925"/>
      <w:r w:rsidRPr="7ADEDDC3">
        <w:rPr>
          <w:lang w:eastAsia="en-AU"/>
        </w:rPr>
        <w:t>Golden Perch</w:t>
      </w:r>
      <w:r>
        <w:rPr>
          <w:lang w:eastAsia="en-AU"/>
        </w:rPr>
        <w:t xml:space="preserve"> – Torrumbarry to Wentworth</w:t>
      </w:r>
      <w:bookmarkEnd w:id="407"/>
    </w:p>
    <w:p w14:paraId="66BBAC6E" w14:textId="00A845BF" w:rsidR="00491210" w:rsidRDefault="003E1401" w:rsidP="008B3746">
      <w:pPr>
        <w:spacing w:after="0"/>
        <w:rPr>
          <w:noProof/>
        </w:rPr>
      </w:pPr>
      <w:r>
        <w:rPr>
          <w:noProof/>
          <w:lang w:eastAsia="en-AU"/>
        </w:rPr>
        <w:t xml:space="preserve"> </w:t>
      </w:r>
    </w:p>
    <w:p w14:paraId="5B5A108C" w14:textId="55D6422C" w:rsidR="00491210" w:rsidRDefault="003E1401" w:rsidP="008B3746">
      <w:pPr>
        <w:spacing w:after="0"/>
        <w:rPr>
          <w:noProof/>
        </w:rPr>
      </w:pPr>
      <w:r>
        <w:rPr>
          <w:noProof/>
          <w:lang w:eastAsia="en-AU"/>
        </w:rPr>
        <w:t xml:space="preserve"> </w:t>
      </w:r>
    </w:p>
    <w:p w14:paraId="265E76F2" w14:textId="27C23AA2" w:rsidR="00491210" w:rsidRDefault="003E1401" w:rsidP="008B3746">
      <w:pPr>
        <w:spacing w:after="0"/>
        <w:rPr>
          <w:noProof/>
        </w:rPr>
      </w:pPr>
      <w:r>
        <w:rPr>
          <w:noProof/>
          <w:lang w:eastAsia="en-AU"/>
        </w:rPr>
        <w:t xml:space="preserve"> </w:t>
      </w:r>
    </w:p>
    <w:p w14:paraId="7D9E73C5" w14:textId="5B904F2A" w:rsidR="00491210" w:rsidRDefault="003E1401" w:rsidP="008B3746">
      <w:pPr>
        <w:spacing w:after="0"/>
        <w:rPr>
          <w:noProof/>
        </w:rPr>
      </w:pPr>
      <w:r>
        <w:rPr>
          <w:noProof/>
          <w:lang w:eastAsia="en-AU"/>
        </w:rPr>
        <w:t xml:space="preserve"> </w:t>
      </w:r>
    </w:p>
    <w:p w14:paraId="41EC24D0" w14:textId="27D38C60" w:rsidR="00491210" w:rsidRDefault="003E1401" w:rsidP="008B3746">
      <w:pPr>
        <w:spacing w:after="0"/>
        <w:rPr>
          <w:noProof/>
        </w:rPr>
      </w:pPr>
      <w:r>
        <w:rPr>
          <w:noProof/>
          <w:lang w:eastAsia="en-AU"/>
        </w:rPr>
        <w:t xml:space="preserve"> </w:t>
      </w:r>
    </w:p>
    <w:p w14:paraId="7616CA22" w14:textId="66643669" w:rsidR="00491210" w:rsidRDefault="003E1401" w:rsidP="008B3746">
      <w:pPr>
        <w:spacing w:after="0"/>
        <w:rPr>
          <w:noProof/>
        </w:rPr>
      </w:pPr>
      <w:r>
        <w:rPr>
          <w:noProof/>
          <w:lang w:eastAsia="en-AU"/>
        </w:rPr>
        <w:t xml:space="preserve"> </w:t>
      </w:r>
    </w:p>
    <w:p w14:paraId="5F37A355" w14:textId="5E6A0EC4" w:rsidR="00491210" w:rsidRDefault="003E1401" w:rsidP="008B3746">
      <w:pPr>
        <w:spacing w:after="0"/>
        <w:rPr>
          <w:noProof/>
        </w:rPr>
      </w:pPr>
      <w:r>
        <w:rPr>
          <w:noProof/>
          <w:lang w:eastAsia="en-AU"/>
        </w:rPr>
        <w:t xml:space="preserve"> </w:t>
      </w:r>
    </w:p>
    <w:p w14:paraId="2D501005" w14:textId="2227B49D" w:rsidR="00491210" w:rsidRDefault="003E1401" w:rsidP="008B3746">
      <w:pPr>
        <w:spacing w:after="0"/>
        <w:rPr>
          <w:noProof/>
        </w:rPr>
      </w:pPr>
      <w:r>
        <w:rPr>
          <w:noProof/>
          <w:lang w:eastAsia="en-AU"/>
        </w:rPr>
        <w:t xml:space="preserve"> </w:t>
      </w:r>
    </w:p>
    <w:p w14:paraId="709C5E49" w14:textId="45745392" w:rsidR="00491210" w:rsidRDefault="003E1401" w:rsidP="008B3746">
      <w:pPr>
        <w:spacing w:after="0"/>
        <w:rPr>
          <w:noProof/>
        </w:rPr>
      </w:pPr>
      <w:r>
        <w:rPr>
          <w:noProof/>
          <w:lang w:eastAsia="en-AU"/>
        </w:rPr>
        <w:t xml:space="preserve"> </w:t>
      </w:r>
    </w:p>
    <w:p w14:paraId="34086EA5" w14:textId="76857514" w:rsidR="00491210" w:rsidRDefault="003E1401" w:rsidP="008B3746">
      <w:pPr>
        <w:spacing w:after="0"/>
        <w:rPr>
          <w:noProof/>
        </w:rPr>
      </w:pPr>
      <w:r>
        <w:rPr>
          <w:noProof/>
          <w:lang w:eastAsia="en-AU"/>
        </w:rPr>
        <w:t xml:space="preserve"> </w:t>
      </w:r>
    </w:p>
    <w:p w14:paraId="2DCECFAF" w14:textId="1D98E8BD"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5</w:t>
      </w:r>
      <w:r>
        <w:fldChar w:fldCharType="end"/>
      </w:r>
      <w:r>
        <w:t>.</w:t>
      </w:r>
      <w:r w:rsidRPr="7ADEDDC3">
        <w:t xml:space="preserve"> </w:t>
      </w:r>
      <w:r>
        <w:t xml:space="preserve">Golden Perch adults in the reach Torrumbarry to Wentworth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2E31C58B" w14:textId="2F8397B0" w:rsidR="00491210" w:rsidRDefault="00EE200C" w:rsidP="000F43B0">
      <w:pPr>
        <w:pStyle w:val="Heading3"/>
        <w:rPr>
          <w:lang w:eastAsia="en-AU"/>
        </w:rPr>
      </w:pPr>
      <w:bookmarkStart w:id="408" w:name="_Toc116994926"/>
      <w:r w:rsidRPr="7ADEDDC3">
        <w:rPr>
          <w:lang w:eastAsia="en-AU"/>
        </w:rPr>
        <w:t>Golden Perch</w:t>
      </w:r>
      <w:r>
        <w:rPr>
          <w:lang w:eastAsia="en-AU"/>
        </w:rPr>
        <w:t xml:space="preserve"> – Yarrawonga to Torrumbarry</w:t>
      </w:r>
      <w:bookmarkEnd w:id="408"/>
    </w:p>
    <w:p w14:paraId="732619E9" w14:textId="2E9C683E" w:rsidR="00491210" w:rsidRDefault="003E1401" w:rsidP="008B3746">
      <w:pPr>
        <w:spacing w:after="0"/>
        <w:rPr>
          <w:noProof/>
        </w:rPr>
      </w:pPr>
      <w:r>
        <w:rPr>
          <w:noProof/>
          <w:lang w:eastAsia="en-AU"/>
        </w:rPr>
        <w:t xml:space="preserve"> </w:t>
      </w:r>
    </w:p>
    <w:p w14:paraId="6586B2B8" w14:textId="624A9D87" w:rsidR="00491210" w:rsidRDefault="003E1401" w:rsidP="008B3746">
      <w:pPr>
        <w:spacing w:after="0"/>
        <w:rPr>
          <w:noProof/>
        </w:rPr>
      </w:pPr>
      <w:r>
        <w:rPr>
          <w:noProof/>
          <w:lang w:eastAsia="en-AU"/>
        </w:rPr>
        <w:t xml:space="preserve"> </w:t>
      </w:r>
    </w:p>
    <w:p w14:paraId="08A1E8BA" w14:textId="4846CF21" w:rsidR="00491210" w:rsidRDefault="003E1401" w:rsidP="008B3746">
      <w:pPr>
        <w:spacing w:after="0"/>
        <w:rPr>
          <w:noProof/>
        </w:rPr>
      </w:pPr>
      <w:r>
        <w:rPr>
          <w:noProof/>
          <w:lang w:eastAsia="en-AU"/>
        </w:rPr>
        <w:t xml:space="preserve"> </w:t>
      </w:r>
    </w:p>
    <w:p w14:paraId="5089C236" w14:textId="0E7B424F" w:rsidR="00491210" w:rsidRDefault="003E1401" w:rsidP="008B3746">
      <w:pPr>
        <w:spacing w:after="0"/>
        <w:rPr>
          <w:noProof/>
        </w:rPr>
      </w:pPr>
      <w:r>
        <w:rPr>
          <w:noProof/>
          <w:lang w:eastAsia="en-AU"/>
        </w:rPr>
        <w:t xml:space="preserve"> </w:t>
      </w:r>
    </w:p>
    <w:p w14:paraId="673A9F76" w14:textId="3467BF1B" w:rsidR="00491210" w:rsidRDefault="003E1401" w:rsidP="008B3746">
      <w:pPr>
        <w:spacing w:after="0"/>
        <w:rPr>
          <w:noProof/>
        </w:rPr>
      </w:pPr>
      <w:r>
        <w:rPr>
          <w:noProof/>
          <w:lang w:eastAsia="en-AU"/>
        </w:rPr>
        <w:t xml:space="preserve"> </w:t>
      </w:r>
    </w:p>
    <w:p w14:paraId="78904E99" w14:textId="3034E02F" w:rsidR="00491210" w:rsidRDefault="003E1401" w:rsidP="008B3746">
      <w:pPr>
        <w:spacing w:after="0"/>
        <w:rPr>
          <w:noProof/>
        </w:rPr>
      </w:pPr>
      <w:r>
        <w:rPr>
          <w:noProof/>
          <w:lang w:eastAsia="en-AU"/>
        </w:rPr>
        <w:lastRenderedPageBreak/>
        <w:t xml:space="preserve"> </w:t>
      </w:r>
    </w:p>
    <w:p w14:paraId="2D52957F" w14:textId="68FA4D1B" w:rsidR="00491210" w:rsidRDefault="003E1401" w:rsidP="008B3746">
      <w:pPr>
        <w:spacing w:after="0"/>
        <w:rPr>
          <w:noProof/>
        </w:rPr>
      </w:pPr>
      <w:r>
        <w:rPr>
          <w:noProof/>
          <w:lang w:eastAsia="en-AU"/>
        </w:rPr>
        <w:t xml:space="preserve"> </w:t>
      </w:r>
    </w:p>
    <w:p w14:paraId="46CD0F4E" w14:textId="229F932D" w:rsidR="00491210" w:rsidRDefault="003E1401" w:rsidP="008B3746">
      <w:pPr>
        <w:spacing w:after="0"/>
        <w:rPr>
          <w:noProof/>
        </w:rPr>
      </w:pPr>
      <w:r>
        <w:rPr>
          <w:noProof/>
          <w:lang w:eastAsia="en-AU"/>
        </w:rPr>
        <w:t xml:space="preserve"> </w:t>
      </w:r>
    </w:p>
    <w:p w14:paraId="3FA32745" w14:textId="04A7F0B8" w:rsidR="00491210" w:rsidRDefault="003E1401" w:rsidP="008B3746">
      <w:pPr>
        <w:spacing w:after="0"/>
        <w:rPr>
          <w:noProof/>
        </w:rPr>
      </w:pPr>
      <w:r>
        <w:rPr>
          <w:noProof/>
          <w:lang w:eastAsia="en-AU"/>
        </w:rPr>
        <w:t xml:space="preserve"> </w:t>
      </w:r>
    </w:p>
    <w:p w14:paraId="65D4D2BB" w14:textId="25FF06EA" w:rsidR="00491210" w:rsidRDefault="003E1401" w:rsidP="008B3746">
      <w:pPr>
        <w:spacing w:after="0"/>
        <w:rPr>
          <w:noProof/>
        </w:rPr>
      </w:pPr>
      <w:r>
        <w:rPr>
          <w:noProof/>
          <w:lang w:eastAsia="en-AU"/>
        </w:rPr>
        <w:t xml:space="preserve"> </w:t>
      </w:r>
    </w:p>
    <w:p w14:paraId="2B555401" w14:textId="62C6BF24"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6</w:t>
      </w:r>
      <w:r>
        <w:fldChar w:fldCharType="end"/>
      </w:r>
      <w:r>
        <w:t>.</w:t>
      </w:r>
      <w:r w:rsidRPr="7ADEDDC3">
        <w:t xml:space="preserve"> </w:t>
      </w:r>
      <w:r>
        <w:t xml:space="preserve">Golden Perch adults in the Yarrawonga to Torrumbarry reach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3529DBB0" w14:textId="665EFCB9" w:rsidR="00491210" w:rsidRDefault="00EE200C" w:rsidP="000F43B0">
      <w:pPr>
        <w:pStyle w:val="Heading3"/>
        <w:rPr>
          <w:lang w:eastAsia="en-AU"/>
        </w:rPr>
      </w:pPr>
      <w:bookmarkStart w:id="409" w:name="_Toc116994927"/>
      <w:r w:rsidRPr="7ADEDDC3">
        <w:rPr>
          <w:lang w:eastAsia="en-AU"/>
        </w:rPr>
        <w:t>Golden Perch</w:t>
      </w:r>
      <w:r>
        <w:rPr>
          <w:lang w:eastAsia="en-AU"/>
        </w:rPr>
        <w:t xml:space="preserve"> – Hume to Yarrawonga</w:t>
      </w:r>
      <w:bookmarkEnd w:id="409"/>
    </w:p>
    <w:p w14:paraId="1623B8DE" w14:textId="2A27061E" w:rsidR="00491210" w:rsidRDefault="003E1401" w:rsidP="008B3746">
      <w:pPr>
        <w:spacing w:after="0"/>
        <w:rPr>
          <w:noProof/>
        </w:rPr>
      </w:pPr>
      <w:r>
        <w:rPr>
          <w:noProof/>
          <w:lang w:eastAsia="en-AU"/>
        </w:rPr>
        <w:t xml:space="preserve"> </w:t>
      </w:r>
    </w:p>
    <w:p w14:paraId="2CD458CE" w14:textId="60E088A6" w:rsidR="00491210" w:rsidRDefault="003E1401" w:rsidP="008B3746">
      <w:pPr>
        <w:spacing w:after="0"/>
        <w:rPr>
          <w:noProof/>
        </w:rPr>
      </w:pPr>
      <w:r>
        <w:rPr>
          <w:noProof/>
          <w:lang w:eastAsia="en-AU"/>
        </w:rPr>
        <w:t xml:space="preserve"> </w:t>
      </w:r>
    </w:p>
    <w:p w14:paraId="21BAA852" w14:textId="5EB0F021" w:rsidR="00491210" w:rsidRDefault="00EE200C" w:rsidP="00EF712F">
      <w:pPr>
        <w:spacing w:after="0"/>
        <w:rPr>
          <w:noProof/>
        </w:rPr>
      </w:pPr>
      <w:r>
        <w:rPr>
          <w:noProof/>
          <w:lang w:val="en-GB" w:eastAsia="en-GB"/>
        </w:rPr>
        <w:t>c</w:t>
      </w:r>
      <w:r w:rsidR="003E1401">
        <w:rPr>
          <w:noProof/>
          <w:lang w:eastAsia="en-AU"/>
        </w:rPr>
        <w:t xml:space="preserve"> </w:t>
      </w:r>
    </w:p>
    <w:p w14:paraId="40C594B0" w14:textId="1FF5B946" w:rsidR="00491210" w:rsidRDefault="003E1401" w:rsidP="008B3746">
      <w:pPr>
        <w:spacing w:after="0"/>
        <w:rPr>
          <w:noProof/>
        </w:rPr>
      </w:pPr>
      <w:r>
        <w:rPr>
          <w:noProof/>
          <w:lang w:eastAsia="en-AU"/>
        </w:rPr>
        <w:t xml:space="preserve"> </w:t>
      </w:r>
    </w:p>
    <w:p w14:paraId="2B967994" w14:textId="7021DA34" w:rsidR="00491210" w:rsidRDefault="003E1401" w:rsidP="00093162">
      <w:pPr>
        <w:spacing w:after="0"/>
        <w:jc w:val="right"/>
        <w:rPr>
          <w:noProof/>
        </w:rPr>
      </w:pPr>
      <w:r>
        <w:rPr>
          <w:noProof/>
          <w:lang w:eastAsia="en-AU"/>
        </w:rPr>
        <w:t xml:space="preserve"> </w:t>
      </w:r>
    </w:p>
    <w:p w14:paraId="4935CD61" w14:textId="353DDF5D" w:rsidR="00491210" w:rsidRDefault="003E1401" w:rsidP="008B3746">
      <w:pPr>
        <w:spacing w:after="0"/>
        <w:rPr>
          <w:noProof/>
        </w:rPr>
      </w:pPr>
      <w:r>
        <w:rPr>
          <w:noProof/>
          <w:lang w:eastAsia="en-AU"/>
        </w:rPr>
        <w:t xml:space="preserve"> </w:t>
      </w:r>
    </w:p>
    <w:p w14:paraId="42EB6D92" w14:textId="4A3A844E" w:rsidR="00491210" w:rsidRDefault="003E1401" w:rsidP="008B3746">
      <w:pPr>
        <w:spacing w:after="0"/>
        <w:rPr>
          <w:noProof/>
        </w:rPr>
      </w:pPr>
      <w:r>
        <w:rPr>
          <w:noProof/>
          <w:lang w:eastAsia="en-AU"/>
        </w:rPr>
        <w:t xml:space="preserve"> </w:t>
      </w:r>
    </w:p>
    <w:p w14:paraId="4C3D3D21" w14:textId="0F60B034" w:rsidR="00491210" w:rsidRDefault="003E1401" w:rsidP="008B3746">
      <w:pPr>
        <w:spacing w:after="0"/>
        <w:rPr>
          <w:noProof/>
        </w:rPr>
      </w:pPr>
      <w:r>
        <w:rPr>
          <w:noProof/>
          <w:lang w:eastAsia="en-AU"/>
        </w:rPr>
        <w:t xml:space="preserve"> </w:t>
      </w:r>
    </w:p>
    <w:p w14:paraId="56B88481" w14:textId="41FDF39B" w:rsidR="00491210" w:rsidRDefault="003E1401" w:rsidP="008B3746">
      <w:pPr>
        <w:spacing w:after="0"/>
        <w:rPr>
          <w:noProof/>
        </w:rPr>
      </w:pPr>
      <w:r>
        <w:rPr>
          <w:noProof/>
          <w:lang w:eastAsia="en-AU"/>
        </w:rPr>
        <w:t xml:space="preserve"> </w:t>
      </w:r>
    </w:p>
    <w:p w14:paraId="44332B44" w14:textId="69139374" w:rsidR="00491210" w:rsidRDefault="003E1401" w:rsidP="008B3746">
      <w:pPr>
        <w:spacing w:after="0"/>
        <w:rPr>
          <w:noProof/>
        </w:rPr>
      </w:pPr>
      <w:r>
        <w:rPr>
          <w:noProof/>
          <w:lang w:eastAsia="en-AU"/>
        </w:rPr>
        <w:t xml:space="preserve"> </w:t>
      </w:r>
    </w:p>
    <w:p w14:paraId="76E5FA54" w14:textId="378B78F4"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7</w:t>
      </w:r>
      <w:r>
        <w:fldChar w:fldCharType="end"/>
      </w:r>
      <w:r>
        <w:t>.</w:t>
      </w:r>
      <w:r w:rsidRPr="7ADEDDC3">
        <w:t xml:space="preserve"> </w:t>
      </w:r>
      <w:r>
        <w:t xml:space="preserve">Golden Perch adults in the Hume to Yarrawonga reach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1C0F53E9" w14:textId="6512317A" w:rsidR="00491210" w:rsidRDefault="00EE200C" w:rsidP="000F43B0">
      <w:pPr>
        <w:pStyle w:val="Heading3"/>
        <w:rPr>
          <w:lang w:eastAsia="en-AU"/>
        </w:rPr>
      </w:pPr>
      <w:bookmarkStart w:id="410" w:name="_Toc116994928"/>
      <w:r w:rsidRPr="7ADEDDC3">
        <w:rPr>
          <w:lang w:eastAsia="en-AU"/>
        </w:rPr>
        <w:t>Golden Perch</w:t>
      </w:r>
      <w:r>
        <w:rPr>
          <w:lang w:eastAsia="en-AU"/>
        </w:rPr>
        <w:t xml:space="preserve"> – Edward River</w:t>
      </w:r>
      <w:bookmarkEnd w:id="410"/>
    </w:p>
    <w:p w14:paraId="169463B0" w14:textId="1505CFA4" w:rsidR="00491210" w:rsidRDefault="003E1401" w:rsidP="006D7DB2">
      <w:pPr>
        <w:spacing w:after="0"/>
        <w:rPr>
          <w:noProof/>
        </w:rPr>
      </w:pPr>
      <w:r>
        <w:rPr>
          <w:noProof/>
          <w:lang w:eastAsia="en-AU"/>
        </w:rPr>
        <w:t xml:space="preserve"> </w:t>
      </w:r>
    </w:p>
    <w:p w14:paraId="7B395A85" w14:textId="3CC29A0B" w:rsidR="00491210" w:rsidRDefault="003E1401" w:rsidP="006D7DB2">
      <w:pPr>
        <w:spacing w:after="0"/>
        <w:rPr>
          <w:noProof/>
        </w:rPr>
      </w:pPr>
      <w:r>
        <w:rPr>
          <w:noProof/>
          <w:lang w:eastAsia="en-AU"/>
        </w:rPr>
        <w:t xml:space="preserve"> </w:t>
      </w:r>
    </w:p>
    <w:p w14:paraId="2079691E" w14:textId="5B3E2221" w:rsidR="00491210" w:rsidRDefault="003E1401" w:rsidP="006D7DB2">
      <w:pPr>
        <w:spacing w:after="0"/>
        <w:rPr>
          <w:noProof/>
        </w:rPr>
      </w:pPr>
      <w:r>
        <w:rPr>
          <w:noProof/>
          <w:lang w:eastAsia="en-AU"/>
        </w:rPr>
        <w:t xml:space="preserve"> </w:t>
      </w:r>
    </w:p>
    <w:p w14:paraId="6EA554F0" w14:textId="79B5B8FF" w:rsidR="00491210" w:rsidRDefault="003E1401" w:rsidP="00093162">
      <w:pPr>
        <w:spacing w:after="0"/>
        <w:jc w:val="right"/>
        <w:rPr>
          <w:noProof/>
        </w:rPr>
      </w:pPr>
      <w:r>
        <w:rPr>
          <w:noProof/>
          <w:lang w:eastAsia="en-AU"/>
        </w:rPr>
        <w:t xml:space="preserve"> </w:t>
      </w:r>
    </w:p>
    <w:p w14:paraId="3EA44AA9" w14:textId="188791E3" w:rsidR="00491210" w:rsidRDefault="003E1401" w:rsidP="006D7DB2">
      <w:pPr>
        <w:spacing w:after="0"/>
        <w:rPr>
          <w:noProof/>
        </w:rPr>
      </w:pPr>
      <w:r>
        <w:rPr>
          <w:noProof/>
          <w:lang w:eastAsia="en-AU"/>
        </w:rPr>
        <w:t xml:space="preserve"> </w:t>
      </w:r>
    </w:p>
    <w:p w14:paraId="1DACD931" w14:textId="7515BD96" w:rsidR="00491210" w:rsidRDefault="003E1401" w:rsidP="006D7DB2">
      <w:pPr>
        <w:spacing w:after="0"/>
        <w:rPr>
          <w:noProof/>
        </w:rPr>
      </w:pPr>
      <w:r>
        <w:rPr>
          <w:noProof/>
          <w:lang w:eastAsia="en-AU"/>
        </w:rPr>
        <w:t xml:space="preserve"> </w:t>
      </w:r>
    </w:p>
    <w:p w14:paraId="18B46047" w14:textId="3731A750" w:rsidR="00491210" w:rsidRDefault="003E1401" w:rsidP="006D7DB2">
      <w:pPr>
        <w:spacing w:after="0"/>
        <w:rPr>
          <w:noProof/>
        </w:rPr>
      </w:pPr>
      <w:r>
        <w:rPr>
          <w:noProof/>
          <w:lang w:eastAsia="en-AU"/>
        </w:rPr>
        <w:t xml:space="preserve"> </w:t>
      </w:r>
    </w:p>
    <w:p w14:paraId="5FDD8AC8" w14:textId="39CA71E5" w:rsidR="00491210" w:rsidRDefault="003E1401" w:rsidP="006D7DB2">
      <w:pPr>
        <w:spacing w:after="0"/>
        <w:rPr>
          <w:noProof/>
        </w:rPr>
      </w:pPr>
      <w:r>
        <w:rPr>
          <w:noProof/>
          <w:lang w:eastAsia="en-AU"/>
        </w:rPr>
        <w:t xml:space="preserve"> </w:t>
      </w:r>
    </w:p>
    <w:p w14:paraId="22A690C9" w14:textId="1C7464CD" w:rsidR="00491210" w:rsidRDefault="003E1401" w:rsidP="006D7DB2">
      <w:pPr>
        <w:spacing w:after="0"/>
        <w:rPr>
          <w:noProof/>
        </w:rPr>
      </w:pPr>
      <w:r>
        <w:rPr>
          <w:noProof/>
          <w:lang w:eastAsia="en-AU"/>
        </w:rPr>
        <w:t xml:space="preserve"> </w:t>
      </w:r>
    </w:p>
    <w:p w14:paraId="514066C0" w14:textId="4F5724B2" w:rsidR="00491210" w:rsidRDefault="003E1401" w:rsidP="006D7DB2">
      <w:pPr>
        <w:spacing w:after="0"/>
        <w:rPr>
          <w:noProof/>
        </w:rPr>
      </w:pPr>
      <w:r>
        <w:rPr>
          <w:noProof/>
          <w:lang w:eastAsia="en-AU"/>
        </w:rPr>
        <w:t xml:space="preserve"> </w:t>
      </w:r>
    </w:p>
    <w:p w14:paraId="214C7F3B" w14:textId="3DB6B546"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8</w:t>
      </w:r>
      <w:r>
        <w:fldChar w:fldCharType="end"/>
      </w:r>
      <w:r>
        <w:t>.</w:t>
      </w:r>
      <w:r w:rsidRPr="7ADEDDC3">
        <w:t xml:space="preserve"> Golden Perch </w:t>
      </w:r>
      <w:r>
        <w:t xml:space="preserve">in the Edward River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26F674E6" w14:textId="06010139" w:rsidR="00491210" w:rsidRDefault="00EE200C" w:rsidP="000F43B0">
      <w:pPr>
        <w:pStyle w:val="Heading3"/>
        <w:rPr>
          <w:lang w:eastAsia="en-AU"/>
        </w:rPr>
      </w:pPr>
      <w:bookmarkStart w:id="411" w:name="_Toc116994929"/>
      <w:r w:rsidRPr="7ADEDDC3">
        <w:rPr>
          <w:lang w:eastAsia="en-AU"/>
        </w:rPr>
        <w:t>Golden Perch</w:t>
      </w:r>
      <w:r>
        <w:rPr>
          <w:lang w:eastAsia="en-AU"/>
        </w:rPr>
        <w:t xml:space="preserve"> – Hay to Balranald</w:t>
      </w:r>
      <w:bookmarkEnd w:id="411"/>
    </w:p>
    <w:p w14:paraId="4C4E8FA8" w14:textId="546A6C82" w:rsidR="00491210" w:rsidRDefault="003E1401" w:rsidP="006E7BC9">
      <w:pPr>
        <w:spacing w:after="0"/>
        <w:rPr>
          <w:noProof/>
        </w:rPr>
      </w:pPr>
      <w:r>
        <w:rPr>
          <w:noProof/>
          <w:lang w:eastAsia="en-AU"/>
        </w:rPr>
        <w:t xml:space="preserve"> </w:t>
      </w:r>
    </w:p>
    <w:p w14:paraId="35FCE422" w14:textId="2FB42AFA" w:rsidR="00491210" w:rsidRDefault="003E1401" w:rsidP="006E7BC9">
      <w:pPr>
        <w:spacing w:after="0"/>
        <w:rPr>
          <w:noProof/>
        </w:rPr>
      </w:pPr>
      <w:r>
        <w:rPr>
          <w:noProof/>
          <w:lang w:eastAsia="en-AU"/>
        </w:rPr>
        <w:t xml:space="preserve"> </w:t>
      </w:r>
    </w:p>
    <w:p w14:paraId="41C4676A" w14:textId="425108BB" w:rsidR="00491210" w:rsidRDefault="003E1401" w:rsidP="006E7BC9">
      <w:pPr>
        <w:spacing w:after="0"/>
        <w:rPr>
          <w:noProof/>
        </w:rPr>
      </w:pPr>
      <w:r>
        <w:rPr>
          <w:noProof/>
          <w:lang w:eastAsia="en-AU"/>
        </w:rPr>
        <w:lastRenderedPageBreak/>
        <w:t xml:space="preserve"> </w:t>
      </w:r>
    </w:p>
    <w:p w14:paraId="08CC6A24" w14:textId="650F7AD6" w:rsidR="00491210" w:rsidRDefault="003E1401" w:rsidP="006E7BC9">
      <w:pPr>
        <w:spacing w:after="0"/>
        <w:rPr>
          <w:noProof/>
        </w:rPr>
      </w:pPr>
      <w:r>
        <w:rPr>
          <w:noProof/>
          <w:lang w:eastAsia="en-AU"/>
        </w:rPr>
        <w:t xml:space="preserve"> </w:t>
      </w:r>
    </w:p>
    <w:p w14:paraId="1A7627CE" w14:textId="7255A5E0" w:rsidR="00491210" w:rsidRDefault="003E1401" w:rsidP="006E7BC9">
      <w:pPr>
        <w:spacing w:after="0"/>
        <w:rPr>
          <w:noProof/>
        </w:rPr>
      </w:pPr>
      <w:r>
        <w:rPr>
          <w:noProof/>
          <w:lang w:eastAsia="en-AU"/>
        </w:rPr>
        <w:t xml:space="preserve"> </w:t>
      </w:r>
    </w:p>
    <w:p w14:paraId="56FF4222" w14:textId="7D3375A6" w:rsidR="00491210" w:rsidRDefault="003E1401" w:rsidP="006E7BC9">
      <w:pPr>
        <w:spacing w:after="0"/>
        <w:rPr>
          <w:noProof/>
        </w:rPr>
      </w:pPr>
      <w:r>
        <w:rPr>
          <w:noProof/>
          <w:lang w:eastAsia="en-AU"/>
        </w:rPr>
        <w:t xml:space="preserve"> </w:t>
      </w:r>
    </w:p>
    <w:p w14:paraId="74B5BA12" w14:textId="2AF9406C" w:rsidR="00491210" w:rsidRDefault="003E1401" w:rsidP="006E7BC9">
      <w:pPr>
        <w:spacing w:after="0"/>
        <w:rPr>
          <w:noProof/>
        </w:rPr>
      </w:pPr>
      <w:r>
        <w:rPr>
          <w:noProof/>
          <w:lang w:eastAsia="en-AU"/>
        </w:rPr>
        <w:t xml:space="preserve"> </w:t>
      </w:r>
    </w:p>
    <w:p w14:paraId="52D8B5ED" w14:textId="458653D8" w:rsidR="00491210" w:rsidRDefault="003E1401" w:rsidP="006E7BC9">
      <w:pPr>
        <w:spacing w:after="0"/>
        <w:rPr>
          <w:noProof/>
        </w:rPr>
      </w:pPr>
      <w:r>
        <w:rPr>
          <w:noProof/>
          <w:lang w:eastAsia="en-AU"/>
        </w:rPr>
        <w:t xml:space="preserve"> </w:t>
      </w:r>
    </w:p>
    <w:p w14:paraId="3C2927A8" w14:textId="5CE52A47" w:rsidR="00491210" w:rsidRDefault="003E1401" w:rsidP="006E7BC9">
      <w:pPr>
        <w:spacing w:after="0"/>
        <w:rPr>
          <w:noProof/>
        </w:rPr>
      </w:pPr>
      <w:r>
        <w:rPr>
          <w:noProof/>
          <w:lang w:eastAsia="en-AU"/>
        </w:rPr>
        <w:t xml:space="preserve"> </w:t>
      </w:r>
    </w:p>
    <w:p w14:paraId="3471A9B0" w14:textId="68F9EFAE" w:rsidR="00491210" w:rsidRDefault="003E1401" w:rsidP="006E7BC9">
      <w:pPr>
        <w:spacing w:after="0"/>
        <w:rPr>
          <w:noProof/>
        </w:rPr>
      </w:pPr>
      <w:r>
        <w:rPr>
          <w:noProof/>
          <w:lang w:eastAsia="en-AU"/>
        </w:rPr>
        <w:t xml:space="preserve"> </w:t>
      </w:r>
    </w:p>
    <w:p w14:paraId="79E95906" w14:textId="250462A1"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9</w:t>
      </w:r>
      <w:r>
        <w:fldChar w:fldCharType="end"/>
      </w:r>
      <w:r>
        <w:t>.</w:t>
      </w:r>
      <w:r w:rsidRPr="7ADEDDC3">
        <w:t xml:space="preserve"> </w:t>
      </w:r>
      <w:r>
        <w:t xml:space="preserve">Golden Perch adults in the Hay to Balranald reach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32BBF93B" w14:textId="6F988A65" w:rsidR="00491210" w:rsidRDefault="00EE200C" w:rsidP="000F43B0">
      <w:pPr>
        <w:pStyle w:val="Heading3"/>
        <w:rPr>
          <w:lang w:eastAsia="en-AU"/>
        </w:rPr>
      </w:pPr>
      <w:bookmarkStart w:id="412" w:name="_Toc116994930"/>
      <w:r w:rsidRPr="7ADEDDC3">
        <w:rPr>
          <w:lang w:eastAsia="en-AU"/>
        </w:rPr>
        <w:t>Golden Perch</w:t>
      </w:r>
      <w:r>
        <w:rPr>
          <w:lang w:eastAsia="en-AU"/>
        </w:rPr>
        <w:t xml:space="preserve"> – Gundagai to Hay</w:t>
      </w:r>
      <w:bookmarkEnd w:id="412"/>
    </w:p>
    <w:p w14:paraId="1EB3979A" w14:textId="055ABE82" w:rsidR="00491210" w:rsidRDefault="003E1401" w:rsidP="006E7BC9">
      <w:pPr>
        <w:spacing w:after="0"/>
        <w:rPr>
          <w:noProof/>
        </w:rPr>
      </w:pPr>
      <w:r>
        <w:rPr>
          <w:noProof/>
          <w:lang w:eastAsia="en-AU"/>
        </w:rPr>
        <w:t xml:space="preserve"> </w:t>
      </w:r>
    </w:p>
    <w:p w14:paraId="1A98447B" w14:textId="2E65EF44" w:rsidR="00491210" w:rsidRDefault="003E1401" w:rsidP="006E7BC9">
      <w:pPr>
        <w:spacing w:after="0"/>
        <w:rPr>
          <w:noProof/>
        </w:rPr>
      </w:pPr>
      <w:r>
        <w:rPr>
          <w:noProof/>
          <w:lang w:eastAsia="en-AU"/>
        </w:rPr>
        <w:t xml:space="preserve"> </w:t>
      </w:r>
    </w:p>
    <w:p w14:paraId="64CA2DD5" w14:textId="5CF3E0A0" w:rsidR="00491210" w:rsidRDefault="003E1401" w:rsidP="00093162">
      <w:pPr>
        <w:spacing w:after="0"/>
        <w:jc w:val="right"/>
        <w:rPr>
          <w:noProof/>
        </w:rPr>
      </w:pPr>
      <w:r>
        <w:rPr>
          <w:noProof/>
          <w:lang w:eastAsia="en-AU"/>
        </w:rPr>
        <w:t xml:space="preserve"> </w:t>
      </w:r>
    </w:p>
    <w:p w14:paraId="36A8C5F7" w14:textId="1990DBF2" w:rsidR="00491210" w:rsidRDefault="003E1401" w:rsidP="006E7BC9">
      <w:pPr>
        <w:spacing w:after="0"/>
        <w:rPr>
          <w:noProof/>
        </w:rPr>
      </w:pPr>
      <w:r>
        <w:rPr>
          <w:noProof/>
          <w:lang w:eastAsia="en-AU"/>
        </w:rPr>
        <w:t xml:space="preserve"> </w:t>
      </w:r>
    </w:p>
    <w:p w14:paraId="7BF1DB40" w14:textId="2A1FDA52" w:rsidR="00491210" w:rsidRDefault="003E1401" w:rsidP="006E7BC9">
      <w:pPr>
        <w:spacing w:after="0"/>
        <w:rPr>
          <w:noProof/>
        </w:rPr>
      </w:pPr>
      <w:r>
        <w:rPr>
          <w:noProof/>
          <w:lang w:eastAsia="en-AU"/>
        </w:rPr>
        <w:t xml:space="preserve"> </w:t>
      </w:r>
    </w:p>
    <w:p w14:paraId="10835B94" w14:textId="69140E30" w:rsidR="00491210" w:rsidRDefault="003E1401" w:rsidP="006E7BC9">
      <w:pPr>
        <w:spacing w:after="0"/>
        <w:rPr>
          <w:noProof/>
        </w:rPr>
      </w:pPr>
      <w:r>
        <w:rPr>
          <w:noProof/>
          <w:lang w:eastAsia="en-AU"/>
        </w:rPr>
        <w:t xml:space="preserve"> </w:t>
      </w:r>
    </w:p>
    <w:p w14:paraId="4592C0B2" w14:textId="2E9D355E" w:rsidR="00491210" w:rsidRDefault="003E1401" w:rsidP="006E7BC9">
      <w:pPr>
        <w:spacing w:after="0"/>
        <w:rPr>
          <w:noProof/>
        </w:rPr>
      </w:pPr>
      <w:r>
        <w:rPr>
          <w:noProof/>
          <w:lang w:eastAsia="en-AU"/>
        </w:rPr>
        <w:t xml:space="preserve"> </w:t>
      </w:r>
    </w:p>
    <w:p w14:paraId="6559299E" w14:textId="26F9D79C" w:rsidR="00491210" w:rsidRDefault="003E1401" w:rsidP="006E7BC9">
      <w:pPr>
        <w:spacing w:after="0"/>
        <w:rPr>
          <w:noProof/>
        </w:rPr>
      </w:pPr>
      <w:r>
        <w:rPr>
          <w:noProof/>
          <w:lang w:eastAsia="en-AU"/>
        </w:rPr>
        <w:t xml:space="preserve"> </w:t>
      </w:r>
    </w:p>
    <w:p w14:paraId="6432B10E" w14:textId="4EAAB5AF" w:rsidR="00491210" w:rsidRDefault="003E1401" w:rsidP="006E7BC9">
      <w:pPr>
        <w:spacing w:after="0"/>
        <w:rPr>
          <w:noProof/>
        </w:rPr>
      </w:pPr>
      <w:r>
        <w:rPr>
          <w:noProof/>
          <w:lang w:eastAsia="en-AU"/>
        </w:rPr>
        <w:t xml:space="preserve"> </w:t>
      </w:r>
    </w:p>
    <w:p w14:paraId="515462FC" w14:textId="1CC3CCEE" w:rsidR="00491210" w:rsidRDefault="003E1401" w:rsidP="006E7BC9">
      <w:pPr>
        <w:spacing w:after="0"/>
        <w:rPr>
          <w:noProof/>
        </w:rPr>
      </w:pPr>
      <w:r>
        <w:rPr>
          <w:noProof/>
          <w:lang w:eastAsia="en-AU"/>
        </w:rPr>
        <w:t xml:space="preserve"> </w:t>
      </w:r>
    </w:p>
    <w:p w14:paraId="0CB44B3B" w14:textId="119F5FEB"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10</w:t>
      </w:r>
      <w:r>
        <w:fldChar w:fldCharType="end"/>
      </w:r>
      <w:r>
        <w:t>.</w:t>
      </w:r>
      <w:r w:rsidRPr="7ADEDDC3">
        <w:t xml:space="preserve"> </w:t>
      </w:r>
      <w:r>
        <w:t xml:space="preserve">Golden Perch adults in the Gundagai to Hay reach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1139F069" w14:textId="4A0248B7" w:rsidR="00491210" w:rsidRDefault="00EE200C" w:rsidP="000F43B0">
      <w:pPr>
        <w:pStyle w:val="Heading3"/>
        <w:rPr>
          <w:lang w:eastAsia="en-AU"/>
        </w:rPr>
      </w:pPr>
      <w:bookmarkStart w:id="413" w:name="_Toc116994931"/>
      <w:r w:rsidRPr="7ADEDDC3">
        <w:rPr>
          <w:lang w:eastAsia="en-AU"/>
        </w:rPr>
        <w:t>Golden Perch</w:t>
      </w:r>
      <w:r>
        <w:rPr>
          <w:lang w:eastAsia="en-AU"/>
        </w:rPr>
        <w:t xml:space="preserve"> – Lower Murray below Wentworth</w:t>
      </w:r>
      <w:bookmarkEnd w:id="413"/>
    </w:p>
    <w:p w14:paraId="69891223" w14:textId="04997351" w:rsidR="00491210" w:rsidRDefault="003E1401" w:rsidP="003C5E03">
      <w:pPr>
        <w:spacing w:after="0"/>
        <w:rPr>
          <w:noProof/>
        </w:rPr>
      </w:pPr>
      <w:r>
        <w:rPr>
          <w:noProof/>
          <w:lang w:eastAsia="en-AU"/>
        </w:rPr>
        <w:t xml:space="preserve"> </w:t>
      </w:r>
    </w:p>
    <w:p w14:paraId="216A82BC" w14:textId="54532FFF" w:rsidR="00491210" w:rsidRDefault="003E1401" w:rsidP="003C5E03">
      <w:pPr>
        <w:spacing w:after="0"/>
        <w:rPr>
          <w:noProof/>
        </w:rPr>
      </w:pPr>
      <w:r>
        <w:rPr>
          <w:noProof/>
          <w:lang w:eastAsia="en-AU"/>
        </w:rPr>
        <w:t xml:space="preserve"> </w:t>
      </w:r>
    </w:p>
    <w:p w14:paraId="5BA77206" w14:textId="438A1469" w:rsidR="00491210" w:rsidRDefault="003E1401" w:rsidP="003C5E03">
      <w:pPr>
        <w:spacing w:after="0"/>
        <w:rPr>
          <w:noProof/>
        </w:rPr>
      </w:pPr>
      <w:r>
        <w:rPr>
          <w:noProof/>
          <w:lang w:eastAsia="en-AU"/>
        </w:rPr>
        <w:t xml:space="preserve"> </w:t>
      </w:r>
    </w:p>
    <w:p w14:paraId="0482D829" w14:textId="184D79CC" w:rsidR="00491210" w:rsidRDefault="003E1401" w:rsidP="003C5E03">
      <w:pPr>
        <w:spacing w:after="0"/>
        <w:rPr>
          <w:noProof/>
        </w:rPr>
      </w:pPr>
      <w:r>
        <w:rPr>
          <w:noProof/>
          <w:lang w:eastAsia="en-AU"/>
        </w:rPr>
        <w:t xml:space="preserve"> </w:t>
      </w:r>
    </w:p>
    <w:p w14:paraId="58425776" w14:textId="763F2745" w:rsidR="00491210" w:rsidRDefault="003E1401" w:rsidP="003C5E03">
      <w:pPr>
        <w:spacing w:after="0"/>
        <w:rPr>
          <w:noProof/>
        </w:rPr>
      </w:pPr>
      <w:r>
        <w:rPr>
          <w:noProof/>
          <w:lang w:eastAsia="en-AU"/>
        </w:rPr>
        <w:t xml:space="preserve"> </w:t>
      </w:r>
    </w:p>
    <w:p w14:paraId="617EA073" w14:textId="79B9E45D" w:rsidR="00491210" w:rsidRDefault="003E1401" w:rsidP="003C5E03">
      <w:pPr>
        <w:spacing w:after="0"/>
        <w:rPr>
          <w:noProof/>
        </w:rPr>
      </w:pPr>
      <w:r>
        <w:rPr>
          <w:noProof/>
          <w:lang w:eastAsia="en-AU"/>
        </w:rPr>
        <w:t xml:space="preserve"> </w:t>
      </w:r>
    </w:p>
    <w:p w14:paraId="3DBEEE18" w14:textId="5CA43659" w:rsidR="00491210" w:rsidRDefault="003E1401" w:rsidP="003C5E03">
      <w:pPr>
        <w:spacing w:after="0"/>
        <w:rPr>
          <w:noProof/>
        </w:rPr>
      </w:pPr>
      <w:r>
        <w:rPr>
          <w:noProof/>
          <w:lang w:eastAsia="en-AU"/>
        </w:rPr>
        <w:t xml:space="preserve"> </w:t>
      </w:r>
    </w:p>
    <w:p w14:paraId="68894401" w14:textId="1E3A8957" w:rsidR="00491210" w:rsidRDefault="003E1401" w:rsidP="003C5E03">
      <w:pPr>
        <w:spacing w:after="0"/>
        <w:rPr>
          <w:noProof/>
        </w:rPr>
      </w:pPr>
      <w:r>
        <w:rPr>
          <w:noProof/>
          <w:lang w:eastAsia="en-AU"/>
        </w:rPr>
        <w:t xml:space="preserve"> </w:t>
      </w:r>
    </w:p>
    <w:p w14:paraId="69D7EAA8" w14:textId="7494379E" w:rsidR="00491210" w:rsidRDefault="003E1401" w:rsidP="003C5E03">
      <w:pPr>
        <w:spacing w:after="0"/>
        <w:rPr>
          <w:noProof/>
        </w:rPr>
      </w:pPr>
      <w:r>
        <w:rPr>
          <w:noProof/>
          <w:lang w:eastAsia="en-AU"/>
        </w:rPr>
        <w:t xml:space="preserve"> </w:t>
      </w:r>
    </w:p>
    <w:p w14:paraId="23130F5D" w14:textId="6791E884" w:rsidR="00491210" w:rsidRDefault="003E1401" w:rsidP="003C5E03">
      <w:pPr>
        <w:spacing w:after="0"/>
        <w:rPr>
          <w:noProof/>
        </w:rPr>
      </w:pPr>
      <w:r>
        <w:rPr>
          <w:noProof/>
          <w:lang w:eastAsia="en-AU"/>
        </w:rPr>
        <w:t xml:space="preserve"> </w:t>
      </w:r>
    </w:p>
    <w:p w14:paraId="078DF490" w14:textId="28B705A4"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11</w:t>
      </w:r>
      <w:r>
        <w:fldChar w:fldCharType="end"/>
      </w:r>
      <w:r>
        <w:t>.</w:t>
      </w:r>
      <w:r w:rsidRPr="7ADEDDC3">
        <w:t xml:space="preserve"> </w:t>
      </w:r>
      <w:r>
        <w:t xml:space="preserve">Golden Perch adults in the Lower Murray below Wentworth reach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2646B8A2" w14:textId="54AC706B" w:rsidR="00491210" w:rsidRDefault="00EE200C" w:rsidP="000F43B0">
      <w:pPr>
        <w:pStyle w:val="Heading3"/>
        <w:rPr>
          <w:lang w:eastAsia="en-AU"/>
        </w:rPr>
      </w:pPr>
      <w:bookmarkStart w:id="414" w:name="_Toc116994932"/>
      <w:r w:rsidRPr="7ADEDDC3">
        <w:rPr>
          <w:lang w:eastAsia="en-AU"/>
        </w:rPr>
        <w:lastRenderedPageBreak/>
        <w:t>Golden Perch</w:t>
      </w:r>
      <w:r>
        <w:rPr>
          <w:lang w:eastAsia="en-AU"/>
        </w:rPr>
        <w:t xml:space="preserve"> – Lower Darling</w:t>
      </w:r>
      <w:bookmarkEnd w:id="414"/>
    </w:p>
    <w:p w14:paraId="5CACAF6D" w14:textId="74CAA87A" w:rsidR="00491210" w:rsidRDefault="003E1401" w:rsidP="003C5E03">
      <w:pPr>
        <w:spacing w:after="0"/>
        <w:rPr>
          <w:noProof/>
        </w:rPr>
      </w:pPr>
      <w:r>
        <w:rPr>
          <w:noProof/>
          <w:lang w:eastAsia="en-AU"/>
        </w:rPr>
        <w:t xml:space="preserve"> </w:t>
      </w:r>
    </w:p>
    <w:p w14:paraId="46E174C3" w14:textId="428ABF7B" w:rsidR="00491210" w:rsidRDefault="003E1401" w:rsidP="003C5E03">
      <w:pPr>
        <w:spacing w:after="0"/>
        <w:rPr>
          <w:noProof/>
        </w:rPr>
      </w:pPr>
      <w:r>
        <w:rPr>
          <w:noProof/>
          <w:lang w:eastAsia="en-AU"/>
        </w:rPr>
        <w:t xml:space="preserve"> </w:t>
      </w:r>
    </w:p>
    <w:p w14:paraId="5D7AEB14" w14:textId="4757F9EA" w:rsidR="00491210" w:rsidRDefault="003E1401" w:rsidP="003C5E03">
      <w:pPr>
        <w:spacing w:after="0"/>
        <w:rPr>
          <w:noProof/>
        </w:rPr>
      </w:pPr>
      <w:r>
        <w:rPr>
          <w:noProof/>
          <w:lang w:eastAsia="en-AU"/>
        </w:rPr>
        <w:t xml:space="preserve"> </w:t>
      </w:r>
    </w:p>
    <w:p w14:paraId="60C49CC4" w14:textId="569D74FA" w:rsidR="00491210" w:rsidRDefault="003E1401" w:rsidP="003C5E03">
      <w:pPr>
        <w:spacing w:after="0"/>
        <w:rPr>
          <w:noProof/>
        </w:rPr>
      </w:pPr>
      <w:r>
        <w:rPr>
          <w:noProof/>
          <w:lang w:eastAsia="en-AU"/>
        </w:rPr>
        <w:t xml:space="preserve"> </w:t>
      </w:r>
    </w:p>
    <w:p w14:paraId="06823071" w14:textId="41E199EF" w:rsidR="00491210" w:rsidRDefault="003E1401" w:rsidP="003C5E03">
      <w:pPr>
        <w:spacing w:after="0"/>
        <w:rPr>
          <w:noProof/>
        </w:rPr>
      </w:pPr>
      <w:r>
        <w:rPr>
          <w:noProof/>
          <w:lang w:eastAsia="en-AU"/>
        </w:rPr>
        <w:t xml:space="preserve"> </w:t>
      </w:r>
    </w:p>
    <w:p w14:paraId="367A0B05" w14:textId="2693127F" w:rsidR="00491210" w:rsidRDefault="003E1401" w:rsidP="003C5E03">
      <w:pPr>
        <w:spacing w:after="0"/>
        <w:rPr>
          <w:noProof/>
        </w:rPr>
      </w:pPr>
      <w:r>
        <w:rPr>
          <w:noProof/>
          <w:lang w:eastAsia="en-AU"/>
        </w:rPr>
        <w:t xml:space="preserve"> </w:t>
      </w:r>
    </w:p>
    <w:p w14:paraId="20286B2B" w14:textId="7BB3F5B7" w:rsidR="00491210" w:rsidRDefault="003E1401" w:rsidP="003C5E03">
      <w:pPr>
        <w:spacing w:after="0"/>
        <w:rPr>
          <w:noProof/>
        </w:rPr>
      </w:pPr>
      <w:r>
        <w:rPr>
          <w:noProof/>
          <w:lang w:eastAsia="en-AU"/>
        </w:rPr>
        <w:t xml:space="preserve"> </w:t>
      </w:r>
    </w:p>
    <w:p w14:paraId="45DF7606" w14:textId="3EEB3141" w:rsidR="00491210" w:rsidRDefault="003E1401" w:rsidP="003C5E03">
      <w:pPr>
        <w:spacing w:after="0"/>
        <w:rPr>
          <w:noProof/>
        </w:rPr>
      </w:pPr>
      <w:r>
        <w:rPr>
          <w:noProof/>
          <w:lang w:eastAsia="en-AU"/>
        </w:rPr>
        <w:t xml:space="preserve"> </w:t>
      </w:r>
    </w:p>
    <w:p w14:paraId="48635FB8" w14:textId="65122DA1" w:rsidR="00491210" w:rsidRDefault="003E1401" w:rsidP="003C5E03">
      <w:pPr>
        <w:spacing w:after="0"/>
        <w:rPr>
          <w:noProof/>
        </w:rPr>
      </w:pPr>
      <w:r>
        <w:rPr>
          <w:noProof/>
          <w:lang w:eastAsia="en-AU"/>
        </w:rPr>
        <w:t xml:space="preserve"> </w:t>
      </w:r>
    </w:p>
    <w:p w14:paraId="586BEB04" w14:textId="52DCB8BE" w:rsidR="00491210" w:rsidRDefault="003E1401" w:rsidP="003C5E03">
      <w:pPr>
        <w:spacing w:after="0"/>
        <w:rPr>
          <w:noProof/>
        </w:rPr>
      </w:pPr>
      <w:r>
        <w:rPr>
          <w:noProof/>
          <w:lang w:eastAsia="en-AU"/>
        </w:rPr>
        <w:t xml:space="preserve"> </w:t>
      </w:r>
    </w:p>
    <w:p w14:paraId="1B8FAFB1" w14:textId="7FDB86D2"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12</w:t>
      </w:r>
      <w:r>
        <w:fldChar w:fldCharType="end"/>
      </w:r>
      <w:r>
        <w:t>.</w:t>
      </w:r>
      <w:r w:rsidRPr="7ADEDDC3">
        <w:t xml:space="preserve"> </w:t>
      </w:r>
      <w:r>
        <w:t xml:space="preserve">Golden Perch adults in the Lower Darling reach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03846CD4" w14:textId="77777777" w:rsidR="00491210" w:rsidRPr="003D28FB" w:rsidRDefault="00491210" w:rsidP="008B3746"/>
    <w:p w14:paraId="795BB207" w14:textId="509F02BD" w:rsidR="00491210" w:rsidRDefault="00EE200C">
      <w:pPr>
        <w:spacing w:after="0"/>
      </w:pPr>
      <w:r>
        <w:br w:type="page"/>
      </w:r>
    </w:p>
    <w:p w14:paraId="73668448" w14:textId="3FF27A2B" w:rsidR="00491210" w:rsidRDefault="00EE200C" w:rsidP="005F1F7F">
      <w:pPr>
        <w:pStyle w:val="Heading3"/>
      </w:pPr>
      <w:bookmarkStart w:id="415" w:name="_Toc116994933"/>
      <w:r>
        <w:lastRenderedPageBreak/>
        <w:t>Golden Perch Recruits</w:t>
      </w:r>
      <w:bookmarkEnd w:id="415"/>
    </w:p>
    <w:p w14:paraId="1C30C278" w14:textId="6525619A" w:rsidR="00491210" w:rsidRDefault="003E1401" w:rsidP="007008C6">
      <w:pPr>
        <w:spacing w:after="0"/>
        <w:rPr>
          <w:noProof/>
        </w:rPr>
      </w:pPr>
      <w:r>
        <w:rPr>
          <w:noProof/>
          <w:lang w:eastAsia="en-AU"/>
        </w:rPr>
        <w:t xml:space="preserve"> </w:t>
      </w:r>
    </w:p>
    <w:p w14:paraId="7F418FB0" w14:textId="226684ED" w:rsidR="00491210" w:rsidRDefault="00EE200C" w:rsidP="00F602FE">
      <w:pPr>
        <w:pStyle w:val="AppendixFigureCaption"/>
      </w:pPr>
      <w:r>
        <w:t>Figure A3.</w:t>
      </w:r>
      <w:r>
        <w:rPr>
          <w:b w:val="0"/>
          <w:bCs w:val="0"/>
        </w:rPr>
        <w:fldChar w:fldCharType="begin"/>
      </w:r>
      <w:r>
        <w:instrText>SEQ Figure_A3. \* ARABIC</w:instrText>
      </w:r>
      <w:r>
        <w:rPr>
          <w:b w:val="0"/>
          <w:bCs w:val="0"/>
        </w:rPr>
        <w:fldChar w:fldCharType="separate"/>
      </w:r>
      <w:r w:rsidR="005B672A">
        <w:rPr>
          <w:noProof/>
        </w:rPr>
        <w:t>13</w:t>
      </w:r>
      <w:r>
        <w:rPr>
          <w:b w:val="0"/>
          <w:bCs w:val="0"/>
        </w:rPr>
        <w:fldChar w:fldCharType="end"/>
      </w:r>
      <w:r>
        <w:t>.</w:t>
      </w:r>
      <w:r w:rsidRPr="7ADEDDC3">
        <w:t xml:space="preserve"> Golden Perch </w:t>
      </w:r>
      <w:r>
        <w:t xml:space="preserve">recruits mean population size aggregated </w:t>
      </w:r>
      <w:r w:rsidRPr="7ADEDDC3">
        <w:t xml:space="preserve">across </w:t>
      </w:r>
      <w:r>
        <w:t xml:space="preserve">all reaches </w:t>
      </w:r>
      <w:r w:rsidRPr="00DD7D8C">
        <w:t xml:space="preserve">in this study in the </w:t>
      </w:r>
      <w:r>
        <w:t>southern</w:t>
      </w:r>
      <w:r w:rsidRPr="00DD7D8C">
        <w:t xml:space="preserve"> </w:t>
      </w:r>
      <w:r>
        <w:t>MDB</w:t>
      </w:r>
      <w:r w:rsidRPr="006B0ECF">
        <w:t xml:space="preserve"> </w:t>
      </w:r>
      <w:r w:rsidRPr="7ADEDDC3">
        <w:t xml:space="preserve">for the </w:t>
      </w:r>
      <w:r>
        <w:t>RRCP flow scenarios</w:t>
      </w:r>
      <w:r w:rsidRPr="7ADEDDC3">
        <w:t xml:space="preserve"> </w:t>
      </w:r>
      <w:r>
        <w:t>Base case</w:t>
      </w:r>
      <w:r w:rsidRPr="7ADEDDC3">
        <w:t xml:space="preserve"> – </w:t>
      </w:r>
      <w:r>
        <w:t>Option 4</w:t>
      </w:r>
      <w:r w:rsidRPr="7ADEDDC3">
        <w:t>.</w:t>
      </w:r>
    </w:p>
    <w:p w14:paraId="6624DF4E" w14:textId="340AB141" w:rsidR="00491210" w:rsidRDefault="003E1401" w:rsidP="006F0755">
      <w:pPr>
        <w:spacing w:after="0"/>
        <w:rPr>
          <w:noProof/>
        </w:rPr>
      </w:pPr>
      <w:r>
        <w:rPr>
          <w:noProof/>
          <w:lang w:eastAsia="en-AU"/>
        </w:rPr>
        <w:t xml:space="preserve"> </w:t>
      </w:r>
    </w:p>
    <w:p w14:paraId="6785212F" w14:textId="4158689B"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14</w:t>
      </w:r>
      <w:r>
        <w:fldChar w:fldCharType="end"/>
      </w:r>
      <w:r>
        <w:t>.</w:t>
      </w:r>
      <w:r w:rsidRPr="7ADEDDC3">
        <w:t xml:space="preserve"> Golden Perch </w:t>
      </w:r>
      <w:r>
        <w:t xml:space="preserve">recruits mean population size aggregated </w:t>
      </w:r>
      <w:r w:rsidRPr="00DD7D8C">
        <w:t>across all</w:t>
      </w:r>
      <w:r>
        <w:t xml:space="preserve"> modelled RRCP</w:t>
      </w:r>
      <w:r w:rsidRPr="00DD7D8C">
        <w:t xml:space="preserve"> </w:t>
      </w:r>
      <w:r>
        <w:t xml:space="preserve">focal zones, together with the Wakool Junction to Wentworth reach, </w:t>
      </w:r>
      <w:r w:rsidRPr="7ADEDDC3">
        <w:t xml:space="preserve">for the </w:t>
      </w:r>
      <w:r>
        <w:t>RRCP flow scenarios</w:t>
      </w:r>
      <w:r w:rsidRPr="7ADEDDC3">
        <w:t xml:space="preserve"> </w:t>
      </w:r>
      <w:r>
        <w:t>Base case</w:t>
      </w:r>
      <w:r w:rsidRPr="7ADEDDC3">
        <w:t xml:space="preserve"> – </w:t>
      </w:r>
      <w:r>
        <w:t>Option 4</w:t>
      </w:r>
      <w:r w:rsidRPr="7ADEDDC3">
        <w:t>.</w:t>
      </w:r>
    </w:p>
    <w:p w14:paraId="556E0EC8" w14:textId="1AB2A021" w:rsidR="00491210" w:rsidRDefault="003E1401" w:rsidP="00626D8C">
      <w:pPr>
        <w:spacing w:after="0"/>
        <w:rPr>
          <w:noProof/>
        </w:rPr>
      </w:pPr>
      <w:r>
        <w:rPr>
          <w:noProof/>
          <w:lang w:eastAsia="en-AU"/>
        </w:rPr>
        <w:t xml:space="preserve"> </w:t>
      </w:r>
    </w:p>
    <w:p w14:paraId="7A39EBCA" w14:textId="46F1A720"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15</w:t>
      </w:r>
      <w:r>
        <w:fldChar w:fldCharType="end"/>
      </w:r>
      <w:r>
        <w:t>.</w:t>
      </w:r>
      <w:r w:rsidRPr="7ADEDDC3">
        <w:t xml:space="preserve"> Golden Perch </w:t>
      </w:r>
      <w:r>
        <w:t xml:space="preserve">recruits mean population size aggregated </w:t>
      </w:r>
      <w:r w:rsidRPr="00DD7D8C">
        <w:t xml:space="preserve">across </w:t>
      </w:r>
      <w:r>
        <w:t>the Murray River RRCP</w:t>
      </w:r>
      <w:r w:rsidRPr="00DD7D8C">
        <w:t xml:space="preserve"> </w:t>
      </w:r>
      <w:r>
        <w:t>focal zones</w:t>
      </w:r>
      <w:r w:rsidRPr="00DD7D8C">
        <w:t xml:space="preserve"> </w:t>
      </w:r>
      <w:r>
        <w:t>(including the Edward River),</w:t>
      </w:r>
      <w:r w:rsidRPr="006B0ECF">
        <w:t xml:space="preserve"> </w:t>
      </w:r>
      <w:r>
        <w:t>together with the Wakool Junction to Wentworth reach,</w:t>
      </w:r>
      <w:r w:rsidRPr="00DD7D8C">
        <w:t xml:space="preserve"> </w:t>
      </w:r>
      <w:r w:rsidRPr="7ADEDDC3">
        <w:t xml:space="preserve">for the </w:t>
      </w:r>
      <w:r>
        <w:t>RRCP flow scenarios</w:t>
      </w:r>
      <w:r w:rsidRPr="7ADEDDC3">
        <w:t xml:space="preserve"> </w:t>
      </w:r>
      <w:r>
        <w:t>Base case</w:t>
      </w:r>
      <w:r w:rsidRPr="7ADEDDC3">
        <w:t xml:space="preserve"> – </w:t>
      </w:r>
      <w:r>
        <w:t>Option 4</w:t>
      </w:r>
      <w:r w:rsidRPr="7ADEDDC3">
        <w:t>.</w:t>
      </w:r>
    </w:p>
    <w:p w14:paraId="68ADF3DA" w14:textId="46736BBF" w:rsidR="00491210" w:rsidRDefault="003E1401" w:rsidP="00626D8C">
      <w:pPr>
        <w:spacing w:after="0"/>
        <w:rPr>
          <w:noProof/>
        </w:rPr>
      </w:pPr>
      <w:r>
        <w:rPr>
          <w:noProof/>
          <w:lang w:eastAsia="en-AU"/>
        </w:rPr>
        <w:t xml:space="preserve"> </w:t>
      </w:r>
    </w:p>
    <w:p w14:paraId="7470EA3A" w14:textId="310BE65E"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16</w:t>
      </w:r>
      <w:r>
        <w:fldChar w:fldCharType="end"/>
      </w:r>
      <w:r>
        <w:t>.</w:t>
      </w:r>
      <w:r w:rsidRPr="7ADEDDC3">
        <w:t xml:space="preserve"> Golden Perch </w:t>
      </w:r>
      <w:r>
        <w:t>recruits mean population size aggregated across the Murrumbidgee River RRCP</w:t>
      </w:r>
      <w:r w:rsidRPr="00DD7D8C">
        <w:t xml:space="preserve"> </w:t>
      </w:r>
      <w:r>
        <w:t xml:space="preserve">focal zone </w:t>
      </w:r>
      <w:r w:rsidRPr="7ADEDDC3">
        <w:t xml:space="preserve">for the </w:t>
      </w:r>
      <w:r>
        <w:t>RRCP flow scenarios</w:t>
      </w:r>
      <w:r w:rsidRPr="7ADEDDC3">
        <w:t xml:space="preserve"> </w:t>
      </w:r>
      <w:r>
        <w:t>Base case</w:t>
      </w:r>
      <w:r w:rsidRPr="7ADEDDC3">
        <w:t xml:space="preserve"> – </w:t>
      </w:r>
      <w:r>
        <w:t>Option 4</w:t>
      </w:r>
      <w:r w:rsidRPr="7ADEDDC3">
        <w:t>.</w:t>
      </w:r>
    </w:p>
    <w:p w14:paraId="6C01EA02" w14:textId="7C1981FB" w:rsidR="00491210" w:rsidRDefault="003E1401" w:rsidP="00626D8C">
      <w:pPr>
        <w:spacing w:after="0"/>
        <w:rPr>
          <w:noProof/>
        </w:rPr>
      </w:pPr>
      <w:r>
        <w:rPr>
          <w:noProof/>
          <w:lang w:eastAsia="en-AU"/>
        </w:rPr>
        <w:t xml:space="preserve"> </w:t>
      </w:r>
    </w:p>
    <w:p w14:paraId="207B403F" w14:textId="4AA093DD"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17</w:t>
      </w:r>
      <w:r>
        <w:fldChar w:fldCharType="end"/>
      </w:r>
      <w:r>
        <w:t>.</w:t>
      </w:r>
      <w:r w:rsidRPr="7ADEDDC3">
        <w:t xml:space="preserve"> Golden Perch </w:t>
      </w:r>
      <w:r>
        <w:t xml:space="preserve">recruits mean population size in the Torrumbarry to Wentworth reach </w:t>
      </w:r>
      <w:r w:rsidRPr="7ADEDDC3">
        <w:t xml:space="preserve">for the </w:t>
      </w:r>
      <w:r>
        <w:t>RRCP flow scenarios</w:t>
      </w:r>
      <w:r w:rsidRPr="7ADEDDC3">
        <w:t xml:space="preserve"> </w:t>
      </w:r>
      <w:r>
        <w:t>Base case</w:t>
      </w:r>
      <w:r w:rsidRPr="7ADEDDC3">
        <w:t xml:space="preserve"> – </w:t>
      </w:r>
      <w:r>
        <w:t>Option 4</w:t>
      </w:r>
      <w:r w:rsidRPr="7ADEDDC3">
        <w:t>.</w:t>
      </w:r>
    </w:p>
    <w:p w14:paraId="335C6B8F" w14:textId="0315B975" w:rsidR="00491210" w:rsidRDefault="003E1401" w:rsidP="00626D8C">
      <w:pPr>
        <w:spacing w:after="0"/>
        <w:rPr>
          <w:noProof/>
        </w:rPr>
      </w:pPr>
      <w:r>
        <w:rPr>
          <w:noProof/>
          <w:lang w:eastAsia="en-AU"/>
        </w:rPr>
        <w:t xml:space="preserve"> </w:t>
      </w:r>
    </w:p>
    <w:p w14:paraId="7B97090A" w14:textId="0989AC51"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18</w:t>
      </w:r>
      <w:r>
        <w:fldChar w:fldCharType="end"/>
      </w:r>
      <w:r>
        <w:t>.</w:t>
      </w:r>
      <w:r w:rsidRPr="7ADEDDC3">
        <w:t xml:space="preserve"> Golden Perch </w:t>
      </w:r>
      <w:r>
        <w:t xml:space="preserve">recruits mean population size in the Yarrawonga to Torrumbarry reach </w:t>
      </w:r>
      <w:r w:rsidRPr="7ADEDDC3">
        <w:t xml:space="preserve">for the </w:t>
      </w:r>
      <w:r>
        <w:t>RRCP flow scenarios</w:t>
      </w:r>
      <w:r w:rsidRPr="7ADEDDC3">
        <w:t xml:space="preserve"> </w:t>
      </w:r>
      <w:r>
        <w:t>Base case</w:t>
      </w:r>
      <w:r w:rsidRPr="7ADEDDC3">
        <w:t xml:space="preserve"> – </w:t>
      </w:r>
      <w:r>
        <w:t>Option 4</w:t>
      </w:r>
      <w:r w:rsidRPr="7ADEDDC3">
        <w:t>.</w:t>
      </w:r>
    </w:p>
    <w:p w14:paraId="6C42B865" w14:textId="6E53E1B3" w:rsidR="00491210" w:rsidRDefault="003E1401" w:rsidP="00626D8C">
      <w:pPr>
        <w:spacing w:after="0"/>
        <w:rPr>
          <w:noProof/>
        </w:rPr>
      </w:pPr>
      <w:r>
        <w:rPr>
          <w:noProof/>
          <w:lang w:eastAsia="en-AU"/>
        </w:rPr>
        <w:t xml:space="preserve"> </w:t>
      </w:r>
    </w:p>
    <w:p w14:paraId="56A8ECF5" w14:textId="78AA2688"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19</w:t>
      </w:r>
      <w:r>
        <w:fldChar w:fldCharType="end"/>
      </w:r>
      <w:r>
        <w:t>.</w:t>
      </w:r>
      <w:r w:rsidRPr="7ADEDDC3">
        <w:t xml:space="preserve"> Golden Perch </w:t>
      </w:r>
      <w:r>
        <w:t xml:space="preserve">recruits mean population size in the Hume to Yarrawonga reach </w:t>
      </w:r>
      <w:r w:rsidRPr="7ADEDDC3">
        <w:t xml:space="preserve">for the </w:t>
      </w:r>
      <w:r>
        <w:t>RRCP flow scenarios</w:t>
      </w:r>
      <w:r w:rsidRPr="7ADEDDC3">
        <w:t xml:space="preserve"> </w:t>
      </w:r>
      <w:r>
        <w:t>Base case</w:t>
      </w:r>
      <w:r w:rsidRPr="7ADEDDC3">
        <w:t xml:space="preserve"> – </w:t>
      </w:r>
      <w:r>
        <w:t>Option 4</w:t>
      </w:r>
      <w:r w:rsidRPr="7ADEDDC3">
        <w:t>.</w:t>
      </w:r>
    </w:p>
    <w:p w14:paraId="29974CFF" w14:textId="4D92FC49" w:rsidR="00491210" w:rsidRDefault="003E1401" w:rsidP="00626D8C">
      <w:pPr>
        <w:spacing w:after="0"/>
        <w:rPr>
          <w:noProof/>
        </w:rPr>
      </w:pPr>
      <w:r>
        <w:rPr>
          <w:noProof/>
          <w:lang w:eastAsia="en-AU"/>
        </w:rPr>
        <w:t xml:space="preserve"> </w:t>
      </w:r>
    </w:p>
    <w:p w14:paraId="2C718BE2" w14:textId="1F89CACB"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20</w:t>
      </w:r>
      <w:r>
        <w:fldChar w:fldCharType="end"/>
      </w:r>
      <w:r>
        <w:t>.</w:t>
      </w:r>
      <w:r w:rsidRPr="7ADEDDC3">
        <w:t xml:space="preserve"> Golden Perch </w:t>
      </w:r>
      <w:r>
        <w:t xml:space="preserve">recruits mean population size in the Edward River </w:t>
      </w:r>
      <w:r w:rsidRPr="7ADEDDC3">
        <w:t xml:space="preserve">for the </w:t>
      </w:r>
      <w:r>
        <w:t>RRCP flow scenarios</w:t>
      </w:r>
      <w:r w:rsidRPr="7ADEDDC3">
        <w:t xml:space="preserve"> </w:t>
      </w:r>
      <w:r>
        <w:t>Base case</w:t>
      </w:r>
      <w:r w:rsidRPr="7ADEDDC3">
        <w:t xml:space="preserve"> – </w:t>
      </w:r>
      <w:r>
        <w:t>Option 4</w:t>
      </w:r>
      <w:r w:rsidRPr="7ADEDDC3">
        <w:t>.</w:t>
      </w:r>
    </w:p>
    <w:p w14:paraId="1B102E40" w14:textId="69BC09C6" w:rsidR="00491210" w:rsidRDefault="003E1401" w:rsidP="00626D8C">
      <w:pPr>
        <w:spacing w:after="0"/>
        <w:rPr>
          <w:noProof/>
        </w:rPr>
      </w:pPr>
      <w:r>
        <w:rPr>
          <w:noProof/>
          <w:lang w:eastAsia="en-AU"/>
        </w:rPr>
        <w:t xml:space="preserve"> </w:t>
      </w:r>
    </w:p>
    <w:p w14:paraId="56CB1C39" w14:textId="7A3BF182"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21</w:t>
      </w:r>
      <w:r>
        <w:fldChar w:fldCharType="end"/>
      </w:r>
      <w:r>
        <w:t>.</w:t>
      </w:r>
      <w:r w:rsidRPr="7ADEDDC3">
        <w:t xml:space="preserve"> Golden Perch </w:t>
      </w:r>
      <w:r>
        <w:t>recruits mean population size in the Hay to Balranald reach</w:t>
      </w:r>
      <w:r w:rsidRPr="006B0ECF">
        <w:t xml:space="preserve"> </w:t>
      </w:r>
      <w:r w:rsidRPr="7ADEDDC3">
        <w:t xml:space="preserve">for the </w:t>
      </w:r>
      <w:r>
        <w:t>RRCP flow scenarios</w:t>
      </w:r>
      <w:r w:rsidRPr="7ADEDDC3">
        <w:t xml:space="preserve"> </w:t>
      </w:r>
      <w:r>
        <w:t>Base case</w:t>
      </w:r>
      <w:r w:rsidRPr="7ADEDDC3">
        <w:t xml:space="preserve"> – </w:t>
      </w:r>
      <w:r>
        <w:t>Option 4</w:t>
      </w:r>
      <w:r w:rsidRPr="7ADEDDC3">
        <w:t>.</w:t>
      </w:r>
    </w:p>
    <w:p w14:paraId="4906A1C8" w14:textId="5C7F613D" w:rsidR="00491210" w:rsidRPr="00D12435" w:rsidRDefault="003E1401" w:rsidP="00D12435">
      <w:pPr>
        <w:spacing w:after="0"/>
        <w:jc w:val="right"/>
      </w:pPr>
      <w:r>
        <w:rPr>
          <w:noProof/>
          <w:lang w:eastAsia="en-AU"/>
        </w:rPr>
        <w:t xml:space="preserve"> </w:t>
      </w:r>
    </w:p>
    <w:p w14:paraId="1E793ECA" w14:textId="6837D9C9"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22</w:t>
      </w:r>
      <w:r>
        <w:fldChar w:fldCharType="end"/>
      </w:r>
      <w:r>
        <w:t>.</w:t>
      </w:r>
      <w:r w:rsidRPr="7ADEDDC3">
        <w:t xml:space="preserve"> Golden Perch </w:t>
      </w:r>
      <w:r>
        <w:t>recruits mean population size in the Gundagai to Hay reach</w:t>
      </w:r>
      <w:r w:rsidRPr="006B0ECF">
        <w:t xml:space="preserve"> </w:t>
      </w:r>
      <w:r w:rsidRPr="7ADEDDC3">
        <w:t xml:space="preserve">for the </w:t>
      </w:r>
      <w:r>
        <w:t>RRCP flow scenarios</w:t>
      </w:r>
      <w:r w:rsidRPr="7ADEDDC3">
        <w:t xml:space="preserve"> </w:t>
      </w:r>
      <w:r>
        <w:t>Base case</w:t>
      </w:r>
      <w:r w:rsidRPr="7ADEDDC3">
        <w:t xml:space="preserve"> – </w:t>
      </w:r>
      <w:r>
        <w:t>Option 4</w:t>
      </w:r>
      <w:r w:rsidRPr="7ADEDDC3">
        <w:t>.</w:t>
      </w:r>
    </w:p>
    <w:p w14:paraId="2C6A89A6" w14:textId="421BA11E" w:rsidR="00491210" w:rsidRDefault="003E1401" w:rsidP="00626D8C">
      <w:pPr>
        <w:spacing w:after="0"/>
        <w:rPr>
          <w:noProof/>
        </w:rPr>
      </w:pPr>
      <w:r>
        <w:rPr>
          <w:noProof/>
          <w:lang w:eastAsia="en-AU"/>
        </w:rPr>
        <w:t xml:space="preserve"> </w:t>
      </w:r>
    </w:p>
    <w:p w14:paraId="0E2F7CF9" w14:textId="5E1EF5F7" w:rsidR="00491210" w:rsidRDefault="00EE200C" w:rsidP="00F602FE">
      <w:pPr>
        <w:pStyle w:val="AppendixFigureCaption"/>
      </w:pPr>
      <w:r>
        <w:t>Figure A3.</w:t>
      </w:r>
      <w:r>
        <w:fldChar w:fldCharType="begin"/>
      </w:r>
      <w:r>
        <w:instrText>SEQ Figure_A3. \* ARABIC</w:instrText>
      </w:r>
      <w:r>
        <w:fldChar w:fldCharType="separate"/>
      </w:r>
      <w:r w:rsidR="005B672A">
        <w:rPr>
          <w:noProof/>
        </w:rPr>
        <w:t>23</w:t>
      </w:r>
      <w:r>
        <w:fldChar w:fldCharType="end"/>
      </w:r>
      <w:r>
        <w:t>.</w:t>
      </w:r>
      <w:r w:rsidRPr="7ADEDDC3">
        <w:t xml:space="preserve"> Golden Perch </w:t>
      </w:r>
      <w:r>
        <w:t xml:space="preserve">recruits mean population size in the Lower Murray below Wentworth reach </w:t>
      </w:r>
      <w:r w:rsidRPr="7ADEDDC3">
        <w:t xml:space="preserve">for the </w:t>
      </w:r>
      <w:r>
        <w:t>RRCP flow scenarios</w:t>
      </w:r>
      <w:r w:rsidRPr="7ADEDDC3">
        <w:t xml:space="preserve"> </w:t>
      </w:r>
      <w:r>
        <w:t>Base case</w:t>
      </w:r>
      <w:r w:rsidRPr="7ADEDDC3">
        <w:t xml:space="preserve"> – </w:t>
      </w:r>
      <w:r>
        <w:t>Option 4</w:t>
      </w:r>
      <w:r w:rsidRPr="7ADEDDC3">
        <w:t>.</w:t>
      </w:r>
    </w:p>
    <w:p w14:paraId="3E1E3BF6" w14:textId="6ECCD413" w:rsidR="00491210" w:rsidRDefault="003E1401" w:rsidP="00D01A9F">
      <w:pPr>
        <w:spacing w:after="0"/>
        <w:rPr>
          <w:noProof/>
        </w:rPr>
      </w:pPr>
      <w:r>
        <w:rPr>
          <w:noProof/>
          <w:lang w:eastAsia="en-AU"/>
        </w:rPr>
        <w:t xml:space="preserve"> </w:t>
      </w:r>
    </w:p>
    <w:p w14:paraId="28EF2203" w14:textId="7101D7AD"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24</w:t>
      </w:r>
      <w:r>
        <w:fldChar w:fldCharType="end"/>
      </w:r>
      <w:r>
        <w:t>.</w:t>
      </w:r>
      <w:r w:rsidRPr="7ADEDDC3">
        <w:t xml:space="preserve"> Golden Perch </w:t>
      </w:r>
      <w:r>
        <w:t>recruits mean population size in the Lower Darling reach</w:t>
      </w:r>
      <w:r w:rsidRPr="006B0ECF">
        <w:t xml:space="preserve"> </w:t>
      </w:r>
      <w:r w:rsidRPr="7ADEDDC3">
        <w:t xml:space="preserve">for the </w:t>
      </w:r>
      <w:r>
        <w:t>RRCP flow scenarios</w:t>
      </w:r>
      <w:r w:rsidRPr="7ADEDDC3">
        <w:t xml:space="preserve"> </w:t>
      </w:r>
      <w:r>
        <w:t>Base case</w:t>
      </w:r>
      <w:r w:rsidRPr="7ADEDDC3">
        <w:t xml:space="preserve"> – </w:t>
      </w:r>
      <w:r>
        <w:t>Option 4</w:t>
      </w:r>
      <w:r w:rsidRPr="7ADEDDC3">
        <w:t>.</w:t>
      </w:r>
    </w:p>
    <w:p w14:paraId="23458C25" w14:textId="77777777" w:rsidR="00491210" w:rsidRPr="00D01A9F" w:rsidRDefault="00491210" w:rsidP="00D01A9F"/>
    <w:p w14:paraId="192C56A2" w14:textId="6869A2A8" w:rsidR="00491210" w:rsidRDefault="00EE200C">
      <w:r>
        <w:br w:type="page"/>
      </w:r>
    </w:p>
    <w:p w14:paraId="79F4B7BE" w14:textId="7A145187" w:rsidR="00491210" w:rsidRDefault="00EE200C" w:rsidP="005F1F7F">
      <w:pPr>
        <w:pStyle w:val="Heading3"/>
      </w:pPr>
      <w:bookmarkStart w:id="416" w:name="_Toc116994934"/>
      <w:r>
        <w:lastRenderedPageBreak/>
        <w:t>Murray Cod Adults</w:t>
      </w:r>
      <w:bookmarkEnd w:id="416"/>
    </w:p>
    <w:p w14:paraId="0FB5B220" w14:textId="5187D0D0" w:rsidR="00491210" w:rsidRDefault="00EE200C" w:rsidP="009A6626">
      <w:pPr>
        <w:pStyle w:val="Heading3"/>
        <w:rPr>
          <w:lang w:eastAsia="en-AU"/>
        </w:rPr>
      </w:pPr>
      <w:bookmarkStart w:id="417" w:name="_Toc116994935"/>
      <w:r>
        <w:rPr>
          <w:lang w:eastAsia="en-AU"/>
        </w:rPr>
        <w:t>Murray Cod – Total RRCP populations inclusive to Wentworth</w:t>
      </w:r>
      <w:bookmarkEnd w:id="417"/>
    </w:p>
    <w:p w14:paraId="6EF16CA9" w14:textId="28F85941" w:rsidR="00491210" w:rsidRDefault="003E1401" w:rsidP="000A539C">
      <w:pPr>
        <w:spacing w:after="0"/>
      </w:pPr>
      <w:r>
        <w:rPr>
          <w:noProof/>
          <w:lang w:eastAsia="en-AU"/>
        </w:rPr>
        <w:t xml:space="preserve"> </w:t>
      </w:r>
    </w:p>
    <w:p w14:paraId="455AE0DB" w14:textId="344B3F89" w:rsidR="00491210" w:rsidRDefault="003E1401" w:rsidP="000A539C">
      <w:pPr>
        <w:spacing w:after="0"/>
      </w:pPr>
      <w:r>
        <w:rPr>
          <w:noProof/>
          <w:lang w:eastAsia="en-AU"/>
        </w:rPr>
        <w:t xml:space="preserve"> </w:t>
      </w:r>
    </w:p>
    <w:p w14:paraId="70CA9AF0" w14:textId="061CDF0C" w:rsidR="00491210" w:rsidRDefault="003E1401" w:rsidP="000A539C">
      <w:pPr>
        <w:spacing w:after="0"/>
      </w:pPr>
      <w:r>
        <w:rPr>
          <w:noProof/>
          <w:lang w:eastAsia="en-AU"/>
        </w:rPr>
        <w:t xml:space="preserve"> </w:t>
      </w:r>
    </w:p>
    <w:p w14:paraId="0E78AFD8" w14:textId="17819BEC" w:rsidR="00491210" w:rsidRDefault="003E1401" w:rsidP="000A539C">
      <w:pPr>
        <w:spacing w:after="0"/>
      </w:pPr>
      <w:r>
        <w:rPr>
          <w:noProof/>
          <w:lang w:eastAsia="en-AU"/>
        </w:rPr>
        <w:t xml:space="preserve"> </w:t>
      </w:r>
    </w:p>
    <w:p w14:paraId="50543FE5" w14:textId="68371E4B" w:rsidR="00491210" w:rsidRDefault="003E1401" w:rsidP="000A539C">
      <w:pPr>
        <w:spacing w:after="0"/>
      </w:pPr>
      <w:r>
        <w:rPr>
          <w:noProof/>
          <w:lang w:eastAsia="en-AU"/>
        </w:rPr>
        <w:t xml:space="preserve"> </w:t>
      </w:r>
    </w:p>
    <w:p w14:paraId="1BB7D468" w14:textId="7194EDE3" w:rsidR="00491210" w:rsidRDefault="003E1401" w:rsidP="000A539C">
      <w:pPr>
        <w:spacing w:after="0"/>
      </w:pPr>
      <w:r>
        <w:rPr>
          <w:noProof/>
          <w:lang w:eastAsia="en-AU"/>
        </w:rPr>
        <w:t xml:space="preserve"> </w:t>
      </w:r>
    </w:p>
    <w:p w14:paraId="5E4B1627" w14:textId="68BFE60B" w:rsidR="00491210" w:rsidRDefault="003E1401" w:rsidP="000A539C">
      <w:pPr>
        <w:spacing w:after="0"/>
      </w:pPr>
      <w:r>
        <w:rPr>
          <w:noProof/>
          <w:lang w:eastAsia="en-AU"/>
        </w:rPr>
        <w:t xml:space="preserve"> </w:t>
      </w:r>
    </w:p>
    <w:p w14:paraId="6BE70EAC" w14:textId="1DB3062C" w:rsidR="00491210" w:rsidRDefault="003E1401" w:rsidP="000A539C">
      <w:pPr>
        <w:spacing w:after="0"/>
      </w:pPr>
      <w:r>
        <w:rPr>
          <w:noProof/>
          <w:lang w:eastAsia="en-AU"/>
        </w:rPr>
        <w:t xml:space="preserve"> </w:t>
      </w:r>
    </w:p>
    <w:p w14:paraId="2DCE9B0F" w14:textId="483193A8" w:rsidR="00491210" w:rsidRDefault="003E1401" w:rsidP="000A539C">
      <w:pPr>
        <w:spacing w:after="0"/>
      </w:pPr>
      <w:r>
        <w:rPr>
          <w:noProof/>
          <w:lang w:eastAsia="en-AU"/>
        </w:rPr>
        <w:t xml:space="preserve"> </w:t>
      </w:r>
    </w:p>
    <w:p w14:paraId="429B5B20" w14:textId="116FE008" w:rsidR="00491210" w:rsidRDefault="003E1401" w:rsidP="000A539C">
      <w:pPr>
        <w:spacing w:after="0"/>
      </w:pPr>
      <w:r>
        <w:rPr>
          <w:noProof/>
          <w:lang w:eastAsia="en-AU"/>
        </w:rPr>
        <w:t xml:space="preserve"> </w:t>
      </w:r>
    </w:p>
    <w:p w14:paraId="2D53A2A5" w14:textId="4400BB78"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25</w:t>
      </w:r>
      <w:r>
        <w:fldChar w:fldCharType="end"/>
      </w:r>
      <w:r>
        <w:t>.</w:t>
      </w:r>
      <w:r w:rsidRPr="7ADEDDC3">
        <w:t xml:space="preserve"> </w:t>
      </w:r>
      <w:r>
        <w:t xml:space="preserve">Murray Cod adults </w:t>
      </w:r>
      <w:r w:rsidRPr="00AC6224">
        <w:t>aggregated across all modelled RRCP focal zones, together with the Wakool Junction to Wentworth reach,</w:t>
      </w:r>
      <w:r w:rsidRPr="006B0ECF">
        <w:t xml:space="preserve">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02145106" w14:textId="079BC1AC" w:rsidR="00491210" w:rsidRDefault="00EE200C" w:rsidP="009A6626">
      <w:pPr>
        <w:pStyle w:val="Heading3"/>
        <w:rPr>
          <w:lang w:eastAsia="en-AU"/>
        </w:rPr>
      </w:pPr>
      <w:bookmarkStart w:id="418" w:name="_Toc116994936"/>
      <w:r>
        <w:rPr>
          <w:lang w:eastAsia="en-AU"/>
        </w:rPr>
        <w:t>Murray Cod – Total Murray River populations inclusive to Wentworth</w:t>
      </w:r>
      <w:bookmarkEnd w:id="418"/>
    </w:p>
    <w:p w14:paraId="1E4C4AB2" w14:textId="6BDB88BB" w:rsidR="00491210" w:rsidRDefault="003E1401" w:rsidP="00B91B3B">
      <w:pPr>
        <w:spacing w:after="0"/>
        <w:rPr>
          <w:noProof/>
        </w:rPr>
      </w:pPr>
      <w:r>
        <w:rPr>
          <w:noProof/>
          <w:lang w:eastAsia="en-AU"/>
        </w:rPr>
        <w:t xml:space="preserve"> </w:t>
      </w:r>
    </w:p>
    <w:p w14:paraId="0215CC44" w14:textId="4A808803" w:rsidR="00491210" w:rsidRDefault="003E1401" w:rsidP="00D013F4">
      <w:pPr>
        <w:spacing w:after="0"/>
        <w:jc w:val="right"/>
        <w:rPr>
          <w:noProof/>
        </w:rPr>
      </w:pPr>
      <w:r>
        <w:rPr>
          <w:noProof/>
          <w:lang w:eastAsia="en-AU"/>
        </w:rPr>
        <w:t xml:space="preserve"> </w:t>
      </w:r>
    </w:p>
    <w:p w14:paraId="7660712D" w14:textId="464361BE" w:rsidR="00491210" w:rsidRDefault="003E1401" w:rsidP="00AB1E58">
      <w:pPr>
        <w:spacing w:after="0"/>
        <w:jc w:val="right"/>
        <w:rPr>
          <w:noProof/>
        </w:rPr>
      </w:pPr>
      <w:r>
        <w:rPr>
          <w:noProof/>
          <w:lang w:eastAsia="en-AU"/>
        </w:rPr>
        <w:t xml:space="preserve"> </w:t>
      </w:r>
    </w:p>
    <w:p w14:paraId="1F6E3DEC" w14:textId="626853E6" w:rsidR="00491210" w:rsidRDefault="003E1401" w:rsidP="00B91B3B">
      <w:pPr>
        <w:spacing w:after="0"/>
        <w:rPr>
          <w:noProof/>
        </w:rPr>
      </w:pPr>
      <w:r>
        <w:rPr>
          <w:noProof/>
          <w:lang w:eastAsia="en-AU"/>
        </w:rPr>
        <w:t xml:space="preserve"> </w:t>
      </w:r>
    </w:p>
    <w:p w14:paraId="01788E47" w14:textId="37DBA85B" w:rsidR="00491210" w:rsidRDefault="003E1401" w:rsidP="00B91B3B">
      <w:pPr>
        <w:spacing w:after="0"/>
        <w:rPr>
          <w:noProof/>
        </w:rPr>
      </w:pPr>
      <w:r>
        <w:rPr>
          <w:noProof/>
          <w:lang w:eastAsia="en-AU"/>
        </w:rPr>
        <w:t xml:space="preserve"> </w:t>
      </w:r>
    </w:p>
    <w:p w14:paraId="6A63BF58" w14:textId="3EBE33DC" w:rsidR="00491210" w:rsidRDefault="003E1401" w:rsidP="00B91B3B">
      <w:pPr>
        <w:spacing w:after="0"/>
        <w:rPr>
          <w:noProof/>
        </w:rPr>
      </w:pPr>
      <w:r>
        <w:rPr>
          <w:noProof/>
          <w:lang w:eastAsia="en-AU"/>
        </w:rPr>
        <w:t xml:space="preserve"> </w:t>
      </w:r>
    </w:p>
    <w:p w14:paraId="5CB98303" w14:textId="0298BC14" w:rsidR="00491210" w:rsidRDefault="003E1401" w:rsidP="00B91B3B">
      <w:pPr>
        <w:spacing w:after="0"/>
        <w:rPr>
          <w:noProof/>
        </w:rPr>
      </w:pPr>
      <w:r>
        <w:rPr>
          <w:noProof/>
          <w:lang w:eastAsia="en-AU"/>
        </w:rPr>
        <w:t xml:space="preserve"> </w:t>
      </w:r>
    </w:p>
    <w:p w14:paraId="228737FF" w14:textId="520F7295" w:rsidR="00491210" w:rsidRDefault="003E1401" w:rsidP="00B91B3B">
      <w:pPr>
        <w:spacing w:after="0"/>
        <w:rPr>
          <w:noProof/>
        </w:rPr>
      </w:pPr>
      <w:r>
        <w:rPr>
          <w:noProof/>
          <w:lang w:eastAsia="en-AU"/>
        </w:rPr>
        <w:t xml:space="preserve"> </w:t>
      </w:r>
    </w:p>
    <w:p w14:paraId="3A056B3C" w14:textId="1168087D" w:rsidR="00491210" w:rsidRDefault="003E1401" w:rsidP="00B91B3B">
      <w:pPr>
        <w:spacing w:after="0"/>
        <w:rPr>
          <w:noProof/>
        </w:rPr>
      </w:pPr>
      <w:r>
        <w:rPr>
          <w:noProof/>
          <w:lang w:eastAsia="en-AU"/>
        </w:rPr>
        <w:t xml:space="preserve"> </w:t>
      </w:r>
    </w:p>
    <w:p w14:paraId="7BAF9DF9" w14:textId="0ED207AB" w:rsidR="00491210" w:rsidRDefault="003E1401" w:rsidP="00B91B3B">
      <w:pPr>
        <w:spacing w:after="0"/>
        <w:rPr>
          <w:noProof/>
        </w:rPr>
      </w:pPr>
      <w:r>
        <w:rPr>
          <w:noProof/>
          <w:lang w:eastAsia="en-AU"/>
        </w:rPr>
        <w:t xml:space="preserve"> </w:t>
      </w:r>
    </w:p>
    <w:p w14:paraId="3ECDD024" w14:textId="1C85773A" w:rsidR="00491210" w:rsidRDefault="00EE200C" w:rsidP="00F602FE">
      <w:pPr>
        <w:pStyle w:val="AppendixFigureCaption"/>
        <w:rPr>
          <w:noProof/>
        </w:rPr>
      </w:pPr>
      <w:r>
        <w:t>Figure A3.</w:t>
      </w:r>
      <w:r>
        <w:fldChar w:fldCharType="begin"/>
      </w:r>
      <w:r>
        <w:instrText>SEQ Figure_A3. \* ARABIC</w:instrText>
      </w:r>
      <w:r>
        <w:fldChar w:fldCharType="separate"/>
      </w:r>
      <w:r w:rsidR="005B672A">
        <w:rPr>
          <w:noProof/>
        </w:rPr>
        <w:t>26</w:t>
      </w:r>
      <w:r>
        <w:fldChar w:fldCharType="end"/>
      </w:r>
      <w:r>
        <w:t>.</w:t>
      </w:r>
      <w:r w:rsidRPr="7ADEDDC3">
        <w:t xml:space="preserve"> </w:t>
      </w:r>
      <w:r>
        <w:t xml:space="preserve">Murray Cod adults </w:t>
      </w:r>
      <w:r w:rsidRPr="00AC6224">
        <w:t xml:space="preserve">aggregated across the Murray River RRCP focal zones (including the Edward River), together with the Wakool Junction to Wentworth reach,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019EEE77" w14:textId="36FA3D2D" w:rsidR="00491210" w:rsidRDefault="00EE200C" w:rsidP="009A6626">
      <w:pPr>
        <w:pStyle w:val="Heading3"/>
        <w:rPr>
          <w:lang w:eastAsia="en-AU"/>
        </w:rPr>
      </w:pPr>
      <w:bookmarkStart w:id="419" w:name="_Toc116994937"/>
      <w:r>
        <w:rPr>
          <w:lang w:eastAsia="en-AU"/>
        </w:rPr>
        <w:t>Murray Cod – Total Murrumbidgee River populations including Yanco Creek</w:t>
      </w:r>
      <w:bookmarkEnd w:id="419"/>
    </w:p>
    <w:p w14:paraId="5D28CE77" w14:textId="14A7F76B" w:rsidR="00491210" w:rsidRDefault="003E1401" w:rsidP="00731278">
      <w:pPr>
        <w:spacing w:after="0"/>
        <w:rPr>
          <w:noProof/>
        </w:rPr>
      </w:pPr>
      <w:r>
        <w:rPr>
          <w:noProof/>
          <w:lang w:eastAsia="en-AU"/>
        </w:rPr>
        <w:t xml:space="preserve"> </w:t>
      </w:r>
    </w:p>
    <w:p w14:paraId="5A6F94B7" w14:textId="3D85A249" w:rsidR="00491210" w:rsidRDefault="003E1401" w:rsidP="00731278">
      <w:pPr>
        <w:spacing w:after="0"/>
        <w:rPr>
          <w:noProof/>
        </w:rPr>
      </w:pPr>
      <w:r>
        <w:rPr>
          <w:noProof/>
          <w:lang w:eastAsia="en-AU"/>
        </w:rPr>
        <w:t xml:space="preserve"> </w:t>
      </w:r>
    </w:p>
    <w:p w14:paraId="07853FF0" w14:textId="4E2A5BA3" w:rsidR="00491210" w:rsidRDefault="003E1401" w:rsidP="00731278">
      <w:pPr>
        <w:spacing w:after="0"/>
        <w:rPr>
          <w:noProof/>
        </w:rPr>
      </w:pPr>
      <w:r>
        <w:rPr>
          <w:noProof/>
          <w:lang w:eastAsia="en-AU"/>
        </w:rPr>
        <w:t xml:space="preserve"> </w:t>
      </w:r>
    </w:p>
    <w:p w14:paraId="4C9804DB" w14:textId="0BECEDBB" w:rsidR="00491210" w:rsidRDefault="003E1401" w:rsidP="00731278">
      <w:pPr>
        <w:spacing w:after="0"/>
        <w:rPr>
          <w:noProof/>
        </w:rPr>
      </w:pPr>
      <w:r>
        <w:rPr>
          <w:noProof/>
          <w:lang w:eastAsia="en-AU"/>
        </w:rPr>
        <w:t xml:space="preserve"> </w:t>
      </w:r>
    </w:p>
    <w:p w14:paraId="4D8E7D75" w14:textId="22735441" w:rsidR="00491210" w:rsidRDefault="003E1401" w:rsidP="00731278">
      <w:pPr>
        <w:spacing w:after="0"/>
        <w:rPr>
          <w:noProof/>
        </w:rPr>
      </w:pPr>
      <w:r>
        <w:rPr>
          <w:noProof/>
          <w:lang w:eastAsia="en-AU"/>
        </w:rPr>
        <w:t xml:space="preserve"> </w:t>
      </w:r>
    </w:p>
    <w:p w14:paraId="00F418D5" w14:textId="2720876A" w:rsidR="00491210" w:rsidRDefault="003E1401" w:rsidP="00731278">
      <w:pPr>
        <w:spacing w:after="0"/>
        <w:rPr>
          <w:noProof/>
        </w:rPr>
      </w:pPr>
      <w:r>
        <w:rPr>
          <w:noProof/>
          <w:lang w:eastAsia="en-AU"/>
        </w:rPr>
        <w:t xml:space="preserve"> </w:t>
      </w:r>
    </w:p>
    <w:p w14:paraId="632F9DBF" w14:textId="2A23BB7C" w:rsidR="00491210" w:rsidRDefault="003E1401" w:rsidP="00731278">
      <w:pPr>
        <w:spacing w:after="0"/>
        <w:rPr>
          <w:noProof/>
        </w:rPr>
      </w:pPr>
      <w:r>
        <w:rPr>
          <w:noProof/>
          <w:lang w:eastAsia="en-AU"/>
        </w:rPr>
        <w:t xml:space="preserve"> </w:t>
      </w:r>
    </w:p>
    <w:p w14:paraId="65161341" w14:textId="19CE98E0" w:rsidR="00491210" w:rsidRDefault="003E1401" w:rsidP="00731278">
      <w:pPr>
        <w:spacing w:after="0"/>
        <w:rPr>
          <w:noProof/>
        </w:rPr>
      </w:pPr>
      <w:r>
        <w:rPr>
          <w:noProof/>
          <w:lang w:eastAsia="en-AU"/>
        </w:rPr>
        <w:t xml:space="preserve"> </w:t>
      </w:r>
    </w:p>
    <w:p w14:paraId="6A1B2896" w14:textId="0C9B10B0" w:rsidR="00491210" w:rsidRDefault="003E1401" w:rsidP="00731278">
      <w:pPr>
        <w:spacing w:after="0"/>
        <w:rPr>
          <w:noProof/>
        </w:rPr>
      </w:pPr>
      <w:r>
        <w:rPr>
          <w:noProof/>
          <w:lang w:eastAsia="en-AU"/>
        </w:rPr>
        <w:t xml:space="preserve"> </w:t>
      </w:r>
    </w:p>
    <w:p w14:paraId="020EDAD3" w14:textId="151D91C7" w:rsidR="00491210" w:rsidRDefault="003E1401" w:rsidP="00731278">
      <w:pPr>
        <w:spacing w:after="0"/>
        <w:rPr>
          <w:noProof/>
        </w:rPr>
      </w:pPr>
      <w:r>
        <w:rPr>
          <w:noProof/>
          <w:lang w:eastAsia="en-AU"/>
        </w:rPr>
        <w:t xml:space="preserve"> </w:t>
      </w:r>
    </w:p>
    <w:p w14:paraId="281610BE" w14:textId="5BBDF7CE"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27</w:t>
      </w:r>
      <w:r>
        <w:fldChar w:fldCharType="end"/>
      </w:r>
      <w:r>
        <w:t>.</w:t>
      </w:r>
      <w:r w:rsidRPr="7ADEDDC3">
        <w:t xml:space="preserve"> </w:t>
      </w:r>
      <w:r>
        <w:t xml:space="preserve">Murray Cod adults </w:t>
      </w:r>
      <w:r w:rsidRPr="00AC6224">
        <w:t>aggregated across the Murrumbidgee River RRCP focal zone</w:t>
      </w:r>
      <w:r>
        <w:t xml:space="preserve">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 xml:space="preserve">summary of 1000 adult trajectories for the Base </w:t>
      </w:r>
      <w:r>
        <w:lastRenderedPageBreak/>
        <w:t>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28C65042" w14:textId="233CB4CD" w:rsidR="00491210" w:rsidRDefault="00EE200C" w:rsidP="009A6626">
      <w:pPr>
        <w:pStyle w:val="Heading3"/>
        <w:rPr>
          <w:lang w:eastAsia="en-AU"/>
        </w:rPr>
      </w:pPr>
      <w:bookmarkStart w:id="420" w:name="_Toc116994938"/>
      <w:r>
        <w:rPr>
          <w:lang w:eastAsia="en-AU"/>
        </w:rPr>
        <w:t>Murray Cod – Torrumbarry to Wentworth</w:t>
      </w:r>
      <w:bookmarkEnd w:id="420"/>
    </w:p>
    <w:p w14:paraId="5E437257" w14:textId="634D8254" w:rsidR="00491210" w:rsidRDefault="003E1401" w:rsidP="009B25A7">
      <w:pPr>
        <w:spacing w:after="0"/>
        <w:rPr>
          <w:noProof/>
        </w:rPr>
      </w:pPr>
      <w:r>
        <w:rPr>
          <w:noProof/>
          <w:lang w:eastAsia="en-AU"/>
        </w:rPr>
        <w:t xml:space="preserve"> </w:t>
      </w:r>
    </w:p>
    <w:p w14:paraId="1FB9F56F" w14:textId="6A9C01E8" w:rsidR="00491210" w:rsidRDefault="003E1401" w:rsidP="009B25A7">
      <w:pPr>
        <w:spacing w:after="0"/>
        <w:rPr>
          <w:noProof/>
        </w:rPr>
      </w:pPr>
      <w:r>
        <w:rPr>
          <w:noProof/>
          <w:lang w:eastAsia="en-AU"/>
        </w:rPr>
        <w:t xml:space="preserve"> </w:t>
      </w:r>
    </w:p>
    <w:p w14:paraId="6552BB13" w14:textId="31081806" w:rsidR="00491210" w:rsidRDefault="003E1401" w:rsidP="009B25A7">
      <w:pPr>
        <w:spacing w:after="0"/>
        <w:rPr>
          <w:noProof/>
        </w:rPr>
      </w:pPr>
      <w:r>
        <w:rPr>
          <w:noProof/>
          <w:lang w:eastAsia="en-AU"/>
        </w:rPr>
        <w:t xml:space="preserve"> </w:t>
      </w:r>
    </w:p>
    <w:p w14:paraId="1F067190" w14:textId="59CA730F" w:rsidR="00491210" w:rsidRDefault="003E1401" w:rsidP="009B25A7">
      <w:pPr>
        <w:spacing w:after="0"/>
        <w:rPr>
          <w:noProof/>
        </w:rPr>
      </w:pPr>
      <w:r>
        <w:rPr>
          <w:noProof/>
          <w:lang w:eastAsia="en-AU"/>
        </w:rPr>
        <w:t xml:space="preserve"> </w:t>
      </w:r>
    </w:p>
    <w:p w14:paraId="567FA510" w14:textId="70C94CB1" w:rsidR="00491210" w:rsidRDefault="003E1401" w:rsidP="009B25A7">
      <w:pPr>
        <w:spacing w:after="0"/>
        <w:rPr>
          <w:noProof/>
        </w:rPr>
      </w:pPr>
      <w:r>
        <w:rPr>
          <w:noProof/>
          <w:lang w:eastAsia="en-AU"/>
        </w:rPr>
        <w:t xml:space="preserve"> </w:t>
      </w:r>
    </w:p>
    <w:p w14:paraId="71F758E2" w14:textId="323B66A2" w:rsidR="00491210" w:rsidRDefault="003E1401" w:rsidP="009B25A7">
      <w:pPr>
        <w:spacing w:after="0"/>
        <w:rPr>
          <w:noProof/>
        </w:rPr>
      </w:pPr>
      <w:r>
        <w:rPr>
          <w:noProof/>
          <w:lang w:eastAsia="en-AU"/>
        </w:rPr>
        <w:t xml:space="preserve"> </w:t>
      </w:r>
    </w:p>
    <w:p w14:paraId="69CFEB83" w14:textId="5DEADE44" w:rsidR="00491210" w:rsidRDefault="003E1401" w:rsidP="009B25A7">
      <w:pPr>
        <w:spacing w:after="0"/>
        <w:rPr>
          <w:noProof/>
        </w:rPr>
      </w:pPr>
      <w:r>
        <w:rPr>
          <w:noProof/>
          <w:lang w:eastAsia="en-AU"/>
        </w:rPr>
        <w:t xml:space="preserve"> </w:t>
      </w:r>
    </w:p>
    <w:p w14:paraId="31AB7C86" w14:textId="264CF383" w:rsidR="00491210" w:rsidRDefault="003E1401" w:rsidP="009B25A7">
      <w:pPr>
        <w:spacing w:after="0"/>
        <w:rPr>
          <w:noProof/>
        </w:rPr>
      </w:pPr>
      <w:r>
        <w:rPr>
          <w:noProof/>
          <w:lang w:eastAsia="en-AU"/>
        </w:rPr>
        <w:t xml:space="preserve"> </w:t>
      </w:r>
    </w:p>
    <w:p w14:paraId="3BF72380" w14:textId="72633CA7" w:rsidR="00491210" w:rsidRDefault="003E1401" w:rsidP="009B25A7">
      <w:pPr>
        <w:spacing w:after="0"/>
        <w:rPr>
          <w:noProof/>
        </w:rPr>
      </w:pPr>
      <w:r>
        <w:rPr>
          <w:noProof/>
          <w:lang w:eastAsia="en-AU"/>
        </w:rPr>
        <w:t xml:space="preserve"> </w:t>
      </w:r>
    </w:p>
    <w:p w14:paraId="1DB0E973" w14:textId="744684B0" w:rsidR="00491210" w:rsidRDefault="003E1401" w:rsidP="009B25A7">
      <w:pPr>
        <w:spacing w:after="0"/>
        <w:rPr>
          <w:noProof/>
        </w:rPr>
      </w:pPr>
      <w:r>
        <w:rPr>
          <w:noProof/>
          <w:lang w:eastAsia="en-AU"/>
        </w:rPr>
        <w:t xml:space="preserve"> </w:t>
      </w:r>
    </w:p>
    <w:p w14:paraId="37F25798" w14:textId="42C2E122"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28</w:t>
      </w:r>
      <w:r>
        <w:fldChar w:fldCharType="end"/>
      </w:r>
      <w:r>
        <w:t>.</w:t>
      </w:r>
      <w:r w:rsidRPr="7ADEDDC3">
        <w:t xml:space="preserve"> </w:t>
      </w:r>
      <w:r>
        <w:t xml:space="preserve">Murray Cod adults in the Torrumbarry to Wentworth reach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5B01CA71" w14:textId="6AF0E0BB" w:rsidR="00491210" w:rsidRDefault="00EE200C" w:rsidP="009A6626">
      <w:pPr>
        <w:pStyle w:val="Heading3"/>
        <w:rPr>
          <w:lang w:eastAsia="en-AU"/>
        </w:rPr>
      </w:pPr>
      <w:bookmarkStart w:id="421" w:name="_Toc116994939"/>
      <w:r>
        <w:rPr>
          <w:lang w:eastAsia="en-AU"/>
        </w:rPr>
        <w:t>Murray Cod – Yarrawonga to Torrumbarry</w:t>
      </w:r>
      <w:bookmarkEnd w:id="421"/>
    </w:p>
    <w:p w14:paraId="29129C14" w14:textId="2449FF3E" w:rsidR="00491210" w:rsidRDefault="003E1401" w:rsidP="00A858F9">
      <w:pPr>
        <w:spacing w:after="0"/>
        <w:rPr>
          <w:noProof/>
        </w:rPr>
      </w:pPr>
      <w:r>
        <w:rPr>
          <w:noProof/>
          <w:lang w:eastAsia="en-AU"/>
        </w:rPr>
        <w:t xml:space="preserve"> </w:t>
      </w:r>
    </w:p>
    <w:p w14:paraId="3C94952F" w14:textId="1930CB1C" w:rsidR="00491210" w:rsidRDefault="003E1401" w:rsidP="00A858F9">
      <w:pPr>
        <w:spacing w:after="0"/>
        <w:rPr>
          <w:noProof/>
        </w:rPr>
      </w:pPr>
      <w:r>
        <w:rPr>
          <w:noProof/>
          <w:lang w:eastAsia="en-AU"/>
        </w:rPr>
        <w:t xml:space="preserve"> </w:t>
      </w:r>
    </w:p>
    <w:p w14:paraId="00497DFA" w14:textId="3707885D" w:rsidR="00491210" w:rsidRDefault="003E1401" w:rsidP="00A858F9">
      <w:pPr>
        <w:spacing w:after="0"/>
        <w:rPr>
          <w:noProof/>
        </w:rPr>
      </w:pPr>
      <w:r>
        <w:rPr>
          <w:noProof/>
          <w:lang w:eastAsia="en-AU"/>
        </w:rPr>
        <w:t xml:space="preserve"> </w:t>
      </w:r>
    </w:p>
    <w:p w14:paraId="4D0B0D0C" w14:textId="2686C126" w:rsidR="00491210" w:rsidRDefault="003E1401" w:rsidP="00A858F9">
      <w:pPr>
        <w:spacing w:after="0"/>
        <w:rPr>
          <w:noProof/>
        </w:rPr>
      </w:pPr>
      <w:r>
        <w:rPr>
          <w:noProof/>
          <w:lang w:eastAsia="en-AU"/>
        </w:rPr>
        <w:t xml:space="preserve"> </w:t>
      </w:r>
    </w:p>
    <w:p w14:paraId="7328AD3F" w14:textId="69F47476" w:rsidR="00491210" w:rsidRDefault="003E1401" w:rsidP="00A858F9">
      <w:pPr>
        <w:spacing w:after="0"/>
        <w:rPr>
          <w:noProof/>
        </w:rPr>
      </w:pPr>
      <w:r>
        <w:rPr>
          <w:noProof/>
          <w:lang w:eastAsia="en-AU"/>
        </w:rPr>
        <w:t xml:space="preserve"> </w:t>
      </w:r>
    </w:p>
    <w:p w14:paraId="3131A0C5" w14:textId="3594DB52" w:rsidR="00491210" w:rsidRDefault="003E1401" w:rsidP="00A858F9">
      <w:pPr>
        <w:spacing w:after="0"/>
        <w:rPr>
          <w:noProof/>
        </w:rPr>
      </w:pPr>
      <w:r>
        <w:rPr>
          <w:noProof/>
          <w:lang w:eastAsia="en-AU"/>
        </w:rPr>
        <w:t xml:space="preserve"> </w:t>
      </w:r>
    </w:p>
    <w:p w14:paraId="6F154D03" w14:textId="0ABCDF87" w:rsidR="00491210" w:rsidRDefault="003E1401" w:rsidP="00A858F9">
      <w:pPr>
        <w:spacing w:after="0"/>
        <w:rPr>
          <w:noProof/>
        </w:rPr>
      </w:pPr>
      <w:r>
        <w:rPr>
          <w:noProof/>
          <w:lang w:eastAsia="en-AU"/>
        </w:rPr>
        <w:t xml:space="preserve"> </w:t>
      </w:r>
    </w:p>
    <w:p w14:paraId="7E11B10A" w14:textId="18175B7A" w:rsidR="00491210" w:rsidRDefault="003E1401" w:rsidP="00A858F9">
      <w:pPr>
        <w:spacing w:after="0"/>
        <w:rPr>
          <w:noProof/>
        </w:rPr>
      </w:pPr>
      <w:r>
        <w:rPr>
          <w:noProof/>
          <w:lang w:eastAsia="en-AU"/>
        </w:rPr>
        <w:t xml:space="preserve"> </w:t>
      </w:r>
    </w:p>
    <w:p w14:paraId="34AA87DB" w14:textId="1C50C47E" w:rsidR="00491210" w:rsidRDefault="003E1401" w:rsidP="00A858F9">
      <w:pPr>
        <w:spacing w:after="0"/>
        <w:rPr>
          <w:noProof/>
        </w:rPr>
      </w:pPr>
      <w:r>
        <w:rPr>
          <w:noProof/>
          <w:lang w:eastAsia="en-AU"/>
        </w:rPr>
        <w:t xml:space="preserve"> </w:t>
      </w:r>
    </w:p>
    <w:p w14:paraId="0910D8F0" w14:textId="3D4CF39D" w:rsidR="00491210" w:rsidRDefault="003E1401" w:rsidP="00A858F9">
      <w:pPr>
        <w:spacing w:after="0"/>
        <w:rPr>
          <w:noProof/>
        </w:rPr>
      </w:pPr>
      <w:r>
        <w:rPr>
          <w:noProof/>
          <w:lang w:eastAsia="en-AU"/>
        </w:rPr>
        <w:t xml:space="preserve"> </w:t>
      </w:r>
    </w:p>
    <w:p w14:paraId="07966BB2" w14:textId="1842345F"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29</w:t>
      </w:r>
      <w:r>
        <w:fldChar w:fldCharType="end"/>
      </w:r>
      <w:r>
        <w:t>.</w:t>
      </w:r>
      <w:r w:rsidRPr="7ADEDDC3">
        <w:t xml:space="preserve"> </w:t>
      </w:r>
      <w:r>
        <w:t xml:space="preserve">Murray Cod adults in the Yarrawonga to Torrumbarry reach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3B6C1082" w14:textId="46BF9E9A" w:rsidR="00491210" w:rsidRDefault="00EE200C" w:rsidP="009A6626">
      <w:pPr>
        <w:pStyle w:val="Heading3"/>
        <w:rPr>
          <w:lang w:eastAsia="en-AU"/>
        </w:rPr>
      </w:pPr>
      <w:bookmarkStart w:id="422" w:name="_Toc116994940"/>
      <w:r>
        <w:rPr>
          <w:lang w:eastAsia="en-AU"/>
        </w:rPr>
        <w:t>Murray Cod – Hume to Yarrawonga</w:t>
      </w:r>
      <w:bookmarkEnd w:id="422"/>
    </w:p>
    <w:p w14:paraId="79198FFA" w14:textId="19D360EE" w:rsidR="00491210" w:rsidRDefault="003E1401" w:rsidP="00A858F9">
      <w:pPr>
        <w:spacing w:after="0"/>
        <w:rPr>
          <w:noProof/>
        </w:rPr>
      </w:pPr>
      <w:r>
        <w:rPr>
          <w:noProof/>
          <w:lang w:eastAsia="en-AU"/>
        </w:rPr>
        <w:t xml:space="preserve"> </w:t>
      </w:r>
    </w:p>
    <w:p w14:paraId="66A2D46A" w14:textId="2243C560" w:rsidR="00491210" w:rsidRDefault="003E1401" w:rsidP="00A858F9">
      <w:pPr>
        <w:spacing w:after="0"/>
        <w:rPr>
          <w:noProof/>
        </w:rPr>
      </w:pPr>
      <w:r>
        <w:rPr>
          <w:noProof/>
          <w:lang w:eastAsia="en-AU"/>
        </w:rPr>
        <w:t xml:space="preserve"> </w:t>
      </w:r>
    </w:p>
    <w:p w14:paraId="5983EB43" w14:textId="640FB70A" w:rsidR="00491210" w:rsidRDefault="003E1401" w:rsidP="00A858F9">
      <w:pPr>
        <w:spacing w:after="0"/>
        <w:rPr>
          <w:noProof/>
        </w:rPr>
      </w:pPr>
      <w:r>
        <w:rPr>
          <w:noProof/>
          <w:lang w:eastAsia="en-AU"/>
        </w:rPr>
        <w:t xml:space="preserve"> </w:t>
      </w:r>
    </w:p>
    <w:p w14:paraId="01FF5AE0" w14:textId="444D7402" w:rsidR="00491210" w:rsidRDefault="003E1401" w:rsidP="00A858F9">
      <w:pPr>
        <w:spacing w:after="0"/>
        <w:rPr>
          <w:noProof/>
        </w:rPr>
      </w:pPr>
      <w:r>
        <w:rPr>
          <w:noProof/>
          <w:lang w:eastAsia="en-AU"/>
        </w:rPr>
        <w:t xml:space="preserve"> </w:t>
      </w:r>
    </w:p>
    <w:p w14:paraId="2E063E7C" w14:textId="3DE4AFA4" w:rsidR="00491210" w:rsidRDefault="003E1401" w:rsidP="00A858F9">
      <w:pPr>
        <w:spacing w:after="0"/>
        <w:rPr>
          <w:noProof/>
        </w:rPr>
      </w:pPr>
      <w:r>
        <w:rPr>
          <w:noProof/>
          <w:lang w:eastAsia="en-AU"/>
        </w:rPr>
        <w:t xml:space="preserve"> </w:t>
      </w:r>
    </w:p>
    <w:p w14:paraId="776CD976" w14:textId="04FFD669" w:rsidR="00491210" w:rsidRDefault="003E1401" w:rsidP="00A858F9">
      <w:pPr>
        <w:spacing w:after="0"/>
        <w:rPr>
          <w:noProof/>
        </w:rPr>
      </w:pPr>
      <w:r>
        <w:rPr>
          <w:noProof/>
          <w:lang w:eastAsia="en-AU"/>
        </w:rPr>
        <w:t xml:space="preserve"> </w:t>
      </w:r>
    </w:p>
    <w:p w14:paraId="046F9413" w14:textId="223ADC2E" w:rsidR="00491210" w:rsidRDefault="003E1401" w:rsidP="00A858F9">
      <w:pPr>
        <w:spacing w:after="0"/>
        <w:rPr>
          <w:noProof/>
        </w:rPr>
      </w:pPr>
      <w:r>
        <w:rPr>
          <w:noProof/>
          <w:lang w:eastAsia="en-AU"/>
        </w:rPr>
        <w:t xml:space="preserve"> </w:t>
      </w:r>
    </w:p>
    <w:p w14:paraId="15B2BECA" w14:textId="56644911" w:rsidR="00491210" w:rsidRDefault="003E1401" w:rsidP="00A858F9">
      <w:pPr>
        <w:spacing w:after="0"/>
        <w:rPr>
          <w:noProof/>
        </w:rPr>
      </w:pPr>
      <w:r>
        <w:rPr>
          <w:noProof/>
          <w:lang w:eastAsia="en-AU"/>
        </w:rPr>
        <w:t xml:space="preserve"> </w:t>
      </w:r>
    </w:p>
    <w:p w14:paraId="308EECBB" w14:textId="12B5D8BA" w:rsidR="00491210" w:rsidRDefault="003E1401" w:rsidP="00A858F9">
      <w:pPr>
        <w:spacing w:after="0"/>
        <w:rPr>
          <w:noProof/>
        </w:rPr>
      </w:pPr>
      <w:r>
        <w:rPr>
          <w:noProof/>
          <w:lang w:eastAsia="en-AU"/>
        </w:rPr>
        <w:lastRenderedPageBreak/>
        <w:t xml:space="preserve"> </w:t>
      </w:r>
    </w:p>
    <w:p w14:paraId="2F027BB9" w14:textId="1797A023" w:rsidR="00491210" w:rsidRDefault="003E1401" w:rsidP="00A858F9">
      <w:pPr>
        <w:spacing w:after="0"/>
        <w:rPr>
          <w:noProof/>
        </w:rPr>
      </w:pPr>
      <w:r>
        <w:rPr>
          <w:noProof/>
          <w:lang w:eastAsia="en-AU"/>
        </w:rPr>
        <w:t xml:space="preserve"> </w:t>
      </w:r>
    </w:p>
    <w:p w14:paraId="4610FD2E" w14:textId="3D02CACE"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30</w:t>
      </w:r>
      <w:r>
        <w:fldChar w:fldCharType="end"/>
      </w:r>
      <w:r>
        <w:t>.</w:t>
      </w:r>
      <w:r w:rsidRPr="7ADEDDC3">
        <w:t xml:space="preserve"> </w:t>
      </w:r>
      <w:r>
        <w:t xml:space="preserve">Murray Cod adults in the Hume to Yarrawonga reach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34E91BE3" w14:textId="7399902E" w:rsidR="00491210" w:rsidRDefault="00EE200C" w:rsidP="009A6626">
      <w:pPr>
        <w:pStyle w:val="Heading3"/>
        <w:rPr>
          <w:lang w:eastAsia="en-AU"/>
        </w:rPr>
      </w:pPr>
      <w:bookmarkStart w:id="423" w:name="_Toc116994941"/>
      <w:r>
        <w:rPr>
          <w:lang w:eastAsia="en-AU"/>
        </w:rPr>
        <w:t>Murray Cod – Edward River</w:t>
      </w:r>
      <w:bookmarkEnd w:id="423"/>
    </w:p>
    <w:p w14:paraId="0B27F6FE" w14:textId="74F34DF7" w:rsidR="00491210" w:rsidRDefault="003E1401" w:rsidP="00A858F9">
      <w:pPr>
        <w:spacing w:after="0"/>
        <w:rPr>
          <w:noProof/>
        </w:rPr>
      </w:pPr>
      <w:r>
        <w:rPr>
          <w:noProof/>
          <w:lang w:eastAsia="en-AU"/>
        </w:rPr>
        <w:t xml:space="preserve"> </w:t>
      </w:r>
    </w:p>
    <w:p w14:paraId="5CDB7384" w14:textId="4DBCB96F" w:rsidR="00491210" w:rsidRDefault="003E1401" w:rsidP="00A858F9">
      <w:pPr>
        <w:spacing w:after="0"/>
        <w:rPr>
          <w:noProof/>
        </w:rPr>
      </w:pPr>
      <w:r>
        <w:rPr>
          <w:noProof/>
          <w:lang w:eastAsia="en-AU"/>
        </w:rPr>
        <w:t xml:space="preserve"> </w:t>
      </w:r>
    </w:p>
    <w:p w14:paraId="0F6C3AEA" w14:textId="3B0FFD21" w:rsidR="00491210" w:rsidRDefault="003E1401" w:rsidP="00AB1E58">
      <w:pPr>
        <w:spacing w:after="0"/>
        <w:jc w:val="right"/>
        <w:rPr>
          <w:noProof/>
        </w:rPr>
      </w:pPr>
      <w:r>
        <w:rPr>
          <w:noProof/>
          <w:lang w:eastAsia="en-AU"/>
        </w:rPr>
        <w:t xml:space="preserve"> </w:t>
      </w:r>
    </w:p>
    <w:p w14:paraId="3F14FFD8" w14:textId="01648580" w:rsidR="00491210" w:rsidRDefault="003E1401" w:rsidP="00A858F9">
      <w:pPr>
        <w:spacing w:after="0"/>
        <w:rPr>
          <w:noProof/>
        </w:rPr>
      </w:pPr>
      <w:r>
        <w:rPr>
          <w:noProof/>
          <w:lang w:eastAsia="en-AU"/>
        </w:rPr>
        <w:t xml:space="preserve"> </w:t>
      </w:r>
    </w:p>
    <w:p w14:paraId="4EB52B56" w14:textId="37AF907F" w:rsidR="00491210" w:rsidRDefault="003E1401" w:rsidP="00A858F9">
      <w:pPr>
        <w:spacing w:after="0"/>
        <w:rPr>
          <w:noProof/>
        </w:rPr>
      </w:pPr>
      <w:r>
        <w:rPr>
          <w:noProof/>
          <w:lang w:eastAsia="en-AU"/>
        </w:rPr>
        <w:t xml:space="preserve"> </w:t>
      </w:r>
    </w:p>
    <w:p w14:paraId="5BAD6A3D" w14:textId="788A17A0" w:rsidR="00491210" w:rsidRDefault="003E1401" w:rsidP="00A858F9">
      <w:pPr>
        <w:spacing w:after="0"/>
        <w:rPr>
          <w:noProof/>
        </w:rPr>
      </w:pPr>
      <w:r>
        <w:rPr>
          <w:noProof/>
          <w:lang w:eastAsia="en-AU"/>
        </w:rPr>
        <w:t xml:space="preserve"> </w:t>
      </w:r>
    </w:p>
    <w:p w14:paraId="6559172D" w14:textId="3259684D" w:rsidR="00491210" w:rsidRDefault="003E1401" w:rsidP="00A858F9">
      <w:pPr>
        <w:spacing w:after="0"/>
        <w:rPr>
          <w:noProof/>
        </w:rPr>
      </w:pPr>
      <w:r>
        <w:rPr>
          <w:noProof/>
          <w:lang w:eastAsia="en-AU"/>
        </w:rPr>
        <w:t xml:space="preserve"> </w:t>
      </w:r>
    </w:p>
    <w:p w14:paraId="54FA585B" w14:textId="336CBF78" w:rsidR="00491210" w:rsidRDefault="003E1401" w:rsidP="00A858F9">
      <w:pPr>
        <w:spacing w:after="0"/>
        <w:rPr>
          <w:noProof/>
        </w:rPr>
      </w:pPr>
      <w:r>
        <w:rPr>
          <w:noProof/>
          <w:lang w:eastAsia="en-AU"/>
        </w:rPr>
        <w:t xml:space="preserve"> </w:t>
      </w:r>
    </w:p>
    <w:p w14:paraId="4CA297AE" w14:textId="3173C198" w:rsidR="00491210" w:rsidRDefault="003E1401" w:rsidP="00A858F9">
      <w:pPr>
        <w:spacing w:after="0"/>
        <w:rPr>
          <w:noProof/>
        </w:rPr>
      </w:pPr>
      <w:r>
        <w:rPr>
          <w:noProof/>
          <w:lang w:eastAsia="en-AU"/>
        </w:rPr>
        <w:t xml:space="preserve"> </w:t>
      </w:r>
    </w:p>
    <w:p w14:paraId="5B11EA73" w14:textId="08DE9BC8" w:rsidR="00491210" w:rsidRDefault="003E1401" w:rsidP="00A858F9">
      <w:pPr>
        <w:spacing w:after="0"/>
        <w:rPr>
          <w:noProof/>
        </w:rPr>
      </w:pPr>
      <w:r>
        <w:rPr>
          <w:noProof/>
          <w:lang w:eastAsia="en-AU"/>
        </w:rPr>
        <w:t xml:space="preserve"> </w:t>
      </w:r>
    </w:p>
    <w:p w14:paraId="28E69B42" w14:textId="7655200E"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31</w:t>
      </w:r>
      <w:r>
        <w:fldChar w:fldCharType="end"/>
      </w:r>
      <w:r>
        <w:t>.</w:t>
      </w:r>
      <w:r w:rsidRPr="7ADEDDC3">
        <w:t xml:space="preserve"> </w:t>
      </w:r>
      <w:r>
        <w:t xml:space="preserve">Murray Cod adults in the Edward River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653D1D9C" w14:textId="11E02CFC" w:rsidR="00491210" w:rsidRDefault="00EE200C" w:rsidP="009A6626">
      <w:pPr>
        <w:pStyle w:val="Heading3"/>
        <w:rPr>
          <w:lang w:eastAsia="en-AU"/>
        </w:rPr>
      </w:pPr>
      <w:bookmarkStart w:id="424" w:name="_Toc116994942"/>
      <w:r>
        <w:rPr>
          <w:lang w:eastAsia="en-AU"/>
        </w:rPr>
        <w:t>Murray Cod – Hay to Balranald</w:t>
      </w:r>
      <w:bookmarkEnd w:id="424"/>
    </w:p>
    <w:p w14:paraId="07EF6AE9" w14:textId="427C6298" w:rsidR="00491210" w:rsidRDefault="003E1401" w:rsidP="00A858F9">
      <w:pPr>
        <w:spacing w:after="0"/>
        <w:rPr>
          <w:noProof/>
        </w:rPr>
      </w:pPr>
      <w:r>
        <w:rPr>
          <w:noProof/>
          <w:lang w:eastAsia="en-AU"/>
        </w:rPr>
        <w:t xml:space="preserve"> </w:t>
      </w:r>
    </w:p>
    <w:p w14:paraId="45B1C3DD" w14:textId="668D8442" w:rsidR="00491210" w:rsidRDefault="003E1401" w:rsidP="00A858F9">
      <w:pPr>
        <w:spacing w:after="0"/>
        <w:rPr>
          <w:noProof/>
        </w:rPr>
      </w:pPr>
      <w:r>
        <w:rPr>
          <w:noProof/>
          <w:lang w:eastAsia="en-AU"/>
        </w:rPr>
        <w:t xml:space="preserve"> </w:t>
      </w:r>
    </w:p>
    <w:p w14:paraId="1FBE7D70" w14:textId="50801467" w:rsidR="00491210" w:rsidRDefault="003E1401" w:rsidP="00A858F9">
      <w:pPr>
        <w:spacing w:after="0"/>
        <w:rPr>
          <w:noProof/>
        </w:rPr>
      </w:pPr>
      <w:r>
        <w:rPr>
          <w:noProof/>
          <w:lang w:eastAsia="en-AU"/>
        </w:rPr>
        <w:t xml:space="preserve"> </w:t>
      </w:r>
    </w:p>
    <w:p w14:paraId="22E1BDDD" w14:textId="59CE48E2" w:rsidR="00491210" w:rsidRDefault="003E1401" w:rsidP="00A858F9">
      <w:pPr>
        <w:spacing w:after="0"/>
        <w:rPr>
          <w:noProof/>
        </w:rPr>
      </w:pPr>
      <w:r>
        <w:rPr>
          <w:noProof/>
          <w:lang w:eastAsia="en-AU"/>
        </w:rPr>
        <w:t xml:space="preserve"> </w:t>
      </w:r>
    </w:p>
    <w:p w14:paraId="5371BCF9" w14:textId="74040918" w:rsidR="00491210" w:rsidRDefault="003E1401" w:rsidP="00A858F9">
      <w:pPr>
        <w:spacing w:after="0"/>
        <w:rPr>
          <w:noProof/>
        </w:rPr>
      </w:pPr>
      <w:r>
        <w:rPr>
          <w:noProof/>
          <w:lang w:eastAsia="en-AU"/>
        </w:rPr>
        <w:t xml:space="preserve"> </w:t>
      </w:r>
    </w:p>
    <w:p w14:paraId="509CD152" w14:textId="2E9A83DD" w:rsidR="00491210" w:rsidRDefault="003E1401" w:rsidP="00A858F9">
      <w:pPr>
        <w:spacing w:after="0"/>
        <w:rPr>
          <w:noProof/>
        </w:rPr>
      </w:pPr>
      <w:r>
        <w:rPr>
          <w:noProof/>
          <w:lang w:eastAsia="en-AU"/>
        </w:rPr>
        <w:t xml:space="preserve"> </w:t>
      </w:r>
    </w:p>
    <w:p w14:paraId="4588B785" w14:textId="3271C942" w:rsidR="00491210" w:rsidRDefault="003E1401" w:rsidP="00AB1E58">
      <w:pPr>
        <w:spacing w:after="0"/>
        <w:jc w:val="right"/>
        <w:rPr>
          <w:noProof/>
        </w:rPr>
      </w:pPr>
      <w:r>
        <w:rPr>
          <w:noProof/>
          <w:lang w:eastAsia="en-AU"/>
        </w:rPr>
        <w:t xml:space="preserve"> </w:t>
      </w:r>
    </w:p>
    <w:p w14:paraId="24814188" w14:textId="64A06FF6" w:rsidR="00491210" w:rsidRDefault="003E1401" w:rsidP="00A858F9">
      <w:pPr>
        <w:spacing w:after="0"/>
        <w:rPr>
          <w:noProof/>
        </w:rPr>
      </w:pPr>
      <w:r>
        <w:rPr>
          <w:noProof/>
          <w:lang w:eastAsia="en-AU"/>
        </w:rPr>
        <w:t xml:space="preserve"> </w:t>
      </w:r>
    </w:p>
    <w:p w14:paraId="1DEFA2A5" w14:textId="239CD4E4" w:rsidR="00491210" w:rsidRDefault="003E1401" w:rsidP="00A858F9">
      <w:pPr>
        <w:spacing w:after="0"/>
        <w:rPr>
          <w:noProof/>
        </w:rPr>
      </w:pPr>
      <w:r>
        <w:rPr>
          <w:noProof/>
          <w:lang w:eastAsia="en-AU"/>
        </w:rPr>
        <w:t xml:space="preserve"> </w:t>
      </w:r>
    </w:p>
    <w:p w14:paraId="0BFBBE0C" w14:textId="5E966F85" w:rsidR="00491210" w:rsidRDefault="003E1401" w:rsidP="00A858F9">
      <w:pPr>
        <w:spacing w:after="0"/>
        <w:rPr>
          <w:noProof/>
        </w:rPr>
      </w:pPr>
      <w:r>
        <w:rPr>
          <w:noProof/>
          <w:lang w:eastAsia="en-AU"/>
        </w:rPr>
        <w:t xml:space="preserve"> </w:t>
      </w:r>
    </w:p>
    <w:p w14:paraId="493D8ADF" w14:textId="18C971E0"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32</w:t>
      </w:r>
      <w:r>
        <w:fldChar w:fldCharType="end"/>
      </w:r>
      <w:r>
        <w:t>.</w:t>
      </w:r>
      <w:r w:rsidRPr="7ADEDDC3">
        <w:t xml:space="preserve"> </w:t>
      </w:r>
      <w:r>
        <w:t xml:space="preserve">Murray Cod adults in the Hay to Balranald reach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59D5E478" w14:textId="5C59E5DC" w:rsidR="00491210" w:rsidRDefault="00EE200C" w:rsidP="009A6626">
      <w:pPr>
        <w:pStyle w:val="Heading3"/>
        <w:rPr>
          <w:lang w:eastAsia="en-AU"/>
        </w:rPr>
      </w:pPr>
      <w:bookmarkStart w:id="425" w:name="_Toc116994943"/>
      <w:r>
        <w:rPr>
          <w:lang w:eastAsia="en-AU"/>
        </w:rPr>
        <w:t>Murray Cod – Gogeldrie to Hay</w:t>
      </w:r>
      <w:bookmarkEnd w:id="425"/>
    </w:p>
    <w:p w14:paraId="3DB2F3B7" w14:textId="78EF5CDF" w:rsidR="00491210" w:rsidRDefault="003E1401" w:rsidP="00ED4668">
      <w:pPr>
        <w:spacing w:after="0"/>
        <w:rPr>
          <w:noProof/>
        </w:rPr>
      </w:pPr>
      <w:r>
        <w:rPr>
          <w:noProof/>
          <w:lang w:eastAsia="en-AU"/>
        </w:rPr>
        <w:t xml:space="preserve"> </w:t>
      </w:r>
    </w:p>
    <w:p w14:paraId="2397361E" w14:textId="2DFFA71C" w:rsidR="00491210" w:rsidRDefault="003E1401" w:rsidP="00ED4668">
      <w:pPr>
        <w:spacing w:after="0"/>
        <w:rPr>
          <w:noProof/>
        </w:rPr>
      </w:pPr>
      <w:r>
        <w:rPr>
          <w:noProof/>
          <w:lang w:eastAsia="en-AU"/>
        </w:rPr>
        <w:t xml:space="preserve"> </w:t>
      </w:r>
    </w:p>
    <w:p w14:paraId="2A2A50D4" w14:textId="683A973E" w:rsidR="00491210" w:rsidRDefault="003E1401" w:rsidP="00ED4668">
      <w:pPr>
        <w:spacing w:after="0"/>
        <w:rPr>
          <w:noProof/>
        </w:rPr>
      </w:pPr>
      <w:r>
        <w:rPr>
          <w:noProof/>
          <w:lang w:eastAsia="en-AU"/>
        </w:rPr>
        <w:t xml:space="preserve"> </w:t>
      </w:r>
    </w:p>
    <w:p w14:paraId="158D19DB" w14:textId="7C63BFAB" w:rsidR="00491210" w:rsidRDefault="003E1401" w:rsidP="00ED4668">
      <w:pPr>
        <w:spacing w:after="0"/>
        <w:rPr>
          <w:noProof/>
        </w:rPr>
      </w:pPr>
      <w:r>
        <w:rPr>
          <w:noProof/>
          <w:lang w:eastAsia="en-AU"/>
        </w:rPr>
        <w:t xml:space="preserve"> </w:t>
      </w:r>
    </w:p>
    <w:p w14:paraId="4FFCE9EB" w14:textId="03497813" w:rsidR="00491210" w:rsidRDefault="003E1401" w:rsidP="00ED4668">
      <w:pPr>
        <w:spacing w:after="0"/>
        <w:rPr>
          <w:noProof/>
        </w:rPr>
      </w:pPr>
      <w:r>
        <w:rPr>
          <w:noProof/>
          <w:lang w:eastAsia="en-AU"/>
        </w:rPr>
        <w:t xml:space="preserve"> </w:t>
      </w:r>
    </w:p>
    <w:p w14:paraId="0A2593EA" w14:textId="1683296D" w:rsidR="00491210" w:rsidRDefault="003E1401" w:rsidP="00ED4668">
      <w:pPr>
        <w:spacing w:after="0"/>
        <w:rPr>
          <w:noProof/>
        </w:rPr>
      </w:pPr>
      <w:r>
        <w:rPr>
          <w:noProof/>
          <w:lang w:eastAsia="en-AU"/>
        </w:rPr>
        <w:lastRenderedPageBreak/>
        <w:t xml:space="preserve"> </w:t>
      </w:r>
    </w:p>
    <w:p w14:paraId="7D065EC3" w14:textId="60B2F839" w:rsidR="00491210" w:rsidRDefault="003E1401" w:rsidP="00ED4668">
      <w:pPr>
        <w:spacing w:after="0"/>
        <w:rPr>
          <w:noProof/>
        </w:rPr>
      </w:pPr>
      <w:r>
        <w:rPr>
          <w:noProof/>
          <w:lang w:eastAsia="en-AU"/>
        </w:rPr>
        <w:t xml:space="preserve"> </w:t>
      </w:r>
    </w:p>
    <w:p w14:paraId="4F564124" w14:textId="3713793C" w:rsidR="00491210" w:rsidRDefault="003E1401" w:rsidP="00ED4668">
      <w:pPr>
        <w:spacing w:after="0"/>
        <w:rPr>
          <w:noProof/>
        </w:rPr>
      </w:pPr>
      <w:r>
        <w:rPr>
          <w:noProof/>
          <w:lang w:eastAsia="en-AU"/>
        </w:rPr>
        <w:t xml:space="preserve"> </w:t>
      </w:r>
    </w:p>
    <w:p w14:paraId="60BB5D97" w14:textId="1591DB68" w:rsidR="00491210" w:rsidRDefault="003E1401" w:rsidP="00ED4668">
      <w:pPr>
        <w:spacing w:after="0"/>
        <w:rPr>
          <w:noProof/>
        </w:rPr>
      </w:pPr>
      <w:r>
        <w:rPr>
          <w:noProof/>
          <w:lang w:eastAsia="en-AU"/>
        </w:rPr>
        <w:t xml:space="preserve"> </w:t>
      </w:r>
    </w:p>
    <w:p w14:paraId="2B0B2F5F" w14:textId="2CCE5D7A" w:rsidR="00491210" w:rsidRDefault="003E1401" w:rsidP="00ED4668">
      <w:pPr>
        <w:spacing w:after="0"/>
        <w:rPr>
          <w:noProof/>
        </w:rPr>
      </w:pPr>
      <w:r>
        <w:rPr>
          <w:noProof/>
          <w:lang w:eastAsia="en-AU"/>
        </w:rPr>
        <w:t xml:space="preserve"> </w:t>
      </w:r>
    </w:p>
    <w:p w14:paraId="6C37BDEB" w14:textId="514F928D"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33</w:t>
      </w:r>
      <w:r>
        <w:fldChar w:fldCharType="end"/>
      </w:r>
      <w:r>
        <w:t>.</w:t>
      </w:r>
      <w:r w:rsidRPr="7ADEDDC3">
        <w:t xml:space="preserve"> </w:t>
      </w:r>
      <w:r>
        <w:t xml:space="preserve">Murray Cod adults in the Gogeldrie to Hay reach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0477B923" w14:textId="7BE66A3E" w:rsidR="00491210" w:rsidRDefault="00EE200C" w:rsidP="009A6626">
      <w:pPr>
        <w:pStyle w:val="Heading3"/>
        <w:rPr>
          <w:lang w:eastAsia="en-AU"/>
        </w:rPr>
      </w:pPr>
      <w:bookmarkStart w:id="426" w:name="_Toc116994944"/>
      <w:r>
        <w:rPr>
          <w:lang w:eastAsia="en-AU"/>
        </w:rPr>
        <w:t>Murray Cod – Berembed to Gogeldrie</w:t>
      </w:r>
      <w:bookmarkEnd w:id="426"/>
    </w:p>
    <w:p w14:paraId="229344F2" w14:textId="7C908E7F" w:rsidR="00491210" w:rsidRDefault="003E1401" w:rsidP="009F198A">
      <w:pPr>
        <w:spacing w:after="0"/>
        <w:rPr>
          <w:noProof/>
        </w:rPr>
      </w:pPr>
      <w:r>
        <w:rPr>
          <w:noProof/>
          <w:lang w:eastAsia="en-AU"/>
        </w:rPr>
        <w:t xml:space="preserve"> </w:t>
      </w:r>
    </w:p>
    <w:p w14:paraId="5FC597D0" w14:textId="2C4FB357" w:rsidR="00491210" w:rsidRDefault="003E1401" w:rsidP="009F198A">
      <w:pPr>
        <w:spacing w:after="0"/>
        <w:rPr>
          <w:noProof/>
        </w:rPr>
      </w:pPr>
      <w:r>
        <w:rPr>
          <w:noProof/>
          <w:lang w:eastAsia="en-AU"/>
        </w:rPr>
        <w:t xml:space="preserve"> </w:t>
      </w:r>
    </w:p>
    <w:p w14:paraId="718E3A96" w14:textId="76D5ACE8" w:rsidR="00491210" w:rsidRDefault="003E1401" w:rsidP="009F198A">
      <w:pPr>
        <w:spacing w:after="0"/>
        <w:rPr>
          <w:noProof/>
        </w:rPr>
      </w:pPr>
      <w:r>
        <w:rPr>
          <w:noProof/>
          <w:lang w:eastAsia="en-AU"/>
        </w:rPr>
        <w:t xml:space="preserve"> </w:t>
      </w:r>
    </w:p>
    <w:p w14:paraId="4649A949" w14:textId="72D917A8" w:rsidR="00491210" w:rsidRDefault="003E1401" w:rsidP="009F198A">
      <w:pPr>
        <w:spacing w:after="0"/>
        <w:rPr>
          <w:noProof/>
        </w:rPr>
      </w:pPr>
      <w:r>
        <w:rPr>
          <w:noProof/>
          <w:lang w:eastAsia="en-AU"/>
        </w:rPr>
        <w:t xml:space="preserve"> </w:t>
      </w:r>
    </w:p>
    <w:p w14:paraId="45A62E5E" w14:textId="3E6C3368" w:rsidR="00491210" w:rsidRDefault="003E1401" w:rsidP="009F198A">
      <w:pPr>
        <w:spacing w:after="0"/>
        <w:rPr>
          <w:noProof/>
        </w:rPr>
      </w:pPr>
      <w:r>
        <w:rPr>
          <w:noProof/>
          <w:lang w:eastAsia="en-AU"/>
        </w:rPr>
        <w:t xml:space="preserve"> </w:t>
      </w:r>
    </w:p>
    <w:p w14:paraId="0A1F8789" w14:textId="1D043527" w:rsidR="00491210" w:rsidRDefault="003E1401" w:rsidP="009F198A">
      <w:pPr>
        <w:spacing w:after="0"/>
        <w:rPr>
          <w:noProof/>
        </w:rPr>
      </w:pPr>
      <w:r>
        <w:rPr>
          <w:noProof/>
          <w:lang w:eastAsia="en-AU"/>
        </w:rPr>
        <w:t xml:space="preserve"> </w:t>
      </w:r>
    </w:p>
    <w:p w14:paraId="381D5E1A" w14:textId="240058EE" w:rsidR="00491210" w:rsidRDefault="003E1401" w:rsidP="009F198A">
      <w:pPr>
        <w:spacing w:after="0"/>
        <w:rPr>
          <w:noProof/>
        </w:rPr>
      </w:pPr>
      <w:r>
        <w:rPr>
          <w:noProof/>
          <w:lang w:eastAsia="en-AU"/>
        </w:rPr>
        <w:t xml:space="preserve"> </w:t>
      </w:r>
    </w:p>
    <w:p w14:paraId="3D69D0D3" w14:textId="58013C05" w:rsidR="00491210" w:rsidRDefault="003E1401" w:rsidP="009F198A">
      <w:pPr>
        <w:spacing w:after="0"/>
        <w:rPr>
          <w:noProof/>
        </w:rPr>
      </w:pPr>
      <w:r>
        <w:rPr>
          <w:noProof/>
          <w:lang w:eastAsia="en-AU"/>
        </w:rPr>
        <w:t xml:space="preserve"> </w:t>
      </w:r>
    </w:p>
    <w:p w14:paraId="49839AE7" w14:textId="3CE7EEFC" w:rsidR="00491210" w:rsidRDefault="003E1401" w:rsidP="009F198A">
      <w:pPr>
        <w:spacing w:after="0"/>
        <w:rPr>
          <w:noProof/>
        </w:rPr>
      </w:pPr>
      <w:r>
        <w:rPr>
          <w:noProof/>
          <w:lang w:eastAsia="en-AU"/>
        </w:rPr>
        <w:t xml:space="preserve"> </w:t>
      </w:r>
    </w:p>
    <w:p w14:paraId="7F7BEDC8" w14:textId="1D85BB2F" w:rsidR="00491210" w:rsidRDefault="003E1401" w:rsidP="009F198A">
      <w:pPr>
        <w:spacing w:after="0"/>
        <w:rPr>
          <w:noProof/>
        </w:rPr>
      </w:pPr>
      <w:r>
        <w:rPr>
          <w:noProof/>
          <w:lang w:eastAsia="en-AU"/>
        </w:rPr>
        <w:t xml:space="preserve"> </w:t>
      </w:r>
    </w:p>
    <w:p w14:paraId="0309DEF3" w14:textId="29F07AC7"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34</w:t>
      </w:r>
      <w:r>
        <w:fldChar w:fldCharType="end"/>
      </w:r>
      <w:r>
        <w:t>.</w:t>
      </w:r>
      <w:r w:rsidRPr="7ADEDDC3">
        <w:t xml:space="preserve"> </w:t>
      </w:r>
      <w:r>
        <w:t xml:space="preserve">Murray Cod adults in the Berembed to Gogeldrie reach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5186BEDD" w14:textId="62660B65" w:rsidR="00491210" w:rsidRDefault="00EE200C" w:rsidP="009A6626">
      <w:pPr>
        <w:pStyle w:val="Heading3"/>
        <w:rPr>
          <w:lang w:eastAsia="en-AU"/>
        </w:rPr>
      </w:pPr>
      <w:bookmarkStart w:id="427" w:name="_Toc116994945"/>
      <w:r>
        <w:rPr>
          <w:lang w:eastAsia="en-AU"/>
        </w:rPr>
        <w:t>Murray Cod – Gundagai to Berembed</w:t>
      </w:r>
      <w:bookmarkEnd w:id="427"/>
    </w:p>
    <w:p w14:paraId="3535CFFE" w14:textId="4FE990DD" w:rsidR="00491210" w:rsidRDefault="003E1401" w:rsidP="009F198A">
      <w:pPr>
        <w:spacing w:after="0"/>
        <w:rPr>
          <w:noProof/>
        </w:rPr>
      </w:pPr>
      <w:r>
        <w:rPr>
          <w:noProof/>
          <w:lang w:eastAsia="en-AU"/>
        </w:rPr>
        <w:t xml:space="preserve"> </w:t>
      </w:r>
    </w:p>
    <w:p w14:paraId="1799FEA7" w14:textId="6E5D41BB" w:rsidR="00491210" w:rsidRDefault="003E1401" w:rsidP="009F198A">
      <w:pPr>
        <w:spacing w:after="0"/>
        <w:rPr>
          <w:noProof/>
        </w:rPr>
      </w:pPr>
      <w:r>
        <w:rPr>
          <w:noProof/>
          <w:lang w:eastAsia="en-AU"/>
        </w:rPr>
        <w:t xml:space="preserve"> </w:t>
      </w:r>
    </w:p>
    <w:p w14:paraId="36087DE6" w14:textId="0BE4CBFD" w:rsidR="00491210" w:rsidRDefault="003E1401" w:rsidP="009F198A">
      <w:pPr>
        <w:spacing w:after="0"/>
        <w:rPr>
          <w:noProof/>
        </w:rPr>
      </w:pPr>
      <w:r>
        <w:rPr>
          <w:noProof/>
          <w:lang w:eastAsia="en-AU"/>
        </w:rPr>
        <w:t xml:space="preserve"> </w:t>
      </w:r>
    </w:p>
    <w:p w14:paraId="17CCA829" w14:textId="378B19E7" w:rsidR="00491210" w:rsidRDefault="003E1401" w:rsidP="009F198A">
      <w:pPr>
        <w:spacing w:after="0"/>
        <w:rPr>
          <w:noProof/>
        </w:rPr>
      </w:pPr>
      <w:r>
        <w:rPr>
          <w:noProof/>
          <w:lang w:eastAsia="en-AU"/>
        </w:rPr>
        <w:t xml:space="preserve"> </w:t>
      </w:r>
    </w:p>
    <w:p w14:paraId="4E0C968E" w14:textId="7981B9E2" w:rsidR="00491210" w:rsidRDefault="003E1401" w:rsidP="009F198A">
      <w:pPr>
        <w:spacing w:after="0"/>
        <w:rPr>
          <w:noProof/>
        </w:rPr>
      </w:pPr>
      <w:r>
        <w:rPr>
          <w:noProof/>
          <w:lang w:eastAsia="en-AU"/>
        </w:rPr>
        <w:t xml:space="preserve"> </w:t>
      </w:r>
    </w:p>
    <w:p w14:paraId="4DA40410" w14:textId="1FDF12FD" w:rsidR="00491210" w:rsidRDefault="003E1401" w:rsidP="009F198A">
      <w:pPr>
        <w:spacing w:after="0"/>
        <w:rPr>
          <w:noProof/>
        </w:rPr>
      </w:pPr>
      <w:r>
        <w:rPr>
          <w:noProof/>
          <w:lang w:eastAsia="en-AU"/>
        </w:rPr>
        <w:t xml:space="preserve"> </w:t>
      </w:r>
    </w:p>
    <w:p w14:paraId="70F623FC" w14:textId="24167FD2" w:rsidR="00491210" w:rsidRDefault="003E1401" w:rsidP="009F198A">
      <w:pPr>
        <w:spacing w:after="0"/>
        <w:rPr>
          <w:noProof/>
        </w:rPr>
      </w:pPr>
      <w:r>
        <w:rPr>
          <w:noProof/>
          <w:lang w:eastAsia="en-AU"/>
        </w:rPr>
        <w:t xml:space="preserve"> </w:t>
      </w:r>
    </w:p>
    <w:p w14:paraId="03AE1BD6" w14:textId="3F6E340D" w:rsidR="00491210" w:rsidRDefault="003E1401" w:rsidP="009F198A">
      <w:pPr>
        <w:spacing w:after="0"/>
        <w:rPr>
          <w:noProof/>
        </w:rPr>
      </w:pPr>
      <w:r>
        <w:rPr>
          <w:noProof/>
          <w:lang w:eastAsia="en-AU"/>
        </w:rPr>
        <w:t xml:space="preserve"> </w:t>
      </w:r>
    </w:p>
    <w:p w14:paraId="21D005A8" w14:textId="1665051E" w:rsidR="00491210" w:rsidRDefault="003E1401" w:rsidP="009F198A">
      <w:pPr>
        <w:spacing w:after="0"/>
        <w:rPr>
          <w:noProof/>
        </w:rPr>
      </w:pPr>
      <w:r>
        <w:rPr>
          <w:noProof/>
          <w:lang w:eastAsia="en-AU"/>
        </w:rPr>
        <w:t xml:space="preserve"> </w:t>
      </w:r>
    </w:p>
    <w:p w14:paraId="3A5973B4" w14:textId="65FB9DB1" w:rsidR="00491210" w:rsidRDefault="003E1401" w:rsidP="009F198A">
      <w:pPr>
        <w:spacing w:after="0"/>
        <w:rPr>
          <w:noProof/>
        </w:rPr>
      </w:pPr>
      <w:r>
        <w:rPr>
          <w:noProof/>
          <w:lang w:eastAsia="en-AU"/>
        </w:rPr>
        <w:t xml:space="preserve"> </w:t>
      </w:r>
    </w:p>
    <w:p w14:paraId="48FCC93F" w14:textId="6756AB7A"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35</w:t>
      </w:r>
      <w:r>
        <w:fldChar w:fldCharType="end"/>
      </w:r>
      <w:r>
        <w:t>.</w:t>
      </w:r>
      <w:r w:rsidRPr="7ADEDDC3">
        <w:t xml:space="preserve"> </w:t>
      </w:r>
      <w:r>
        <w:t xml:space="preserve">Murray Cod adults in the Gundagai to Berembed reach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7FD014ED" w14:textId="2E2067F9" w:rsidR="00491210" w:rsidRDefault="00EE200C" w:rsidP="009A6626">
      <w:pPr>
        <w:pStyle w:val="Heading3"/>
        <w:rPr>
          <w:lang w:eastAsia="en-AU"/>
        </w:rPr>
      </w:pPr>
      <w:bookmarkStart w:id="428" w:name="_Toc116994946"/>
      <w:r>
        <w:rPr>
          <w:lang w:eastAsia="en-AU"/>
        </w:rPr>
        <w:t>Murray Cod – Yanco Creek</w:t>
      </w:r>
      <w:bookmarkEnd w:id="428"/>
    </w:p>
    <w:p w14:paraId="1B323C2E" w14:textId="49E092B2" w:rsidR="00491210" w:rsidRDefault="003E1401" w:rsidP="009F198A">
      <w:pPr>
        <w:spacing w:after="0"/>
        <w:rPr>
          <w:noProof/>
        </w:rPr>
      </w:pPr>
      <w:r>
        <w:rPr>
          <w:noProof/>
          <w:lang w:eastAsia="en-AU"/>
        </w:rPr>
        <w:t xml:space="preserve"> </w:t>
      </w:r>
    </w:p>
    <w:p w14:paraId="78A164FA" w14:textId="142E62F7" w:rsidR="00491210" w:rsidRDefault="003E1401" w:rsidP="009F198A">
      <w:pPr>
        <w:spacing w:after="0"/>
        <w:rPr>
          <w:noProof/>
        </w:rPr>
      </w:pPr>
      <w:r>
        <w:rPr>
          <w:noProof/>
          <w:lang w:eastAsia="en-AU"/>
        </w:rPr>
        <w:t xml:space="preserve"> </w:t>
      </w:r>
    </w:p>
    <w:p w14:paraId="668CA59E" w14:textId="1210500F" w:rsidR="00491210" w:rsidRDefault="003E1401" w:rsidP="009F198A">
      <w:pPr>
        <w:spacing w:after="0"/>
        <w:rPr>
          <w:noProof/>
        </w:rPr>
      </w:pPr>
      <w:r>
        <w:rPr>
          <w:noProof/>
          <w:lang w:eastAsia="en-AU"/>
        </w:rPr>
        <w:lastRenderedPageBreak/>
        <w:t xml:space="preserve"> </w:t>
      </w:r>
    </w:p>
    <w:p w14:paraId="4847CA9C" w14:textId="11F5E970" w:rsidR="00491210" w:rsidRDefault="003E1401" w:rsidP="009F198A">
      <w:pPr>
        <w:spacing w:after="0"/>
        <w:rPr>
          <w:noProof/>
        </w:rPr>
      </w:pPr>
      <w:r>
        <w:rPr>
          <w:noProof/>
          <w:lang w:eastAsia="en-AU"/>
        </w:rPr>
        <w:t xml:space="preserve"> </w:t>
      </w:r>
    </w:p>
    <w:p w14:paraId="29B85B98" w14:textId="51B4CC2A" w:rsidR="00491210" w:rsidRDefault="003E1401" w:rsidP="009F198A">
      <w:pPr>
        <w:spacing w:after="0"/>
        <w:rPr>
          <w:noProof/>
        </w:rPr>
      </w:pPr>
      <w:r>
        <w:rPr>
          <w:noProof/>
          <w:lang w:eastAsia="en-AU"/>
        </w:rPr>
        <w:t xml:space="preserve"> </w:t>
      </w:r>
    </w:p>
    <w:p w14:paraId="5491C4FE" w14:textId="1ED984D5" w:rsidR="00491210" w:rsidRDefault="003E1401" w:rsidP="009F198A">
      <w:pPr>
        <w:spacing w:after="0"/>
        <w:rPr>
          <w:noProof/>
        </w:rPr>
      </w:pPr>
      <w:r>
        <w:rPr>
          <w:noProof/>
          <w:lang w:eastAsia="en-AU"/>
        </w:rPr>
        <w:t xml:space="preserve"> </w:t>
      </w:r>
    </w:p>
    <w:p w14:paraId="71F81758" w14:textId="6863A714" w:rsidR="00491210" w:rsidRDefault="003E1401" w:rsidP="009F198A">
      <w:pPr>
        <w:spacing w:after="0"/>
        <w:rPr>
          <w:noProof/>
        </w:rPr>
      </w:pPr>
      <w:r>
        <w:rPr>
          <w:noProof/>
          <w:lang w:eastAsia="en-AU"/>
        </w:rPr>
        <w:t xml:space="preserve"> </w:t>
      </w:r>
    </w:p>
    <w:p w14:paraId="4C225AA9" w14:textId="6D499DB1" w:rsidR="00491210" w:rsidRDefault="003E1401" w:rsidP="00AB1E58">
      <w:pPr>
        <w:spacing w:after="0"/>
        <w:jc w:val="right"/>
        <w:rPr>
          <w:noProof/>
        </w:rPr>
      </w:pPr>
      <w:r>
        <w:rPr>
          <w:noProof/>
          <w:lang w:eastAsia="en-AU"/>
        </w:rPr>
        <w:t xml:space="preserve"> </w:t>
      </w:r>
    </w:p>
    <w:p w14:paraId="24969993" w14:textId="1E82D74E" w:rsidR="00491210" w:rsidRDefault="003E1401" w:rsidP="009F198A">
      <w:pPr>
        <w:spacing w:after="0"/>
        <w:rPr>
          <w:noProof/>
        </w:rPr>
      </w:pPr>
      <w:r>
        <w:rPr>
          <w:noProof/>
          <w:lang w:eastAsia="en-AU"/>
        </w:rPr>
        <w:t xml:space="preserve"> </w:t>
      </w:r>
    </w:p>
    <w:p w14:paraId="021A1742" w14:textId="07E7E679" w:rsidR="00491210" w:rsidRDefault="003E1401" w:rsidP="009F198A">
      <w:pPr>
        <w:spacing w:after="0"/>
        <w:rPr>
          <w:noProof/>
        </w:rPr>
      </w:pPr>
      <w:r>
        <w:rPr>
          <w:noProof/>
          <w:lang w:eastAsia="en-AU"/>
        </w:rPr>
        <w:t xml:space="preserve"> </w:t>
      </w:r>
    </w:p>
    <w:p w14:paraId="2C21A33D" w14:textId="7586801B" w:rsidR="00491210" w:rsidRDefault="00EE200C" w:rsidP="00F602FE">
      <w:pPr>
        <w:pStyle w:val="AppendixFigureCaption"/>
        <w:rPr>
          <w:lang w:val="en-US"/>
        </w:rPr>
      </w:pPr>
      <w:r>
        <w:t>Figure A3.</w:t>
      </w:r>
      <w:r>
        <w:fldChar w:fldCharType="begin"/>
      </w:r>
      <w:r>
        <w:instrText>SEQ Figure_A3. \* ARABIC</w:instrText>
      </w:r>
      <w:r>
        <w:fldChar w:fldCharType="separate"/>
      </w:r>
      <w:r w:rsidR="005B672A">
        <w:rPr>
          <w:noProof/>
        </w:rPr>
        <w:t>36</w:t>
      </w:r>
      <w:r>
        <w:fldChar w:fldCharType="end"/>
      </w:r>
      <w:r>
        <w:t>.</w:t>
      </w:r>
      <w:r w:rsidRPr="7ADEDDC3">
        <w:t xml:space="preserve"> </w:t>
      </w:r>
      <w:r>
        <w:t xml:space="preserve">Murray Cod adults in Yanco Creek </w:t>
      </w:r>
      <w:r w:rsidRPr="7ADEDDC3">
        <w:t xml:space="preserve">for the </w:t>
      </w:r>
      <w:r>
        <w:t>RRCP flow scenarios</w:t>
      </w:r>
      <w:r w:rsidRPr="7ADEDDC3">
        <w:t xml:space="preserve"> </w:t>
      </w:r>
      <w:r>
        <w:t>Base case</w:t>
      </w:r>
      <w:r w:rsidRPr="7ADEDDC3">
        <w:t xml:space="preserve"> – </w:t>
      </w:r>
      <w:r>
        <w:t>Option 4</w:t>
      </w:r>
      <w:r w:rsidRPr="7ADEDDC3">
        <w:t xml:space="preserve">. Top panel: </w:t>
      </w:r>
      <w:r>
        <w:t>summary of 1000 adult trajectories for the Base case scenario; s</w:t>
      </w:r>
      <w:r w:rsidRPr="7ADEDDC3">
        <w:t xml:space="preserve">econd panel: </w:t>
      </w:r>
      <w:r>
        <w:t>the mean</w:t>
      </w:r>
      <w:r w:rsidRPr="7ADEDDC3">
        <w:t xml:space="preserve"> adult population size</w:t>
      </w:r>
      <w:r>
        <w:t>;</w:t>
      </w:r>
      <w:r w:rsidRPr="7ADEDDC3">
        <w:t xml:space="preserve"> </w:t>
      </w:r>
      <w:r>
        <w:t>thir</w:t>
      </w:r>
      <w:r w:rsidRPr="7ADEDDC3">
        <w:t>d panel: associated distribution</w:t>
      </w:r>
      <w:r>
        <w:t xml:space="preserve">s of </w:t>
      </w:r>
      <w:r w:rsidRPr="7ADEDDC3">
        <w:t>m</w:t>
      </w:r>
      <w:r>
        <w:t>ean</w:t>
      </w:r>
      <w:r w:rsidRPr="7ADEDDC3">
        <w:t xml:space="preserve"> population s</w:t>
      </w:r>
      <w:r>
        <w:t>izes;</w:t>
      </w:r>
      <w:r w:rsidRPr="7ADEDDC3">
        <w:t xml:space="preserve"> </w:t>
      </w:r>
      <w:r>
        <w:t>fourth</w:t>
      </w:r>
      <w:r w:rsidRPr="7ADEDDC3">
        <w:t xml:space="preserve"> panel: </w:t>
      </w:r>
      <w:r>
        <w:t>expected mean population sizes, with the percentage change from</w:t>
      </w:r>
      <w:r w:rsidRPr="7ADEDDC3">
        <w:t xml:space="preserve"> </w:t>
      </w:r>
      <w:r>
        <w:t>Base case</w:t>
      </w:r>
      <w:r w:rsidRPr="7ADEDDC3">
        <w:t xml:space="preserve"> shown in each </w:t>
      </w:r>
      <w:r>
        <w:t xml:space="preserve">Option </w:t>
      </w:r>
      <w:r w:rsidRPr="7ADEDDC3">
        <w:t>bar</w:t>
      </w:r>
      <w:r>
        <w:t>;</w:t>
      </w:r>
      <w:r w:rsidRPr="7ADEDDC3">
        <w:t xml:space="preserve"> </w:t>
      </w:r>
      <w:r>
        <w:t>fif</w:t>
      </w:r>
      <w:r w:rsidRPr="7ADEDDC3">
        <w:t>th panel: associated distribution</w:t>
      </w:r>
      <w:r>
        <w:t xml:space="preserve">s of </w:t>
      </w:r>
      <w:r w:rsidRPr="7ADEDDC3">
        <w:t>10% quantile population s</w:t>
      </w:r>
      <w:r>
        <w:t>izes;</w:t>
      </w:r>
      <w:r w:rsidRPr="7ADEDDC3">
        <w:t xml:space="preserve"> </w:t>
      </w:r>
      <w:r>
        <w:t>six</w:t>
      </w:r>
      <w:r w:rsidRPr="7ADEDDC3">
        <w:t xml:space="preserve">th panel: </w:t>
      </w:r>
      <w:r>
        <w:t>expected</w:t>
      </w:r>
      <w:r w:rsidRPr="7ADEDDC3">
        <w:t xml:space="preserve"> 10% quantile population size</w:t>
      </w:r>
      <w:r>
        <w:t>;</w:t>
      </w:r>
      <w:r w:rsidRPr="7ADEDDC3">
        <w:t xml:space="preserve"> </w:t>
      </w:r>
      <w:r>
        <w:t>seven</w:t>
      </w:r>
      <w:r w:rsidRPr="7ADEDDC3">
        <w:t>th panel</w:t>
      </w:r>
      <w:r>
        <w:t>:</w:t>
      </w:r>
      <w:r w:rsidRPr="000465BD">
        <w:t xml:space="preserve"> </w:t>
      </w:r>
      <w:r w:rsidRPr="7ADEDDC3">
        <w:t>associated distribution</w:t>
      </w:r>
      <w:r>
        <w:t>s of minimum</w:t>
      </w:r>
      <w:r w:rsidRPr="7ADEDDC3">
        <w:t xml:space="preserve"> population s</w:t>
      </w:r>
      <w:r>
        <w:t>izes;</w:t>
      </w:r>
      <w:r w:rsidRPr="7ADEDDC3">
        <w:t xml:space="preserve"> </w:t>
      </w:r>
      <w:r>
        <w:t>eight</w:t>
      </w:r>
      <w:r w:rsidRPr="7ADEDDC3">
        <w:t xml:space="preserve">h panel: </w:t>
      </w:r>
      <w:r>
        <w:t>expected minimum</w:t>
      </w:r>
      <w:r w:rsidRPr="7ADEDDC3">
        <w:t xml:space="preserve"> population size</w:t>
      </w:r>
      <w:r>
        <w:t>; ninth panel:</w:t>
      </w:r>
      <w:r w:rsidRPr="000465BD">
        <w:t xml:space="preserve"> </w:t>
      </w:r>
      <w:r w:rsidRPr="7ADEDDC3">
        <w:t>associated distribution</w:t>
      </w:r>
      <w:r>
        <w:t>s of maximum</w:t>
      </w:r>
      <w:r w:rsidRPr="7ADEDDC3">
        <w:t xml:space="preserve"> population s</w:t>
      </w:r>
      <w:r>
        <w:t>izes;</w:t>
      </w:r>
      <w:r w:rsidRPr="7ADEDDC3">
        <w:t xml:space="preserve"> </w:t>
      </w:r>
      <w:r>
        <w:t>tent</w:t>
      </w:r>
      <w:r w:rsidRPr="7ADEDDC3">
        <w:t xml:space="preserve">h panel: </w:t>
      </w:r>
      <w:r>
        <w:t>expected maximum</w:t>
      </w:r>
      <w:r w:rsidRPr="7ADEDDC3">
        <w:t xml:space="preserve"> population size</w:t>
      </w:r>
      <w:r>
        <w:t>.</w:t>
      </w:r>
    </w:p>
    <w:p w14:paraId="14BA59A6" w14:textId="5E2EF010" w:rsidR="00491210" w:rsidRDefault="00491210" w:rsidP="00E6541C">
      <w:pPr>
        <w:spacing w:after="160" w:line="259" w:lineRule="auto"/>
      </w:pPr>
    </w:p>
    <w:p w14:paraId="4C0DE602" w14:textId="6693B14B" w:rsidR="00491210" w:rsidRDefault="00EE200C">
      <w:pPr>
        <w:spacing w:after="0"/>
      </w:pPr>
      <w:r>
        <w:br w:type="page"/>
      </w:r>
    </w:p>
    <w:p w14:paraId="1435F7FC" w14:textId="38DB1E0C" w:rsidR="00491210" w:rsidRDefault="00EE200C" w:rsidP="005F1F7F">
      <w:pPr>
        <w:pStyle w:val="Heading3"/>
      </w:pPr>
      <w:bookmarkStart w:id="429" w:name="_Toc116994947"/>
      <w:r>
        <w:lastRenderedPageBreak/>
        <w:t>Murray Cod Recruits</w:t>
      </w:r>
      <w:bookmarkEnd w:id="429"/>
    </w:p>
    <w:p w14:paraId="674FA472" w14:textId="0AF06099" w:rsidR="00491210" w:rsidRDefault="003E1401" w:rsidP="009C5ECE">
      <w:pPr>
        <w:spacing w:after="0"/>
        <w:rPr>
          <w:noProof/>
        </w:rPr>
      </w:pPr>
      <w:r>
        <w:rPr>
          <w:noProof/>
          <w:lang w:eastAsia="en-AU"/>
        </w:rPr>
        <w:t xml:space="preserve"> </w:t>
      </w:r>
    </w:p>
    <w:p w14:paraId="756493A9" w14:textId="19A81A8A"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37</w:t>
      </w:r>
      <w:r>
        <w:fldChar w:fldCharType="end"/>
      </w:r>
      <w:r>
        <w:t>.</w:t>
      </w:r>
      <w:r w:rsidRPr="7ADEDDC3">
        <w:t xml:space="preserve"> </w:t>
      </w:r>
      <w:r>
        <w:t>Murray Cod</w:t>
      </w:r>
      <w:r w:rsidRPr="7ADEDDC3">
        <w:t xml:space="preserve"> </w:t>
      </w:r>
      <w:r>
        <w:t xml:space="preserve">recruits mean population size </w:t>
      </w:r>
      <w:r w:rsidRPr="00AC6224">
        <w:t xml:space="preserve">aggregated across all modelled RRCP focal zones, together with the Wakool Junction to Wentworth reach, </w:t>
      </w:r>
      <w:r w:rsidRPr="7ADEDDC3">
        <w:t xml:space="preserve">for the </w:t>
      </w:r>
      <w:r>
        <w:t>RRCP flow scenarios</w:t>
      </w:r>
      <w:r w:rsidRPr="7ADEDDC3">
        <w:t xml:space="preserve"> </w:t>
      </w:r>
      <w:r>
        <w:t>Base case</w:t>
      </w:r>
      <w:r w:rsidRPr="7ADEDDC3">
        <w:t xml:space="preserve"> – </w:t>
      </w:r>
      <w:r>
        <w:t>Option 4</w:t>
      </w:r>
      <w:r w:rsidRPr="7ADEDDC3">
        <w:t>.</w:t>
      </w:r>
    </w:p>
    <w:p w14:paraId="2E81A9F7" w14:textId="6E1792E7" w:rsidR="00491210" w:rsidRDefault="003E1401" w:rsidP="009C5ECE">
      <w:pPr>
        <w:spacing w:after="0"/>
        <w:rPr>
          <w:noProof/>
        </w:rPr>
      </w:pPr>
      <w:r>
        <w:rPr>
          <w:noProof/>
          <w:lang w:eastAsia="en-AU"/>
        </w:rPr>
        <w:t xml:space="preserve"> </w:t>
      </w:r>
    </w:p>
    <w:p w14:paraId="3F622E0A" w14:textId="706FBB44"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38</w:t>
      </w:r>
      <w:r>
        <w:fldChar w:fldCharType="end"/>
      </w:r>
      <w:r>
        <w:t>.</w:t>
      </w:r>
      <w:r w:rsidRPr="7ADEDDC3">
        <w:t xml:space="preserve"> </w:t>
      </w:r>
      <w:r>
        <w:t>Murray Cod</w:t>
      </w:r>
      <w:r w:rsidRPr="7ADEDDC3">
        <w:t xml:space="preserve"> </w:t>
      </w:r>
      <w:r>
        <w:t xml:space="preserve">recruits mean population size </w:t>
      </w:r>
      <w:r w:rsidRPr="00AC6224">
        <w:t xml:space="preserve">aggregated across the Murray River RRCP focal zones (including the Edward River), together with the Wakool Junction to Wentworth reach, </w:t>
      </w:r>
      <w:r w:rsidRPr="7ADEDDC3">
        <w:t xml:space="preserve">for the </w:t>
      </w:r>
      <w:r>
        <w:t>RRCP flow scenarios</w:t>
      </w:r>
      <w:r w:rsidRPr="7ADEDDC3">
        <w:t xml:space="preserve"> </w:t>
      </w:r>
      <w:r>
        <w:t>Base case</w:t>
      </w:r>
      <w:r w:rsidRPr="7ADEDDC3">
        <w:t xml:space="preserve"> – </w:t>
      </w:r>
      <w:r>
        <w:t>Option 4</w:t>
      </w:r>
      <w:r w:rsidRPr="7ADEDDC3">
        <w:t>.</w:t>
      </w:r>
    </w:p>
    <w:p w14:paraId="348D1026" w14:textId="51E6E164" w:rsidR="00491210" w:rsidRDefault="003E1401" w:rsidP="009C5ECE">
      <w:pPr>
        <w:spacing w:after="0"/>
        <w:rPr>
          <w:noProof/>
        </w:rPr>
      </w:pPr>
      <w:r>
        <w:rPr>
          <w:noProof/>
          <w:lang w:eastAsia="en-AU"/>
        </w:rPr>
        <w:t xml:space="preserve"> </w:t>
      </w:r>
    </w:p>
    <w:p w14:paraId="22B14578" w14:textId="263BA8E7"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39</w:t>
      </w:r>
      <w:r>
        <w:fldChar w:fldCharType="end"/>
      </w:r>
      <w:r>
        <w:t>.</w:t>
      </w:r>
      <w:r w:rsidRPr="7ADEDDC3">
        <w:t xml:space="preserve"> </w:t>
      </w:r>
      <w:r>
        <w:t>Murray Cod</w:t>
      </w:r>
      <w:r w:rsidRPr="7ADEDDC3">
        <w:t xml:space="preserve"> </w:t>
      </w:r>
      <w:r>
        <w:t xml:space="preserve">recruits mean population size </w:t>
      </w:r>
      <w:r w:rsidRPr="00AC6224">
        <w:t>aggregated across the Murrumbidgee River RRCP focal zone</w:t>
      </w:r>
      <w:r w:rsidRPr="006B0ECF">
        <w:t xml:space="preserve"> </w:t>
      </w:r>
      <w:r w:rsidRPr="7ADEDDC3">
        <w:t xml:space="preserve">for the </w:t>
      </w:r>
      <w:r>
        <w:t>RRCP flow scenarios</w:t>
      </w:r>
      <w:r w:rsidRPr="7ADEDDC3">
        <w:t xml:space="preserve"> </w:t>
      </w:r>
      <w:r>
        <w:t>Base case</w:t>
      </w:r>
      <w:r w:rsidRPr="7ADEDDC3">
        <w:t xml:space="preserve"> – </w:t>
      </w:r>
      <w:r>
        <w:t>Option 4</w:t>
      </w:r>
      <w:r w:rsidRPr="7ADEDDC3">
        <w:t>.</w:t>
      </w:r>
    </w:p>
    <w:p w14:paraId="51465FB4" w14:textId="3782C85B" w:rsidR="00491210" w:rsidRDefault="003E1401" w:rsidP="009C5ECE">
      <w:pPr>
        <w:spacing w:after="0"/>
        <w:rPr>
          <w:noProof/>
        </w:rPr>
      </w:pPr>
      <w:r>
        <w:rPr>
          <w:noProof/>
          <w:lang w:eastAsia="en-AU"/>
        </w:rPr>
        <w:t xml:space="preserve"> </w:t>
      </w:r>
    </w:p>
    <w:p w14:paraId="1B6EE2CA" w14:textId="1C4EF56F"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40</w:t>
      </w:r>
      <w:r>
        <w:fldChar w:fldCharType="end"/>
      </w:r>
      <w:r>
        <w:t>.</w:t>
      </w:r>
      <w:r w:rsidRPr="7ADEDDC3">
        <w:t xml:space="preserve"> </w:t>
      </w:r>
      <w:r>
        <w:t>Murray Cod</w:t>
      </w:r>
      <w:r w:rsidRPr="7ADEDDC3">
        <w:t xml:space="preserve"> </w:t>
      </w:r>
      <w:r>
        <w:t xml:space="preserve">recruits mean population size in the Torrumbarry to Wentworth reach </w:t>
      </w:r>
      <w:r w:rsidRPr="7ADEDDC3">
        <w:t xml:space="preserve">for the </w:t>
      </w:r>
      <w:r>
        <w:t>RRCP flow scenarios</w:t>
      </w:r>
      <w:r w:rsidRPr="7ADEDDC3">
        <w:t xml:space="preserve"> </w:t>
      </w:r>
      <w:r>
        <w:t>Base case</w:t>
      </w:r>
      <w:r w:rsidRPr="7ADEDDC3">
        <w:t xml:space="preserve"> – </w:t>
      </w:r>
      <w:r>
        <w:t>Option 4</w:t>
      </w:r>
      <w:r w:rsidRPr="7ADEDDC3">
        <w:t>.</w:t>
      </w:r>
    </w:p>
    <w:p w14:paraId="07FF31CF" w14:textId="39F8667B" w:rsidR="00491210" w:rsidRDefault="003E1401" w:rsidP="009C5ECE">
      <w:pPr>
        <w:spacing w:after="0"/>
        <w:rPr>
          <w:noProof/>
        </w:rPr>
      </w:pPr>
      <w:r>
        <w:rPr>
          <w:noProof/>
          <w:lang w:eastAsia="en-AU"/>
        </w:rPr>
        <w:t xml:space="preserve"> </w:t>
      </w:r>
    </w:p>
    <w:p w14:paraId="64267E2E" w14:textId="5C1B9821"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41</w:t>
      </w:r>
      <w:r>
        <w:fldChar w:fldCharType="end"/>
      </w:r>
      <w:r>
        <w:t>.</w:t>
      </w:r>
      <w:r w:rsidRPr="7ADEDDC3">
        <w:t xml:space="preserve"> </w:t>
      </w:r>
      <w:r>
        <w:t>Murray Cod</w:t>
      </w:r>
      <w:r w:rsidRPr="7ADEDDC3">
        <w:t xml:space="preserve"> </w:t>
      </w:r>
      <w:r>
        <w:t xml:space="preserve">recruits mean population size in the Yarrawonga to Torrumbarry reach </w:t>
      </w:r>
      <w:r w:rsidRPr="7ADEDDC3">
        <w:t xml:space="preserve">for the </w:t>
      </w:r>
      <w:r>
        <w:t>RRCP flow scenarios</w:t>
      </w:r>
      <w:r w:rsidRPr="7ADEDDC3">
        <w:t xml:space="preserve"> </w:t>
      </w:r>
      <w:r>
        <w:t>Base case</w:t>
      </w:r>
      <w:r w:rsidRPr="7ADEDDC3">
        <w:t xml:space="preserve"> – </w:t>
      </w:r>
      <w:r>
        <w:t>Option 4</w:t>
      </w:r>
      <w:r w:rsidRPr="7ADEDDC3">
        <w:t>.</w:t>
      </w:r>
    </w:p>
    <w:p w14:paraId="33C39C74" w14:textId="1CFCB36A" w:rsidR="00491210" w:rsidRDefault="003E1401" w:rsidP="009C5ECE">
      <w:pPr>
        <w:spacing w:after="0"/>
        <w:rPr>
          <w:noProof/>
        </w:rPr>
      </w:pPr>
      <w:r>
        <w:rPr>
          <w:noProof/>
          <w:lang w:eastAsia="en-AU"/>
        </w:rPr>
        <w:t xml:space="preserve"> </w:t>
      </w:r>
    </w:p>
    <w:p w14:paraId="7255DDA3" w14:textId="4B9E7AED"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42</w:t>
      </w:r>
      <w:r>
        <w:fldChar w:fldCharType="end"/>
      </w:r>
      <w:r>
        <w:t>.</w:t>
      </w:r>
      <w:r w:rsidRPr="7ADEDDC3">
        <w:t xml:space="preserve"> </w:t>
      </w:r>
      <w:r>
        <w:t>Murray Cod</w:t>
      </w:r>
      <w:r w:rsidRPr="7ADEDDC3">
        <w:t xml:space="preserve"> </w:t>
      </w:r>
      <w:r>
        <w:t xml:space="preserve">recruits mean population size in the Hume to Yarrawonga reach </w:t>
      </w:r>
      <w:r w:rsidRPr="7ADEDDC3">
        <w:t xml:space="preserve">for the </w:t>
      </w:r>
      <w:r>
        <w:t>RRCP flow scenarios</w:t>
      </w:r>
      <w:r w:rsidRPr="7ADEDDC3">
        <w:t xml:space="preserve"> </w:t>
      </w:r>
      <w:r>
        <w:t>Base case</w:t>
      </w:r>
      <w:r w:rsidRPr="7ADEDDC3">
        <w:t xml:space="preserve"> – </w:t>
      </w:r>
      <w:r>
        <w:t>Option 4</w:t>
      </w:r>
      <w:r w:rsidRPr="7ADEDDC3">
        <w:t>.</w:t>
      </w:r>
    </w:p>
    <w:p w14:paraId="6324ABB3" w14:textId="11C6A6C8" w:rsidR="00491210" w:rsidRDefault="003E1401" w:rsidP="009C5ECE">
      <w:pPr>
        <w:spacing w:after="0"/>
        <w:rPr>
          <w:noProof/>
        </w:rPr>
      </w:pPr>
      <w:r>
        <w:rPr>
          <w:noProof/>
          <w:lang w:eastAsia="en-AU"/>
        </w:rPr>
        <w:t xml:space="preserve"> </w:t>
      </w:r>
    </w:p>
    <w:p w14:paraId="10DBEB0A" w14:textId="40B61E50"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43</w:t>
      </w:r>
      <w:r>
        <w:fldChar w:fldCharType="end"/>
      </w:r>
      <w:r>
        <w:t>.</w:t>
      </w:r>
      <w:r w:rsidRPr="7ADEDDC3">
        <w:t xml:space="preserve"> </w:t>
      </w:r>
      <w:r>
        <w:t>Murray Cod</w:t>
      </w:r>
      <w:r w:rsidRPr="7ADEDDC3">
        <w:t xml:space="preserve"> </w:t>
      </w:r>
      <w:r>
        <w:t xml:space="preserve">recruits mean population size in the Edward River </w:t>
      </w:r>
      <w:r w:rsidRPr="7ADEDDC3">
        <w:t xml:space="preserve">for the </w:t>
      </w:r>
      <w:r>
        <w:t>RRCP flow scenarios</w:t>
      </w:r>
      <w:r w:rsidRPr="7ADEDDC3">
        <w:t xml:space="preserve"> </w:t>
      </w:r>
      <w:r>
        <w:t>Base case</w:t>
      </w:r>
      <w:r w:rsidRPr="7ADEDDC3">
        <w:t xml:space="preserve"> – </w:t>
      </w:r>
      <w:r>
        <w:t>Option 4</w:t>
      </w:r>
      <w:r w:rsidRPr="7ADEDDC3">
        <w:t>.</w:t>
      </w:r>
    </w:p>
    <w:p w14:paraId="5FD49F85" w14:textId="4A1EB3CE" w:rsidR="00491210" w:rsidRDefault="003E1401" w:rsidP="009C5ECE">
      <w:pPr>
        <w:spacing w:after="0"/>
        <w:rPr>
          <w:noProof/>
        </w:rPr>
      </w:pPr>
      <w:r>
        <w:rPr>
          <w:noProof/>
          <w:lang w:eastAsia="en-AU"/>
        </w:rPr>
        <w:t xml:space="preserve"> </w:t>
      </w:r>
    </w:p>
    <w:p w14:paraId="7AF896B1" w14:textId="55947104"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44</w:t>
      </w:r>
      <w:r>
        <w:fldChar w:fldCharType="end"/>
      </w:r>
      <w:r>
        <w:t>.</w:t>
      </w:r>
      <w:r w:rsidRPr="7ADEDDC3">
        <w:t xml:space="preserve"> </w:t>
      </w:r>
      <w:r>
        <w:t>Murray Cod</w:t>
      </w:r>
      <w:r w:rsidRPr="7ADEDDC3">
        <w:t xml:space="preserve"> </w:t>
      </w:r>
      <w:r>
        <w:t>recruits mean population size in the Hay to Balranald reach</w:t>
      </w:r>
      <w:r w:rsidRPr="006B0ECF">
        <w:t xml:space="preserve"> </w:t>
      </w:r>
      <w:r w:rsidRPr="7ADEDDC3">
        <w:t xml:space="preserve">for the </w:t>
      </w:r>
      <w:r>
        <w:t>RRCP flow scenarios</w:t>
      </w:r>
      <w:r w:rsidRPr="7ADEDDC3">
        <w:t xml:space="preserve"> </w:t>
      </w:r>
      <w:r>
        <w:t>Base case</w:t>
      </w:r>
      <w:r w:rsidRPr="7ADEDDC3">
        <w:t xml:space="preserve"> – </w:t>
      </w:r>
      <w:r>
        <w:t>Option 4</w:t>
      </w:r>
      <w:r w:rsidRPr="7ADEDDC3">
        <w:t>.</w:t>
      </w:r>
    </w:p>
    <w:p w14:paraId="2DB9FB4A" w14:textId="5E301D53" w:rsidR="00491210" w:rsidRDefault="003E1401" w:rsidP="009C5ECE">
      <w:pPr>
        <w:spacing w:after="0"/>
        <w:rPr>
          <w:noProof/>
        </w:rPr>
      </w:pPr>
      <w:r>
        <w:rPr>
          <w:noProof/>
          <w:lang w:eastAsia="en-AU"/>
        </w:rPr>
        <w:t xml:space="preserve"> </w:t>
      </w:r>
    </w:p>
    <w:p w14:paraId="52EA0A71" w14:textId="1635BCBC"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45</w:t>
      </w:r>
      <w:r>
        <w:fldChar w:fldCharType="end"/>
      </w:r>
      <w:r>
        <w:t>.</w:t>
      </w:r>
      <w:r w:rsidRPr="7ADEDDC3">
        <w:t xml:space="preserve"> </w:t>
      </w:r>
      <w:r>
        <w:t>Murray Cod</w:t>
      </w:r>
      <w:r w:rsidRPr="7ADEDDC3">
        <w:t xml:space="preserve"> </w:t>
      </w:r>
      <w:r>
        <w:t>recruits mean population size in the Gogeldrie to Hay reach</w:t>
      </w:r>
      <w:r w:rsidRPr="006B0ECF">
        <w:t xml:space="preserve"> </w:t>
      </w:r>
      <w:r w:rsidRPr="7ADEDDC3">
        <w:t xml:space="preserve">for the </w:t>
      </w:r>
      <w:r>
        <w:t>RRCP flow scenarios</w:t>
      </w:r>
      <w:r w:rsidRPr="7ADEDDC3">
        <w:t xml:space="preserve"> </w:t>
      </w:r>
      <w:r>
        <w:t>Base case</w:t>
      </w:r>
      <w:r w:rsidRPr="7ADEDDC3">
        <w:t xml:space="preserve"> – </w:t>
      </w:r>
      <w:r>
        <w:t>Option 4</w:t>
      </w:r>
      <w:r w:rsidRPr="7ADEDDC3">
        <w:t>.</w:t>
      </w:r>
    </w:p>
    <w:p w14:paraId="779F729B" w14:textId="39048356" w:rsidR="00491210" w:rsidRDefault="00491210" w:rsidP="009C5ECE">
      <w:pPr>
        <w:spacing w:after="0"/>
        <w:rPr>
          <w:noProof/>
        </w:rPr>
      </w:pPr>
    </w:p>
    <w:p w14:paraId="4CF13B88" w14:textId="50E3C662" w:rsidR="00491210" w:rsidRDefault="003E1401" w:rsidP="009C5ECE">
      <w:pPr>
        <w:spacing w:after="0"/>
        <w:rPr>
          <w:noProof/>
        </w:rPr>
      </w:pPr>
      <w:r>
        <w:rPr>
          <w:noProof/>
          <w:lang w:eastAsia="en-AU"/>
        </w:rPr>
        <w:t xml:space="preserve"> </w:t>
      </w:r>
    </w:p>
    <w:p w14:paraId="3AFC912E" w14:textId="0C78C9DD" w:rsidR="00491210" w:rsidRDefault="00EE200C" w:rsidP="00F602FE">
      <w:pPr>
        <w:pStyle w:val="AppendixFigureCaption"/>
      </w:pPr>
      <w:r>
        <w:t>Figure A3.</w:t>
      </w:r>
      <w:r>
        <w:fldChar w:fldCharType="begin"/>
      </w:r>
      <w:r>
        <w:instrText>SEQ Figure_A3. \* ARABIC</w:instrText>
      </w:r>
      <w:r>
        <w:fldChar w:fldCharType="separate"/>
      </w:r>
      <w:r w:rsidR="005B672A">
        <w:rPr>
          <w:noProof/>
        </w:rPr>
        <w:t>46</w:t>
      </w:r>
      <w:r>
        <w:fldChar w:fldCharType="end"/>
      </w:r>
      <w:r>
        <w:t>.</w:t>
      </w:r>
      <w:r w:rsidRPr="7ADEDDC3">
        <w:t xml:space="preserve"> </w:t>
      </w:r>
      <w:r>
        <w:t>Murray Cod</w:t>
      </w:r>
      <w:r w:rsidRPr="7ADEDDC3">
        <w:t xml:space="preserve"> </w:t>
      </w:r>
      <w:r>
        <w:t xml:space="preserve">recruits mean population size in the Berembed to Gogeldrie reach </w:t>
      </w:r>
      <w:r w:rsidRPr="7ADEDDC3">
        <w:t xml:space="preserve">for the </w:t>
      </w:r>
      <w:r>
        <w:t>RRCP flow scenarios</w:t>
      </w:r>
      <w:r w:rsidRPr="7ADEDDC3">
        <w:t xml:space="preserve"> </w:t>
      </w:r>
      <w:r>
        <w:t>Base case</w:t>
      </w:r>
      <w:r w:rsidRPr="7ADEDDC3">
        <w:t xml:space="preserve"> – </w:t>
      </w:r>
      <w:r>
        <w:t>Option 4</w:t>
      </w:r>
      <w:r w:rsidRPr="7ADEDDC3">
        <w:t>.</w:t>
      </w:r>
    </w:p>
    <w:p w14:paraId="2363E3B6" w14:textId="729B2326" w:rsidR="00491210" w:rsidRDefault="003E1401" w:rsidP="009C5ECE">
      <w:pPr>
        <w:spacing w:after="0"/>
        <w:rPr>
          <w:noProof/>
        </w:rPr>
      </w:pPr>
      <w:r>
        <w:rPr>
          <w:noProof/>
          <w:lang w:eastAsia="en-AU"/>
        </w:rPr>
        <w:t xml:space="preserve"> </w:t>
      </w:r>
    </w:p>
    <w:p w14:paraId="556F96CF" w14:textId="53B8F87D"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47</w:t>
      </w:r>
      <w:r>
        <w:fldChar w:fldCharType="end"/>
      </w:r>
      <w:r>
        <w:t>.</w:t>
      </w:r>
      <w:r w:rsidRPr="7ADEDDC3">
        <w:t xml:space="preserve"> </w:t>
      </w:r>
      <w:r>
        <w:t>Murray Cod</w:t>
      </w:r>
      <w:r w:rsidRPr="7ADEDDC3">
        <w:t xml:space="preserve"> </w:t>
      </w:r>
      <w:r>
        <w:t>recruits mean population size in the Gundagai to Berembed reach</w:t>
      </w:r>
      <w:r w:rsidRPr="006B0ECF">
        <w:t xml:space="preserve"> </w:t>
      </w:r>
      <w:r w:rsidRPr="7ADEDDC3">
        <w:t xml:space="preserve">for the </w:t>
      </w:r>
      <w:r>
        <w:t>RRCP flow scenarios</w:t>
      </w:r>
      <w:r w:rsidRPr="7ADEDDC3">
        <w:t xml:space="preserve"> </w:t>
      </w:r>
      <w:r>
        <w:t>Base case</w:t>
      </w:r>
      <w:r w:rsidRPr="7ADEDDC3">
        <w:t xml:space="preserve"> – </w:t>
      </w:r>
      <w:r>
        <w:t>Option 4</w:t>
      </w:r>
      <w:r w:rsidRPr="7ADEDDC3">
        <w:t>.</w:t>
      </w:r>
    </w:p>
    <w:p w14:paraId="4C0EBED1" w14:textId="567C5F68" w:rsidR="00491210" w:rsidRDefault="003E1401" w:rsidP="00436E88">
      <w:pPr>
        <w:spacing w:after="0"/>
        <w:rPr>
          <w:noProof/>
        </w:rPr>
      </w:pPr>
      <w:r>
        <w:rPr>
          <w:noProof/>
          <w:lang w:eastAsia="en-AU"/>
        </w:rPr>
        <w:t xml:space="preserve"> </w:t>
      </w:r>
    </w:p>
    <w:p w14:paraId="007C99D2" w14:textId="3116B40C" w:rsidR="00491210" w:rsidRPr="00F2269C" w:rsidRDefault="00EE200C" w:rsidP="00F602FE">
      <w:pPr>
        <w:pStyle w:val="AppendixFigureCaption"/>
        <w:rPr>
          <w:lang w:val="en-US" w:eastAsia="en-AU"/>
        </w:rPr>
      </w:pPr>
      <w:r>
        <w:t>Figure A3.</w:t>
      </w:r>
      <w:r>
        <w:fldChar w:fldCharType="begin"/>
      </w:r>
      <w:r>
        <w:instrText>SEQ Figure_A3. \* ARABIC</w:instrText>
      </w:r>
      <w:r>
        <w:fldChar w:fldCharType="separate"/>
      </w:r>
      <w:r w:rsidR="005B672A">
        <w:rPr>
          <w:noProof/>
        </w:rPr>
        <w:t>48</w:t>
      </w:r>
      <w:r>
        <w:fldChar w:fldCharType="end"/>
      </w:r>
      <w:r>
        <w:t>.</w:t>
      </w:r>
      <w:r w:rsidRPr="7ADEDDC3">
        <w:t xml:space="preserve"> </w:t>
      </w:r>
      <w:r>
        <w:t>Murray Cod</w:t>
      </w:r>
      <w:r w:rsidRPr="7ADEDDC3">
        <w:t xml:space="preserve"> </w:t>
      </w:r>
      <w:r>
        <w:t>recruits mean population size in Yanco Creek</w:t>
      </w:r>
      <w:r w:rsidRPr="006B0ECF">
        <w:t xml:space="preserve"> </w:t>
      </w:r>
      <w:r w:rsidRPr="7ADEDDC3">
        <w:t xml:space="preserve">for the </w:t>
      </w:r>
      <w:r>
        <w:t>RRCP flow scenarios</w:t>
      </w:r>
      <w:r w:rsidRPr="7ADEDDC3">
        <w:t xml:space="preserve"> </w:t>
      </w:r>
      <w:r>
        <w:t>Base case</w:t>
      </w:r>
      <w:r w:rsidRPr="7ADEDDC3">
        <w:t xml:space="preserve"> – </w:t>
      </w:r>
      <w:r>
        <w:t>Option 4</w:t>
      </w:r>
      <w:r w:rsidRPr="7ADEDDC3">
        <w:t>.</w:t>
      </w:r>
    </w:p>
    <w:p w14:paraId="51B2DCB1" w14:textId="77777777" w:rsidR="00491210" w:rsidRDefault="00EE200C" w:rsidP="00E6541C">
      <w:pPr>
        <w:spacing w:after="0"/>
      </w:pPr>
      <w:r>
        <w:br w:type="page"/>
      </w:r>
    </w:p>
    <w:p w14:paraId="1493D12C" w14:textId="52175B08" w:rsidR="00491210" w:rsidRDefault="00EE200C" w:rsidP="00824D5A">
      <w:pPr>
        <w:pStyle w:val="Heading2"/>
        <w:rPr>
          <w:rFonts w:eastAsia="Arial"/>
          <w:lang w:val="en-US"/>
        </w:rPr>
      </w:pPr>
      <w:bookmarkStart w:id="430" w:name="_Toc116994948"/>
      <w:r w:rsidRPr="05D19AF3">
        <w:rPr>
          <w:rFonts w:eastAsia="Arial"/>
          <w:lang w:val="en-US"/>
        </w:rPr>
        <w:lastRenderedPageBreak/>
        <w:t xml:space="preserve">Appendix 4: Sensitivity </w:t>
      </w:r>
      <w:r>
        <w:rPr>
          <w:rFonts w:eastAsia="Arial"/>
          <w:lang w:val="en-US"/>
        </w:rPr>
        <w:t>of</w:t>
      </w:r>
      <w:r w:rsidRPr="05D19AF3">
        <w:rPr>
          <w:rFonts w:eastAsia="Arial"/>
          <w:lang w:val="en-US"/>
        </w:rPr>
        <w:t xml:space="preserve"> </w:t>
      </w:r>
      <w:r>
        <w:rPr>
          <w:rFonts w:eastAsia="Arial"/>
          <w:lang w:val="en-US"/>
        </w:rPr>
        <w:t>the G</w:t>
      </w:r>
      <w:r w:rsidRPr="05D19AF3">
        <w:rPr>
          <w:rFonts w:eastAsia="Arial"/>
          <w:lang w:val="en-US"/>
        </w:rPr>
        <w:t xml:space="preserve">olden </w:t>
      </w:r>
      <w:r>
        <w:rPr>
          <w:rFonts w:eastAsia="Arial"/>
          <w:lang w:val="en-US"/>
        </w:rPr>
        <w:t>P</w:t>
      </w:r>
      <w:r w:rsidRPr="05D19AF3">
        <w:rPr>
          <w:rFonts w:eastAsia="Arial"/>
          <w:lang w:val="en-US"/>
        </w:rPr>
        <w:t>erch metapopulation model</w:t>
      </w:r>
      <w:bookmarkEnd w:id="430"/>
    </w:p>
    <w:p w14:paraId="667CE5EA" w14:textId="0D063D38" w:rsidR="00491210" w:rsidRDefault="00EE200C" w:rsidP="00865CEB">
      <w:pPr>
        <w:spacing w:before="240" w:after="240" w:line="259" w:lineRule="auto"/>
        <w:jc w:val="both"/>
        <w:rPr>
          <w:sz w:val="22"/>
          <w:szCs w:val="22"/>
        </w:rPr>
      </w:pPr>
      <w:r w:rsidRPr="008E243A">
        <w:rPr>
          <w:sz w:val="22"/>
          <w:szCs w:val="22"/>
        </w:rPr>
        <w:t>The purpose of th</w:t>
      </w:r>
      <w:r>
        <w:rPr>
          <w:sz w:val="22"/>
          <w:szCs w:val="22"/>
        </w:rPr>
        <w:t>e</w:t>
      </w:r>
      <w:r w:rsidRPr="008E243A">
        <w:rPr>
          <w:sz w:val="22"/>
          <w:szCs w:val="22"/>
        </w:rPr>
        <w:t xml:space="preserve"> sensitivity analysis was to ensure that the outcomes presented</w:t>
      </w:r>
      <w:r>
        <w:rPr>
          <w:sz w:val="22"/>
          <w:szCs w:val="22"/>
        </w:rPr>
        <w:t>,</w:t>
      </w:r>
      <w:r w:rsidRPr="008E243A">
        <w:rPr>
          <w:sz w:val="22"/>
          <w:szCs w:val="22"/>
        </w:rPr>
        <w:t xml:space="preserve"> and conclusions drawn</w:t>
      </w:r>
      <w:r>
        <w:rPr>
          <w:sz w:val="22"/>
          <w:szCs w:val="22"/>
        </w:rPr>
        <w:t>,</w:t>
      </w:r>
      <w:r w:rsidRPr="008E243A">
        <w:rPr>
          <w:sz w:val="22"/>
          <w:szCs w:val="22"/>
        </w:rPr>
        <w:t xml:space="preserve"> are robust in the assessment of the relaxed-flow-constraints scenarios. Th</w:t>
      </w:r>
      <w:r>
        <w:rPr>
          <w:sz w:val="22"/>
          <w:szCs w:val="22"/>
        </w:rPr>
        <w:t>is</w:t>
      </w:r>
      <w:r w:rsidRPr="008E243A">
        <w:rPr>
          <w:sz w:val="22"/>
          <w:szCs w:val="22"/>
        </w:rPr>
        <w:t xml:space="preserve"> involve</w:t>
      </w:r>
      <w:r>
        <w:rPr>
          <w:sz w:val="22"/>
          <w:szCs w:val="22"/>
        </w:rPr>
        <w:t>s</w:t>
      </w:r>
      <w:r w:rsidRPr="008E243A">
        <w:rPr>
          <w:sz w:val="22"/>
          <w:szCs w:val="22"/>
        </w:rPr>
        <w:t xml:space="preserve"> sensitivity analysis of the key assumptions of the Golden Perch metapopulation model and their influence </w:t>
      </w:r>
      <w:r>
        <w:rPr>
          <w:sz w:val="22"/>
          <w:szCs w:val="22"/>
        </w:rPr>
        <w:t xml:space="preserve">on </w:t>
      </w:r>
      <w:r w:rsidRPr="008E243A">
        <w:rPr>
          <w:sz w:val="22"/>
          <w:szCs w:val="22"/>
        </w:rPr>
        <w:t xml:space="preserve">model outcomes. </w:t>
      </w:r>
      <w:r>
        <w:rPr>
          <w:sz w:val="22"/>
          <w:szCs w:val="22"/>
        </w:rPr>
        <w:t xml:space="preserve">Sensitivity analyses were undertaken of variables for which there were known uncertainties, to explore their effects on the Golden Perch model outputs and to assess the robustness of the model outcomes (to determine whether the outcomes from the sensitivity analysis alter the interpretation of the RRCP flow scenarios results). The changes considered were: changes in movement rates (gross and nuanced); altered initial population sizes; and altered immigration from the MDB. The sensitivity analysis performed was not a full exploration of all RRCP flow scenarios: Base case and Option 4, the lowest and highest flow scenarios, were considered sufficient for this analysis. As numerous scenarios were explored in this analysis, only 100 iterations were undertaken for each scenario. The first approach in undertaking the sensitivity analysis was to adjust the gross movement rates and compare the results with the default parameterisation (sensitivity 1: </w:t>
      </w:r>
      <w:r w:rsidRPr="00AA0CE8">
        <w:rPr>
          <w:sz w:val="22"/>
          <w:szCs w:val="22"/>
        </w:rPr>
        <w:fldChar w:fldCharType="begin"/>
      </w:r>
      <w:r w:rsidRPr="00AA0CE8">
        <w:rPr>
          <w:sz w:val="22"/>
          <w:szCs w:val="22"/>
        </w:rPr>
        <w:instrText xml:space="preserve"> REF _Ref105009323 \h  \* MERGEFORMAT </w:instrText>
      </w:r>
      <w:r w:rsidRPr="00AA0CE8">
        <w:rPr>
          <w:sz w:val="22"/>
          <w:szCs w:val="22"/>
        </w:rPr>
      </w:r>
      <w:r w:rsidRPr="00AA0CE8">
        <w:rPr>
          <w:sz w:val="22"/>
          <w:szCs w:val="22"/>
        </w:rPr>
        <w:fldChar w:fldCharType="separate"/>
      </w:r>
      <w:r w:rsidR="005B672A" w:rsidRPr="005B672A">
        <w:rPr>
          <w:sz w:val="22"/>
          <w:szCs w:val="22"/>
        </w:rPr>
        <w:t>Table A4.1</w:t>
      </w:r>
      <w:r w:rsidRPr="00AA0CE8">
        <w:rPr>
          <w:sz w:val="22"/>
          <w:szCs w:val="22"/>
        </w:rPr>
        <w:fldChar w:fldCharType="end"/>
      </w:r>
      <w:r w:rsidRPr="00AA0CE8">
        <w:rPr>
          <w:sz w:val="22"/>
          <w:szCs w:val="22"/>
        </w:rPr>
        <w:t xml:space="preserve">; </w:t>
      </w:r>
      <w:r w:rsidRPr="00AA0CE8">
        <w:rPr>
          <w:sz w:val="22"/>
          <w:szCs w:val="22"/>
        </w:rPr>
        <w:fldChar w:fldCharType="begin"/>
      </w:r>
      <w:r w:rsidRPr="00AA0CE8">
        <w:rPr>
          <w:sz w:val="22"/>
          <w:szCs w:val="22"/>
        </w:rPr>
        <w:instrText xml:space="preserve"> REF _Ref105009522 \h </w:instrText>
      </w:r>
      <w:r>
        <w:rPr>
          <w:sz w:val="22"/>
          <w:szCs w:val="22"/>
        </w:rPr>
        <w:instrText xml:space="preserve"> \* MERGEFORMAT </w:instrText>
      </w:r>
      <w:r w:rsidRPr="00AA0CE8">
        <w:rPr>
          <w:sz w:val="22"/>
          <w:szCs w:val="22"/>
        </w:rPr>
      </w:r>
      <w:r w:rsidRPr="00AA0CE8">
        <w:rPr>
          <w:sz w:val="22"/>
          <w:szCs w:val="22"/>
        </w:rPr>
        <w:fldChar w:fldCharType="separate"/>
      </w:r>
      <w:r w:rsidR="005B672A" w:rsidRPr="005B672A">
        <w:rPr>
          <w:sz w:val="22"/>
          <w:szCs w:val="22"/>
        </w:rPr>
        <w:t>Figure A4.1</w:t>
      </w:r>
      <w:r w:rsidRPr="00AA0CE8">
        <w:rPr>
          <w:sz w:val="22"/>
          <w:szCs w:val="22"/>
        </w:rPr>
        <w:fldChar w:fldCharType="end"/>
      </w:r>
      <w:r w:rsidRPr="00AA0CE8">
        <w:rPr>
          <w:sz w:val="22"/>
          <w:szCs w:val="22"/>
        </w:rPr>
        <w:t xml:space="preserve"> </w:t>
      </w:r>
      <w:r w:rsidRPr="00ED3DB1">
        <w:rPr>
          <w:sz w:val="22"/>
          <w:szCs w:val="22"/>
        </w:rPr>
        <w:t xml:space="preserve">to </w:t>
      </w:r>
      <w:r w:rsidRPr="002435DD">
        <w:rPr>
          <w:sz w:val="22"/>
          <w:szCs w:val="22"/>
        </w:rPr>
        <w:fldChar w:fldCharType="begin"/>
      </w:r>
      <w:r w:rsidRPr="002435DD">
        <w:rPr>
          <w:sz w:val="22"/>
          <w:szCs w:val="22"/>
        </w:rPr>
        <w:instrText xml:space="preserve"> REF _Ref105029808 \h  \* MERGEFORMAT </w:instrText>
      </w:r>
      <w:r w:rsidRPr="002435DD">
        <w:rPr>
          <w:sz w:val="22"/>
          <w:szCs w:val="22"/>
        </w:rPr>
      </w:r>
      <w:r w:rsidRPr="002435DD">
        <w:rPr>
          <w:sz w:val="22"/>
          <w:szCs w:val="22"/>
        </w:rPr>
        <w:fldChar w:fldCharType="separate"/>
      </w:r>
      <w:r w:rsidR="005B672A" w:rsidRPr="005B672A">
        <w:rPr>
          <w:sz w:val="22"/>
          <w:szCs w:val="22"/>
        </w:rPr>
        <w:t>Figure A4.36</w:t>
      </w:r>
      <w:r w:rsidRPr="002435DD">
        <w:rPr>
          <w:sz w:val="22"/>
          <w:szCs w:val="22"/>
        </w:rPr>
        <w:fldChar w:fldCharType="end"/>
      </w:r>
      <w:r w:rsidRPr="00AA0CE8">
        <w:rPr>
          <w:sz w:val="22"/>
          <w:szCs w:val="22"/>
        </w:rPr>
        <w:t xml:space="preserve">). The second approach </w:t>
      </w:r>
      <w:r>
        <w:rPr>
          <w:sz w:val="22"/>
          <w:szCs w:val="22"/>
        </w:rPr>
        <w:t>in</w:t>
      </w:r>
      <w:r w:rsidRPr="00AA0CE8">
        <w:rPr>
          <w:sz w:val="22"/>
          <w:szCs w:val="22"/>
        </w:rPr>
        <w:t xml:space="preserve"> undertaking </w:t>
      </w:r>
      <w:r>
        <w:rPr>
          <w:sz w:val="22"/>
          <w:szCs w:val="22"/>
        </w:rPr>
        <w:t xml:space="preserve">the </w:t>
      </w:r>
      <w:r w:rsidRPr="00AA0CE8">
        <w:rPr>
          <w:sz w:val="22"/>
          <w:szCs w:val="22"/>
        </w:rPr>
        <w:t>sensitivity analysis was to</w:t>
      </w:r>
      <w:r>
        <w:rPr>
          <w:sz w:val="22"/>
          <w:szCs w:val="22"/>
        </w:rPr>
        <w:t xml:space="preserve"> make targeted adjustments to movement from the Lower Murray, changing the initial population size, changing the immigration level from the Northern MDB and combining altered movement and altered immigration to assess whether any of these changes would alter the interpretation of the results (sensitivity 2</w:t>
      </w:r>
      <w:r w:rsidRPr="00AA0CE8">
        <w:rPr>
          <w:sz w:val="22"/>
          <w:szCs w:val="22"/>
        </w:rPr>
        <w:t xml:space="preserve">: </w:t>
      </w:r>
      <w:r w:rsidRPr="00AA0CE8">
        <w:rPr>
          <w:sz w:val="22"/>
          <w:szCs w:val="22"/>
        </w:rPr>
        <w:fldChar w:fldCharType="begin"/>
      </w:r>
      <w:r w:rsidRPr="00AA0CE8">
        <w:rPr>
          <w:sz w:val="22"/>
          <w:szCs w:val="22"/>
        </w:rPr>
        <w:instrText xml:space="preserve"> REF _Ref105009433 \h </w:instrText>
      </w:r>
      <w:r>
        <w:rPr>
          <w:sz w:val="22"/>
          <w:szCs w:val="22"/>
        </w:rPr>
        <w:instrText xml:space="preserve"> \* MERGEFORMAT </w:instrText>
      </w:r>
      <w:r w:rsidRPr="00AA0CE8">
        <w:rPr>
          <w:sz w:val="22"/>
          <w:szCs w:val="22"/>
        </w:rPr>
      </w:r>
      <w:r w:rsidRPr="00AA0CE8">
        <w:rPr>
          <w:sz w:val="22"/>
          <w:szCs w:val="22"/>
        </w:rPr>
        <w:fldChar w:fldCharType="separate"/>
      </w:r>
      <w:r w:rsidR="005B672A" w:rsidRPr="005B672A">
        <w:rPr>
          <w:sz w:val="22"/>
          <w:szCs w:val="22"/>
        </w:rPr>
        <w:t>Table A4.2</w:t>
      </w:r>
      <w:r w:rsidRPr="00AA0CE8">
        <w:rPr>
          <w:sz w:val="22"/>
          <w:szCs w:val="22"/>
        </w:rPr>
        <w:fldChar w:fldCharType="end"/>
      </w:r>
      <w:r>
        <w:rPr>
          <w:sz w:val="22"/>
          <w:szCs w:val="22"/>
        </w:rPr>
        <w:t>).</w:t>
      </w:r>
    </w:p>
    <w:p w14:paraId="61FE9066" w14:textId="356A74B3" w:rsidR="00491210" w:rsidRDefault="00EE200C" w:rsidP="00F602FE">
      <w:pPr>
        <w:pStyle w:val="AppendixTableCaption"/>
        <w:rPr>
          <w:lang w:val="en-US"/>
        </w:rPr>
      </w:pPr>
      <w:bookmarkStart w:id="431" w:name="_Ref105009323"/>
      <w:r>
        <w:t>Table A4.</w:t>
      </w:r>
      <w:r>
        <w:fldChar w:fldCharType="begin"/>
      </w:r>
      <w:r>
        <w:instrText>SEQ Table_A4. \* ARABIC</w:instrText>
      </w:r>
      <w:r>
        <w:fldChar w:fldCharType="separate"/>
      </w:r>
      <w:r w:rsidR="005B672A">
        <w:rPr>
          <w:noProof/>
        </w:rPr>
        <w:t>1</w:t>
      </w:r>
      <w:r>
        <w:fldChar w:fldCharType="end"/>
      </w:r>
      <w:bookmarkEnd w:id="431"/>
      <w:r>
        <w:t>.</w:t>
      </w:r>
      <w:r w:rsidRPr="05D19AF3">
        <w:rPr>
          <w:lang w:val="en-US"/>
        </w:rPr>
        <w:t xml:space="preserve"> </w:t>
      </w:r>
      <w:r>
        <w:rPr>
          <w:lang w:val="en-US"/>
        </w:rPr>
        <w:t>Sensitivity 1: g</w:t>
      </w:r>
      <w:r w:rsidRPr="05D19AF3">
        <w:rPr>
          <w:lang w:val="en-US"/>
        </w:rPr>
        <w:t xml:space="preserve">ross changes to movement in the metapopulation model for </w:t>
      </w:r>
      <w:r>
        <w:rPr>
          <w:lang w:val="en-US"/>
        </w:rPr>
        <w:t>G</w:t>
      </w:r>
      <w:r w:rsidRPr="05D19AF3">
        <w:rPr>
          <w:lang w:val="en-US"/>
        </w:rPr>
        <w:t xml:space="preserve">olden </w:t>
      </w:r>
      <w:r>
        <w:rPr>
          <w:lang w:val="en-US"/>
        </w:rPr>
        <w:t>P</w:t>
      </w:r>
      <w:r w:rsidRPr="05D19AF3">
        <w:rPr>
          <w:lang w:val="en-US"/>
        </w:rPr>
        <w:t>erch</w:t>
      </w:r>
    </w:p>
    <w:tbl>
      <w:tblPr>
        <w:tblStyle w:val="DELWPTable"/>
        <w:tblW w:w="0" w:type="auto"/>
        <w:tblLayout w:type="fixed"/>
        <w:tblLook w:val="04A0" w:firstRow="1" w:lastRow="0" w:firstColumn="1" w:lastColumn="0" w:noHBand="0" w:noVBand="1"/>
      </w:tblPr>
      <w:tblGrid>
        <w:gridCol w:w="2694"/>
        <w:gridCol w:w="6336"/>
      </w:tblGrid>
      <w:tr w:rsidR="05D19AF3" w:rsidRPr="007F5341" w14:paraId="5505C650" w14:textId="77777777" w:rsidTr="0035052F">
        <w:trPr>
          <w:cnfStyle w:val="100000000000" w:firstRow="1" w:lastRow="0" w:firstColumn="0" w:lastColumn="0" w:oddVBand="0" w:evenVBand="0" w:oddHBand="0" w:evenHBand="0" w:firstRowFirstColumn="0" w:firstRowLastColumn="0" w:lastRowFirstColumn="0" w:lastRowLastColumn="0"/>
        </w:trPr>
        <w:tc>
          <w:tcPr>
            <w:tcW w:w="2694" w:type="dxa"/>
          </w:tcPr>
          <w:p w14:paraId="5185376F" w14:textId="1F323AB0" w:rsidR="00491210" w:rsidRPr="004734C8" w:rsidRDefault="00EE200C" w:rsidP="05D19AF3">
            <w:pPr>
              <w:rPr>
                <w:rFonts w:ascii="Calibri" w:eastAsia="Calibri" w:hAnsi="Calibri" w:cs="Calibri"/>
                <w:b/>
                <w:bCs/>
                <w:color w:val="FFFFFF" w:themeColor="background1"/>
                <w:sz w:val="22"/>
                <w:szCs w:val="22"/>
                <w:lang w:val="en-US"/>
              </w:rPr>
            </w:pPr>
            <w:r w:rsidRPr="004734C8">
              <w:rPr>
                <w:rFonts w:ascii="Calibri" w:eastAsia="Calibri" w:hAnsi="Calibri" w:cs="Calibri"/>
                <w:b/>
                <w:bCs/>
                <w:color w:val="FFFFFF" w:themeColor="background1"/>
                <w:sz w:val="22"/>
                <w:szCs w:val="22"/>
                <w:lang w:val="en-US"/>
              </w:rPr>
              <w:t>Scenario name</w:t>
            </w:r>
          </w:p>
        </w:tc>
        <w:tc>
          <w:tcPr>
            <w:tcW w:w="6336" w:type="dxa"/>
          </w:tcPr>
          <w:p w14:paraId="3019F0F2" w14:textId="372902FF" w:rsidR="00491210" w:rsidRPr="004734C8" w:rsidRDefault="00EE200C" w:rsidP="05D19AF3">
            <w:pPr>
              <w:rPr>
                <w:rFonts w:ascii="Calibri" w:eastAsia="Calibri" w:hAnsi="Calibri" w:cs="Calibri"/>
                <w:b/>
                <w:bCs/>
                <w:color w:val="FFFFFF" w:themeColor="background1"/>
                <w:sz w:val="22"/>
                <w:szCs w:val="22"/>
                <w:lang w:val="en-US"/>
              </w:rPr>
            </w:pPr>
            <w:r w:rsidRPr="004734C8">
              <w:rPr>
                <w:rFonts w:ascii="Calibri" w:eastAsia="Calibri" w:hAnsi="Calibri" w:cs="Calibri"/>
                <w:b/>
                <w:bCs/>
                <w:color w:val="FFFFFF" w:themeColor="background1"/>
                <w:sz w:val="22"/>
                <w:szCs w:val="22"/>
                <w:lang w:val="en-US"/>
              </w:rPr>
              <w:t>Description</w:t>
            </w:r>
          </w:p>
        </w:tc>
      </w:tr>
      <w:tr w:rsidR="05D19AF3" w14:paraId="358E4E61" w14:textId="77777777" w:rsidTr="0035052F">
        <w:tc>
          <w:tcPr>
            <w:tcW w:w="2694" w:type="dxa"/>
          </w:tcPr>
          <w:p w14:paraId="046706B6" w14:textId="5AD7631F" w:rsidR="00491210" w:rsidRDefault="00EE200C" w:rsidP="008E243A">
            <w:pPr>
              <w:spacing w:after="0"/>
            </w:pPr>
            <w:r>
              <w:rPr>
                <w:rFonts w:ascii="Calibri" w:eastAsia="Calibri" w:hAnsi="Calibri" w:cs="Calibri"/>
                <w:sz w:val="22"/>
                <w:szCs w:val="22"/>
                <w:lang w:val="en-US"/>
              </w:rPr>
              <w:t>Default</w:t>
            </w:r>
          </w:p>
        </w:tc>
        <w:tc>
          <w:tcPr>
            <w:tcW w:w="6336" w:type="dxa"/>
          </w:tcPr>
          <w:p w14:paraId="304E36BE" w14:textId="2CD4406E" w:rsidR="00491210" w:rsidRDefault="00EE200C" w:rsidP="008E243A">
            <w:pPr>
              <w:spacing w:after="0"/>
            </w:pPr>
            <w:r w:rsidRPr="05D19AF3">
              <w:rPr>
                <w:rFonts w:ascii="Calibri" w:eastAsia="Calibri" w:hAnsi="Calibri" w:cs="Calibri"/>
                <w:sz w:val="22"/>
                <w:szCs w:val="22"/>
                <w:lang w:val="en-US"/>
              </w:rPr>
              <w:t>Base rules</w:t>
            </w:r>
          </w:p>
        </w:tc>
      </w:tr>
      <w:tr w:rsidR="05D19AF3" w14:paraId="0EB7DEDD" w14:textId="77777777" w:rsidTr="0035052F">
        <w:tc>
          <w:tcPr>
            <w:tcW w:w="2694" w:type="dxa"/>
          </w:tcPr>
          <w:p w14:paraId="0AE25382" w14:textId="57EF60DD" w:rsidR="00491210" w:rsidRDefault="00EE200C" w:rsidP="008E243A">
            <w:pPr>
              <w:spacing w:after="0"/>
            </w:pPr>
            <w:r>
              <w:rPr>
                <w:rFonts w:ascii="Calibri" w:eastAsia="Calibri" w:hAnsi="Calibri" w:cs="Calibri"/>
                <w:sz w:val="22"/>
                <w:szCs w:val="22"/>
                <w:lang w:val="en-US"/>
              </w:rPr>
              <w:t>P1 = 0</w:t>
            </w:r>
          </w:p>
        </w:tc>
        <w:tc>
          <w:tcPr>
            <w:tcW w:w="6336" w:type="dxa"/>
          </w:tcPr>
          <w:p w14:paraId="67B3D1FD" w14:textId="19321E37" w:rsidR="00491210" w:rsidRPr="00CC0D95" w:rsidRDefault="00EE200C" w:rsidP="008E243A">
            <w:pPr>
              <w:spacing w:after="0"/>
              <w:rPr>
                <w:vertAlign w:val="superscript"/>
              </w:rPr>
            </w:pPr>
            <w:r>
              <w:rPr>
                <w:rFonts w:ascii="Calibri" w:eastAsia="Calibri" w:hAnsi="Calibri" w:cs="Calibri"/>
                <w:sz w:val="22"/>
                <w:szCs w:val="22"/>
                <w:lang w:val="en-US"/>
              </w:rPr>
              <w:t xml:space="preserve">Movement from </w:t>
            </w:r>
            <w:r w:rsidRPr="0035052F">
              <w:rPr>
                <w:rFonts w:ascii="Calibri" w:eastAsia="Calibri" w:hAnsi="Calibri" w:cs="Calibri"/>
                <w:sz w:val="22"/>
                <w:szCs w:val="22"/>
                <w:lang w:val="en-US"/>
              </w:rPr>
              <w:t>the Lower Murray</w:t>
            </w:r>
            <w:r>
              <w:rPr>
                <w:rFonts w:ascii="Calibri" w:eastAsia="Calibri" w:hAnsi="Calibri" w:cs="Calibri"/>
                <w:sz w:val="22"/>
                <w:szCs w:val="22"/>
                <w:lang w:val="en-US"/>
              </w:rPr>
              <w:t xml:space="preserve"> </w:t>
            </w:r>
            <w:r w:rsidRPr="0035052F">
              <w:rPr>
                <w:rFonts w:ascii="Calibri" w:eastAsia="Calibri" w:hAnsi="Calibri" w:cs="Calibri"/>
                <w:sz w:val="22"/>
                <w:szCs w:val="22"/>
                <w:lang w:val="en-US"/>
              </w:rPr>
              <w:t>below</w:t>
            </w:r>
            <w:r>
              <w:rPr>
                <w:rFonts w:ascii="Calibri" w:eastAsia="Calibri" w:hAnsi="Calibri" w:cs="Calibri"/>
                <w:sz w:val="22"/>
                <w:szCs w:val="22"/>
                <w:lang w:val="en-US"/>
              </w:rPr>
              <w:t xml:space="preserve"> Wentworth reach </w:t>
            </w:r>
            <w:r w:rsidRPr="0035052F">
              <w:rPr>
                <w:rFonts w:ascii="Calibri" w:eastAsia="Calibri" w:hAnsi="Calibri" w:cs="Calibri"/>
                <w:sz w:val="22"/>
                <w:szCs w:val="22"/>
                <w:lang w:val="en-US"/>
              </w:rPr>
              <w:t>set to zero</w:t>
            </w:r>
            <w:r>
              <w:rPr>
                <w:rFonts w:ascii="Calibri" w:eastAsia="Calibri" w:hAnsi="Calibri" w:cs="Calibri"/>
                <w:sz w:val="22"/>
                <w:szCs w:val="22"/>
                <w:vertAlign w:val="superscript"/>
                <w:lang w:val="en-US"/>
              </w:rPr>
              <w:t>A</w:t>
            </w:r>
          </w:p>
        </w:tc>
      </w:tr>
      <w:tr w:rsidR="0035052F" w14:paraId="24F93450" w14:textId="77777777" w:rsidTr="0035052F">
        <w:tc>
          <w:tcPr>
            <w:tcW w:w="2694" w:type="dxa"/>
          </w:tcPr>
          <w:p w14:paraId="21FC259C" w14:textId="5100F178" w:rsidR="00491210" w:rsidRDefault="00EE200C" w:rsidP="008E243A">
            <w:pPr>
              <w:spacing w:after="0"/>
            </w:pPr>
            <w:r>
              <w:rPr>
                <w:rFonts w:ascii="Calibri" w:eastAsia="Calibri" w:hAnsi="Calibri" w:cs="Calibri"/>
                <w:sz w:val="22"/>
                <w:szCs w:val="22"/>
                <w:lang w:val="en-US"/>
              </w:rPr>
              <w:t>P2 = 0</w:t>
            </w:r>
          </w:p>
        </w:tc>
        <w:tc>
          <w:tcPr>
            <w:tcW w:w="6336" w:type="dxa"/>
          </w:tcPr>
          <w:p w14:paraId="59514383" w14:textId="32BDDAFB" w:rsidR="00491210" w:rsidRDefault="00EE200C" w:rsidP="008E243A">
            <w:pPr>
              <w:spacing w:after="0"/>
            </w:pPr>
            <w:r w:rsidRPr="05D19AF3">
              <w:rPr>
                <w:rFonts w:ascii="Calibri" w:eastAsia="Calibri" w:hAnsi="Calibri" w:cs="Calibri"/>
                <w:sz w:val="22"/>
                <w:szCs w:val="22"/>
                <w:lang w:val="en-US"/>
              </w:rPr>
              <w:t xml:space="preserve">Movement from </w:t>
            </w:r>
            <w:r w:rsidRPr="0035052F">
              <w:rPr>
                <w:rFonts w:ascii="Calibri" w:eastAsia="Calibri" w:hAnsi="Calibri" w:cs="Calibri"/>
                <w:sz w:val="22"/>
                <w:szCs w:val="22"/>
                <w:lang w:val="en-US"/>
              </w:rPr>
              <w:t>the Torrumbarry</w:t>
            </w:r>
            <w:r>
              <w:rPr>
                <w:rFonts w:ascii="Calibri" w:eastAsia="Calibri" w:hAnsi="Calibri" w:cs="Calibri"/>
                <w:sz w:val="22"/>
                <w:szCs w:val="22"/>
                <w:lang w:val="en-US"/>
              </w:rPr>
              <w:t xml:space="preserve"> </w:t>
            </w:r>
            <w:r w:rsidRPr="0035052F">
              <w:rPr>
                <w:rFonts w:ascii="Calibri" w:eastAsia="Calibri" w:hAnsi="Calibri" w:cs="Calibri"/>
                <w:sz w:val="22"/>
                <w:szCs w:val="22"/>
                <w:lang w:val="en-US"/>
              </w:rPr>
              <w:t>to</w:t>
            </w:r>
            <w:r>
              <w:rPr>
                <w:rFonts w:ascii="Calibri" w:eastAsia="Calibri" w:hAnsi="Calibri" w:cs="Calibri"/>
                <w:sz w:val="22"/>
                <w:szCs w:val="22"/>
                <w:lang w:val="en-US"/>
              </w:rPr>
              <w:t xml:space="preserve"> Wentworth reach </w:t>
            </w:r>
            <w:r w:rsidRPr="0035052F">
              <w:rPr>
                <w:rFonts w:ascii="Calibri" w:eastAsia="Calibri" w:hAnsi="Calibri" w:cs="Calibri"/>
                <w:sz w:val="22"/>
                <w:szCs w:val="22"/>
                <w:lang w:val="en-US"/>
              </w:rPr>
              <w:t>set to zero</w:t>
            </w:r>
          </w:p>
        </w:tc>
      </w:tr>
      <w:tr w:rsidR="0035052F" w14:paraId="3E5B4FDD" w14:textId="77777777" w:rsidTr="0035052F">
        <w:tc>
          <w:tcPr>
            <w:tcW w:w="2694" w:type="dxa"/>
          </w:tcPr>
          <w:p w14:paraId="627A95E0" w14:textId="124457EB" w:rsidR="00491210" w:rsidRDefault="00EE200C" w:rsidP="008E243A">
            <w:pPr>
              <w:spacing w:after="0"/>
            </w:pPr>
            <w:r>
              <w:rPr>
                <w:rFonts w:ascii="Calibri" w:eastAsia="Calibri" w:hAnsi="Calibri" w:cs="Calibri"/>
                <w:sz w:val="22"/>
                <w:szCs w:val="22"/>
                <w:lang w:val="en-US"/>
              </w:rPr>
              <w:t>P3 = 0</w:t>
            </w:r>
          </w:p>
        </w:tc>
        <w:tc>
          <w:tcPr>
            <w:tcW w:w="6336" w:type="dxa"/>
          </w:tcPr>
          <w:p w14:paraId="3ACA0259" w14:textId="21683BB3" w:rsidR="00491210" w:rsidRDefault="00EE200C" w:rsidP="008E243A">
            <w:pPr>
              <w:spacing w:after="0"/>
            </w:pPr>
            <w:r w:rsidRPr="05D19AF3">
              <w:rPr>
                <w:rFonts w:ascii="Calibri" w:eastAsia="Calibri" w:hAnsi="Calibri" w:cs="Calibri"/>
                <w:sz w:val="22"/>
                <w:szCs w:val="22"/>
                <w:lang w:val="en-US"/>
              </w:rPr>
              <w:t xml:space="preserve">Movement from </w:t>
            </w:r>
            <w:r w:rsidRPr="0035052F">
              <w:rPr>
                <w:rFonts w:ascii="Calibri" w:eastAsia="Calibri" w:hAnsi="Calibri" w:cs="Calibri"/>
                <w:sz w:val="22"/>
                <w:szCs w:val="22"/>
                <w:lang w:val="en-US"/>
              </w:rPr>
              <w:t>the Yarrawonga</w:t>
            </w:r>
            <w:r>
              <w:rPr>
                <w:rFonts w:ascii="Calibri" w:eastAsia="Calibri" w:hAnsi="Calibri" w:cs="Calibri"/>
                <w:sz w:val="22"/>
                <w:szCs w:val="22"/>
                <w:lang w:val="en-US"/>
              </w:rPr>
              <w:t xml:space="preserve"> </w:t>
            </w:r>
            <w:r w:rsidRPr="0035052F">
              <w:rPr>
                <w:rFonts w:ascii="Calibri" w:eastAsia="Calibri" w:hAnsi="Calibri" w:cs="Calibri"/>
                <w:sz w:val="22"/>
                <w:szCs w:val="22"/>
                <w:lang w:val="en-US"/>
              </w:rPr>
              <w:t>to</w:t>
            </w:r>
            <w:r>
              <w:rPr>
                <w:rFonts w:ascii="Calibri" w:eastAsia="Calibri" w:hAnsi="Calibri" w:cs="Calibri"/>
                <w:sz w:val="22"/>
                <w:szCs w:val="22"/>
                <w:lang w:val="en-US"/>
              </w:rPr>
              <w:t xml:space="preserve"> </w:t>
            </w:r>
            <w:r w:rsidRPr="0035052F">
              <w:rPr>
                <w:rFonts w:ascii="Calibri" w:eastAsia="Calibri" w:hAnsi="Calibri" w:cs="Calibri"/>
                <w:sz w:val="22"/>
                <w:szCs w:val="22"/>
                <w:lang w:val="en-US"/>
              </w:rPr>
              <w:t xml:space="preserve">Torrumbarry </w:t>
            </w:r>
            <w:r>
              <w:rPr>
                <w:rFonts w:ascii="Calibri" w:eastAsia="Calibri" w:hAnsi="Calibri" w:cs="Calibri"/>
                <w:sz w:val="22"/>
                <w:szCs w:val="22"/>
                <w:lang w:val="en-US"/>
              </w:rPr>
              <w:t xml:space="preserve">reach </w:t>
            </w:r>
            <w:r w:rsidRPr="0035052F">
              <w:rPr>
                <w:rFonts w:ascii="Calibri" w:eastAsia="Calibri" w:hAnsi="Calibri" w:cs="Calibri"/>
                <w:sz w:val="22"/>
                <w:szCs w:val="22"/>
                <w:lang w:val="en-US"/>
              </w:rPr>
              <w:t>set to zero</w:t>
            </w:r>
          </w:p>
        </w:tc>
      </w:tr>
      <w:tr w:rsidR="0035052F" w14:paraId="0434D23E" w14:textId="77777777" w:rsidTr="0035052F">
        <w:tc>
          <w:tcPr>
            <w:tcW w:w="2694" w:type="dxa"/>
          </w:tcPr>
          <w:p w14:paraId="1246087B" w14:textId="5935F3FA" w:rsidR="00491210" w:rsidRDefault="00EE200C" w:rsidP="008E243A">
            <w:pPr>
              <w:spacing w:after="0"/>
            </w:pPr>
            <w:r>
              <w:rPr>
                <w:rFonts w:ascii="Calibri" w:eastAsia="Calibri" w:hAnsi="Calibri" w:cs="Calibri"/>
                <w:sz w:val="22"/>
                <w:szCs w:val="22"/>
                <w:lang w:val="en-US"/>
              </w:rPr>
              <w:t>P5 = 0</w:t>
            </w:r>
          </w:p>
        </w:tc>
        <w:tc>
          <w:tcPr>
            <w:tcW w:w="6336" w:type="dxa"/>
          </w:tcPr>
          <w:p w14:paraId="771C3839" w14:textId="2DE27669" w:rsidR="00491210" w:rsidRDefault="00EE200C" w:rsidP="008E243A">
            <w:pPr>
              <w:spacing w:after="0"/>
            </w:pPr>
            <w:r w:rsidRPr="05D19AF3">
              <w:rPr>
                <w:rFonts w:ascii="Calibri" w:eastAsia="Calibri" w:hAnsi="Calibri" w:cs="Calibri"/>
                <w:sz w:val="22"/>
                <w:szCs w:val="22"/>
                <w:lang w:val="en-US"/>
              </w:rPr>
              <w:t xml:space="preserve">Movement from </w:t>
            </w:r>
            <w:r w:rsidRPr="0035052F">
              <w:rPr>
                <w:rFonts w:ascii="Calibri" w:eastAsia="Calibri" w:hAnsi="Calibri" w:cs="Calibri"/>
                <w:sz w:val="22"/>
                <w:szCs w:val="22"/>
                <w:lang w:val="en-US"/>
              </w:rPr>
              <w:t>the Lower Darling set to zero</w:t>
            </w:r>
          </w:p>
        </w:tc>
      </w:tr>
      <w:tr w:rsidR="0035052F" w14:paraId="77A8459B" w14:textId="77777777" w:rsidTr="0035052F">
        <w:tc>
          <w:tcPr>
            <w:tcW w:w="2694" w:type="dxa"/>
          </w:tcPr>
          <w:p w14:paraId="234DED43" w14:textId="762BC452" w:rsidR="00491210" w:rsidRDefault="00EE200C" w:rsidP="008E243A">
            <w:pPr>
              <w:spacing w:after="0"/>
            </w:pPr>
            <w:r>
              <w:rPr>
                <w:rFonts w:ascii="Calibri" w:eastAsia="Calibri" w:hAnsi="Calibri" w:cs="Calibri"/>
                <w:sz w:val="22"/>
                <w:szCs w:val="22"/>
                <w:lang w:val="en-US"/>
              </w:rPr>
              <w:t>P6 = 0</w:t>
            </w:r>
          </w:p>
        </w:tc>
        <w:tc>
          <w:tcPr>
            <w:tcW w:w="6336" w:type="dxa"/>
          </w:tcPr>
          <w:p w14:paraId="69D5376D" w14:textId="5BD40C98" w:rsidR="00491210" w:rsidRDefault="00EE200C" w:rsidP="008E243A">
            <w:pPr>
              <w:spacing w:after="0"/>
            </w:pPr>
            <w:r w:rsidRPr="05D19AF3">
              <w:rPr>
                <w:rFonts w:ascii="Calibri" w:eastAsia="Calibri" w:hAnsi="Calibri" w:cs="Calibri"/>
                <w:sz w:val="22"/>
                <w:szCs w:val="22"/>
                <w:lang w:val="en-US"/>
              </w:rPr>
              <w:t xml:space="preserve">Movement from </w:t>
            </w:r>
            <w:r w:rsidRPr="00CC0D95">
              <w:rPr>
                <w:rFonts w:ascii="Calibri" w:eastAsia="Calibri" w:hAnsi="Calibri" w:cs="Calibri"/>
                <w:sz w:val="22"/>
                <w:szCs w:val="22"/>
                <w:lang w:val="en-US"/>
              </w:rPr>
              <w:t xml:space="preserve">the </w:t>
            </w:r>
            <w:r>
              <w:rPr>
                <w:rFonts w:ascii="Calibri" w:eastAsia="Calibri" w:hAnsi="Calibri" w:cs="Calibri"/>
                <w:sz w:val="22"/>
                <w:szCs w:val="22"/>
                <w:lang w:val="en-US"/>
              </w:rPr>
              <w:t>L</w:t>
            </w:r>
            <w:r w:rsidRPr="00CC0D95">
              <w:rPr>
                <w:rFonts w:ascii="Calibri" w:eastAsia="Calibri" w:hAnsi="Calibri" w:cs="Calibri"/>
                <w:sz w:val="22"/>
                <w:szCs w:val="22"/>
                <w:lang w:val="en-US"/>
              </w:rPr>
              <w:t>ower Murrumbidgee River set to zero</w:t>
            </w:r>
          </w:p>
        </w:tc>
      </w:tr>
      <w:tr w:rsidR="0035052F" w14:paraId="6D6C3A3E" w14:textId="77777777" w:rsidTr="0035052F">
        <w:tc>
          <w:tcPr>
            <w:tcW w:w="2694" w:type="dxa"/>
          </w:tcPr>
          <w:p w14:paraId="7C27ED8D" w14:textId="68E3258A" w:rsidR="00491210" w:rsidRDefault="00EE200C" w:rsidP="008E243A">
            <w:pPr>
              <w:spacing w:after="0"/>
            </w:pPr>
            <w:r>
              <w:t>P7 = 0</w:t>
            </w:r>
          </w:p>
        </w:tc>
        <w:tc>
          <w:tcPr>
            <w:tcW w:w="6336" w:type="dxa"/>
          </w:tcPr>
          <w:p w14:paraId="66A24F8A" w14:textId="03CF308A" w:rsidR="00491210" w:rsidRDefault="00EE200C" w:rsidP="008E243A">
            <w:pPr>
              <w:spacing w:after="0"/>
            </w:pPr>
            <w:r w:rsidRPr="05D19AF3">
              <w:rPr>
                <w:rFonts w:ascii="Calibri" w:eastAsia="Calibri" w:hAnsi="Calibri" w:cs="Calibri"/>
                <w:sz w:val="22"/>
                <w:szCs w:val="22"/>
                <w:lang w:val="en-US"/>
              </w:rPr>
              <w:t xml:space="preserve">Movement from </w:t>
            </w:r>
            <w:r w:rsidRPr="00CC0D95">
              <w:rPr>
                <w:rFonts w:ascii="Calibri" w:eastAsia="Calibri" w:hAnsi="Calibri" w:cs="Calibri"/>
                <w:sz w:val="22"/>
                <w:szCs w:val="22"/>
                <w:lang w:val="en-US"/>
              </w:rPr>
              <w:t>the Edward River set to zero</w:t>
            </w:r>
          </w:p>
        </w:tc>
      </w:tr>
    </w:tbl>
    <w:p w14:paraId="5F00F834" w14:textId="52515484" w:rsidR="00491210" w:rsidRDefault="00EE200C" w:rsidP="05D19AF3">
      <w:pPr>
        <w:spacing w:after="160" w:line="257" w:lineRule="auto"/>
      </w:pPr>
      <w:r>
        <w:rPr>
          <w:rFonts w:ascii="Calibri" w:eastAsia="Calibri" w:hAnsi="Calibri" w:cs="Calibri"/>
          <w:sz w:val="22"/>
          <w:szCs w:val="22"/>
          <w:lang w:val="en-US"/>
        </w:rPr>
        <w:t>A</w:t>
      </w:r>
      <w:r w:rsidRPr="05D19AF3">
        <w:rPr>
          <w:rFonts w:ascii="Calibri" w:eastAsia="Calibri" w:hAnsi="Calibri" w:cs="Calibri"/>
          <w:sz w:val="22"/>
          <w:szCs w:val="22"/>
          <w:lang w:val="en-US"/>
        </w:rPr>
        <w:t>: All movement of adults and juveniles set to 0, larval drift continues</w:t>
      </w:r>
      <w:r>
        <w:rPr>
          <w:rFonts w:ascii="Calibri" w:eastAsia="Calibri" w:hAnsi="Calibri" w:cs="Calibri"/>
          <w:sz w:val="22"/>
          <w:szCs w:val="22"/>
          <w:lang w:val="en-US"/>
        </w:rPr>
        <w:t>.</w:t>
      </w:r>
    </w:p>
    <w:p w14:paraId="45093730" w14:textId="384AECBC" w:rsidR="00491210" w:rsidRDefault="00EE200C" w:rsidP="00F602FE">
      <w:pPr>
        <w:pStyle w:val="AppendixTableCaption"/>
        <w:rPr>
          <w:lang w:val="en-US"/>
        </w:rPr>
      </w:pPr>
      <w:bookmarkStart w:id="432" w:name="_Ref105009433"/>
      <w:r>
        <w:t>Table A4.</w:t>
      </w:r>
      <w:r>
        <w:fldChar w:fldCharType="begin"/>
      </w:r>
      <w:r>
        <w:instrText>SEQ Table_A4. \* ARABIC</w:instrText>
      </w:r>
      <w:r>
        <w:fldChar w:fldCharType="separate"/>
      </w:r>
      <w:r w:rsidR="005B672A">
        <w:rPr>
          <w:noProof/>
        </w:rPr>
        <w:t>2</w:t>
      </w:r>
      <w:r>
        <w:fldChar w:fldCharType="end"/>
      </w:r>
      <w:bookmarkEnd w:id="432"/>
      <w:r>
        <w:t>.</w:t>
      </w:r>
      <w:r w:rsidRPr="05D19AF3">
        <w:rPr>
          <w:lang w:val="en-US"/>
        </w:rPr>
        <w:t xml:space="preserve"> </w:t>
      </w:r>
      <w:r>
        <w:rPr>
          <w:lang w:val="en-US"/>
        </w:rPr>
        <w:t>Sensitivity 2: g</w:t>
      </w:r>
      <w:r w:rsidRPr="05D19AF3">
        <w:rPr>
          <w:lang w:val="en-US"/>
        </w:rPr>
        <w:t xml:space="preserve">ross changes to movement in the metapopulation model for </w:t>
      </w:r>
      <w:r>
        <w:rPr>
          <w:lang w:val="en-US"/>
        </w:rPr>
        <w:t>G</w:t>
      </w:r>
      <w:r w:rsidRPr="05D19AF3">
        <w:rPr>
          <w:lang w:val="en-US"/>
        </w:rPr>
        <w:t xml:space="preserve">olden </w:t>
      </w:r>
      <w:r>
        <w:rPr>
          <w:lang w:val="en-US"/>
        </w:rPr>
        <w:t>P</w:t>
      </w:r>
      <w:r w:rsidRPr="05D19AF3">
        <w:rPr>
          <w:lang w:val="en-US"/>
        </w:rPr>
        <w:t>erch</w:t>
      </w:r>
    </w:p>
    <w:tbl>
      <w:tblPr>
        <w:tblStyle w:val="DELWPTable"/>
        <w:tblW w:w="0" w:type="auto"/>
        <w:tblLayout w:type="fixed"/>
        <w:tblLook w:val="04A0" w:firstRow="1" w:lastRow="0" w:firstColumn="1" w:lastColumn="0" w:noHBand="0" w:noVBand="1"/>
      </w:tblPr>
      <w:tblGrid>
        <w:gridCol w:w="2694"/>
        <w:gridCol w:w="6336"/>
      </w:tblGrid>
      <w:tr w:rsidR="002A736D" w:rsidRPr="007F5341" w14:paraId="49BA34B1" w14:textId="77777777" w:rsidTr="006D2451">
        <w:trPr>
          <w:cnfStyle w:val="100000000000" w:firstRow="1" w:lastRow="0" w:firstColumn="0" w:lastColumn="0" w:oddVBand="0" w:evenVBand="0" w:oddHBand="0" w:evenHBand="0" w:firstRowFirstColumn="0" w:firstRowLastColumn="0" w:lastRowFirstColumn="0" w:lastRowLastColumn="0"/>
        </w:trPr>
        <w:tc>
          <w:tcPr>
            <w:tcW w:w="2694" w:type="dxa"/>
          </w:tcPr>
          <w:p w14:paraId="0D97175D" w14:textId="77777777" w:rsidR="00491210" w:rsidRPr="004734C8" w:rsidRDefault="00EE200C" w:rsidP="006D2451">
            <w:pPr>
              <w:rPr>
                <w:rFonts w:ascii="Calibri" w:eastAsia="Calibri" w:hAnsi="Calibri" w:cs="Calibri"/>
                <w:b/>
                <w:bCs/>
                <w:color w:val="FFFFFF" w:themeColor="background1"/>
                <w:sz w:val="22"/>
                <w:szCs w:val="22"/>
                <w:lang w:val="en-US"/>
              </w:rPr>
            </w:pPr>
            <w:r w:rsidRPr="004734C8">
              <w:rPr>
                <w:rFonts w:ascii="Calibri" w:eastAsia="Calibri" w:hAnsi="Calibri" w:cs="Calibri"/>
                <w:b/>
                <w:bCs/>
                <w:color w:val="FFFFFF" w:themeColor="background1"/>
                <w:sz w:val="22"/>
                <w:szCs w:val="22"/>
                <w:lang w:val="en-US"/>
              </w:rPr>
              <w:t>Scenario name</w:t>
            </w:r>
          </w:p>
        </w:tc>
        <w:tc>
          <w:tcPr>
            <w:tcW w:w="6336" w:type="dxa"/>
          </w:tcPr>
          <w:p w14:paraId="786805FA" w14:textId="77777777" w:rsidR="00491210" w:rsidRPr="004734C8" w:rsidRDefault="00EE200C" w:rsidP="006D2451">
            <w:pPr>
              <w:rPr>
                <w:rFonts w:ascii="Calibri" w:eastAsia="Calibri" w:hAnsi="Calibri" w:cs="Calibri"/>
                <w:b/>
                <w:bCs/>
                <w:color w:val="FFFFFF" w:themeColor="background1"/>
                <w:sz w:val="22"/>
                <w:szCs w:val="22"/>
                <w:lang w:val="en-US"/>
              </w:rPr>
            </w:pPr>
            <w:r w:rsidRPr="004734C8">
              <w:rPr>
                <w:rFonts w:ascii="Calibri" w:eastAsia="Calibri" w:hAnsi="Calibri" w:cs="Calibri"/>
                <w:b/>
                <w:bCs/>
                <w:color w:val="FFFFFF" w:themeColor="background1"/>
                <w:sz w:val="22"/>
                <w:szCs w:val="22"/>
                <w:lang w:val="en-US"/>
              </w:rPr>
              <w:t>Description</w:t>
            </w:r>
          </w:p>
        </w:tc>
      </w:tr>
      <w:tr w:rsidR="002A736D" w14:paraId="0F64E94C" w14:textId="77777777" w:rsidTr="006D2451">
        <w:tc>
          <w:tcPr>
            <w:tcW w:w="2694" w:type="dxa"/>
          </w:tcPr>
          <w:p w14:paraId="0784414C" w14:textId="77777777" w:rsidR="00491210" w:rsidRDefault="00EE200C" w:rsidP="008E243A">
            <w:pPr>
              <w:spacing w:after="0"/>
            </w:pPr>
            <w:r>
              <w:rPr>
                <w:rFonts w:ascii="Calibri" w:eastAsia="Calibri" w:hAnsi="Calibri" w:cs="Calibri"/>
                <w:sz w:val="22"/>
                <w:szCs w:val="22"/>
                <w:lang w:val="en-US"/>
              </w:rPr>
              <w:t>Default</w:t>
            </w:r>
          </w:p>
        </w:tc>
        <w:tc>
          <w:tcPr>
            <w:tcW w:w="6336" w:type="dxa"/>
          </w:tcPr>
          <w:p w14:paraId="77C9AFA9" w14:textId="77777777" w:rsidR="00491210" w:rsidRDefault="00EE200C" w:rsidP="008E243A">
            <w:pPr>
              <w:spacing w:after="0"/>
            </w:pPr>
            <w:r w:rsidRPr="05D19AF3">
              <w:rPr>
                <w:rFonts w:ascii="Calibri" w:eastAsia="Calibri" w:hAnsi="Calibri" w:cs="Calibri"/>
                <w:sz w:val="22"/>
                <w:szCs w:val="22"/>
                <w:lang w:val="en-US"/>
              </w:rPr>
              <w:t>Base rules</w:t>
            </w:r>
          </w:p>
        </w:tc>
      </w:tr>
      <w:tr w:rsidR="002A736D" w14:paraId="1869F5C8" w14:textId="77777777" w:rsidTr="006D2451">
        <w:tc>
          <w:tcPr>
            <w:tcW w:w="2694" w:type="dxa"/>
          </w:tcPr>
          <w:p w14:paraId="2D56C8AD" w14:textId="63A9DEDE" w:rsidR="00491210" w:rsidRDefault="00EE200C" w:rsidP="008E243A">
            <w:pPr>
              <w:spacing w:after="0"/>
            </w:pPr>
            <w:r>
              <w:rPr>
                <w:rFonts w:ascii="Calibri" w:eastAsia="Calibri" w:hAnsi="Calibri" w:cs="Calibri"/>
                <w:sz w:val="22"/>
                <w:szCs w:val="22"/>
                <w:lang w:val="en-US"/>
              </w:rPr>
              <w:t>+P1P2</w:t>
            </w:r>
          </w:p>
        </w:tc>
        <w:tc>
          <w:tcPr>
            <w:tcW w:w="6336" w:type="dxa"/>
          </w:tcPr>
          <w:p w14:paraId="755D53EF" w14:textId="1D2C899A" w:rsidR="00491210" w:rsidRPr="00CC0D95" w:rsidRDefault="00EE200C" w:rsidP="008E243A">
            <w:pPr>
              <w:spacing w:after="0"/>
              <w:rPr>
                <w:vertAlign w:val="superscript"/>
              </w:rPr>
            </w:pPr>
            <w:r>
              <w:rPr>
                <w:rFonts w:ascii="Calibri" w:eastAsia="Calibri" w:hAnsi="Calibri" w:cs="Calibri"/>
                <w:sz w:val="22"/>
                <w:szCs w:val="22"/>
                <w:lang w:val="en-US"/>
              </w:rPr>
              <w:t xml:space="preserve">Movement from </w:t>
            </w:r>
            <w:r w:rsidRPr="00FD31BC">
              <w:rPr>
                <w:rFonts w:ascii="Calibri" w:eastAsia="Calibri" w:hAnsi="Calibri" w:cs="Calibri"/>
                <w:sz w:val="22"/>
                <w:szCs w:val="22"/>
                <w:lang w:val="en-US"/>
              </w:rPr>
              <w:t>the Lower Murray</w:t>
            </w:r>
            <w:r>
              <w:rPr>
                <w:rFonts w:ascii="Calibri" w:eastAsia="Calibri" w:hAnsi="Calibri" w:cs="Calibri"/>
                <w:sz w:val="22"/>
                <w:szCs w:val="22"/>
                <w:lang w:val="en-US"/>
              </w:rPr>
              <w:t>-</w:t>
            </w:r>
            <w:r w:rsidRPr="00FD31BC">
              <w:rPr>
                <w:rFonts w:ascii="Calibri" w:eastAsia="Calibri" w:hAnsi="Calibri" w:cs="Calibri"/>
                <w:sz w:val="22"/>
                <w:szCs w:val="22"/>
                <w:lang w:val="en-US"/>
              </w:rPr>
              <w:t>below</w:t>
            </w:r>
            <w:r>
              <w:rPr>
                <w:rFonts w:ascii="Calibri" w:eastAsia="Calibri" w:hAnsi="Calibri" w:cs="Calibri"/>
                <w:sz w:val="22"/>
                <w:szCs w:val="22"/>
                <w:lang w:val="en-US"/>
              </w:rPr>
              <w:t xml:space="preserve">-Wentworth reach </w:t>
            </w:r>
            <w:r w:rsidRPr="00FD31BC">
              <w:rPr>
                <w:rFonts w:ascii="Calibri" w:eastAsia="Calibri" w:hAnsi="Calibri" w:cs="Calibri"/>
                <w:sz w:val="22"/>
                <w:szCs w:val="22"/>
                <w:lang w:val="en-US"/>
              </w:rPr>
              <w:t>upstream to the Torrumbarry</w:t>
            </w:r>
            <w:r>
              <w:rPr>
                <w:rFonts w:ascii="Calibri" w:eastAsia="Calibri" w:hAnsi="Calibri" w:cs="Calibri"/>
                <w:sz w:val="22"/>
                <w:szCs w:val="22"/>
                <w:lang w:val="en-US"/>
              </w:rPr>
              <w:t xml:space="preserve"> </w:t>
            </w:r>
            <w:r w:rsidRPr="00FD31BC">
              <w:rPr>
                <w:rFonts w:ascii="Calibri" w:eastAsia="Calibri" w:hAnsi="Calibri" w:cs="Calibri"/>
                <w:sz w:val="22"/>
                <w:szCs w:val="22"/>
                <w:lang w:val="en-US"/>
              </w:rPr>
              <w:t>to</w:t>
            </w:r>
            <w:r>
              <w:rPr>
                <w:rFonts w:ascii="Calibri" w:eastAsia="Calibri" w:hAnsi="Calibri" w:cs="Calibri"/>
                <w:sz w:val="22"/>
                <w:szCs w:val="22"/>
                <w:lang w:val="en-US"/>
              </w:rPr>
              <w:t xml:space="preserve"> Wentworth reach </w:t>
            </w:r>
            <w:r w:rsidRPr="00FD31BC">
              <w:rPr>
                <w:rFonts w:ascii="Calibri" w:eastAsia="Calibri" w:hAnsi="Calibri" w:cs="Calibri"/>
                <w:sz w:val="22"/>
                <w:szCs w:val="22"/>
                <w:lang w:val="en-US"/>
              </w:rPr>
              <w:t xml:space="preserve">was increased: adult movement </w:t>
            </w:r>
            <w:r>
              <w:rPr>
                <w:rFonts w:ascii="Calibri" w:eastAsia="Calibri" w:hAnsi="Calibri" w:cs="Calibri"/>
                <w:sz w:val="22"/>
                <w:szCs w:val="22"/>
                <w:lang w:val="en-US"/>
              </w:rPr>
              <w:t>×</w:t>
            </w:r>
            <w:r w:rsidRPr="00FD31BC">
              <w:rPr>
                <w:rFonts w:ascii="Calibri" w:eastAsia="Calibri" w:hAnsi="Calibri" w:cs="Calibri"/>
                <w:sz w:val="22"/>
                <w:szCs w:val="22"/>
                <w:lang w:val="en-US"/>
              </w:rPr>
              <w:t xml:space="preserve">2 and juvenile movement </w:t>
            </w:r>
            <w:r>
              <w:rPr>
                <w:rFonts w:ascii="Calibri" w:eastAsia="Calibri" w:hAnsi="Calibri" w:cs="Calibri"/>
                <w:sz w:val="22"/>
                <w:szCs w:val="22"/>
                <w:lang w:val="en-US"/>
              </w:rPr>
              <w:t>×</w:t>
            </w:r>
            <w:r w:rsidRPr="00FD31BC">
              <w:rPr>
                <w:rFonts w:ascii="Calibri" w:eastAsia="Calibri" w:hAnsi="Calibri" w:cs="Calibri"/>
                <w:sz w:val="22"/>
                <w:szCs w:val="22"/>
                <w:lang w:val="en-US"/>
              </w:rPr>
              <w:t>5</w:t>
            </w:r>
          </w:p>
        </w:tc>
      </w:tr>
      <w:tr w:rsidR="002A736D" w14:paraId="671E8F8B" w14:textId="77777777" w:rsidTr="006D2451">
        <w:tc>
          <w:tcPr>
            <w:tcW w:w="2694" w:type="dxa"/>
          </w:tcPr>
          <w:p w14:paraId="3406BA2C" w14:textId="65BAB732" w:rsidR="00491210" w:rsidRDefault="00EE200C" w:rsidP="008E243A">
            <w:pPr>
              <w:spacing w:after="0"/>
            </w:pPr>
            <w:r>
              <w:rPr>
                <w:rFonts w:ascii="Calibri" w:eastAsia="Calibri" w:hAnsi="Calibri" w:cs="Calibri"/>
                <w:sz w:val="22"/>
                <w:szCs w:val="22"/>
                <w:lang w:val="en-US"/>
              </w:rPr>
              <w:t>AP1P2</w:t>
            </w:r>
          </w:p>
        </w:tc>
        <w:tc>
          <w:tcPr>
            <w:tcW w:w="6336" w:type="dxa"/>
          </w:tcPr>
          <w:p w14:paraId="0120EC86" w14:textId="47A8D28F" w:rsidR="00491210" w:rsidRDefault="00EE200C" w:rsidP="008E243A">
            <w:pPr>
              <w:spacing w:after="0"/>
            </w:pPr>
            <w:r>
              <w:rPr>
                <w:rFonts w:ascii="Calibri" w:eastAsia="Calibri" w:hAnsi="Calibri" w:cs="Calibri"/>
                <w:sz w:val="22"/>
                <w:szCs w:val="22"/>
                <w:lang w:val="en-US"/>
              </w:rPr>
              <w:t>Adult</w:t>
            </w:r>
            <w:r w:rsidRPr="00FD31BC">
              <w:rPr>
                <w:rFonts w:ascii="Calibri" w:eastAsia="Calibri" w:hAnsi="Calibri" w:cs="Calibri"/>
                <w:sz w:val="22"/>
                <w:szCs w:val="22"/>
                <w:lang w:val="en-US"/>
              </w:rPr>
              <w:t xml:space="preserve"> movement rate from the Lower Murray</w:t>
            </w:r>
            <w:r>
              <w:rPr>
                <w:rFonts w:ascii="Calibri" w:eastAsia="Calibri" w:hAnsi="Calibri" w:cs="Calibri"/>
                <w:sz w:val="22"/>
                <w:szCs w:val="22"/>
                <w:lang w:val="en-US"/>
              </w:rPr>
              <w:t>-</w:t>
            </w:r>
            <w:r w:rsidRPr="00FD31BC">
              <w:rPr>
                <w:rFonts w:ascii="Calibri" w:eastAsia="Calibri" w:hAnsi="Calibri" w:cs="Calibri"/>
                <w:sz w:val="22"/>
                <w:szCs w:val="22"/>
                <w:lang w:val="en-US"/>
              </w:rPr>
              <w:t>below</w:t>
            </w:r>
            <w:r>
              <w:rPr>
                <w:rFonts w:ascii="Calibri" w:eastAsia="Calibri" w:hAnsi="Calibri" w:cs="Calibri"/>
                <w:sz w:val="22"/>
                <w:szCs w:val="22"/>
                <w:lang w:val="en-US"/>
              </w:rPr>
              <w:t xml:space="preserve">-Wentworth reach </w:t>
            </w:r>
            <w:r w:rsidRPr="00FD31BC">
              <w:rPr>
                <w:rFonts w:ascii="Calibri" w:eastAsia="Calibri" w:hAnsi="Calibri" w:cs="Calibri"/>
                <w:sz w:val="22"/>
                <w:szCs w:val="22"/>
                <w:lang w:val="en-US"/>
              </w:rPr>
              <w:t>upstream to the Torrumbarry</w:t>
            </w:r>
            <w:r>
              <w:rPr>
                <w:rFonts w:ascii="Calibri" w:eastAsia="Calibri" w:hAnsi="Calibri" w:cs="Calibri"/>
                <w:sz w:val="22"/>
                <w:szCs w:val="22"/>
                <w:lang w:val="en-US"/>
              </w:rPr>
              <w:t xml:space="preserve"> </w:t>
            </w:r>
            <w:r w:rsidRPr="00FD31BC">
              <w:rPr>
                <w:rFonts w:ascii="Calibri" w:eastAsia="Calibri" w:hAnsi="Calibri" w:cs="Calibri"/>
                <w:sz w:val="22"/>
                <w:szCs w:val="22"/>
                <w:lang w:val="en-US"/>
              </w:rPr>
              <w:t>to</w:t>
            </w:r>
            <w:r>
              <w:rPr>
                <w:rFonts w:ascii="Calibri" w:eastAsia="Calibri" w:hAnsi="Calibri" w:cs="Calibri"/>
                <w:sz w:val="22"/>
                <w:szCs w:val="22"/>
                <w:lang w:val="en-US"/>
              </w:rPr>
              <w:t xml:space="preserve"> Wentworth reach </w:t>
            </w:r>
            <w:r w:rsidRPr="00FD31BC">
              <w:rPr>
                <w:rFonts w:ascii="Calibri" w:eastAsia="Calibri" w:hAnsi="Calibri" w:cs="Calibri"/>
                <w:sz w:val="22"/>
                <w:szCs w:val="22"/>
                <w:lang w:val="en-US"/>
              </w:rPr>
              <w:t>was decreased to the same level as juveniles</w:t>
            </w:r>
          </w:p>
        </w:tc>
      </w:tr>
      <w:tr w:rsidR="002A736D" w14:paraId="75047B6A" w14:textId="77777777" w:rsidTr="006D2451">
        <w:tc>
          <w:tcPr>
            <w:tcW w:w="2694" w:type="dxa"/>
          </w:tcPr>
          <w:p w14:paraId="1A75B08D" w14:textId="628470E5" w:rsidR="00491210" w:rsidRDefault="00EE200C" w:rsidP="008E243A">
            <w:pPr>
              <w:spacing w:after="0"/>
            </w:pPr>
            <w:r>
              <w:rPr>
                <w:rFonts w:ascii="Calibri" w:eastAsia="Calibri" w:hAnsi="Calibri" w:cs="Calibri"/>
                <w:sz w:val="22"/>
                <w:szCs w:val="22"/>
                <w:lang w:val="en-US"/>
              </w:rPr>
              <w:t>IP</w:t>
            </w:r>
          </w:p>
        </w:tc>
        <w:tc>
          <w:tcPr>
            <w:tcW w:w="6336" w:type="dxa"/>
          </w:tcPr>
          <w:p w14:paraId="3002C320" w14:textId="6640DD16" w:rsidR="00491210" w:rsidRDefault="00EE200C" w:rsidP="008E243A">
            <w:pPr>
              <w:spacing w:after="0"/>
            </w:pPr>
            <w:r>
              <w:rPr>
                <w:rFonts w:ascii="Calibri" w:eastAsia="Calibri" w:hAnsi="Calibri" w:cs="Calibri"/>
                <w:sz w:val="22"/>
                <w:szCs w:val="22"/>
                <w:lang w:val="en-US"/>
              </w:rPr>
              <w:t>T</w:t>
            </w:r>
            <w:r w:rsidRPr="00FD31BC">
              <w:rPr>
                <w:rFonts w:ascii="Calibri" w:eastAsia="Calibri" w:hAnsi="Calibri" w:cs="Calibri"/>
                <w:sz w:val="22"/>
                <w:szCs w:val="22"/>
                <w:lang w:val="en-US"/>
              </w:rPr>
              <w:t xml:space="preserve">he </w:t>
            </w:r>
            <w:r>
              <w:rPr>
                <w:rFonts w:ascii="Calibri" w:eastAsia="Calibri" w:hAnsi="Calibri" w:cs="Calibri"/>
                <w:sz w:val="22"/>
                <w:szCs w:val="22"/>
                <w:lang w:val="en-US"/>
              </w:rPr>
              <w:t xml:space="preserve">adult </w:t>
            </w:r>
            <w:r w:rsidRPr="00FD31BC">
              <w:rPr>
                <w:rFonts w:ascii="Calibri" w:eastAsia="Calibri" w:hAnsi="Calibri" w:cs="Calibri"/>
                <w:sz w:val="22"/>
                <w:szCs w:val="22"/>
                <w:lang w:val="en-US"/>
              </w:rPr>
              <w:t xml:space="preserve">initial population size was set to half the </w:t>
            </w:r>
            <w:r>
              <w:rPr>
                <w:rFonts w:ascii="Calibri" w:eastAsia="Calibri" w:hAnsi="Calibri" w:cs="Calibri"/>
                <w:sz w:val="22"/>
                <w:szCs w:val="22"/>
                <w:lang w:val="en-US"/>
              </w:rPr>
              <w:t xml:space="preserve">adult </w:t>
            </w:r>
            <w:r w:rsidRPr="00FD31BC">
              <w:rPr>
                <w:rFonts w:ascii="Calibri" w:eastAsia="Calibri" w:hAnsi="Calibri" w:cs="Calibri"/>
                <w:sz w:val="22"/>
                <w:szCs w:val="22"/>
                <w:lang w:val="en-US"/>
              </w:rPr>
              <w:t>carrying capacity of each reach</w:t>
            </w:r>
          </w:p>
        </w:tc>
      </w:tr>
      <w:tr w:rsidR="002A736D" w14:paraId="1C693F17" w14:textId="77777777" w:rsidTr="006D2451">
        <w:tc>
          <w:tcPr>
            <w:tcW w:w="2694" w:type="dxa"/>
          </w:tcPr>
          <w:p w14:paraId="47FF74B6" w14:textId="205BD224" w:rsidR="00491210" w:rsidRDefault="00EE200C" w:rsidP="008E243A">
            <w:pPr>
              <w:spacing w:after="0"/>
            </w:pPr>
            <w:r>
              <w:rPr>
                <w:rFonts w:ascii="Calibri" w:eastAsia="Calibri" w:hAnsi="Calibri" w:cs="Calibri"/>
                <w:sz w:val="22"/>
                <w:szCs w:val="22"/>
                <w:lang w:val="en-US"/>
              </w:rPr>
              <w:t>M2</w:t>
            </w:r>
          </w:p>
        </w:tc>
        <w:tc>
          <w:tcPr>
            <w:tcW w:w="6336" w:type="dxa"/>
          </w:tcPr>
          <w:p w14:paraId="2E2D56D7" w14:textId="0F83FA6E" w:rsidR="00491210" w:rsidRDefault="00EE200C" w:rsidP="008E243A">
            <w:pPr>
              <w:spacing w:after="0"/>
            </w:pPr>
            <w:r>
              <w:rPr>
                <w:rFonts w:ascii="Calibri" w:eastAsia="Calibri" w:hAnsi="Calibri" w:cs="Calibri"/>
                <w:sz w:val="22"/>
                <w:szCs w:val="22"/>
                <w:lang w:val="en-US"/>
              </w:rPr>
              <w:t>Increase</w:t>
            </w:r>
            <w:r w:rsidRPr="00FD31BC">
              <w:rPr>
                <w:rFonts w:ascii="Calibri" w:eastAsia="Calibri" w:hAnsi="Calibri" w:cs="Calibri"/>
                <w:sz w:val="22"/>
                <w:szCs w:val="22"/>
                <w:lang w:val="en-US"/>
              </w:rPr>
              <w:t>d immigration</w:t>
            </w:r>
            <w:r>
              <w:rPr>
                <w:rFonts w:ascii="Calibri" w:eastAsia="Calibri" w:hAnsi="Calibri" w:cs="Calibri"/>
                <w:sz w:val="22"/>
                <w:szCs w:val="22"/>
                <w:lang w:val="en-US"/>
              </w:rPr>
              <w:t xml:space="preserve"> from the Northern MDB</w:t>
            </w:r>
          </w:p>
        </w:tc>
      </w:tr>
      <w:tr w:rsidR="00FD31BC" w14:paraId="01145DB5" w14:textId="77777777" w:rsidTr="006D2451">
        <w:tc>
          <w:tcPr>
            <w:tcW w:w="2694" w:type="dxa"/>
          </w:tcPr>
          <w:p w14:paraId="0CA605B0" w14:textId="6247B763" w:rsidR="00491210" w:rsidRDefault="00EE200C" w:rsidP="008E243A">
            <w:pPr>
              <w:spacing w:after="0"/>
            </w:pPr>
            <w:r>
              <w:rPr>
                <w:rFonts w:ascii="Calibri" w:eastAsia="Calibri" w:hAnsi="Calibri" w:cs="Calibri"/>
                <w:sz w:val="22"/>
                <w:szCs w:val="22"/>
                <w:lang w:val="en-US"/>
              </w:rPr>
              <w:t>AP1P2+M2</w:t>
            </w:r>
          </w:p>
        </w:tc>
        <w:tc>
          <w:tcPr>
            <w:tcW w:w="6336" w:type="dxa"/>
          </w:tcPr>
          <w:p w14:paraId="5834EA7B" w14:textId="6B6AE3CC" w:rsidR="00491210" w:rsidRDefault="00EE200C" w:rsidP="008E243A">
            <w:pPr>
              <w:spacing w:after="0"/>
            </w:pPr>
            <w:r>
              <w:rPr>
                <w:rFonts w:ascii="Calibri" w:eastAsia="Calibri" w:hAnsi="Calibri" w:cs="Calibri"/>
                <w:sz w:val="22"/>
                <w:szCs w:val="22"/>
                <w:lang w:val="en-US"/>
              </w:rPr>
              <w:t>Decreased adult movement from P1 to P2 and increased immigrations from the Northern MDB</w:t>
            </w:r>
          </w:p>
        </w:tc>
      </w:tr>
    </w:tbl>
    <w:p w14:paraId="113245E1" w14:textId="72E6C5D8" w:rsidR="00491210" w:rsidRDefault="00EE200C" w:rsidP="00865CEB">
      <w:pPr>
        <w:spacing w:before="240" w:after="240" w:line="259" w:lineRule="auto"/>
        <w:jc w:val="both"/>
        <w:rPr>
          <w:sz w:val="22"/>
          <w:szCs w:val="22"/>
        </w:rPr>
      </w:pPr>
      <w:r w:rsidRPr="3FC79A6E">
        <w:rPr>
          <w:sz w:val="22"/>
          <w:szCs w:val="22"/>
        </w:rPr>
        <w:t xml:space="preserve">The third approach was to use </w:t>
      </w:r>
      <w:r w:rsidRPr="00865CEB">
        <w:rPr>
          <w:sz w:val="22"/>
          <w:szCs w:val="22"/>
        </w:rPr>
        <w:t>different</w:t>
      </w:r>
      <w:r w:rsidRPr="3FC79A6E">
        <w:rPr>
          <w:sz w:val="22"/>
          <w:szCs w:val="22"/>
        </w:rPr>
        <w:t xml:space="preserve"> time frames </w:t>
      </w:r>
      <w:r>
        <w:rPr>
          <w:sz w:val="22"/>
          <w:szCs w:val="22"/>
        </w:rPr>
        <w:t>over</w:t>
      </w:r>
      <w:r w:rsidRPr="3FC79A6E">
        <w:rPr>
          <w:sz w:val="22"/>
          <w:szCs w:val="22"/>
        </w:rPr>
        <w:t xml:space="preserve"> which to generate expected mean population sizes. The time period that the model </w:t>
      </w:r>
      <w:r>
        <w:rPr>
          <w:sz w:val="22"/>
          <w:szCs w:val="22"/>
        </w:rPr>
        <w:t>wa</w:t>
      </w:r>
      <w:r w:rsidRPr="3FC79A6E">
        <w:rPr>
          <w:sz w:val="22"/>
          <w:szCs w:val="22"/>
        </w:rPr>
        <w:t xml:space="preserve">s run over </w:t>
      </w:r>
      <w:r>
        <w:rPr>
          <w:sz w:val="22"/>
          <w:szCs w:val="22"/>
        </w:rPr>
        <w:t>to generate the expected values in the above results wa</w:t>
      </w:r>
      <w:r w:rsidRPr="3FC79A6E">
        <w:rPr>
          <w:sz w:val="22"/>
          <w:szCs w:val="22"/>
        </w:rPr>
        <w:t>s equivalent to 124</w:t>
      </w:r>
      <w:r>
        <w:rPr>
          <w:sz w:val="22"/>
          <w:szCs w:val="22"/>
        </w:rPr>
        <w:t> </w:t>
      </w:r>
      <w:r w:rsidRPr="3FC79A6E">
        <w:rPr>
          <w:sz w:val="22"/>
          <w:szCs w:val="22"/>
        </w:rPr>
        <w:t xml:space="preserve">years. </w:t>
      </w:r>
      <w:r>
        <w:rPr>
          <w:sz w:val="22"/>
          <w:szCs w:val="22"/>
        </w:rPr>
        <w:t>As an alternative</w:t>
      </w:r>
      <w:r w:rsidRPr="3FC79A6E">
        <w:rPr>
          <w:sz w:val="22"/>
          <w:szCs w:val="22"/>
        </w:rPr>
        <w:t xml:space="preserve">, different time periods </w:t>
      </w:r>
      <w:r>
        <w:rPr>
          <w:sz w:val="22"/>
          <w:szCs w:val="22"/>
        </w:rPr>
        <w:t>were</w:t>
      </w:r>
      <w:r w:rsidRPr="3FC79A6E">
        <w:rPr>
          <w:sz w:val="22"/>
          <w:szCs w:val="22"/>
        </w:rPr>
        <w:t xml:space="preserve"> </w:t>
      </w:r>
      <w:r w:rsidRPr="3FC79A6E">
        <w:rPr>
          <w:sz w:val="22"/>
          <w:szCs w:val="22"/>
        </w:rPr>
        <w:lastRenderedPageBreak/>
        <w:t>explored</w:t>
      </w:r>
      <w:r>
        <w:rPr>
          <w:sz w:val="22"/>
          <w:szCs w:val="22"/>
        </w:rPr>
        <w:t>,</w:t>
      </w:r>
      <w:r w:rsidRPr="3FC79A6E">
        <w:rPr>
          <w:sz w:val="22"/>
          <w:szCs w:val="22"/>
        </w:rPr>
        <w:t xml:space="preserve"> </w:t>
      </w:r>
      <w:r>
        <w:rPr>
          <w:sz w:val="22"/>
          <w:szCs w:val="22"/>
        </w:rPr>
        <w:t>and periods of divergence and convergence were highlighted, again, to assess the robustness of the model outcomes.</w:t>
      </w:r>
    </w:p>
    <w:p w14:paraId="557689BA" w14:textId="77777777" w:rsidR="00491210" w:rsidRPr="00002DBE" w:rsidRDefault="00EE200C" w:rsidP="005F1F7F">
      <w:pPr>
        <w:pStyle w:val="Heading3"/>
      </w:pPr>
      <w:bookmarkStart w:id="433" w:name="_Toc116994949"/>
      <w:r w:rsidRPr="00002DBE">
        <w:t>First sensitivity analysis</w:t>
      </w:r>
      <w:bookmarkEnd w:id="433"/>
    </w:p>
    <w:p w14:paraId="6309A980" w14:textId="6A8025E5" w:rsidR="00491210" w:rsidRDefault="00EE200C" w:rsidP="00865CEB">
      <w:pPr>
        <w:spacing w:before="240" w:after="240" w:line="259" w:lineRule="auto"/>
        <w:jc w:val="both"/>
        <w:rPr>
          <w:sz w:val="22"/>
          <w:szCs w:val="22"/>
        </w:rPr>
      </w:pPr>
      <w:r>
        <w:rPr>
          <w:sz w:val="22"/>
          <w:szCs w:val="22"/>
        </w:rPr>
        <w:t xml:space="preserve">The first approach in undertaking the sensitivity analysis was to adjust the gross movement rates and to compare the results with those of the </w:t>
      </w:r>
      <w:r w:rsidRPr="00865CEB">
        <w:rPr>
          <w:rFonts w:eastAsia="Arial"/>
          <w:sz w:val="22"/>
          <w:szCs w:val="22"/>
        </w:rPr>
        <w:t>default</w:t>
      </w:r>
      <w:r>
        <w:rPr>
          <w:sz w:val="22"/>
          <w:szCs w:val="22"/>
        </w:rPr>
        <w:t xml:space="preserve"> parameterisation, to understand the impacts on the population modelling outcomes.</w:t>
      </w:r>
    </w:p>
    <w:p w14:paraId="585236CA" w14:textId="77777777" w:rsidR="00491210" w:rsidRDefault="00EE200C" w:rsidP="00865CEB">
      <w:pPr>
        <w:rPr>
          <w:sz w:val="22"/>
          <w:szCs w:val="22"/>
        </w:rPr>
      </w:pPr>
      <w:r>
        <w:rPr>
          <w:sz w:val="22"/>
          <w:szCs w:val="22"/>
        </w:rPr>
        <w:t>Movement from:</w:t>
      </w:r>
    </w:p>
    <w:p w14:paraId="04B87B21" w14:textId="32A2A0ED" w:rsidR="00491210" w:rsidRDefault="00EE200C" w:rsidP="009C5938">
      <w:pPr>
        <w:pStyle w:val="ListParagraph"/>
        <w:numPr>
          <w:ilvl w:val="0"/>
          <w:numId w:val="52"/>
        </w:numPr>
        <w:spacing w:line="240" w:lineRule="auto"/>
        <w:rPr>
          <w:rFonts w:ascii="Arial" w:hAnsi="Arial"/>
          <w:sz w:val="22"/>
          <w:szCs w:val="22"/>
        </w:rPr>
      </w:pPr>
      <w:r w:rsidRPr="009D08F7">
        <w:rPr>
          <w:rFonts w:ascii="Arial" w:hAnsi="Arial"/>
          <w:sz w:val="22"/>
          <w:szCs w:val="22"/>
        </w:rPr>
        <w:t>the Lower Murray</w:t>
      </w:r>
      <w:r>
        <w:rPr>
          <w:rFonts w:ascii="Arial" w:hAnsi="Arial"/>
          <w:sz w:val="22"/>
          <w:szCs w:val="22"/>
        </w:rPr>
        <w:t xml:space="preserve"> </w:t>
      </w:r>
      <w:r w:rsidRPr="009D08F7">
        <w:rPr>
          <w:rFonts w:ascii="Arial" w:hAnsi="Arial"/>
          <w:sz w:val="22"/>
          <w:szCs w:val="22"/>
        </w:rPr>
        <w:t>below</w:t>
      </w:r>
      <w:r>
        <w:rPr>
          <w:rFonts w:ascii="Arial" w:hAnsi="Arial"/>
          <w:sz w:val="22"/>
          <w:szCs w:val="22"/>
        </w:rPr>
        <w:t xml:space="preserve"> Wentworth reach </w:t>
      </w:r>
      <w:r w:rsidRPr="009D08F7">
        <w:rPr>
          <w:rFonts w:ascii="Arial" w:hAnsi="Arial"/>
          <w:sz w:val="22"/>
          <w:szCs w:val="22"/>
        </w:rPr>
        <w:t xml:space="preserve">was set to zero, </w:t>
      </w:r>
      <w:r>
        <w:rPr>
          <w:rFonts w:ascii="Arial" w:hAnsi="Arial"/>
          <w:sz w:val="22"/>
          <w:szCs w:val="22"/>
        </w:rPr>
        <w:t>i.e.</w:t>
      </w:r>
      <w:r w:rsidRPr="009D08F7">
        <w:rPr>
          <w:rFonts w:ascii="Arial" w:hAnsi="Arial"/>
          <w:sz w:val="22"/>
          <w:szCs w:val="22"/>
        </w:rPr>
        <w:t xml:space="preserve"> no movement to any other reach </w:t>
      </w:r>
      <w:r>
        <w:rPr>
          <w:rFonts w:ascii="Arial" w:hAnsi="Arial"/>
          <w:sz w:val="22"/>
          <w:szCs w:val="22"/>
        </w:rPr>
        <w:t xml:space="preserve">in the metapopulation </w:t>
      </w:r>
      <w:r w:rsidRPr="009D08F7">
        <w:rPr>
          <w:rFonts w:ascii="Arial" w:hAnsi="Arial"/>
          <w:sz w:val="22"/>
          <w:szCs w:val="22"/>
        </w:rPr>
        <w:t>(P1</w:t>
      </w:r>
      <w:r>
        <w:rPr>
          <w:rFonts w:ascii="Arial" w:hAnsi="Arial"/>
          <w:sz w:val="22"/>
          <w:szCs w:val="22"/>
        </w:rPr>
        <w:t> </w:t>
      </w:r>
      <w:r w:rsidRPr="009D08F7">
        <w:rPr>
          <w:rFonts w:ascii="Arial" w:hAnsi="Arial"/>
          <w:sz w:val="22"/>
          <w:szCs w:val="22"/>
        </w:rPr>
        <w:t>=</w:t>
      </w:r>
      <w:r>
        <w:rPr>
          <w:rFonts w:ascii="Arial" w:hAnsi="Arial"/>
          <w:sz w:val="22"/>
          <w:szCs w:val="22"/>
        </w:rPr>
        <w:t> </w:t>
      </w:r>
      <w:r w:rsidRPr="009D08F7">
        <w:rPr>
          <w:rFonts w:ascii="Arial" w:hAnsi="Arial"/>
          <w:sz w:val="22"/>
          <w:szCs w:val="22"/>
        </w:rPr>
        <w:t>0);</w:t>
      </w:r>
    </w:p>
    <w:p w14:paraId="34585C7B" w14:textId="240469EF" w:rsidR="00491210" w:rsidRDefault="00EE200C" w:rsidP="009C5938">
      <w:pPr>
        <w:pStyle w:val="ListParagraph"/>
        <w:numPr>
          <w:ilvl w:val="0"/>
          <w:numId w:val="52"/>
        </w:numPr>
        <w:spacing w:line="240" w:lineRule="auto"/>
        <w:rPr>
          <w:rFonts w:ascii="Arial" w:hAnsi="Arial"/>
          <w:sz w:val="22"/>
          <w:szCs w:val="22"/>
        </w:rPr>
      </w:pPr>
      <w:r w:rsidRPr="009D08F7">
        <w:rPr>
          <w:rFonts w:ascii="Arial" w:hAnsi="Arial"/>
          <w:sz w:val="22"/>
          <w:szCs w:val="22"/>
        </w:rPr>
        <w:t>the Torrumbarry</w:t>
      </w:r>
      <w:r>
        <w:rPr>
          <w:rFonts w:ascii="Arial" w:hAnsi="Arial"/>
          <w:sz w:val="22"/>
          <w:szCs w:val="22"/>
        </w:rPr>
        <w:t xml:space="preserve"> </w:t>
      </w:r>
      <w:r w:rsidRPr="009D08F7">
        <w:rPr>
          <w:rFonts w:ascii="Arial" w:hAnsi="Arial"/>
          <w:sz w:val="22"/>
          <w:szCs w:val="22"/>
        </w:rPr>
        <w:t>to</w:t>
      </w:r>
      <w:r>
        <w:rPr>
          <w:rFonts w:ascii="Arial" w:hAnsi="Arial"/>
          <w:sz w:val="22"/>
          <w:szCs w:val="22"/>
        </w:rPr>
        <w:t xml:space="preserve"> Wentworth reach </w:t>
      </w:r>
      <w:r w:rsidRPr="009D08F7">
        <w:rPr>
          <w:rFonts w:ascii="Arial" w:hAnsi="Arial"/>
          <w:sz w:val="22"/>
          <w:szCs w:val="22"/>
        </w:rPr>
        <w:t>was set to zero (P2</w:t>
      </w:r>
      <w:r>
        <w:rPr>
          <w:rFonts w:ascii="Arial" w:hAnsi="Arial"/>
          <w:sz w:val="22"/>
          <w:szCs w:val="22"/>
        </w:rPr>
        <w:t> </w:t>
      </w:r>
      <w:r w:rsidRPr="009D08F7">
        <w:rPr>
          <w:rFonts w:ascii="Arial" w:hAnsi="Arial"/>
          <w:sz w:val="22"/>
          <w:szCs w:val="22"/>
        </w:rPr>
        <w:t>=</w:t>
      </w:r>
      <w:r>
        <w:rPr>
          <w:rFonts w:ascii="Arial" w:hAnsi="Arial"/>
          <w:sz w:val="22"/>
          <w:szCs w:val="22"/>
        </w:rPr>
        <w:t> </w:t>
      </w:r>
      <w:r w:rsidRPr="009D08F7">
        <w:rPr>
          <w:rFonts w:ascii="Arial" w:hAnsi="Arial"/>
          <w:sz w:val="22"/>
          <w:szCs w:val="22"/>
        </w:rPr>
        <w:t>0);</w:t>
      </w:r>
    </w:p>
    <w:p w14:paraId="19B267F0" w14:textId="6635CD55" w:rsidR="00491210" w:rsidRPr="009D08F7" w:rsidRDefault="00EE200C" w:rsidP="009C5938">
      <w:pPr>
        <w:pStyle w:val="ListParagraph"/>
        <w:numPr>
          <w:ilvl w:val="0"/>
          <w:numId w:val="52"/>
        </w:numPr>
        <w:spacing w:line="240" w:lineRule="auto"/>
        <w:rPr>
          <w:rFonts w:ascii="Arial" w:hAnsi="Arial"/>
          <w:sz w:val="22"/>
          <w:szCs w:val="22"/>
        </w:rPr>
      </w:pPr>
      <w:r w:rsidRPr="009D08F7">
        <w:rPr>
          <w:rFonts w:ascii="Arial" w:hAnsi="Arial"/>
          <w:sz w:val="22"/>
          <w:szCs w:val="22"/>
        </w:rPr>
        <w:t>the Yarrawonga</w:t>
      </w:r>
      <w:r>
        <w:rPr>
          <w:rFonts w:ascii="Arial" w:hAnsi="Arial"/>
          <w:sz w:val="22"/>
          <w:szCs w:val="22"/>
        </w:rPr>
        <w:t xml:space="preserve"> </w:t>
      </w:r>
      <w:r w:rsidRPr="009D08F7">
        <w:rPr>
          <w:rFonts w:ascii="Arial" w:hAnsi="Arial"/>
          <w:sz w:val="22"/>
          <w:szCs w:val="22"/>
        </w:rPr>
        <w:t>to</w:t>
      </w:r>
      <w:r>
        <w:rPr>
          <w:rFonts w:ascii="Arial" w:hAnsi="Arial"/>
          <w:sz w:val="22"/>
          <w:szCs w:val="22"/>
        </w:rPr>
        <w:t xml:space="preserve"> </w:t>
      </w:r>
      <w:r w:rsidRPr="009D08F7">
        <w:rPr>
          <w:rFonts w:ascii="Arial" w:hAnsi="Arial"/>
          <w:sz w:val="22"/>
          <w:szCs w:val="22"/>
        </w:rPr>
        <w:t xml:space="preserve">Torrumbarry </w:t>
      </w:r>
      <w:r>
        <w:rPr>
          <w:rFonts w:ascii="Arial" w:hAnsi="Arial"/>
          <w:sz w:val="22"/>
          <w:szCs w:val="22"/>
        </w:rPr>
        <w:t xml:space="preserve">reach </w:t>
      </w:r>
      <w:r w:rsidRPr="009D08F7">
        <w:rPr>
          <w:rFonts w:ascii="Arial" w:hAnsi="Arial"/>
          <w:sz w:val="22"/>
          <w:szCs w:val="22"/>
        </w:rPr>
        <w:t>was set to zero (P3</w:t>
      </w:r>
      <w:r>
        <w:rPr>
          <w:rFonts w:ascii="Arial" w:hAnsi="Arial"/>
          <w:sz w:val="22"/>
          <w:szCs w:val="22"/>
        </w:rPr>
        <w:t> </w:t>
      </w:r>
      <w:r w:rsidRPr="009D08F7">
        <w:rPr>
          <w:rFonts w:ascii="Arial" w:hAnsi="Arial"/>
          <w:sz w:val="22"/>
          <w:szCs w:val="22"/>
        </w:rPr>
        <w:t>=</w:t>
      </w:r>
      <w:r>
        <w:rPr>
          <w:rFonts w:ascii="Arial" w:hAnsi="Arial"/>
          <w:sz w:val="22"/>
          <w:szCs w:val="22"/>
        </w:rPr>
        <w:t> </w:t>
      </w:r>
      <w:r w:rsidRPr="009D08F7">
        <w:rPr>
          <w:rFonts w:ascii="Arial" w:hAnsi="Arial"/>
          <w:sz w:val="22"/>
          <w:szCs w:val="22"/>
        </w:rPr>
        <w:t>0);</w:t>
      </w:r>
    </w:p>
    <w:p w14:paraId="6C4A155C" w14:textId="6067E914" w:rsidR="00491210" w:rsidRPr="009D08F7" w:rsidRDefault="00EE200C" w:rsidP="009C5938">
      <w:pPr>
        <w:pStyle w:val="ListParagraph"/>
        <w:numPr>
          <w:ilvl w:val="0"/>
          <w:numId w:val="52"/>
        </w:numPr>
        <w:spacing w:line="240" w:lineRule="auto"/>
        <w:rPr>
          <w:rFonts w:ascii="Arial" w:hAnsi="Arial"/>
          <w:sz w:val="22"/>
          <w:szCs w:val="22"/>
        </w:rPr>
      </w:pPr>
      <w:r w:rsidRPr="009D08F7">
        <w:rPr>
          <w:rFonts w:ascii="Arial" w:hAnsi="Arial"/>
          <w:sz w:val="22"/>
          <w:szCs w:val="22"/>
        </w:rPr>
        <w:t>the Lower Darling was set to zero (P5</w:t>
      </w:r>
      <w:r>
        <w:rPr>
          <w:rFonts w:ascii="Arial" w:hAnsi="Arial"/>
          <w:sz w:val="22"/>
          <w:szCs w:val="22"/>
        </w:rPr>
        <w:t> </w:t>
      </w:r>
      <w:r w:rsidRPr="009D08F7">
        <w:rPr>
          <w:rFonts w:ascii="Arial" w:hAnsi="Arial"/>
          <w:sz w:val="22"/>
          <w:szCs w:val="22"/>
        </w:rPr>
        <w:t>=</w:t>
      </w:r>
      <w:r>
        <w:rPr>
          <w:rFonts w:ascii="Arial" w:hAnsi="Arial"/>
          <w:sz w:val="22"/>
          <w:szCs w:val="22"/>
        </w:rPr>
        <w:t> </w:t>
      </w:r>
      <w:r w:rsidRPr="009D08F7">
        <w:rPr>
          <w:rFonts w:ascii="Arial" w:hAnsi="Arial"/>
          <w:sz w:val="22"/>
          <w:szCs w:val="22"/>
        </w:rPr>
        <w:t>0);</w:t>
      </w:r>
    </w:p>
    <w:p w14:paraId="71226CF2" w14:textId="24EC7A9C" w:rsidR="00491210" w:rsidRPr="009D08F7" w:rsidRDefault="00EE200C" w:rsidP="009C5938">
      <w:pPr>
        <w:pStyle w:val="ListParagraph"/>
        <w:numPr>
          <w:ilvl w:val="0"/>
          <w:numId w:val="52"/>
        </w:numPr>
        <w:spacing w:line="240" w:lineRule="auto"/>
        <w:rPr>
          <w:rFonts w:ascii="Arial" w:hAnsi="Arial"/>
          <w:sz w:val="22"/>
          <w:szCs w:val="22"/>
        </w:rPr>
      </w:pPr>
      <w:r w:rsidRPr="009D08F7">
        <w:rPr>
          <w:rFonts w:ascii="Arial" w:hAnsi="Arial"/>
          <w:sz w:val="22"/>
          <w:szCs w:val="22"/>
        </w:rPr>
        <w:t xml:space="preserve">the </w:t>
      </w:r>
      <w:r>
        <w:rPr>
          <w:rFonts w:ascii="Arial" w:hAnsi="Arial"/>
          <w:sz w:val="22"/>
          <w:szCs w:val="22"/>
        </w:rPr>
        <w:t>Hay to Balranald reach</w:t>
      </w:r>
      <w:r w:rsidRPr="009D08F7">
        <w:rPr>
          <w:rFonts w:ascii="Arial" w:hAnsi="Arial"/>
          <w:sz w:val="22"/>
          <w:szCs w:val="22"/>
        </w:rPr>
        <w:t xml:space="preserve"> was set to zero (P6</w:t>
      </w:r>
      <w:r>
        <w:rPr>
          <w:rFonts w:ascii="Arial" w:hAnsi="Arial"/>
          <w:sz w:val="22"/>
          <w:szCs w:val="22"/>
        </w:rPr>
        <w:t> </w:t>
      </w:r>
      <w:r w:rsidRPr="009D08F7">
        <w:rPr>
          <w:rFonts w:ascii="Arial" w:hAnsi="Arial"/>
          <w:sz w:val="22"/>
          <w:szCs w:val="22"/>
        </w:rPr>
        <w:t>=</w:t>
      </w:r>
      <w:r>
        <w:rPr>
          <w:rFonts w:ascii="Arial" w:hAnsi="Arial"/>
          <w:sz w:val="22"/>
          <w:szCs w:val="22"/>
        </w:rPr>
        <w:t> </w:t>
      </w:r>
      <w:r w:rsidRPr="009D08F7">
        <w:rPr>
          <w:rFonts w:ascii="Arial" w:hAnsi="Arial"/>
          <w:sz w:val="22"/>
          <w:szCs w:val="22"/>
        </w:rPr>
        <w:t>0); and</w:t>
      </w:r>
    </w:p>
    <w:p w14:paraId="50BA69F0" w14:textId="02FF08B5" w:rsidR="00491210" w:rsidRPr="009D08F7" w:rsidRDefault="00EE200C" w:rsidP="009C5938">
      <w:pPr>
        <w:pStyle w:val="ListParagraph"/>
        <w:numPr>
          <w:ilvl w:val="0"/>
          <w:numId w:val="52"/>
        </w:numPr>
        <w:spacing w:line="240" w:lineRule="auto"/>
        <w:rPr>
          <w:rFonts w:ascii="Arial" w:hAnsi="Arial"/>
          <w:sz w:val="22"/>
          <w:szCs w:val="22"/>
        </w:rPr>
      </w:pPr>
      <w:r w:rsidRPr="009D08F7">
        <w:rPr>
          <w:rFonts w:ascii="Arial" w:hAnsi="Arial"/>
          <w:sz w:val="22"/>
          <w:szCs w:val="22"/>
        </w:rPr>
        <w:t>the Edward River was set to zero (P7</w:t>
      </w:r>
      <w:r>
        <w:rPr>
          <w:rFonts w:ascii="Arial" w:hAnsi="Arial"/>
          <w:sz w:val="22"/>
          <w:szCs w:val="22"/>
        </w:rPr>
        <w:t> </w:t>
      </w:r>
      <w:r w:rsidRPr="009D08F7">
        <w:rPr>
          <w:rFonts w:ascii="Arial" w:hAnsi="Arial"/>
          <w:sz w:val="22"/>
          <w:szCs w:val="22"/>
        </w:rPr>
        <w:t>=</w:t>
      </w:r>
      <w:r>
        <w:rPr>
          <w:rFonts w:ascii="Arial" w:hAnsi="Arial"/>
          <w:sz w:val="22"/>
          <w:szCs w:val="22"/>
        </w:rPr>
        <w:t> </w:t>
      </w:r>
      <w:r w:rsidRPr="009D08F7">
        <w:rPr>
          <w:rFonts w:ascii="Arial" w:hAnsi="Arial"/>
          <w:sz w:val="22"/>
          <w:szCs w:val="22"/>
        </w:rPr>
        <w:t>0).</w:t>
      </w:r>
    </w:p>
    <w:p w14:paraId="1A7EF6EE" w14:textId="502F9E04" w:rsidR="00491210" w:rsidRPr="009D08F7" w:rsidRDefault="00EE200C" w:rsidP="00865CEB">
      <w:pPr>
        <w:spacing w:before="240" w:after="240"/>
        <w:jc w:val="both"/>
        <w:rPr>
          <w:sz w:val="22"/>
          <w:szCs w:val="22"/>
        </w:rPr>
      </w:pPr>
      <w:r>
        <w:rPr>
          <w:sz w:val="22"/>
          <w:szCs w:val="22"/>
        </w:rPr>
        <w:t>The upper Murrumbidgee (Gundagai to Hay) and upper Murray (Hume to Yarrawonga) reaches were not included in the sensitivity analysis as they only had one connection.</w:t>
      </w:r>
    </w:p>
    <w:p w14:paraId="13D3BAAA" w14:textId="62CAA329" w:rsidR="00491210" w:rsidRDefault="00EE200C" w:rsidP="00865CEB">
      <w:pPr>
        <w:spacing w:before="240" w:after="240"/>
        <w:jc w:val="both"/>
        <w:rPr>
          <w:sz w:val="22"/>
          <w:szCs w:val="22"/>
        </w:rPr>
      </w:pPr>
      <w:r>
        <w:rPr>
          <w:sz w:val="22"/>
          <w:szCs w:val="22"/>
        </w:rPr>
        <w:t xml:space="preserve">Figure A4.4 and Figure A4.5 </w:t>
      </w:r>
      <w:r w:rsidRPr="004A69B8">
        <w:rPr>
          <w:sz w:val="22"/>
          <w:szCs w:val="22"/>
        </w:rPr>
        <w:t xml:space="preserve">show </w:t>
      </w:r>
      <w:r>
        <w:rPr>
          <w:sz w:val="22"/>
          <w:szCs w:val="22"/>
        </w:rPr>
        <w:t xml:space="preserve">the </w:t>
      </w:r>
      <w:r w:rsidRPr="004A69B8">
        <w:rPr>
          <w:sz w:val="22"/>
          <w:szCs w:val="22"/>
        </w:rPr>
        <w:t>model behaviour to be dependent upon the movement rates specified in the model. Specifying</w:t>
      </w:r>
      <w:r>
        <w:rPr>
          <w:sz w:val="22"/>
          <w:szCs w:val="22"/>
        </w:rPr>
        <w:t xml:space="preserve"> no movement from the Lower Murray had a negative impact on the Total RRCP Populations due to the lack of contribution of migrating fish from the Lower Murray to the rest of the metapopulation. While there was a decline in the Total RRCP Populations in this scenario compared with the default, there was an increase in the Total Population, as the Golden Perch population in the Lower Murray increased in size but was not accounted for in the Total RRCP Populations. Setting no movement from the </w:t>
      </w:r>
      <w:r w:rsidRPr="009D08F7">
        <w:rPr>
          <w:sz w:val="22"/>
          <w:szCs w:val="22"/>
        </w:rPr>
        <w:t>Torrumbarry</w:t>
      </w:r>
      <w:r>
        <w:rPr>
          <w:sz w:val="22"/>
          <w:szCs w:val="22"/>
        </w:rPr>
        <w:t xml:space="preserve"> </w:t>
      </w:r>
      <w:r w:rsidRPr="009D08F7">
        <w:rPr>
          <w:sz w:val="22"/>
          <w:szCs w:val="22"/>
        </w:rPr>
        <w:t>to</w:t>
      </w:r>
      <w:r>
        <w:rPr>
          <w:sz w:val="22"/>
          <w:szCs w:val="22"/>
        </w:rPr>
        <w:t xml:space="preserve"> Wentworth</w:t>
      </w:r>
      <w:r w:rsidRPr="009D08F7">
        <w:rPr>
          <w:sz w:val="22"/>
          <w:szCs w:val="22"/>
        </w:rPr>
        <w:t xml:space="preserve"> </w:t>
      </w:r>
      <w:r>
        <w:rPr>
          <w:sz w:val="22"/>
          <w:szCs w:val="22"/>
        </w:rPr>
        <w:t xml:space="preserve">reach, and separately setting no movement from the Lower Darling, had similar effects on the Total RRCP Populations, causing large declines in comparison with the default (Figure A4.4 and Figure A4.5). The </w:t>
      </w:r>
      <w:r w:rsidRPr="009D08F7">
        <w:rPr>
          <w:sz w:val="22"/>
          <w:szCs w:val="22"/>
        </w:rPr>
        <w:t>Torrumbarry</w:t>
      </w:r>
      <w:r>
        <w:rPr>
          <w:sz w:val="22"/>
          <w:szCs w:val="22"/>
        </w:rPr>
        <w:t xml:space="preserve"> </w:t>
      </w:r>
      <w:r w:rsidRPr="009D08F7">
        <w:rPr>
          <w:sz w:val="22"/>
          <w:szCs w:val="22"/>
        </w:rPr>
        <w:t>to</w:t>
      </w:r>
      <w:r>
        <w:rPr>
          <w:sz w:val="22"/>
          <w:szCs w:val="22"/>
        </w:rPr>
        <w:t xml:space="preserve"> Wentworth reach is an important connecting reach—it is connected to five other populations, and stopping movement from this population negatively affects the whole metapopulation. The Lower Darling is an important migratory pathway connecting the Northern Murray–Darling Basin with the Southern MDB, and when this connection is removed, the Total RRCP Populations decline. The other three populations assessed by removing their connections to the metapopulation showed little effect. The mean trajectories and expected mean population size bar charts presented above (Figure A4.4 and Figure A4.5) were comparable, i.e. the Base case results were comparable with the default Base Case results. However, when the Base case was compared with Option 4, it was observed that in all circumstances Option 4 generated a higher expected mean population size for the Total RRCP Populations (Figure A4.6). This was the case for all sensitivity scenarios except for P1 = 0, which was only slightly higher (Figure A4.6).</w:t>
      </w:r>
    </w:p>
    <w:p w14:paraId="5773E036" w14:textId="04B1E74F" w:rsidR="00491210" w:rsidRDefault="00EE200C" w:rsidP="00E11D7A">
      <w:pPr>
        <w:spacing w:before="240" w:after="240"/>
        <w:jc w:val="both"/>
        <w:rPr>
          <w:szCs w:val="20"/>
        </w:rPr>
      </w:pPr>
      <w:r w:rsidRPr="00E11D7A">
        <w:rPr>
          <w:noProof/>
          <w:sz w:val="22"/>
          <w:szCs w:val="22"/>
        </w:rPr>
        <w:t xml:space="preserve"> </w:t>
      </w:r>
      <w:r w:rsidR="003E1401">
        <w:rPr>
          <w:noProof/>
          <w:lang w:eastAsia="en-AU"/>
        </w:rPr>
        <w:t xml:space="preserve">  </w:t>
      </w:r>
    </w:p>
    <w:p w14:paraId="5835922C" w14:textId="140973B4" w:rsidR="00491210" w:rsidRPr="00746A3E" w:rsidRDefault="00EE200C" w:rsidP="00F602FE">
      <w:pPr>
        <w:pStyle w:val="AppendixFigureCaption"/>
      </w:pPr>
      <w:bookmarkStart w:id="434" w:name="_Ref105009522"/>
      <w:r>
        <w:t>Figure A4.</w:t>
      </w:r>
      <w:r>
        <w:fldChar w:fldCharType="begin"/>
      </w:r>
      <w:r>
        <w:instrText>SEQ Figure_A4. \* ARABIC</w:instrText>
      </w:r>
      <w:r>
        <w:fldChar w:fldCharType="separate"/>
      </w:r>
      <w:r w:rsidR="005B672A">
        <w:rPr>
          <w:noProof/>
        </w:rPr>
        <w:t>1</w:t>
      </w:r>
      <w:r>
        <w:fldChar w:fldCharType="end"/>
      </w:r>
      <w:bookmarkEnd w:id="434"/>
      <w:r w:rsidRPr="00DD7D8C">
        <w:t xml:space="preserve">. </w:t>
      </w:r>
      <w:r>
        <w:t>The Base case sensitivity analysis 1 scenarios m</w:t>
      </w:r>
      <w:r w:rsidRPr="7ADEDDC3">
        <w:rPr>
          <w:szCs w:val="20"/>
        </w:rPr>
        <w:t xml:space="preserve">odelled </w:t>
      </w:r>
      <w:r>
        <w:rPr>
          <w:szCs w:val="20"/>
        </w:rPr>
        <w:t xml:space="preserve">for </w:t>
      </w:r>
      <w:r w:rsidRPr="00E2105C">
        <w:rPr>
          <w:szCs w:val="20"/>
        </w:rPr>
        <w:t>Golden Perch adult populations aggregated across all reaches in this study in the southern</w:t>
      </w:r>
      <w:r>
        <w:rPr>
          <w:szCs w:val="20"/>
        </w:rPr>
        <w:t xml:space="preserve"> MDB</w:t>
      </w:r>
      <w:r w:rsidRPr="00746A3E">
        <w:t>. Top panel: the</w:t>
      </w:r>
      <w:r w:rsidRPr="00746A3E">
        <w:rPr>
          <w:szCs w:val="20"/>
        </w:rPr>
        <w:t xml:space="preserve"> mean </w:t>
      </w:r>
      <w:r w:rsidRPr="00746A3E">
        <w:t xml:space="preserve">adult population size </w:t>
      </w:r>
      <w:r w:rsidRPr="00746A3E">
        <w:rPr>
          <w:szCs w:val="20"/>
        </w:rPr>
        <w:t xml:space="preserve">trajectories. Bottom panel: the </w:t>
      </w:r>
      <w:r w:rsidRPr="00746A3E">
        <w:t xml:space="preserve">expected mean </w:t>
      </w:r>
      <w:r w:rsidRPr="009C5938">
        <w:t xml:space="preserve">adult </w:t>
      </w:r>
      <w:r w:rsidRPr="00746A3E">
        <w:t>population size</w:t>
      </w:r>
      <w:r>
        <w:t>s</w:t>
      </w:r>
      <w:r w:rsidRPr="009C5938">
        <w:t>,</w:t>
      </w:r>
      <w:r w:rsidRPr="00746A3E">
        <w:t xml:space="preserve"> with </w:t>
      </w:r>
      <w:r w:rsidRPr="009C5938">
        <w:t>the percentage</w:t>
      </w:r>
      <w:r w:rsidRPr="00746A3E">
        <w:t xml:space="preserve"> change from the default shown in each bar.</w:t>
      </w:r>
    </w:p>
    <w:p w14:paraId="65E5EFA3" w14:textId="44AF6CBE" w:rsidR="00491210" w:rsidRDefault="003E1401" w:rsidP="00EE5092">
      <w:pPr>
        <w:spacing w:after="0"/>
        <w:rPr>
          <w:szCs w:val="20"/>
        </w:rPr>
      </w:pPr>
      <w:r>
        <w:rPr>
          <w:noProof/>
          <w:lang w:eastAsia="en-AU"/>
        </w:rPr>
        <w:t xml:space="preserve">  </w:t>
      </w:r>
    </w:p>
    <w:p w14:paraId="0E0B9BAE" w14:textId="0A5A86CD" w:rsidR="00491210" w:rsidRDefault="00EE200C" w:rsidP="00F602FE">
      <w:pPr>
        <w:pStyle w:val="AppendixFigureCaption"/>
      </w:pPr>
      <w:bookmarkStart w:id="435" w:name="_Ref108006386"/>
      <w:r>
        <w:t>Figure A4.</w:t>
      </w:r>
      <w:r>
        <w:fldChar w:fldCharType="begin"/>
      </w:r>
      <w:r>
        <w:instrText>SEQ Figure_A4. \* ARABIC</w:instrText>
      </w:r>
      <w:r>
        <w:fldChar w:fldCharType="separate"/>
      </w:r>
      <w:r w:rsidR="005B672A">
        <w:rPr>
          <w:noProof/>
        </w:rPr>
        <w:t>2</w:t>
      </w:r>
      <w:r>
        <w:fldChar w:fldCharType="end"/>
      </w:r>
      <w:bookmarkEnd w:id="435"/>
      <w:r w:rsidRPr="00DD7D8C">
        <w:t xml:space="preserve">. </w:t>
      </w:r>
      <w:r>
        <w:t>Option 4 sensitivity 1 scenarios m</w:t>
      </w:r>
      <w:r w:rsidRPr="7ADEDDC3">
        <w:rPr>
          <w:szCs w:val="20"/>
        </w:rPr>
        <w:t xml:space="preserve">odelled </w:t>
      </w:r>
      <w:r>
        <w:rPr>
          <w:szCs w:val="20"/>
        </w:rPr>
        <w:t xml:space="preserve">for </w:t>
      </w:r>
      <w:r w:rsidRPr="00E2105C">
        <w:rPr>
          <w:szCs w:val="20"/>
        </w:rPr>
        <w:t>Golden Perch adult populations aggregated across all reaches in this study in the southern</w:t>
      </w:r>
      <w:r>
        <w:rPr>
          <w:szCs w:val="20"/>
        </w:rPr>
        <w:t xml:space="preserve"> MDB.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4B0CB9E9" w14:textId="20E2B9CD" w:rsidR="00491210" w:rsidRPr="00DF5DA6" w:rsidRDefault="003E1401" w:rsidP="00BC0AA5">
      <w:pPr>
        <w:spacing w:after="0"/>
        <w:rPr>
          <w:szCs w:val="20"/>
        </w:rPr>
      </w:pPr>
      <w:r>
        <w:rPr>
          <w:noProof/>
          <w:lang w:eastAsia="en-AU"/>
        </w:rPr>
        <w:t xml:space="preserve"> </w:t>
      </w:r>
    </w:p>
    <w:p w14:paraId="42450AF1" w14:textId="0C8DF0F2" w:rsidR="00491210" w:rsidRDefault="00EE200C" w:rsidP="00F602FE">
      <w:pPr>
        <w:pStyle w:val="AppendixFigureCaption"/>
        <w:rPr>
          <w:szCs w:val="20"/>
        </w:rPr>
      </w:pPr>
      <w:bookmarkStart w:id="436" w:name="_Ref108006739"/>
      <w:r>
        <w:lastRenderedPageBreak/>
        <w:t>Figure A4.</w:t>
      </w:r>
      <w:r>
        <w:fldChar w:fldCharType="begin"/>
      </w:r>
      <w:r>
        <w:instrText>SEQ Figure_A4. \* ARABIC</w:instrText>
      </w:r>
      <w:r>
        <w:fldChar w:fldCharType="separate"/>
      </w:r>
      <w:r w:rsidR="005B672A">
        <w:rPr>
          <w:noProof/>
        </w:rPr>
        <w:t>3</w:t>
      </w:r>
      <w:r>
        <w:fldChar w:fldCharType="end"/>
      </w:r>
      <w:bookmarkEnd w:id="436"/>
      <w:r w:rsidRPr="00DD7D8C">
        <w:t xml:space="preserve">. </w:t>
      </w:r>
      <w:r>
        <w:t>Comparisons between Base case (solid colour) and Option 4 (striped colour) for the sensitivity 1 scenarios modelled in the Golden Perch sensitivity analysis</w:t>
      </w:r>
      <w:r>
        <w:rPr>
          <w:szCs w:val="20"/>
        </w:rPr>
        <w:t xml:space="preserve"> </w:t>
      </w:r>
      <w:r w:rsidRPr="00196983">
        <w:t>aggregated across all reaches in this study in the southern MDB</w:t>
      </w:r>
      <w:r>
        <w:rPr>
          <w:szCs w:val="20"/>
        </w:rPr>
        <w:t>.</w:t>
      </w:r>
    </w:p>
    <w:p w14:paraId="60DE5C71" w14:textId="391C14CF" w:rsidR="00491210" w:rsidRDefault="003E1401" w:rsidP="00206A35">
      <w:pPr>
        <w:spacing w:after="0"/>
        <w:rPr>
          <w:sz w:val="22"/>
          <w:szCs w:val="22"/>
        </w:rPr>
      </w:pPr>
      <w:r>
        <w:rPr>
          <w:noProof/>
          <w:lang w:eastAsia="en-AU"/>
        </w:rPr>
        <w:t xml:space="preserve">  </w:t>
      </w:r>
    </w:p>
    <w:p w14:paraId="4D8D3F14" w14:textId="66C4D615" w:rsidR="00491210" w:rsidRPr="00DD7D8C" w:rsidRDefault="00EE200C" w:rsidP="00206A35">
      <w:pPr>
        <w:pStyle w:val="AppendixFigureCaption"/>
      </w:pPr>
      <w:bookmarkStart w:id="437" w:name="_Ref108006459"/>
      <w:r>
        <w:t>Figure A4.</w:t>
      </w:r>
      <w:r>
        <w:fldChar w:fldCharType="begin"/>
      </w:r>
      <w:r>
        <w:instrText>SEQ Figure_A4. \* ARABIC</w:instrText>
      </w:r>
      <w:r>
        <w:fldChar w:fldCharType="separate"/>
      </w:r>
      <w:r w:rsidR="005B672A">
        <w:rPr>
          <w:noProof/>
        </w:rPr>
        <w:t>4</w:t>
      </w:r>
      <w:r>
        <w:fldChar w:fldCharType="end"/>
      </w:r>
      <w:bookmarkEnd w:id="437"/>
      <w:r w:rsidRPr="00DD7D8C">
        <w:t xml:space="preserve">. </w:t>
      </w:r>
      <w:r>
        <w:t>The Base case sensitivity 1 scenarios modelled in the Golden Perch sensitivity analysis</w:t>
      </w:r>
      <w:r>
        <w:rPr>
          <w:szCs w:val="20"/>
        </w:rPr>
        <w:t xml:space="preserve"> </w:t>
      </w:r>
      <w:r w:rsidRPr="006B2403">
        <w:t>cross all RRCP focal zones, together with the Wakool Junction to Wentworth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2E99168C" w14:textId="5EEA6359" w:rsidR="00491210" w:rsidRDefault="003E1401" w:rsidP="00776B2A">
      <w:pPr>
        <w:spacing w:after="0"/>
        <w:rPr>
          <w:sz w:val="22"/>
          <w:szCs w:val="22"/>
        </w:rPr>
      </w:pPr>
      <w:r>
        <w:rPr>
          <w:noProof/>
          <w:lang w:eastAsia="en-AU"/>
        </w:rPr>
        <w:t xml:space="preserve">  </w:t>
      </w:r>
    </w:p>
    <w:p w14:paraId="4202C284" w14:textId="4681FC20" w:rsidR="00491210" w:rsidRPr="00DD7D8C" w:rsidRDefault="00EE200C" w:rsidP="00776B2A">
      <w:pPr>
        <w:pStyle w:val="AppendixFigureCaption"/>
      </w:pPr>
      <w:r>
        <w:t>Figure A4.</w:t>
      </w:r>
      <w:r>
        <w:fldChar w:fldCharType="begin"/>
      </w:r>
      <w:r>
        <w:instrText>SEQ Figure_A4. \* ARABIC</w:instrText>
      </w:r>
      <w:r>
        <w:fldChar w:fldCharType="separate"/>
      </w:r>
      <w:r w:rsidR="005B672A">
        <w:rPr>
          <w:noProof/>
        </w:rPr>
        <w:t>5</w:t>
      </w:r>
      <w:r>
        <w:fldChar w:fldCharType="end"/>
      </w:r>
      <w:r w:rsidRPr="00DD7D8C">
        <w:t xml:space="preserve">. </w:t>
      </w:r>
      <w:r>
        <w:t>Option 4 sensitivity 1 scenarios modelled in the Golden Perch sensitivity analysis</w:t>
      </w:r>
      <w:r>
        <w:rPr>
          <w:szCs w:val="20"/>
        </w:rPr>
        <w:t xml:space="preserve"> </w:t>
      </w:r>
      <w:r w:rsidRPr="006B2403">
        <w:t>cross all RRCP focal zones, together with the Wakool Junction to Wentworth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3EB9CEE9" w14:textId="477ED601" w:rsidR="00491210" w:rsidRDefault="003E1401" w:rsidP="00206A35">
      <w:pPr>
        <w:pStyle w:val="AppendixFigureCaption"/>
      </w:pPr>
      <w:bookmarkStart w:id="438" w:name="_Ref111380329"/>
      <w:r>
        <w:rPr>
          <w:noProof/>
          <w:lang w:eastAsia="en-AU"/>
        </w:rPr>
        <w:t xml:space="preserve"> </w:t>
      </w:r>
      <w:r w:rsidR="00EE200C">
        <w:t xml:space="preserve"> Figure A4.</w:t>
      </w:r>
      <w:r w:rsidR="00EE200C">
        <w:fldChar w:fldCharType="begin"/>
      </w:r>
      <w:r w:rsidR="00EE200C">
        <w:instrText>SEQ Figure_A4. \* ARABIC</w:instrText>
      </w:r>
      <w:r w:rsidR="00EE200C">
        <w:fldChar w:fldCharType="separate"/>
      </w:r>
      <w:r w:rsidR="005B672A">
        <w:rPr>
          <w:noProof/>
        </w:rPr>
        <w:t>6</w:t>
      </w:r>
      <w:r w:rsidR="00EE200C">
        <w:fldChar w:fldCharType="end"/>
      </w:r>
      <w:bookmarkEnd w:id="438"/>
      <w:r w:rsidR="00EE200C" w:rsidRPr="00DD7D8C">
        <w:t xml:space="preserve">. </w:t>
      </w:r>
      <w:r w:rsidR="00EE200C">
        <w:t>Comparisons between Base case (solid colour) and Option 4 (striped colour) for the sensitivity 1 scenarios modelled in the Golden Perch sensitivity analysis</w:t>
      </w:r>
      <w:r w:rsidR="00EE200C">
        <w:rPr>
          <w:szCs w:val="20"/>
        </w:rPr>
        <w:t xml:space="preserve"> </w:t>
      </w:r>
      <w:r w:rsidR="00EE200C">
        <w:t xml:space="preserve">across </w:t>
      </w:r>
      <w:r w:rsidR="00EE200C" w:rsidRPr="00206A35">
        <w:t>all RRCP focal zones, together with the Wakool Junction to Wentworth reach</w:t>
      </w:r>
      <w:r w:rsidR="00EE200C">
        <w:rPr>
          <w:szCs w:val="20"/>
        </w:rPr>
        <w:t>.</w:t>
      </w:r>
    </w:p>
    <w:p w14:paraId="09E7BCC2" w14:textId="44E27991" w:rsidR="00491210" w:rsidRDefault="003E1401" w:rsidP="00BC0AA5">
      <w:pPr>
        <w:spacing w:after="0"/>
        <w:rPr>
          <w:sz w:val="22"/>
          <w:szCs w:val="22"/>
        </w:rPr>
      </w:pPr>
      <w:r>
        <w:rPr>
          <w:noProof/>
          <w:lang w:eastAsia="en-AU"/>
        </w:rPr>
        <w:t xml:space="preserve">  </w:t>
      </w:r>
    </w:p>
    <w:p w14:paraId="1A412224" w14:textId="43C545CA"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7</w:t>
      </w:r>
      <w:r>
        <w:fldChar w:fldCharType="end"/>
      </w:r>
      <w:r w:rsidRPr="00DD7D8C">
        <w:t xml:space="preserve">. </w:t>
      </w:r>
      <w:r>
        <w:t>The Base case sensitivity 1 scenarios modelled in the Golden Perch sensitivity analysis</w:t>
      </w:r>
      <w:r>
        <w:rPr>
          <w:szCs w:val="20"/>
        </w:rPr>
        <w:t xml:space="preserve"> </w:t>
      </w:r>
      <w:r w:rsidRPr="004D652D">
        <w:t>aggregated across the Murray River RRCP focal zones (including the Edward River), together with the Wakool Junction to Wentworth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33F8E12A" w14:textId="5D4A3209" w:rsidR="00491210" w:rsidRDefault="003E1401" w:rsidP="00BC0AA5">
      <w:pPr>
        <w:spacing w:after="0"/>
        <w:rPr>
          <w:sz w:val="22"/>
          <w:szCs w:val="22"/>
        </w:rPr>
      </w:pPr>
      <w:r>
        <w:rPr>
          <w:noProof/>
          <w:lang w:eastAsia="en-AU"/>
        </w:rPr>
        <w:t xml:space="preserve">  </w:t>
      </w:r>
    </w:p>
    <w:p w14:paraId="6DE2DA9A" w14:textId="43679BE2"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8</w:t>
      </w:r>
      <w:r>
        <w:fldChar w:fldCharType="end"/>
      </w:r>
      <w:r w:rsidRPr="00DD7D8C">
        <w:t xml:space="preserve">. </w:t>
      </w:r>
      <w:r>
        <w:t>Option 4 sensitivity 1 scenarios modelled in the Golden Perch sensitivity analysis</w:t>
      </w:r>
      <w:r>
        <w:rPr>
          <w:szCs w:val="20"/>
        </w:rPr>
        <w:t xml:space="preserve"> </w:t>
      </w:r>
      <w:r w:rsidRPr="004D652D">
        <w:t>aggregated across the Murray River RRCP focal zones (including the Edward River), together with the Wakool Junction to Wentworth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32E937B0" w14:textId="5F0DCBCF" w:rsidR="00491210" w:rsidRPr="00DF5DA6" w:rsidRDefault="003E1401" w:rsidP="00BC0AA5">
      <w:pPr>
        <w:spacing w:after="0"/>
        <w:rPr>
          <w:szCs w:val="20"/>
        </w:rPr>
      </w:pPr>
      <w:r>
        <w:rPr>
          <w:noProof/>
          <w:lang w:eastAsia="en-AU"/>
        </w:rPr>
        <w:t xml:space="preserve"> </w:t>
      </w:r>
      <w:r w:rsidR="00EE200C" w:rsidRPr="0083166E">
        <w:rPr>
          <w:noProof/>
          <w:sz w:val="22"/>
          <w:szCs w:val="22"/>
        </w:rPr>
        <w:t xml:space="preserve"> </w:t>
      </w:r>
    </w:p>
    <w:p w14:paraId="380A2A96" w14:textId="1929F284" w:rsidR="00491210" w:rsidRDefault="00EE200C" w:rsidP="00F602FE">
      <w:pPr>
        <w:pStyle w:val="AppendixFigureCaption"/>
      </w:pPr>
      <w:r>
        <w:t>Figure A4.</w:t>
      </w:r>
      <w:r>
        <w:fldChar w:fldCharType="begin"/>
      </w:r>
      <w:r>
        <w:instrText>SEQ Figure_A4. \* ARABIC</w:instrText>
      </w:r>
      <w:r>
        <w:fldChar w:fldCharType="separate"/>
      </w:r>
      <w:r w:rsidR="005B672A">
        <w:rPr>
          <w:noProof/>
        </w:rPr>
        <w:t>9</w:t>
      </w:r>
      <w:r>
        <w:fldChar w:fldCharType="end"/>
      </w:r>
      <w:r w:rsidRPr="00DD7D8C">
        <w:t xml:space="preserve">. </w:t>
      </w:r>
      <w:r>
        <w:t>Comparisons between Base case (solid colour) and Option 4 (striped colour) for the sensitivity 1 scenarios modelled in the Golden Perch sensitivity analysis</w:t>
      </w:r>
      <w:r>
        <w:rPr>
          <w:szCs w:val="20"/>
        </w:rPr>
        <w:t xml:space="preserve"> </w:t>
      </w:r>
      <w:r w:rsidRPr="004D652D">
        <w:t>aggregated across the Murray River RRCP focal zones (including the Edward River), together with the Wakool Junction to Wentworth reach</w:t>
      </w:r>
      <w:r>
        <w:rPr>
          <w:szCs w:val="20"/>
        </w:rPr>
        <w:t>.</w:t>
      </w:r>
    </w:p>
    <w:p w14:paraId="0C282E26" w14:textId="1093CB9D" w:rsidR="00491210" w:rsidRPr="007120A3" w:rsidRDefault="003E1401" w:rsidP="007120A3">
      <w:pPr>
        <w:spacing w:after="0"/>
        <w:rPr>
          <w:szCs w:val="20"/>
        </w:rPr>
      </w:pPr>
      <w:r>
        <w:rPr>
          <w:noProof/>
          <w:lang w:eastAsia="en-AU"/>
        </w:rPr>
        <w:t xml:space="preserve">  </w:t>
      </w:r>
    </w:p>
    <w:p w14:paraId="432678CC" w14:textId="0D9CA2F4"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10</w:t>
      </w:r>
      <w:r>
        <w:fldChar w:fldCharType="end"/>
      </w:r>
      <w:r w:rsidRPr="00DD7D8C">
        <w:t xml:space="preserve">. </w:t>
      </w:r>
      <w:r>
        <w:t>The Base case sensitivity 1 scenarios modelled in the Golden Perch sensitivity analysis</w:t>
      </w:r>
      <w:r>
        <w:rPr>
          <w:szCs w:val="20"/>
        </w:rPr>
        <w:t xml:space="preserve"> </w:t>
      </w:r>
      <w:r w:rsidRPr="003B2020">
        <w:t>aggregated across the Murrumbidgee River RRCP focal zone</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11552D98" w14:textId="2F3F3EB8" w:rsidR="00491210" w:rsidRDefault="003E1401" w:rsidP="00507872">
      <w:pPr>
        <w:spacing w:after="0"/>
        <w:rPr>
          <w:sz w:val="22"/>
          <w:szCs w:val="22"/>
        </w:rPr>
      </w:pPr>
      <w:r>
        <w:rPr>
          <w:noProof/>
          <w:lang w:eastAsia="en-AU"/>
        </w:rPr>
        <w:t xml:space="preserve">  </w:t>
      </w:r>
    </w:p>
    <w:p w14:paraId="0BC2D832" w14:textId="1FB82ECC"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11</w:t>
      </w:r>
      <w:r>
        <w:fldChar w:fldCharType="end"/>
      </w:r>
      <w:r w:rsidRPr="00DD7D8C">
        <w:t xml:space="preserve">. </w:t>
      </w:r>
      <w:r>
        <w:t>Option 4 sensitivity 1 scenarios modelled in the Golden Perch sensitivity analysis</w:t>
      </w:r>
      <w:r>
        <w:rPr>
          <w:szCs w:val="20"/>
        </w:rPr>
        <w:t xml:space="preserve"> </w:t>
      </w:r>
      <w:r w:rsidRPr="003B2020">
        <w:t>aggregated across the Murrumbidgee River RRCP focal zone</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4CEC9D93" w14:textId="04E16E86" w:rsidR="00491210" w:rsidRPr="00DF5DA6" w:rsidRDefault="003E1401" w:rsidP="00507872">
      <w:pPr>
        <w:spacing w:after="0"/>
        <w:rPr>
          <w:szCs w:val="20"/>
        </w:rPr>
      </w:pPr>
      <w:r>
        <w:rPr>
          <w:noProof/>
          <w:lang w:eastAsia="en-AU"/>
        </w:rPr>
        <w:t xml:space="preserve"> </w:t>
      </w:r>
    </w:p>
    <w:p w14:paraId="2C65FF13" w14:textId="2AEC69A0" w:rsidR="00491210" w:rsidRDefault="00EE200C" w:rsidP="00F602FE">
      <w:pPr>
        <w:pStyle w:val="AppendixFigureCaption"/>
      </w:pPr>
      <w:r>
        <w:t>Figure A4.</w:t>
      </w:r>
      <w:r>
        <w:fldChar w:fldCharType="begin"/>
      </w:r>
      <w:r>
        <w:instrText>SEQ Figure_A4. \* ARABIC</w:instrText>
      </w:r>
      <w:r>
        <w:fldChar w:fldCharType="separate"/>
      </w:r>
      <w:r w:rsidR="005B672A">
        <w:rPr>
          <w:noProof/>
        </w:rPr>
        <w:t>12</w:t>
      </w:r>
      <w:r>
        <w:fldChar w:fldCharType="end"/>
      </w:r>
      <w:r w:rsidRPr="00DD7D8C">
        <w:t xml:space="preserve">. </w:t>
      </w:r>
      <w:r>
        <w:t>Comparisons between Base case (solid colour) and Option 4 (striped colour) for the sensitivity 1 scenarios modelled in the Golden Perch sensitivity analysis</w:t>
      </w:r>
      <w:r>
        <w:rPr>
          <w:szCs w:val="20"/>
        </w:rPr>
        <w:t xml:space="preserve"> </w:t>
      </w:r>
      <w:r w:rsidRPr="003B2020">
        <w:t>aggregated across the Murrumbidgee River RRCP focal zone</w:t>
      </w:r>
      <w:r>
        <w:rPr>
          <w:szCs w:val="20"/>
        </w:rPr>
        <w:t>.</w:t>
      </w:r>
    </w:p>
    <w:p w14:paraId="44F4A075" w14:textId="69DDBC26" w:rsidR="00491210" w:rsidRDefault="003E1401" w:rsidP="00507872">
      <w:pPr>
        <w:spacing w:after="0"/>
        <w:rPr>
          <w:sz w:val="22"/>
          <w:szCs w:val="22"/>
        </w:rPr>
      </w:pPr>
      <w:r>
        <w:rPr>
          <w:noProof/>
          <w:lang w:eastAsia="en-AU"/>
        </w:rPr>
        <w:t xml:space="preserve">  </w:t>
      </w:r>
    </w:p>
    <w:p w14:paraId="77BC86D6" w14:textId="21E0A09D"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13</w:t>
      </w:r>
      <w:r>
        <w:fldChar w:fldCharType="end"/>
      </w:r>
      <w:r w:rsidRPr="00DD7D8C">
        <w:t xml:space="preserve">. </w:t>
      </w:r>
      <w:r>
        <w:t>The Base case sensitivity 1 scenarios modelled in the Golden Perch sensitivity analysis</w:t>
      </w:r>
      <w:r>
        <w:rPr>
          <w:szCs w:val="20"/>
        </w:rPr>
        <w:t xml:space="preserve"> </w:t>
      </w:r>
      <w:r>
        <w:t>in the Torrumbarry to Wentworth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168DB3E2" w14:textId="189844D9" w:rsidR="00491210" w:rsidRDefault="003E1401" w:rsidP="00507872">
      <w:pPr>
        <w:spacing w:after="0"/>
        <w:rPr>
          <w:sz w:val="22"/>
          <w:szCs w:val="22"/>
        </w:rPr>
      </w:pPr>
      <w:r>
        <w:rPr>
          <w:noProof/>
          <w:lang w:eastAsia="en-AU"/>
        </w:rPr>
        <w:t xml:space="preserve">  </w:t>
      </w:r>
    </w:p>
    <w:p w14:paraId="553AAD8E" w14:textId="74A58655" w:rsidR="00491210" w:rsidRPr="00DD7D8C" w:rsidRDefault="00EE200C" w:rsidP="00F602FE">
      <w:pPr>
        <w:pStyle w:val="AppendixFigureCaption"/>
      </w:pPr>
      <w:r>
        <w:lastRenderedPageBreak/>
        <w:t>Figure A4.</w:t>
      </w:r>
      <w:r>
        <w:fldChar w:fldCharType="begin"/>
      </w:r>
      <w:r>
        <w:instrText>SEQ Figure_A4. \* ARABIC</w:instrText>
      </w:r>
      <w:r>
        <w:fldChar w:fldCharType="separate"/>
      </w:r>
      <w:r w:rsidR="005B672A">
        <w:rPr>
          <w:noProof/>
        </w:rPr>
        <w:t>14</w:t>
      </w:r>
      <w:r>
        <w:fldChar w:fldCharType="end"/>
      </w:r>
      <w:r w:rsidRPr="00DD7D8C">
        <w:t xml:space="preserve">. </w:t>
      </w:r>
      <w:r>
        <w:t>Option 4 sensitivity 1 scenarios modelled in the Golden Perch sensitivity analysis</w:t>
      </w:r>
      <w:r>
        <w:rPr>
          <w:szCs w:val="20"/>
        </w:rPr>
        <w:t xml:space="preserve"> in the </w:t>
      </w:r>
      <w:r>
        <w:t>Torrumbarry to Wentworth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4721133A" w14:textId="2A6E7825" w:rsidR="00491210" w:rsidRPr="00DF5DA6" w:rsidRDefault="003E1401" w:rsidP="00507872">
      <w:pPr>
        <w:spacing w:after="0"/>
        <w:rPr>
          <w:szCs w:val="20"/>
        </w:rPr>
      </w:pPr>
      <w:r>
        <w:rPr>
          <w:noProof/>
          <w:lang w:eastAsia="en-AU"/>
        </w:rPr>
        <w:t xml:space="preserve"> </w:t>
      </w:r>
    </w:p>
    <w:p w14:paraId="5AEB6E76" w14:textId="2CBBC6A0" w:rsidR="00491210" w:rsidRDefault="00EE200C" w:rsidP="00F602FE">
      <w:pPr>
        <w:pStyle w:val="AppendixFigureCaption"/>
      </w:pPr>
      <w:r>
        <w:t>Figure A4.</w:t>
      </w:r>
      <w:r>
        <w:fldChar w:fldCharType="begin"/>
      </w:r>
      <w:r>
        <w:instrText>SEQ Figure_A4. \* ARABIC</w:instrText>
      </w:r>
      <w:r>
        <w:fldChar w:fldCharType="separate"/>
      </w:r>
      <w:r w:rsidR="005B672A">
        <w:rPr>
          <w:noProof/>
        </w:rPr>
        <w:t>15</w:t>
      </w:r>
      <w:r>
        <w:fldChar w:fldCharType="end"/>
      </w:r>
      <w:r w:rsidRPr="00DD7D8C">
        <w:t xml:space="preserve">. </w:t>
      </w:r>
      <w:r>
        <w:t>Comparisons between Base case (solid colour) and Option 4 (striped colour) for the sensitivity 1 scenarios m</w:t>
      </w:r>
      <w:r w:rsidRPr="7ADEDDC3">
        <w:rPr>
          <w:szCs w:val="20"/>
        </w:rPr>
        <w:t xml:space="preserve">odelled </w:t>
      </w:r>
      <w:r>
        <w:rPr>
          <w:szCs w:val="20"/>
        </w:rPr>
        <w:t xml:space="preserve">for </w:t>
      </w:r>
      <w:r w:rsidRPr="7ADEDDC3">
        <w:rPr>
          <w:szCs w:val="20"/>
        </w:rPr>
        <w:t>Golden Perch</w:t>
      </w:r>
      <w:r>
        <w:rPr>
          <w:szCs w:val="20"/>
        </w:rPr>
        <w:t xml:space="preserve"> sensitivity in the </w:t>
      </w:r>
      <w:r>
        <w:t>Torrumbarry to Wentworth reach</w:t>
      </w:r>
      <w:r>
        <w:rPr>
          <w:szCs w:val="20"/>
        </w:rPr>
        <w:t>.</w:t>
      </w:r>
    </w:p>
    <w:p w14:paraId="22E75F57" w14:textId="3B06DFE3" w:rsidR="00491210" w:rsidRDefault="003E1401" w:rsidP="00220BF0">
      <w:pPr>
        <w:spacing w:after="0"/>
        <w:rPr>
          <w:sz w:val="22"/>
          <w:szCs w:val="22"/>
        </w:rPr>
      </w:pPr>
      <w:r>
        <w:rPr>
          <w:noProof/>
          <w:lang w:eastAsia="en-AU"/>
        </w:rPr>
        <w:t xml:space="preserve">  </w:t>
      </w:r>
    </w:p>
    <w:p w14:paraId="21413EDB" w14:textId="4542D5BD"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16</w:t>
      </w:r>
      <w:r>
        <w:fldChar w:fldCharType="end"/>
      </w:r>
      <w:r w:rsidRPr="00DD7D8C">
        <w:t xml:space="preserve">. </w:t>
      </w:r>
      <w:r>
        <w:t>The Base case sensitivity 1 scenarios modelled in the Golden Perch sensitivity analysis</w:t>
      </w:r>
      <w:r>
        <w:rPr>
          <w:szCs w:val="20"/>
        </w:rPr>
        <w:t xml:space="preserve"> </w:t>
      </w:r>
      <w:r>
        <w:t>in the Yarrawonga to Torrumbarry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5F152568" w14:textId="01B64FA8" w:rsidR="00491210" w:rsidRDefault="003E1401" w:rsidP="00220BF0">
      <w:pPr>
        <w:spacing w:after="0"/>
        <w:rPr>
          <w:sz w:val="22"/>
          <w:szCs w:val="22"/>
        </w:rPr>
      </w:pPr>
      <w:r>
        <w:rPr>
          <w:noProof/>
          <w:lang w:eastAsia="en-AU"/>
        </w:rPr>
        <w:t xml:space="preserve">  </w:t>
      </w:r>
    </w:p>
    <w:p w14:paraId="4948FC6B" w14:textId="68890183"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17</w:t>
      </w:r>
      <w:r>
        <w:fldChar w:fldCharType="end"/>
      </w:r>
      <w:r w:rsidRPr="00DD7D8C">
        <w:t xml:space="preserve">. </w:t>
      </w:r>
      <w:r>
        <w:t>Option 4 sensitivity 1 scenarios modelled in the Golden Perch sensitivity analysis for the Yarrawonga to Torrumbarry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10087575" w14:textId="79F8641F" w:rsidR="00491210" w:rsidRPr="00DF5DA6" w:rsidRDefault="003E1401" w:rsidP="00220BF0">
      <w:pPr>
        <w:spacing w:after="0"/>
        <w:rPr>
          <w:szCs w:val="20"/>
        </w:rPr>
      </w:pPr>
      <w:r>
        <w:rPr>
          <w:noProof/>
          <w:lang w:eastAsia="en-AU"/>
        </w:rPr>
        <w:t xml:space="preserve"> </w:t>
      </w:r>
    </w:p>
    <w:p w14:paraId="2F8EC227" w14:textId="63B4E6ED" w:rsidR="00491210" w:rsidRDefault="00EE200C" w:rsidP="00F602FE">
      <w:pPr>
        <w:pStyle w:val="AppendixFigureCaption"/>
      </w:pPr>
      <w:r>
        <w:t>Figure A4.</w:t>
      </w:r>
      <w:r>
        <w:fldChar w:fldCharType="begin"/>
      </w:r>
      <w:r>
        <w:instrText>SEQ Figure_A4. \* ARABIC</w:instrText>
      </w:r>
      <w:r>
        <w:fldChar w:fldCharType="separate"/>
      </w:r>
      <w:r w:rsidR="005B672A">
        <w:rPr>
          <w:noProof/>
        </w:rPr>
        <w:t>18</w:t>
      </w:r>
      <w:r>
        <w:fldChar w:fldCharType="end"/>
      </w:r>
      <w:r w:rsidRPr="00DD7D8C">
        <w:t xml:space="preserve">. </w:t>
      </w:r>
      <w:r>
        <w:t>Comparisons between Base case (solid colour) and Option 4 (striped colour) for the sensitivity 1 scenarios m</w:t>
      </w:r>
      <w:r w:rsidRPr="7ADEDDC3">
        <w:rPr>
          <w:szCs w:val="20"/>
        </w:rPr>
        <w:t xml:space="preserve">odelled </w:t>
      </w:r>
      <w:r>
        <w:rPr>
          <w:szCs w:val="20"/>
        </w:rPr>
        <w:t xml:space="preserve">for </w:t>
      </w:r>
      <w:r w:rsidRPr="7ADEDDC3">
        <w:rPr>
          <w:szCs w:val="20"/>
        </w:rPr>
        <w:t>Golden Perch</w:t>
      </w:r>
      <w:r>
        <w:rPr>
          <w:szCs w:val="20"/>
        </w:rPr>
        <w:t xml:space="preserve"> sensitivity in the </w:t>
      </w:r>
      <w:r>
        <w:t>Yarrawonga to Torrumbarry reach</w:t>
      </w:r>
      <w:r>
        <w:rPr>
          <w:szCs w:val="20"/>
        </w:rPr>
        <w:t>.</w:t>
      </w:r>
    </w:p>
    <w:p w14:paraId="4D312AEF" w14:textId="1272E0FA" w:rsidR="00491210" w:rsidRDefault="003E1401" w:rsidP="00220BF0">
      <w:pPr>
        <w:spacing w:after="0"/>
        <w:rPr>
          <w:sz w:val="22"/>
          <w:szCs w:val="22"/>
        </w:rPr>
      </w:pPr>
      <w:r>
        <w:rPr>
          <w:noProof/>
          <w:lang w:eastAsia="en-AU"/>
        </w:rPr>
        <w:t xml:space="preserve">  </w:t>
      </w:r>
    </w:p>
    <w:p w14:paraId="7248E8C4" w14:textId="013FA1E9"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19</w:t>
      </w:r>
      <w:r>
        <w:fldChar w:fldCharType="end"/>
      </w:r>
      <w:r w:rsidRPr="00DD7D8C">
        <w:t xml:space="preserve">. </w:t>
      </w:r>
      <w:r>
        <w:t>The Base case sensitivity 1 scenarios modelled in the Golden Perch sensitivity analysis for the Hume to Yarrawonga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72168E27" w14:textId="1F78DCDB" w:rsidR="00491210" w:rsidRDefault="003E1401" w:rsidP="00220BF0">
      <w:pPr>
        <w:spacing w:after="0"/>
        <w:rPr>
          <w:sz w:val="22"/>
          <w:szCs w:val="22"/>
        </w:rPr>
      </w:pPr>
      <w:r>
        <w:rPr>
          <w:noProof/>
          <w:lang w:eastAsia="en-AU"/>
        </w:rPr>
        <w:t xml:space="preserve">  </w:t>
      </w:r>
    </w:p>
    <w:p w14:paraId="66585E2F" w14:textId="1EFB50F1"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20</w:t>
      </w:r>
      <w:r>
        <w:fldChar w:fldCharType="end"/>
      </w:r>
      <w:r w:rsidRPr="00DD7D8C">
        <w:t xml:space="preserve">. </w:t>
      </w:r>
      <w:r>
        <w:t>Option 4 sensitivity 1 scenarios modelled in the Golden Perch sensitivity analysis for the Hume to Yarrawonga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67222031" w14:textId="5457ED64" w:rsidR="00491210" w:rsidRPr="00DF5DA6" w:rsidRDefault="003E1401" w:rsidP="00220BF0">
      <w:pPr>
        <w:spacing w:after="0"/>
        <w:rPr>
          <w:szCs w:val="20"/>
        </w:rPr>
      </w:pPr>
      <w:r>
        <w:rPr>
          <w:noProof/>
          <w:lang w:eastAsia="en-AU"/>
        </w:rPr>
        <w:t xml:space="preserve"> </w:t>
      </w:r>
    </w:p>
    <w:p w14:paraId="2339DFF4" w14:textId="6CC7799C" w:rsidR="00491210" w:rsidRDefault="00EE200C" w:rsidP="00F602FE">
      <w:pPr>
        <w:pStyle w:val="AppendixFigureCaption"/>
      </w:pPr>
      <w:r>
        <w:t>Figure A4.</w:t>
      </w:r>
      <w:r>
        <w:fldChar w:fldCharType="begin"/>
      </w:r>
      <w:r>
        <w:instrText>SEQ Figure_A4. \* ARABIC</w:instrText>
      </w:r>
      <w:r>
        <w:fldChar w:fldCharType="separate"/>
      </w:r>
      <w:r w:rsidR="005B672A">
        <w:rPr>
          <w:noProof/>
        </w:rPr>
        <w:t>21</w:t>
      </w:r>
      <w:r>
        <w:fldChar w:fldCharType="end"/>
      </w:r>
      <w:r w:rsidRPr="00DD7D8C">
        <w:t xml:space="preserve">. </w:t>
      </w:r>
      <w:r>
        <w:t>Comparisons between Base case (solid colour) and Option 4 (striped colour) for the sensitivity 1 scenarios m</w:t>
      </w:r>
      <w:r w:rsidRPr="7ADEDDC3">
        <w:rPr>
          <w:szCs w:val="20"/>
        </w:rPr>
        <w:t xml:space="preserve">odelled </w:t>
      </w:r>
      <w:r>
        <w:rPr>
          <w:szCs w:val="20"/>
        </w:rPr>
        <w:t xml:space="preserve">for </w:t>
      </w:r>
      <w:r w:rsidRPr="7ADEDDC3">
        <w:rPr>
          <w:szCs w:val="20"/>
        </w:rPr>
        <w:t>Golden Perch</w:t>
      </w:r>
      <w:r>
        <w:rPr>
          <w:szCs w:val="20"/>
        </w:rPr>
        <w:t xml:space="preserve"> sensitivity in the </w:t>
      </w:r>
      <w:r>
        <w:t>Hume to Yarrawonga reach</w:t>
      </w:r>
      <w:r>
        <w:rPr>
          <w:szCs w:val="20"/>
        </w:rPr>
        <w:t>.</w:t>
      </w:r>
    </w:p>
    <w:p w14:paraId="322BDE07" w14:textId="499682C2" w:rsidR="00491210" w:rsidRDefault="003E1401" w:rsidP="00220BF0">
      <w:pPr>
        <w:spacing w:after="0"/>
        <w:rPr>
          <w:sz w:val="22"/>
          <w:szCs w:val="22"/>
        </w:rPr>
      </w:pPr>
      <w:r>
        <w:rPr>
          <w:noProof/>
          <w:lang w:eastAsia="en-AU"/>
        </w:rPr>
        <w:t xml:space="preserve">  </w:t>
      </w:r>
    </w:p>
    <w:p w14:paraId="57F17288" w14:textId="5CCF7CF7"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22</w:t>
      </w:r>
      <w:r>
        <w:fldChar w:fldCharType="end"/>
      </w:r>
      <w:r w:rsidRPr="00DD7D8C">
        <w:t xml:space="preserve">. </w:t>
      </w:r>
      <w:r>
        <w:t>The Base case sensitivity 1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t>for the Edward River</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64C3A9E4" w14:textId="1B685368" w:rsidR="00491210" w:rsidRDefault="003E1401" w:rsidP="00220BF0">
      <w:pPr>
        <w:spacing w:after="0"/>
        <w:rPr>
          <w:sz w:val="22"/>
          <w:szCs w:val="22"/>
        </w:rPr>
      </w:pPr>
      <w:r>
        <w:rPr>
          <w:noProof/>
          <w:lang w:eastAsia="en-AU"/>
        </w:rPr>
        <w:t xml:space="preserve">  </w:t>
      </w:r>
    </w:p>
    <w:p w14:paraId="41596B8A" w14:textId="36D42564"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23</w:t>
      </w:r>
      <w:r>
        <w:fldChar w:fldCharType="end"/>
      </w:r>
      <w:r w:rsidRPr="00DD7D8C">
        <w:t xml:space="preserve">. </w:t>
      </w:r>
      <w:r>
        <w:t>Option 4 sensitivity 1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for the </w:t>
      </w:r>
      <w:r>
        <w:t>Edward River</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1E7F7390" w14:textId="200CD283" w:rsidR="00491210" w:rsidRPr="00DF5DA6" w:rsidRDefault="003E1401" w:rsidP="00220BF0">
      <w:pPr>
        <w:spacing w:after="0"/>
        <w:rPr>
          <w:szCs w:val="20"/>
        </w:rPr>
      </w:pPr>
      <w:r>
        <w:rPr>
          <w:noProof/>
          <w:lang w:eastAsia="en-AU"/>
        </w:rPr>
        <w:t xml:space="preserve"> </w:t>
      </w:r>
    </w:p>
    <w:p w14:paraId="1A811A68" w14:textId="4C399634" w:rsidR="00491210" w:rsidRDefault="00EE200C" w:rsidP="00F602FE">
      <w:pPr>
        <w:pStyle w:val="AppendixFigureCaption"/>
      </w:pPr>
      <w:r>
        <w:t>Figure A4.</w:t>
      </w:r>
      <w:r>
        <w:fldChar w:fldCharType="begin"/>
      </w:r>
      <w:r>
        <w:instrText>SEQ Figure_A4. \* ARABIC</w:instrText>
      </w:r>
      <w:r>
        <w:fldChar w:fldCharType="separate"/>
      </w:r>
      <w:r w:rsidR="005B672A">
        <w:rPr>
          <w:noProof/>
        </w:rPr>
        <w:t>24</w:t>
      </w:r>
      <w:r>
        <w:fldChar w:fldCharType="end"/>
      </w:r>
      <w:r w:rsidRPr="00DD7D8C">
        <w:t xml:space="preserve">. </w:t>
      </w:r>
      <w:r>
        <w:t>Comparisons between Base case (solid colour) and Option 4 (striped colour) for the sensitivity 1 scenarios m</w:t>
      </w:r>
      <w:r w:rsidRPr="7ADEDDC3">
        <w:rPr>
          <w:szCs w:val="20"/>
        </w:rPr>
        <w:t xml:space="preserve">odelled </w:t>
      </w:r>
      <w:r>
        <w:rPr>
          <w:szCs w:val="20"/>
        </w:rPr>
        <w:t xml:space="preserve">for </w:t>
      </w:r>
      <w:r w:rsidRPr="7ADEDDC3">
        <w:rPr>
          <w:szCs w:val="20"/>
        </w:rPr>
        <w:t>Golden Perch</w:t>
      </w:r>
      <w:r>
        <w:rPr>
          <w:szCs w:val="20"/>
        </w:rPr>
        <w:t xml:space="preserve"> sensitivity in the </w:t>
      </w:r>
      <w:r>
        <w:t>Edward River</w:t>
      </w:r>
      <w:r>
        <w:rPr>
          <w:szCs w:val="20"/>
        </w:rPr>
        <w:t>.</w:t>
      </w:r>
    </w:p>
    <w:p w14:paraId="68F67C1C" w14:textId="33F30843" w:rsidR="00491210" w:rsidRDefault="003E1401" w:rsidP="008D7E37">
      <w:pPr>
        <w:spacing w:after="0"/>
        <w:rPr>
          <w:sz w:val="22"/>
          <w:szCs w:val="22"/>
        </w:rPr>
      </w:pPr>
      <w:r>
        <w:rPr>
          <w:noProof/>
          <w:lang w:eastAsia="en-AU"/>
        </w:rPr>
        <w:t xml:space="preserve">  </w:t>
      </w:r>
    </w:p>
    <w:p w14:paraId="53043455" w14:textId="118B2EAD"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25</w:t>
      </w:r>
      <w:r>
        <w:fldChar w:fldCharType="end"/>
      </w:r>
      <w:r w:rsidRPr="00DD7D8C">
        <w:t xml:space="preserve">. </w:t>
      </w:r>
      <w:r>
        <w:t>The Base case sensitivity 1 scenarios modelled in the Golden Perch sensitivity analysis for the Hay to Balranald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63588BE0" w14:textId="47688B43" w:rsidR="00491210" w:rsidRDefault="003E1401" w:rsidP="008D7E37">
      <w:pPr>
        <w:spacing w:after="0"/>
        <w:rPr>
          <w:sz w:val="22"/>
          <w:szCs w:val="22"/>
        </w:rPr>
      </w:pPr>
      <w:r>
        <w:rPr>
          <w:noProof/>
          <w:lang w:eastAsia="en-AU"/>
        </w:rPr>
        <w:t xml:space="preserve">  </w:t>
      </w:r>
    </w:p>
    <w:p w14:paraId="56FAF8E6" w14:textId="1C760A86"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26</w:t>
      </w:r>
      <w:r>
        <w:fldChar w:fldCharType="end"/>
      </w:r>
      <w:r w:rsidRPr="00DD7D8C">
        <w:t xml:space="preserve">. </w:t>
      </w:r>
      <w:r>
        <w:t>Option 4 sensitivity 1 scenarios modelled in the Golden Perch sensitivity analysis for the Hay to Balranald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752B784D" w14:textId="4EFBD5D8" w:rsidR="00491210" w:rsidRPr="00DF5DA6" w:rsidRDefault="003E1401" w:rsidP="008D7E37">
      <w:pPr>
        <w:spacing w:after="0"/>
        <w:rPr>
          <w:szCs w:val="20"/>
        </w:rPr>
      </w:pPr>
      <w:r>
        <w:rPr>
          <w:noProof/>
          <w:lang w:eastAsia="en-AU"/>
        </w:rPr>
        <w:t xml:space="preserve"> </w:t>
      </w:r>
    </w:p>
    <w:p w14:paraId="1FB31FA1" w14:textId="77A6F02F" w:rsidR="00491210" w:rsidRDefault="00EE200C" w:rsidP="00F602FE">
      <w:pPr>
        <w:pStyle w:val="AppendixFigureCaption"/>
      </w:pPr>
      <w:r>
        <w:lastRenderedPageBreak/>
        <w:t>Figure A4.</w:t>
      </w:r>
      <w:r>
        <w:fldChar w:fldCharType="begin"/>
      </w:r>
      <w:r>
        <w:instrText>SEQ Figure_A4. \* ARABIC</w:instrText>
      </w:r>
      <w:r>
        <w:fldChar w:fldCharType="separate"/>
      </w:r>
      <w:r w:rsidR="005B672A">
        <w:rPr>
          <w:noProof/>
        </w:rPr>
        <w:t>27</w:t>
      </w:r>
      <w:r>
        <w:fldChar w:fldCharType="end"/>
      </w:r>
      <w:r w:rsidRPr="00DD7D8C">
        <w:t xml:space="preserve">. </w:t>
      </w:r>
      <w:r>
        <w:t>Comparisons between Base case (solid colour) and Option 4 (striped colour) for the sensitivity 1 scenarios m</w:t>
      </w:r>
      <w:r w:rsidRPr="7ADEDDC3">
        <w:rPr>
          <w:szCs w:val="20"/>
        </w:rPr>
        <w:t xml:space="preserve">odelled </w:t>
      </w:r>
      <w:r>
        <w:rPr>
          <w:szCs w:val="20"/>
        </w:rPr>
        <w:t xml:space="preserve">for </w:t>
      </w:r>
      <w:r w:rsidRPr="7ADEDDC3">
        <w:rPr>
          <w:szCs w:val="20"/>
        </w:rPr>
        <w:t>Golden Perch</w:t>
      </w:r>
      <w:r>
        <w:rPr>
          <w:szCs w:val="20"/>
        </w:rPr>
        <w:t xml:space="preserve"> sensitivity in the </w:t>
      </w:r>
      <w:r>
        <w:t>Hay to Balranald reach</w:t>
      </w:r>
      <w:r>
        <w:rPr>
          <w:szCs w:val="20"/>
        </w:rPr>
        <w:t>.</w:t>
      </w:r>
    </w:p>
    <w:p w14:paraId="054090F4" w14:textId="203C1F91" w:rsidR="00491210" w:rsidRDefault="003E1401" w:rsidP="002A736D">
      <w:pPr>
        <w:spacing w:after="0"/>
        <w:rPr>
          <w:sz w:val="22"/>
          <w:szCs w:val="22"/>
        </w:rPr>
      </w:pPr>
      <w:r>
        <w:rPr>
          <w:noProof/>
          <w:lang w:eastAsia="en-AU"/>
        </w:rPr>
        <w:t xml:space="preserve">  </w:t>
      </w:r>
    </w:p>
    <w:p w14:paraId="1905995D" w14:textId="676DA578"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28</w:t>
      </w:r>
      <w:r>
        <w:fldChar w:fldCharType="end"/>
      </w:r>
      <w:r w:rsidRPr="00DD7D8C">
        <w:t xml:space="preserve">. </w:t>
      </w:r>
      <w:r>
        <w:t>The Base case sensitivity 1 scenarios modelled in the Golden Perch sensitivity analysis for the Gundagai to Hay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06D94B85" w14:textId="3A5670AA" w:rsidR="00491210" w:rsidRDefault="003E1401" w:rsidP="002A736D">
      <w:pPr>
        <w:spacing w:after="0"/>
        <w:rPr>
          <w:sz w:val="22"/>
          <w:szCs w:val="22"/>
        </w:rPr>
      </w:pPr>
      <w:r>
        <w:rPr>
          <w:noProof/>
          <w:lang w:eastAsia="en-AU"/>
        </w:rPr>
        <w:t xml:space="preserve">  </w:t>
      </w:r>
    </w:p>
    <w:p w14:paraId="5932F2C6" w14:textId="34053969"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29</w:t>
      </w:r>
      <w:r>
        <w:fldChar w:fldCharType="end"/>
      </w:r>
      <w:r w:rsidRPr="00DD7D8C">
        <w:t xml:space="preserve">. </w:t>
      </w:r>
      <w:r>
        <w:t>Option 4 sensitivity 1 scenarios modelled in the Golden Perch sensitivity analysis for the Gundagai to Hay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12987E62" w14:textId="531302BE" w:rsidR="00491210" w:rsidRPr="00DF5DA6" w:rsidRDefault="003E1401" w:rsidP="002A736D">
      <w:pPr>
        <w:spacing w:after="0"/>
        <w:rPr>
          <w:szCs w:val="20"/>
        </w:rPr>
      </w:pPr>
      <w:r>
        <w:rPr>
          <w:noProof/>
          <w:lang w:eastAsia="en-AU"/>
        </w:rPr>
        <w:t xml:space="preserve"> </w:t>
      </w:r>
    </w:p>
    <w:p w14:paraId="7F353104" w14:textId="514EB2F7" w:rsidR="00491210" w:rsidRDefault="00EE200C" w:rsidP="00F602FE">
      <w:pPr>
        <w:pStyle w:val="AppendixFigureCaption"/>
      </w:pPr>
      <w:bookmarkStart w:id="439" w:name="_Ref105009540"/>
      <w:r>
        <w:t>Figure A4.</w:t>
      </w:r>
      <w:r>
        <w:fldChar w:fldCharType="begin"/>
      </w:r>
      <w:r>
        <w:instrText>SEQ Figure_A4. \* ARABIC</w:instrText>
      </w:r>
      <w:r>
        <w:fldChar w:fldCharType="separate"/>
      </w:r>
      <w:r w:rsidR="005B672A">
        <w:rPr>
          <w:noProof/>
        </w:rPr>
        <w:t>30</w:t>
      </w:r>
      <w:r>
        <w:fldChar w:fldCharType="end"/>
      </w:r>
      <w:bookmarkEnd w:id="439"/>
      <w:r w:rsidRPr="00DD7D8C">
        <w:t xml:space="preserve">. </w:t>
      </w:r>
      <w:r>
        <w:t>Comparisons between Base case (solid colour) and Option 4 (striped colour) for the sensitivity 1 scenarios m</w:t>
      </w:r>
      <w:r w:rsidRPr="7ADEDDC3">
        <w:rPr>
          <w:szCs w:val="20"/>
        </w:rPr>
        <w:t xml:space="preserve">odelled </w:t>
      </w:r>
      <w:r>
        <w:rPr>
          <w:szCs w:val="20"/>
        </w:rPr>
        <w:t xml:space="preserve">for </w:t>
      </w:r>
      <w:r w:rsidRPr="7ADEDDC3">
        <w:rPr>
          <w:szCs w:val="20"/>
        </w:rPr>
        <w:t>Golden Perch</w:t>
      </w:r>
      <w:r>
        <w:rPr>
          <w:szCs w:val="20"/>
        </w:rPr>
        <w:t xml:space="preserve"> sensitivity in the </w:t>
      </w:r>
      <w:r>
        <w:t>Gundagai to Hay reach</w:t>
      </w:r>
      <w:r>
        <w:rPr>
          <w:szCs w:val="20"/>
        </w:rPr>
        <w:t>.</w:t>
      </w:r>
    </w:p>
    <w:p w14:paraId="269AAEB6" w14:textId="2440BDD6" w:rsidR="00491210" w:rsidRDefault="003E1401" w:rsidP="008736C4">
      <w:pPr>
        <w:spacing w:after="0"/>
        <w:rPr>
          <w:sz w:val="22"/>
          <w:szCs w:val="22"/>
        </w:rPr>
      </w:pPr>
      <w:r>
        <w:rPr>
          <w:noProof/>
          <w:lang w:eastAsia="en-AU"/>
        </w:rPr>
        <w:t xml:space="preserve">  </w:t>
      </w:r>
    </w:p>
    <w:p w14:paraId="172D4A0C" w14:textId="7C51DFA4"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31</w:t>
      </w:r>
      <w:r>
        <w:fldChar w:fldCharType="end"/>
      </w:r>
      <w:r w:rsidRPr="00DD7D8C">
        <w:t xml:space="preserve">. </w:t>
      </w:r>
      <w:r>
        <w:t>The Base case sensitivity 1 scenarios modelled in the Golden Perch sensitivity analysis for the Lower Murray below Wentworth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3F7E5E3D" w14:textId="15A52747" w:rsidR="00491210" w:rsidRDefault="003E1401" w:rsidP="008736C4">
      <w:pPr>
        <w:spacing w:after="0"/>
        <w:rPr>
          <w:sz w:val="22"/>
          <w:szCs w:val="22"/>
        </w:rPr>
      </w:pPr>
      <w:r>
        <w:rPr>
          <w:noProof/>
          <w:lang w:eastAsia="en-AU"/>
        </w:rPr>
        <w:t xml:space="preserve">  </w:t>
      </w:r>
    </w:p>
    <w:p w14:paraId="6DF2269F" w14:textId="02A7ECD7"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32</w:t>
      </w:r>
      <w:r>
        <w:fldChar w:fldCharType="end"/>
      </w:r>
      <w:r w:rsidRPr="00DD7D8C">
        <w:t xml:space="preserve">. </w:t>
      </w:r>
      <w:r>
        <w:t>Option 4 sensitivity 1 scenarios modelled in the Golden Perch sensitivity analysis for the Lower Murray below Wentworth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7DC08124" w14:textId="7190249A" w:rsidR="00491210" w:rsidRPr="00DF5DA6" w:rsidRDefault="003E1401" w:rsidP="008736C4">
      <w:pPr>
        <w:spacing w:after="0"/>
        <w:rPr>
          <w:szCs w:val="20"/>
        </w:rPr>
      </w:pPr>
      <w:r>
        <w:rPr>
          <w:noProof/>
          <w:lang w:eastAsia="en-AU"/>
        </w:rPr>
        <w:t xml:space="preserve"> </w:t>
      </w:r>
    </w:p>
    <w:p w14:paraId="5D274B1F" w14:textId="45513063" w:rsidR="00491210" w:rsidRDefault="00EE200C" w:rsidP="00F602FE">
      <w:pPr>
        <w:pStyle w:val="AppendixFigureCaption"/>
      </w:pPr>
      <w:r>
        <w:t>Figure A4.</w:t>
      </w:r>
      <w:r>
        <w:fldChar w:fldCharType="begin"/>
      </w:r>
      <w:r>
        <w:instrText>SEQ Figure_A4. \* ARABIC</w:instrText>
      </w:r>
      <w:r>
        <w:fldChar w:fldCharType="separate"/>
      </w:r>
      <w:r w:rsidR="005B672A">
        <w:rPr>
          <w:noProof/>
        </w:rPr>
        <w:t>33</w:t>
      </w:r>
      <w:r>
        <w:fldChar w:fldCharType="end"/>
      </w:r>
      <w:r w:rsidRPr="00DD7D8C">
        <w:t xml:space="preserve">. </w:t>
      </w:r>
      <w:r>
        <w:t>Comparisons between Base case (solid colour) and Option 4 (striped colour) for the sensitivity 1 scenarios m</w:t>
      </w:r>
      <w:r w:rsidRPr="7ADEDDC3">
        <w:rPr>
          <w:szCs w:val="20"/>
        </w:rPr>
        <w:t xml:space="preserve">odelled </w:t>
      </w:r>
      <w:r>
        <w:rPr>
          <w:szCs w:val="20"/>
        </w:rPr>
        <w:t xml:space="preserve">for </w:t>
      </w:r>
      <w:r w:rsidRPr="7ADEDDC3">
        <w:rPr>
          <w:szCs w:val="20"/>
        </w:rPr>
        <w:t>Golden Perch</w:t>
      </w:r>
      <w:r>
        <w:rPr>
          <w:szCs w:val="20"/>
        </w:rPr>
        <w:t xml:space="preserve"> sensitivity in the </w:t>
      </w:r>
      <w:r>
        <w:t>Lower Murray below Wentworth reach</w:t>
      </w:r>
      <w:r>
        <w:rPr>
          <w:szCs w:val="20"/>
        </w:rPr>
        <w:t>.</w:t>
      </w:r>
    </w:p>
    <w:p w14:paraId="4779C6A4" w14:textId="526ADA2D" w:rsidR="00491210" w:rsidRDefault="003E1401" w:rsidP="008736C4">
      <w:pPr>
        <w:spacing w:after="0"/>
        <w:rPr>
          <w:sz w:val="22"/>
          <w:szCs w:val="22"/>
        </w:rPr>
      </w:pPr>
      <w:r>
        <w:rPr>
          <w:noProof/>
          <w:lang w:eastAsia="en-AU"/>
        </w:rPr>
        <w:t xml:space="preserve">  </w:t>
      </w:r>
    </w:p>
    <w:p w14:paraId="25C66E60" w14:textId="44C26972"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34</w:t>
      </w:r>
      <w:r>
        <w:fldChar w:fldCharType="end"/>
      </w:r>
      <w:r w:rsidRPr="00DD7D8C">
        <w:t xml:space="preserve">. </w:t>
      </w:r>
      <w:r>
        <w:t>The Base case sensitivity 1 scenarios m</w:t>
      </w:r>
      <w:r w:rsidRPr="7ADEDDC3">
        <w:rPr>
          <w:szCs w:val="20"/>
        </w:rPr>
        <w:t xml:space="preserve">odelled </w:t>
      </w:r>
      <w:r>
        <w:rPr>
          <w:szCs w:val="20"/>
        </w:rPr>
        <w:t xml:space="preserve">for </w:t>
      </w:r>
      <w:r w:rsidRPr="7ADEDDC3">
        <w:rPr>
          <w:szCs w:val="20"/>
        </w:rPr>
        <w:t>Golden Perch</w:t>
      </w:r>
      <w:r>
        <w:rPr>
          <w:szCs w:val="20"/>
        </w:rPr>
        <w:t xml:space="preserve"> sensitivity analysis </w:t>
      </w:r>
      <w:r>
        <w:t>in the Lower Darling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488528D3" w14:textId="0E4BC06C" w:rsidR="00491210" w:rsidRDefault="003E1401" w:rsidP="008736C4">
      <w:pPr>
        <w:spacing w:after="0"/>
        <w:rPr>
          <w:sz w:val="22"/>
          <w:szCs w:val="22"/>
        </w:rPr>
      </w:pPr>
      <w:r>
        <w:rPr>
          <w:noProof/>
          <w:lang w:eastAsia="en-AU"/>
        </w:rPr>
        <w:t xml:space="preserve">  </w:t>
      </w:r>
    </w:p>
    <w:p w14:paraId="377BF939" w14:textId="5D59C75B"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35</w:t>
      </w:r>
      <w:r>
        <w:fldChar w:fldCharType="end"/>
      </w:r>
      <w:r w:rsidRPr="00DD7D8C">
        <w:t xml:space="preserve">. </w:t>
      </w:r>
      <w:r>
        <w:t>Option 4 sensitivity 1 scenarios m</w:t>
      </w:r>
      <w:r w:rsidRPr="7ADEDDC3">
        <w:rPr>
          <w:szCs w:val="20"/>
        </w:rPr>
        <w:t xml:space="preserve">odelled </w:t>
      </w:r>
      <w:r>
        <w:rPr>
          <w:szCs w:val="20"/>
        </w:rPr>
        <w:t xml:space="preserve">for </w:t>
      </w:r>
      <w:r w:rsidRPr="7ADEDDC3">
        <w:rPr>
          <w:szCs w:val="20"/>
        </w:rPr>
        <w:t>Golden Perch</w:t>
      </w:r>
      <w:r>
        <w:rPr>
          <w:szCs w:val="20"/>
        </w:rPr>
        <w:t xml:space="preserve"> sensitivity analysis in the </w:t>
      </w:r>
      <w:r>
        <w:t>Lower Darling</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2A14DFFE" w14:textId="24B6AE6E" w:rsidR="00491210" w:rsidRPr="00DF5DA6" w:rsidRDefault="003E1401" w:rsidP="008736C4">
      <w:pPr>
        <w:spacing w:after="0"/>
        <w:rPr>
          <w:szCs w:val="20"/>
        </w:rPr>
      </w:pPr>
      <w:r>
        <w:rPr>
          <w:noProof/>
          <w:lang w:eastAsia="en-AU"/>
        </w:rPr>
        <w:t xml:space="preserve"> </w:t>
      </w:r>
    </w:p>
    <w:p w14:paraId="7DE1D668" w14:textId="51511085" w:rsidR="00491210" w:rsidRDefault="00EE200C" w:rsidP="00F602FE">
      <w:pPr>
        <w:pStyle w:val="AppendixFigureCaption"/>
      </w:pPr>
      <w:bookmarkStart w:id="440" w:name="_Ref105029808"/>
      <w:r>
        <w:t>Figure A4.</w:t>
      </w:r>
      <w:r>
        <w:fldChar w:fldCharType="begin"/>
      </w:r>
      <w:r>
        <w:instrText>SEQ Figure_A4. \* ARABIC</w:instrText>
      </w:r>
      <w:r>
        <w:fldChar w:fldCharType="separate"/>
      </w:r>
      <w:r w:rsidR="005B672A">
        <w:rPr>
          <w:noProof/>
        </w:rPr>
        <w:t>36</w:t>
      </w:r>
      <w:r>
        <w:fldChar w:fldCharType="end"/>
      </w:r>
      <w:bookmarkEnd w:id="440"/>
      <w:r w:rsidRPr="00DD7D8C">
        <w:t xml:space="preserve">. </w:t>
      </w:r>
      <w:r>
        <w:t>Comparisons between Base case (solid colour) and Option 4 (striped colour) for the sensitivity 1 scenarios m</w:t>
      </w:r>
      <w:r w:rsidRPr="7ADEDDC3">
        <w:rPr>
          <w:szCs w:val="20"/>
        </w:rPr>
        <w:t xml:space="preserve">odelled </w:t>
      </w:r>
      <w:r>
        <w:rPr>
          <w:szCs w:val="20"/>
        </w:rPr>
        <w:t xml:space="preserve">for </w:t>
      </w:r>
      <w:r w:rsidRPr="7ADEDDC3">
        <w:rPr>
          <w:szCs w:val="20"/>
        </w:rPr>
        <w:t>Golden Perch</w:t>
      </w:r>
      <w:r>
        <w:rPr>
          <w:szCs w:val="20"/>
        </w:rPr>
        <w:t xml:space="preserve"> sensitivity in the </w:t>
      </w:r>
      <w:r>
        <w:t>Lower Darling</w:t>
      </w:r>
      <w:r>
        <w:rPr>
          <w:szCs w:val="20"/>
        </w:rPr>
        <w:t>.</w:t>
      </w:r>
    </w:p>
    <w:p w14:paraId="6A4F3208" w14:textId="77777777" w:rsidR="00491210" w:rsidRPr="00EE75DE" w:rsidRDefault="00EE200C" w:rsidP="005F1F7F">
      <w:pPr>
        <w:pStyle w:val="Heading3"/>
      </w:pPr>
      <w:bookmarkStart w:id="441" w:name="_Toc116994950"/>
      <w:r w:rsidRPr="00EE75DE">
        <w:t>Second sensitivity analysis</w:t>
      </w:r>
      <w:bookmarkEnd w:id="441"/>
    </w:p>
    <w:p w14:paraId="3CE0BD11" w14:textId="56280FED" w:rsidR="00491210" w:rsidRDefault="00EE200C" w:rsidP="00177E96">
      <w:pPr>
        <w:spacing w:before="240" w:after="240"/>
        <w:jc w:val="both"/>
        <w:rPr>
          <w:sz w:val="22"/>
          <w:szCs w:val="22"/>
        </w:rPr>
      </w:pPr>
      <w:r w:rsidRPr="3FC79A6E">
        <w:rPr>
          <w:sz w:val="22"/>
          <w:szCs w:val="22"/>
        </w:rPr>
        <w:t>The purpose of this second analysis was to make subtle changes to movement from the Lower Murray</w:t>
      </w:r>
      <w:r>
        <w:rPr>
          <w:sz w:val="22"/>
          <w:szCs w:val="22"/>
        </w:rPr>
        <w:t xml:space="preserve"> </w:t>
      </w:r>
      <w:r w:rsidRPr="3FC79A6E">
        <w:rPr>
          <w:sz w:val="22"/>
          <w:szCs w:val="22"/>
        </w:rPr>
        <w:t>below</w:t>
      </w:r>
      <w:r>
        <w:rPr>
          <w:sz w:val="22"/>
          <w:szCs w:val="22"/>
        </w:rPr>
        <w:t xml:space="preserve"> </w:t>
      </w:r>
      <w:r w:rsidRPr="00EA455D">
        <w:rPr>
          <w:sz w:val="22"/>
          <w:szCs w:val="28"/>
        </w:rPr>
        <w:t xml:space="preserve">Wentworth </w:t>
      </w:r>
      <w:r>
        <w:rPr>
          <w:sz w:val="22"/>
          <w:szCs w:val="22"/>
        </w:rPr>
        <w:t xml:space="preserve">reach, </w:t>
      </w:r>
      <w:r w:rsidRPr="3FC79A6E">
        <w:rPr>
          <w:sz w:val="22"/>
          <w:szCs w:val="22"/>
        </w:rPr>
        <w:t xml:space="preserve">as it </w:t>
      </w:r>
      <w:r>
        <w:rPr>
          <w:sz w:val="22"/>
          <w:szCs w:val="22"/>
        </w:rPr>
        <w:t>wa</w:t>
      </w:r>
      <w:r w:rsidRPr="3FC79A6E">
        <w:rPr>
          <w:sz w:val="22"/>
          <w:szCs w:val="22"/>
        </w:rPr>
        <w:t>s expected that this reach contributes significantly to Golden Perch dynami</w:t>
      </w:r>
      <w:r>
        <w:rPr>
          <w:sz w:val="22"/>
          <w:szCs w:val="22"/>
        </w:rPr>
        <w:t>cs,</w:t>
      </w:r>
      <w:r w:rsidRPr="3FC79A6E">
        <w:rPr>
          <w:sz w:val="22"/>
          <w:szCs w:val="22"/>
        </w:rPr>
        <w:t xml:space="preserve"> and then to assess other elements of the model that </w:t>
      </w:r>
      <w:r>
        <w:rPr>
          <w:sz w:val="22"/>
          <w:szCs w:val="22"/>
        </w:rPr>
        <w:t>we</w:t>
      </w:r>
      <w:r w:rsidRPr="3FC79A6E">
        <w:rPr>
          <w:sz w:val="22"/>
          <w:szCs w:val="22"/>
        </w:rPr>
        <w:t xml:space="preserve">re </w:t>
      </w:r>
      <w:r>
        <w:rPr>
          <w:sz w:val="22"/>
          <w:szCs w:val="22"/>
        </w:rPr>
        <w:t xml:space="preserve">considered </w:t>
      </w:r>
      <w:r w:rsidRPr="3FC79A6E">
        <w:rPr>
          <w:sz w:val="22"/>
          <w:szCs w:val="22"/>
        </w:rPr>
        <w:t xml:space="preserve">likely to influence </w:t>
      </w:r>
      <w:r>
        <w:rPr>
          <w:sz w:val="22"/>
          <w:szCs w:val="22"/>
        </w:rPr>
        <w:t xml:space="preserve">the </w:t>
      </w:r>
      <w:r w:rsidRPr="3FC79A6E">
        <w:rPr>
          <w:sz w:val="22"/>
          <w:szCs w:val="22"/>
        </w:rPr>
        <w:t xml:space="preserve">population modelling outcomes. The second approach </w:t>
      </w:r>
      <w:r>
        <w:rPr>
          <w:sz w:val="22"/>
          <w:szCs w:val="22"/>
        </w:rPr>
        <w:t>in</w:t>
      </w:r>
      <w:r w:rsidRPr="3FC79A6E">
        <w:rPr>
          <w:sz w:val="22"/>
          <w:szCs w:val="22"/>
        </w:rPr>
        <w:t xml:space="preserve"> undertaking </w:t>
      </w:r>
      <w:r>
        <w:rPr>
          <w:sz w:val="22"/>
          <w:szCs w:val="22"/>
        </w:rPr>
        <w:t xml:space="preserve">the </w:t>
      </w:r>
      <w:r w:rsidRPr="3FC79A6E">
        <w:rPr>
          <w:sz w:val="22"/>
          <w:szCs w:val="22"/>
        </w:rPr>
        <w:t xml:space="preserve">sensitivity analysis was to make targeted adjustments to movement from the Lower Murray, changing the initial population size, changing the immigration level from the </w:t>
      </w:r>
      <w:r>
        <w:rPr>
          <w:sz w:val="22"/>
          <w:szCs w:val="22"/>
        </w:rPr>
        <w:t>N</w:t>
      </w:r>
      <w:r w:rsidRPr="3FC79A6E">
        <w:rPr>
          <w:sz w:val="22"/>
          <w:szCs w:val="22"/>
        </w:rPr>
        <w:t>orthern MDB and combining altered movement and altered immigration to assess whether any of these changes would alter the interpretation of the results.</w:t>
      </w:r>
    </w:p>
    <w:p w14:paraId="15ECA449" w14:textId="1506B517" w:rsidR="00491210" w:rsidRDefault="00EE200C" w:rsidP="00177E96">
      <w:pPr>
        <w:rPr>
          <w:sz w:val="22"/>
          <w:szCs w:val="22"/>
        </w:rPr>
      </w:pPr>
      <w:r>
        <w:rPr>
          <w:sz w:val="22"/>
          <w:szCs w:val="22"/>
        </w:rPr>
        <w:t>The following changes were made:</w:t>
      </w:r>
    </w:p>
    <w:p w14:paraId="14C1FB9D" w14:textId="17644755" w:rsidR="00491210" w:rsidRDefault="00EE200C" w:rsidP="006D2114">
      <w:pPr>
        <w:pStyle w:val="ListParagraph"/>
        <w:numPr>
          <w:ilvl w:val="0"/>
          <w:numId w:val="53"/>
        </w:numPr>
        <w:spacing w:line="240" w:lineRule="auto"/>
        <w:rPr>
          <w:rFonts w:ascii="Arial" w:hAnsi="Arial"/>
          <w:sz w:val="22"/>
          <w:szCs w:val="22"/>
        </w:rPr>
      </w:pPr>
      <w:r>
        <w:rPr>
          <w:rFonts w:ascii="Arial" w:hAnsi="Arial"/>
          <w:sz w:val="22"/>
          <w:szCs w:val="22"/>
        </w:rPr>
        <w:lastRenderedPageBreak/>
        <w:t xml:space="preserve">movement from </w:t>
      </w:r>
      <w:r w:rsidRPr="00E41D2F">
        <w:rPr>
          <w:rFonts w:ascii="Arial" w:hAnsi="Arial"/>
          <w:sz w:val="22"/>
          <w:szCs w:val="22"/>
        </w:rPr>
        <w:t>the Lower Murray</w:t>
      </w:r>
      <w:r>
        <w:rPr>
          <w:rFonts w:ascii="Arial" w:hAnsi="Arial"/>
          <w:sz w:val="22"/>
          <w:szCs w:val="22"/>
        </w:rPr>
        <w:t xml:space="preserve"> </w:t>
      </w:r>
      <w:r w:rsidRPr="00E41D2F">
        <w:rPr>
          <w:rFonts w:ascii="Arial" w:hAnsi="Arial"/>
          <w:sz w:val="22"/>
          <w:szCs w:val="22"/>
        </w:rPr>
        <w:t>below</w:t>
      </w:r>
      <w:r>
        <w:rPr>
          <w:rFonts w:ascii="Arial" w:hAnsi="Arial"/>
          <w:sz w:val="22"/>
          <w:szCs w:val="22"/>
        </w:rPr>
        <w:t xml:space="preserve"> </w:t>
      </w:r>
      <w:r w:rsidRPr="00EA455D">
        <w:rPr>
          <w:rFonts w:ascii="Arial" w:hAnsi="Arial"/>
          <w:sz w:val="22"/>
          <w:szCs w:val="28"/>
        </w:rPr>
        <w:t xml:space="preserve">Wentworth </w:t>
      </w:r>
      <w:r>
        <w:rPr>
          <w:rFonts w:ascii="Arial" w:hAnsi="Arial"/>
          <w:sz w:val="22"/>
          <w:szCs w:val="22"/>
        </w:rPr>
        <w:t xml:space="preserve">reach </w:t>
      </w:r>
      <w:r w:rsidRPr="00E41D2F">
        <w:rPr>
          <w:rFonts w:ascii="Arial" w:hAnsi="Arial"/>
          <w:sz w:val="22"/>
          <w:szCs w:val="22"/>
        </w:rPr>
        <w:t>upstream to the Torrumbarry</w:t>
      </w:r>
      <w:r>
        <w:rPr>
          <w:rFonts w:ascii="Arial" w:hAnsi="Arial"/>
          <w:sz w:val="22"/>
          <w:szCs w:val="22"/>
        </w:rPr>
        <w:t xml:space="preserve"> t</w:t>
      </w:r>
      <w:r w:rsidRPr="00E41D2F">
        <w:rPr>
          <w:rFonts w:ascii="Arial" w:hAnsi="Arial"/>
          <w:sz w:val="22"/>
          <w:szCs w:val="22"/>
        </w:rPr>
        <w:t>o</w:t>
      </w:r>
      <w:r>
        <w:rPr>
          <w:rFonts w:ascii="Arial" w:hAnsi="Arial"/>
          <w:sz w:val="22"/>
          <w:szCs w:val="22"/>
        </w:rPr>
        <w:t xml:space="preserve"> </w:t>
      </w:r>
      <w:r w:rsidRPr="00EA455D">
        <w:rPr>
          <w:rFonts w:ascii="Arial" w:hAnsi="Arial"/>
          <w:sz w:val="22"/>
          <w:szCs w:val="28"/>
        </w:rPr>
        <w:t xml:space="preserve">Wentworth </w:t>
      </w:r>
      <w:r>
        <w:rPr>
          <w:rFonts w:ascii="Arial" w:hAnsi="Arial"/>
          <w:sz w:val="22"/>
          <w:szCs w:val="22"/>
        </w:rPr>
        <w:t xml:space="preserve">reach </w:t>
      </w:r>
      <w:r w:rsidRPr="00E41D2F">
        <w:rPr>
          <w:rFonts w:ascii="Arial" w:hAnsi="Arial"/>
          <w:sz w:val="22"/>
          <w:szCs w:val="22"/>
        </w:rPr>
        <w:t xml:space="preserve">was increased: adult movement </w:t>
      </w:r>
      <w:r>
        <w:rPr>
          <w:rFonts w:ascii="Arial" w:hAnsi="Arial"/>
          <w:sz w:val="22"/>
          <w:szCs w:val="22"/>
        </w:rPr>
        <w:t>×</w:t>
      </w:r>
      <w:r w:rsidRPr="00E41D2F">
        <w:rPr>
          <w:rFonts w:ascii="Arial" w:hAnsi="Arial"/>
          <w:sz w:val="22"/>
          <w:szCs w:val="22"/>
        </w:rPr>
        <w:t xml:space="preserve">2 and juvenile movement </w:t>
      </w:r>
      <w:r>
        <w:rPr>
          <w:rFonts w:ascii="Arial" w:hAnsi="Arial"/>
          <w:sz w:val="22"/>
          <w:szCs w:val="22"/>
        </w:rPr>
        <w:t>×</w:t>
      </w:r>
      <w:r w:rsidRPr="00E41D2F">
        <w:rPr>
          <w:rFonts w:ascii="Arial" w:hAnsi="Arial"/>
          <w:sz w:val="22"/>
          <w:szCs w:val="22"/>
        </w:rPr>
        <w:t>5 (+P1P2)</w:t>
      </w:r>
    </w:p>
    <w:p w14:paraId="70DE5F9E" w14:textId="183BCDF3" w:rsidR="00491210" w:rsidRDefault="00EE200C" w:rsidP="006D2114">
      <w:pPr>
        <w:pStyle w:val="ListParagraph"/>
        <w:numPr>
          <w:ilvl w:val="0"/>
          <w:numId w:val="53"/>
        </w:numPr>
        <w:spacing w:line="240" w:lineRule="auto"/>
        <w:rPr>
          <w:rFonts w:ascii="Arial" w:hAnsi="Arial"/>
          <w:sz w:val="22"/>
          <w:szCs w:val="22"/>
        </w:rPr>
      </w:pPr>
      <w:r>
        <w:rPr>
          <w:rFonts w:ascii="Arial" w:hAnsi="Arial"/>
          <w:sz w:val="22"/>
          <w:szCs w:val="22"/>
        </w:rPr>
        <w:t>t</w:t>
      </w:r>
      <w:r w:rsidRPr="00E41D2F">
        <w:rPr>
          <w:rFonts w:ascii="Arial" w:hAnsi="Arial"/>
          <w:sz w:val="22"/>
          <w:szCs w:val="22"/>
        </w:rPr>
        <w:t>he adult movement rate from the Lower Murray</w:t>
      </w:r>
      <w:r>
        <w:rPr>
          <w:rFonts w:ascii="Arial" w:hAnsi="Arial"/>
          <w:sz w:val="22"/>
          <w:szCs w:val="22"/>
        </w:rPr>
        <w:t xml:space="preserve"> </w:t>
      </w:r>
      <w:r w:rsidRPr="00E41D2F">
        <w:rPr>
          <w:rFonts w:ascii="Arial" w:hAnsi="Arial"/>
          <w:sz w:val="22"/>
          <w:szCs w:val="22"/>
        </w:rPr>
        <w:t>below</w:t>
      </w:r>
      <w:r>
        <w:rPr>
          <w:rFonts w:ascii="Arial" w:hAnsi="Arial"/>
          <w:sz w:val="22"/>
          <w:szCs w:val="22"/>
        </w:rPr>
        <w:t xml:space="preserve"> </w:t>
      </w:r>
      <w:r w:rsidRPr="00EA455D">
        <w:rPr>
          <w:rFonts w:ascii="Arial" w:hAnsi="Arial"/>
          <w:sz w:val="22"/>
          <w:szCs w:val="28"/>
        </w:rPr>
        <w:t xml:space="preserve">Wentworth </w:t>
      </w:r>
      <w:r>
        <w:rPr>
          <w:rFonts w:ascii="Arial" w:hAnsi="Arial"/>
          <w:sz w:val="22"/>
          <w:szCs w:val="22"/>
        </w:rPr>
        <w:t xml:space="preserve">reach </w:t>
      </w:r>
      <w:r w:rsidRPr="00E41D2F">
        <w:rPr>
          <w:rFonts w:ascii="Arial" w:hAnsi="Arial"/>
          <w:sz w:val="22"/>
          <w:szCs w:val="22"/>
        </w:rPr>
        <w:t>upstream to the Torrumbarry</w:t>
      </w:r>
      <w:r>
        <w:rPr>
          <w:rFonts w:ascii="Arial" w:hAnsi="Arial"/>
          <w:sz w:val="22"/>
          <w:szCs w:val="22"/>
        </w:rPr>
        <w:t xml:space="preserve"> </w:t>
      </w:r>
      <w:r w:rsidRPr="00E41D2F">
        <w:rPr>
          <w:rFonts w:ascii="Arial" w:hAnsi="Arial"/>
          <w:sz w:val="22"/>
          <w:szCs w:val="22"/>
        </w:rPr>
        <w:t>to</w:t>
      </w:r>
      <w:r>
        <w:rPr>
          <w:rFonts w:ascii="Arial" w:hAnsi="Arial"/>
          <w:sz w:val="22"/>
          <w:szCs w:val="22"/>
        </w:rPr>
        <w:t xml:space="preserve"> </w:t>
      </w:r>
      <w:r w:rsidRPr="00EA455D">
        <w:rPr>
          <w:rFonts w:ascii="Arial" w:hAnsi="Arial"/>
          <w:sz w:val="22"/>
          <w:szCs w:val="28"/>
        </w:rPr>
        <w:t xml:space="preserve">Wentworth </w:t>
      </w:r>
      <w:r>
        <w:rPr>
          <w:rFonts w:ascii="Arial" w:hAnsi="Arial"/>
          <w:sz w:val="22"/>
          <w:szCs w:val="22"/>
        </w:rPr>
        <w:t xml:space="preserve">reach </w:t>
      </w:r>
      <w:r w:rsidRPr="00E41D2F">
        <w:rPr>
          <w:rFonts w:ascii="Arial" w:hAnsi="Arial"/>
          <w:sz w:val="22"/>
          <w:szCs w:val="22"/>
        </w:rPr>
        <w:t xml:space="preserve">was decreased to the same level as </w:t>
      </w:r>
      <w:r>
        <w:rPr>
          <w:rFonts w:ascii="Arial" w:hAnsi="Arial"/>
          <w:sz w:val="22"/>
          <w:szCs w:val="22"/>
        </w:rPr>
        <w:t xml:space="preserve">that of </w:t>
      </w:r>
      <w:r w:rsidRPr="00E41D2F">
        <w:rPr>
          <w:rFonts w:ascii="Arial" w:hAnsi="Arial"/>
          <w:sz w:val="22"/>
          <w:szCs w:val="22"/>
        </w:rPr>
        <w:t>juveniles (AP1P2)</w:t>
      </w:r>
    </w:p>
    <w:p w14:paraId="1E072956" w14:textId="7F38E4BF" w:rsidR="00491210" w:rsidRDefault="00EE200C" w:rsidP="006D2114">
      <w:pPr>
        <w:pStyle w:val="ListParagraph"/>
        <w:numPr>
          <w:ilvl w:val="0"/>
          <w:numId w:val="53"/>
        </w:numPr>
        <w:spacing w:line="240" w:lineRule="auto"/>
        <w:rPr>
          <w:rFonts w:ascii="Arial" w:hAnsi="Arial"/>
          <w:sz w:val="22"/>
          <w:szCs w:val="22"/>
        </w:rPr>
      </w:pPr>
      <w:r>
        <w:rPr>
          <w:rFonts w:ascii="Arial" w:hAnsi="Arial"/>
          <w:sz w:val="22"/>
          <w:szCs w:val="22"/>
        </w:rPr>
        <w:t>t</w:t>
      </w:r>
      <w:r w:rsidRPr="00E41D2F">
        <w:rPr>
          <w:rFonts w:ascii="Arial" w:hAnsi="Arial"/>
          <w:sz w:val="22"/>
          <w:szCs w:val="22"/>
        </w:rPr>
        <w:t>he adult initial population size was set to half the adult carrying capacity of each reach (IP)</w:t>
      </w:r>
    </w:p>
    <w:p w14:paraId="13C98251" w14:textId="7DBF2ADF" w:rsidR="00491210" w:rsidRDefault="00EE200C" w:rsidP="006D2114">
      <w:pPr>
        <w:pStyle w:val="ListParagraph"/>
        <w:numPr>
          <w:ilvl w:val="0"/>
          <w:numId w:val="53"/>
        </w:numPr>
        <w:spacing w:line="240" w:lineRule="auto"/>
        <w:rPr>
          <w:rFonts w:ascii="Arial" w:hAnsi="Arial"/>
          <w:sz w:val="22"/>
          <w:szCs w:val="22"/>
        </w:rPr>
      </w:pPr>
      <w:r>
        <w:rPr>
          <w:rFonts w:ascii="Arial" w:hAnsi="Arial"/>
          <w:sz w:val="22"/>
          <w:szCs w:val="22"/>
        </w:rPr>
        <w:t>i</w:t>
      </w:r>
      <w:r w:rsidRPr="00E41D2F">
        <w:rPr>
          <w:rFonts w:ascii="Arial" w:hAnsi="Arial"/>
          <w:sz w:val="22"/>
          <w:szCs w:val="22"/>
        </w:rPr>
        <w:t xml:space="preserve">ncreased immigration from the </w:t>
      </w:r>
      <w:r>
        <w:rPr>
          <w:rFonts w:ascii="Arial" w:hAnsi="Arial"/>
          <w:sz w:val="22"/>
          <w:szCs w:val="22"/>
        </w:rPr>
        <w:t>N</w:t>
      </w:r>
      <w:r w:rsidRPr="00E41D2F">
        <w:rPr>
          <w:rFonts w:ascii="Arial" w:hAnsi="Arial"/>
          <w:sz w:val="22"/>
          <w:szCs w:val="22"/>
        </w:rPr>
        <w:t xml:space="preserve">orthern </w:t>
      </w:r>
      <w:r>
        <w:rPr>
          <w:rFonts w:ascii="Arial" w:hAnsi="Arial"/>
          <w:sz w:val="22"/>
          <w:szCs w:val="22"/>
        </w:rPr>
        <w:t>MDB</w:t>
      </w:r>
      <w:r w:rsidRPr="00E41D2F">
        <w:rPr>
          <w:rFonts w:ascii="Arial" w:hAnsi="Arial"/>
          <w:sz w:val="22"/>
          <w:szCs w:val="22"/>
        </w:rPr>
        <w:t xml:space="preserve"> (M2)</w:t>
      </w:r>
    </w:p>
    <w:p w14:paraId="2C82ED25" w14:textId="486D6DFF" w:rsidR="00491210" w:rsidRPr="00E41D2F" w:rsidRDefault="00EE200C" w:rsidP="006D2114">
      <w:pPr>
        <w:pStyle w:val="ListParagraph"/>
        <w:numPr>
          <w:ilvl w:val="0"/>
          <w:numId w:val="53"/>
        </w:numPr>
        <w:spacing w:line="240" w:lineRule="auto"/>
        <w:rPr>
          <w:rFonts w:ascii="Arial" w:hAnsi="Arial"/>
          <w:sz w:val="22"/>
          <w:szCs w:val="22"/>
        </w:rPr>
      </w:pPr>
      <w:r w:rsidRPr="00E41D2F">
        <w:rPr>
          <w:rFonts w:ascii="Arial" w:hAnsi="Arial"/>
          <w:sz w:val="22"/>
          <w:szCs w:val="22"/>
        </w:rPr>
        <w:t xml:space="preserve">combined </w:t>
      </w:r>
      <w:r>
        <w:rPr>
          <w:rFonts w:ascii="Arial" w:hAnsi="Arial"/>
          <w:sz w:val="22"/>
          <w:szCs w:val="22"/>
        </w:rPr>
        <w:t>changes (</w:t>
      </w:r>
      <w:r w:rsidRPr="00E41D2F">
        <w:rPr>
          <w:rFonts w:ascii="Arial" w:hAnsi="Arial"/>
          <w:sz w:val="22"/>
          <w:szCs w:val="22"/>
        </w:rPr>
        <w:t xml:space="preserve">2) and </w:t>
      </w:r>
      <w:r>
        <w:rPr>
          <w:rFonts w:ascii="Arial" w:hAnsi="Arial"/>
          <w:sz w:val="22"/>
          <w:szCs w:val="22"/>
        </w:rPr>
        <w:t>(</w:t>
      </w:r>
      <w:r w:rsidRPr="00E41D2F">
        <w:rPr>
          <w:rFonts w:ascii="Arial" w:hAnsi="Arial"/>
          <w:sz w:val="22"/>
          <w:szCs w:val="22"/>
        </w:rPr>
        <w:t>4) (AP1P2+M2).</w:t>
      </w:r>
    </w:p>
    <w:p w14:paraId="34990823" w14:textId="20A25901" w:rsidR="00491210" w:rsidRDefault="00EE200C" w:rsidP="00177E96">
      <w:pPr>
        <w:spacing w:before="240" w:after="240"/>
        <w:jc w:val="both"/>
        <w:rPr>
          <w:sz w:val="22"/>
          <w:szCs w:val="22"/>
        </w:rPr>
      </w:pPr>
      <w:r>
        <w:rPr>
          <w:sz w:val="22"/>
          <w:szCs w:val="22"/>
        </w:rPr>
        <w:t>The second sensitivity analysis for the Total RRCP Populations indicated that the outcomes were highly sensitive to the initial population size (</w:t>
      </w:r>
      <w:r w:rsidRPr="00C721B5">
        <w:rPr>
          <w:sz w:val="22"/>
          <w:szCs w:val="22"/>
        </w:rPr>
        <w:fldChar w:fldCharType="begin"/>
      </w:r>
      <w:r w:rsidRPr="00C721B5">
        <w:rPr>
          <w:sz w:val="22"/>
          <w:szCs w:val="22"/>
        </w:rPr>
        <w:instrText xml:space="preserve"> REF _Ref108007073 \h </w:instrText>
      </w:r>
      <w:r>
        <w:rPr>
          <w:sz w:val="22"/>
          <w:szCs w:val="22"/>
        </w:rPr>
        <w:instrText xml:space="preserve"> \* MERGEFORMAT </w:instrText>
      </w:r>
      <w:r w:rsidRPr="00C721B5">
        <w:rPr>
          <w:sz w:val="22"/>
          <w:szCs w:val="22"/>
        </w:rPr>
      </w:r>
      <w:r w:rsidRPr="00C721B5">
        <w:rPr>
          <w:sz w:val="22"/>
          <w:szCs w:val="22"/>
        </w:rPr>
        <w:fldChar w:fldCharType="separate"/>
      </w:r>
      <w:r w:rsidR="005B672A" w:rsidRPr="005B672A">
        <w:rPr>
          <w:sz w:val="22"/>
          <w:szCs w:val="22"/>
        </w:rPr>
        <w:t>Figure A4.40</w:t>
      </w:r>
      <w:r w:rsidRPr="00C721B5">
        <w:rPr>
          <w:sz w:val="22"/>
          <w:szCs w:val="22"/>
        </w:rPr>
        <w:fldChar w:fldCharType="end"/>
      </w:r>
      <w:r w:rsidRPr="00C721B5">
        <w:rPr>
          <w:sz w:val="22"/>
          <w:szCs w:val="22"/>
        </w:rPr>
        <w:t xml:space="preserve"> and </w:t>
      </w:r>
      <w:r w:rsidRPr="00C721B5">
        <w:rPr>
          <w:sz w:val="22"/>
          <w:szCs w:val="22"/>
        </w:rPr>
        <w:fldChar w:fldCharType="begin"/>
      </w:r>
      <w:r w:rsidRPr="00C721B5">
        <w:rPr>
          <w:sz w:val="22"/>
          <w:szCs w:val="22"/>
        </w:rPr>
        <w:instrText xml:space="preserve"> REF _Ref108007084 \h </w:instrText>
      </w:r>
      <w:r>
        <w:rPr>
          <w:sz w:val="22"/>
          <w:szCs w:val="22"/>
        </w:rPr>
        <w:instrText xml:space="preserve"> \* MERGEFORMAT </w:instrText>
      </w:r>
      <w:r w:rsidRPr="00C721B5">
        <w:rPr>
          <w:sz w:val="22"/>
          <w:szCs w:val="22"/>
        </w:rPr>
      </w:r>
      <w:r w:rsidRPr="00C721B5">
        <w:rPr>
          <w:sz w:val="22"/>
          <w:szCs w:val="22"/>
        </w:rPr>
        <w:fldChar w:fldCharType="separate"/>
      </w:r>
      <w:r w:rsidR="005B672A" w:rsidRPr="005B672A">
        <w:rPr>
          <w:sz w:val="22"/>
          <w:szCs w:val="22"/>
        </w:rPr>
        <w:t>Figure A4.41</w:t>
      </w:r>
      <w:r w:rsidRPr="00C721B5">
        <w:rPr>
          <w:sz w:val="22"/>
          <w:szCs w:val="22"/>
        </w:rPr>
        <w:fldChar w:fldCharType="end"/>
      </w:r>
      <w:r>
        <w:rPr>
          <w:sz w:val="22"/>
          <w:szCs w:val="22"/>
        </w:rPr>
        <w:t xml:space="preserve">). Increasing movement from the Lower Murray to the </w:t>
      </w:r>
      <w:r w:rsidRPr="009D08F7">
        <w:rPr>
          <w:sz w:val="22"/>
          <w:szCs w:val="22"/>
        </w:rPr>
        <w:t>Torrumbarry</w:t>
      </w:r>
      <w:r>
        <w:rPr>
          <w:sz w:val="22"/>
          <w:szCs w:val="22"/>
        </w:rPr>
        <w:t xml:space="preserve"> </w:t>
      </w:r>
      <w:r w:rsidRPr="009D08F7">
        <w:rPr>
          <w:sz w:val="22"/>
          <w:szCs w:val="22"/>
        </w:rPr>
        <w:t>to</w:t>
      </w:r>
      <w:r>
        <w:rPr>
          <w:sz w:val="22"/>
          <w:szCs w:val="22"/>
        </w:rPr>
        <w:t xml:space="preserve"> </w:t>
      </w:r>
      <w:r w:rsidRPr="0063617E">
        <w:rPr>
          <w:sz w:val="22"/>
          <w:szCs w:val="28"/>
        </w:rPr>
        <w:t xml:space="preserve">Wentworth </w:t>
      </w:r>
      <w:r>
        <w:rPr>
          <w:sz w:val="22"/>
          <w:szCs w:val="22"/>
        </w:rPr>
        <w:t xml:space="preserve">reach had a markedly negative impact in comparison with the default parameterisation for the Total RRCP populations. This was due to too many Golden Perch migrating from the Lower Murray, resulting in an insufficient breeding population remaining and causing the population dynamics to decline overall (see the mean adult trajectories in each figure). For most renditions of the model, the mean trajectories remained low for the first 25 years; however, increasing the initial population size caused the modelled outcomes in the first 25 years to be higher, hence increasing the expected mean population size. The initial populations were set at the default levels due to the first modelled year being 1896, which was impacted by the ‘Federation Drought’ </w:t>
      </w:r>
      <w:r w:rsidRPr="00992517">
        <w:rPr>
          <w:sz w:val="22"/>
          <w:szCs w:val="22"/>
        </w:rPr>
        <w:t>(Verdon-Kidd and Kiem</w:t>
      </w:r>
      <w:r>
        <w:rPr>
          <w:sz w:val="22"/>
          <w:szCs w:val="22"/>
        </w:rPr>
        <w:t xml:space="preserve"> </w:t>
      </w:r>
      <w:r w:rsidRPr="00992517">
        <w:rPr>
          <w:sz w:val="22"/>
          <w:szCs w:val="22"/>
        </w:rPr>
        <w:t>2009)</w:t>
      </w:r>
      <w:r>
        <w:rPr>
          <w:sz w:val="22"/>
          <w:szCs w:val="22"/>
        </w:rPr>
        <w:t xml:space="preserve">; thus, it was appropriate to set the initial population sizes at a lower level. The tested scenarios had higher expected mean population sizes for the Base case in comparison with Option 4 (compare </w:t>
      </w:r>
      <w:r w:rsidRPr="00C721B5">
        <w:rPr>
          <w:sz w:val="22"/>
          <w:szCs w:val="22"/>
        </w:rPr>
        <w:fldChar w:fldCharType="begin"/>
      </w:r>
      <w:r w:rsidRPr="00C721B5">
        <w:rPr>
          <w:sz w:val="22"/>
          <w:szCs w:val="22"/>
        </w:rPr>
        <w:instrText xml:space="preserve"> REF _Ref108007073 \h </w:instrText>
      </w:r>
      <w:r>
        <w:rPr>
          <w:sz w:val="22"/>
          <w:szCs w:val="22"/>
        </w:rPr>
        <w:instrText xml:space="preserve"> \* MERGEFORMAT </w:instrText>
      </w:r>
      <w:r w:rsidRPr="00C721B5">
        <w:rPr>
          <w:sz w:val="22"/>
          <w:szCs w:val="22"/>
        </w:rPr>
      </w:r>
      <w:r w:rsidRPr="00C721B5">
        <w:rPr>
          <w:sz w:val="22"/>
          <w:szCs w:val="22"/>
        </w:rPr>
        <w:fldChar w:fldCharType="separate"/>
      </w:r>
      <w:r w:rsidR="005B672A" w:rsidRPr="005B672A">
        <w:rPr>
          <w:sz w:val="22"/>
          <w:szCs w:val="22"/>
        </w:rPr>
        <w:t>Figure A4.40</w:t>
      </w:r>
      <w:r w:rsidRPr="00C721B5">
        <w:rPr>
          <w:sz w:val="22"/>
          <w:szCs w:val="22"/>
        </w:rPr>
        <w:fldChar w:fldCharType="end"/>
      </w:r>
      <w:r w:rsidRPr="00C721B5">
        <w:rPr>
          <w:sz w:val="22"/>
          <w:szCs w:val="22"/>
        </w:rPr>
        <w:t xml:space="preserve"> and </w:t>
      </w:r>
      <w:r w:rsidRPr="00C721B5">
        <w:rPr>
          <w:sz w:val="22"/>
          <w:szCs w:val="22"/>
        </w:rPr>
        <w:fldChar w:fldCharType="begin"/>
      </w:r>
      <w:r w:rsidRPr="00C721B5">
        <w:rPr>
          <w:sz w:val="22"/>
          <w:szCs w:val="22"/>
        </w:rPr>
        <w:instrText xml:space="preserve"> REF _Ref108007084 \h </w:instrText>
      </w:r>
      <w:r>
        <w:rPr>
          <w:sz w:val="22"/>
          <w:szCs w:val="22"/>
        </w:rPr>
        <w:instrText xml:space="preserve"> \* MERGEFORMAT </w:instrText>
      </w:r>
      <w:r w:rsidRPr="00C721B5">
        <w:rPr>
          <w:sz w:val="22"/>
          <w:szCs w:val="22"/>
        </w:rPr>
      </w:r>
      <w:r w:rsidRPr="00C721B5">
        <w:rPr>
          <w:sz w:val="22"/>
          <w:szCs w:val="22"/>
        </w:rPr>
        <w:fldChar w:fldCharType="separate"/>
      </w:r>
      <w:r w:rsidR="005B672A" w:rsidRPr="005B672A">
        <w:rPr>
          <w:sz w:val="22"/>
          <w:szCs w:val="22"/>
        </w:rPr>
        <w:t>Figure A4.41</w:t>
      </w:r>
      <w:r w:rsidRPr="00C721B5">
        <w:rPr>
          <w:sz w:val="22"/>
          <w:szCs w:val="22"/>
        </w:rPr>
        <w:fldChar w:fldCharType="end"/>
      </w:r>
      <w:r>
        <w:rPr>
          <w:sz w:val="22"/>
          <w:szCs w:val="22"/>
        </w:rPr>
        <w:t>). As was the case in the first sensitivity analysis, when comparing the Base case with Option 4 for each scenario, Option 4 generated a higher expected mean population size for the Total RRCP Populations for all sensitivity scenarios (</w:t>
      </w:r>
      <w:r w:rsidRPr="00C721B5">
        <w:rPr>
          <w:sz w:val="22"/>
          <w:szCs w:val="22"/>
        </w:rPr>
        <w:fldChar w:fldCharType="begin"/>
      </w:r>
      <w:r w:rsidRPr="00C721B5">
        <w:rPr>
          <w:sz w:val="22"/>
          <w:szCs w:val="22"/>
        </w:rPr>
        <w:instrText xml:space="preserve"> REF _Ref108007131 \h </w:instrText>
      </w:r>
      <w:r>
        <w:rPr>
          <w:sz w:val="22"/>
          <w:szCs w:val="22"/>
        </w:rPr>
        <w:instrText xml:space="preserve"> \* MERGEFORMAT </w:instrText>
      </w:r>
      <w:r w:rsidRPr="00C721B5">
        <w:rPr>
          <w:sz w:val="22"/>
          <w:szCs w:val="22"/>
        </w:rPr>
      </w:r>
      <w:r w:rsidRPr="00C721B5">
        <w:rPr>
          <w:sz w:val="22"/>
          <w:szCs w:val="22"/>
        </w:rPr>
        <w:fldChar w:fldCharType="separate"/>
      </w:r>
      <w:r w:rsidR="005B672A" w:rsidRPr="005B672A">
        <w:rPr>
          <w:sz w:val="22"/>
          <w:szCs w:val="22"/>
        </w:rPr>
        <w:t>Figure A4.42</w:t>
      </w:r>
      <w:r w:rsidRPr="00C721B5">
        <w:rPr>
          <w:sz w:val="22"/>
          <w:szCs w:val="22"/>
        </w:rPr>
        <w:fldChar w:fldCharType="end"/>
      </w:r>
      <w:r>
        <w:rPr>
          <w:sz w:val="22"/>
          <w:szCs w:val="22"/>
        </w:rPr>
        <w:t>).</w:t>
      </w:r>
    </w:p>
    <w:p w14:paraId="2ED79367" w14:textId="07140B11" w:rsidR="00491210" w:rsidRDefault="003E1401" w:rsidP="00AA38AC">
      <w:pPr>
        <w:spacing w:after="0"/>
        <w:rPr>
          <w:szCs w:val="20"/>
        </w:rPr>
      </w:pPr>
      <w:r>
        <w:rPr>
          <w:noProof/>
          <w:lang w:eastAsia="en-AU"/>
        </w:rPr>
        <w:t xml:space="preserve">  </w:t>
      </w:r>
    </w:p>
    <w:p w14:paraId="50E81829" w14:textId="55E6FFEB" w:rsidR="00491210" w:rsidRDefault="00EE200C" w:rsidP="00F602FE">
      <w:pPr>
        <w:pStyle w:val="AppendixFigureCaption"/>
      </w:pPr>
      <w:r>
        <w:t>Figure A4.</w:t>
      </w:r>
      <w:r>
        <w:fldChar w:fldCharType="begin"/>
      </w:r>
      <w:r>
        <w:instrText>SEQ Figure_A4. \* ARABIC</w:instrText>
      </w:r>
      <w:r>
        <w:fldChar w:fldCharType="separate"/>
      </w:r>
      <w:r w:rsidR="005B672A">
        <w:rPr>
          <w:noProof/>
        </w:rPr>
        <w:t>37</w:t>
      </w:r>
      <w:r>
        <w:fldChar w:fldCharType="end"/>
      </w:r>
      <w:r w:rsidRPr="00DD7D8C">
        <w:t xml:space="preserve">. </w:t>
      </w:r>
      <w:r>
        <w:t>The Base case sensitivity 2 scenarios m</w:t>
      </w:r>
      <w:r w:rsidRPr="7ADEDDC3">
        <w:rPr>
          <w:szCs w:val="20"/>
        </w:rPr>
        <w:t xml:space="preserve">odelled </w:t>
      </w:r>
      <w:r>
        <w:rPr>
          <w:szCs w:val="20"/>
        </w:rPr>
        <w:t xml:space="preserve">for </w:t>
      </w:r>
      <w:r w:rsidRPr="7ADEDDC3">
        <w:rPr>
          <w:szCs w:val="20"/>
        </w:rPr>
        <w:t>Golden Perch</w:t>
      </w:r>
      <w:r>
        <w:rPr>
          <w:szCs w:val="20"/>
        </w:rPr>
        <w:t xml:space="preserve"> sensitivity analysis </w:t>
      </w:r>
      <w:r w:rsidRPr="00791637">
        <w:t>aggregated across all reaches in this study in the southern MDB</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72F3BFF2" w14:textId="46CB9BE7" w:rsidR="00491210" w:rsidRDefault="003E1401" w:rsidP="00AA38AC">
      <w:pPr>
        <w:spacing w:after="0"/>
        <w:rPr>
          <w:szCs w:val="20"/>
        </w:rPr>
      </w:pPr>
      <w:r>
        <w:rPr>
          <w:noProof/>
          <w:lang w:eastAsia="en-AU"/>
        </w:rPr>
        <w:t xml:space="preserve">  </w:t>
      </w:r>
    </w:p>
    <w:p w14:paraId="0C17AC11" w14:textId="15B5EFE7" w:rsidR="00491210" w:rsidRDefault="00EE200C" w:rsidP="00F602FE">
      <w:pPr>
        <w:pStyle w:val="AppendixFigureCaption"/>
      </w:pPr>
      <w:r>
        <w:t>Figure A4.</w:t>
      </w:r>
      <w:r>
        <w:fldChar w:fldCharType="begin"/>
      </w:r>
      <w:r>
        <w:instrText>SEQ Figure_A4. \* ARABIC</w:instrText>
      </w:r>
      <w:r>
        <w:fldChar w:fldCharType="separate"/>
      </w:r>
      <w:r w:rsidR="005B672A">
        <w:rPr>
          <w:noProof/>
        </w:rPr>
        <w:t>38</w:t>
      </w:r>
      <w:r>
        <w:fldChar w:fldCharType="end"/>
      </w:r>
      <w:r w:rsidRPr="00DD7D8C">
        <w:t xml:space="preserve">. </w:t>
      </w:r>
      <w:r>
        <w:t>Option 4 sensitivity 2 scenarios m</w:t>
      </w:r>
      <w:r w:rsidRPr="7ADEDDC3">
        <w:rPr>
          <w:szCs w:val="20"/>
        </w:rPr>
        <w:t xml:space="preserve">odelled </w:t>
      </w:r>
      <w:r>
        <w:rPr>
          <w:szCs w:val="20"/>
        </w:rPr>
        <w:t xml:space="preserve">for </w:t>
      </w:r>
      <w:r w:rsidRPr="7ADEDDC3">
        <w:rPr>
          <w:szCs w:val="20"/>
        </w:rPr>
        <w:t>Golden Perch</w:t>
      </w:r>
      <w:r>
        <w:rPr>
          <w:szCs w:val="20"/>
        </w:rPr>
        <w:t xml:space="preserve"> sensitivity analysis </w:t>
      </w:r>
      <w:r w:rsidRPr="00791637">
        <w:t>aggregated across all reaches in this study in the southern MDB</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0330B31D" w14:textId="154C3BE8" w:rsidR="00491210" w:rsidRPr="00DF5DA6" w:rsidRDefault="003E1401" w:rsidP="00AA38AC">
      <w:pPr>
        <w:spacing w:after="0"/>
        <w:rPr>
          <w:szCs w:val="20"/>
        </w:rPr>
      </w:pPr>
      <w:r>
        <w:rPr>
          <w:noProof/>
          <w:lang w:eastAsia="en-AU"/>
        </w:rPr>
        <w:t xml:space="preserve"> </w:t>
      </w:r>
    </w:p>
    <w:p w14:paraId="7E541614" w14:textId="10E6E2CB" w:rsidR="00491210" w:rsidRDefault="00EE200C" w:rsidP="00F602FE">
      <w:pPr>
        <w:pStyle w:val="AppendixFigureCaption"/>
      </w:pPr>
      <w:r>
        <w:t>Figure A4.</w:t>
      </w:r>
      <w:r>
        <w:fldChar w:fldCharType="begin"/>
      </w:r>
      <w:r>
        <w:instrText>SEQ Figure_A4. \* ARABIC</w:instrText>
      </w:r>
      <w:r>
        <w:fldChar w:fldCharType="separate"/>
      </w:r>
      <w:r w:rsidR="005B672A">
        <w:rPr>
          <w:noProof/>
        </w:rPr>
        <w:t>39</w:t>
      </w:r>
      <w:r>
        <w:fldChar w:fldCharType="end"/>
      </w:r>
      <w:r w:rsidRPr="00DD7D8C">
        <w:t xml:space="preserve">. </w:t>
      </w:r>
      <w:r>
        <w:t>Comparisons between Base case (solid colour) and Option 4 (striped colour) for the sensitivity 2 scenarios m</w:t>
      </w:r>
      <w:r w:rsidRPr="7ADEDDC3">
        <w:rPr>
          <w:szCs w:val="20"/>
        </w:rPr>
        <w:t xml:space="preserve">odelled </w:t>
      </w:r>
      <w:r>
        <w:rPr>
          <w:szCs w:val="20"/>
        </w:rPr>
        <w:t xml:space="preserve">for </w:t>
      </w:r>
      <w:r w:rsidRPr="7ADEDDC3">
        <w:rPr>
          <w:szCs w:val="20"/>
        </w:rPr>
        <w:t>Golden Perch</w:t>
      </w:r>
      <w:r>
        <w:rPr>
          <w:szCs w:val="20"/>
        </w:rPr>
        <w:t xml:space="preserve"> sensitivity analysis </w:t>
      </w:r>
      <w:r w:rsidRPr="00791637">
        <w:t>aggregated across all reaches in this study in the southern MDB</w:t>
      </w:r>
      <w:r>
        <w:rPr>
          <w:szCs w:val="20"/>
        </w:rPr>
        <w:t>.</w:t>
      </w:r>
    </w:p>
    <w:p w14:paraId="7AE00675" w14:textId="0FA36284" w:rsidR="00491210" w:rsidRDefault="003E1401" w:rsidP="00AA38AC">
      <w:pPr>
        <w:spacing w:after="0"/>
        <w:rPr>
          <w:sz w:val="22"/>
          <w:szCs w:val="22"/>
        </w:rPr>
      </w:pPr>
      <w:r>
        <w:rPr>
          <w:noProof/>
          <w:lang w:eastAsia="en-AU"/>
        </w:rPr>
        <w:t xml:space="preserve">  </w:t>
      </w:r>
    </w:p>
    <w:p w14:paraId="7F64BDBF" w14:textId="1C57A43D" w:rsidR="00491210" w:rsidRPr="00DD7D8C" w:rsidRDefault="00EE200C" w:rsidP="00F602FE">
      <w:pPr>
        <w:pStyle w:val="AppendixFigureCaption"/>
      </w:pPr>
      <w:bookmarkStart w:id="442" w:name="_Ref108007073"/>
      <w:r>
        <w:t>Figure A4.</w:t>
      </w:r>
      <w:r>
        <w:fldChar w:fldCharType="begin"/>
      </w:r>
      <w:r>
        <w:instrText>SEQ Figure_A4. \* ARABIC</w:instrText>
      </w:r>
      <w:r>
        <w:fldChar w:fldCharType="separate"/>
      </w:r>
      <w:r w:rsidR="005B672A">
        <w:rPr>
          <w:noProof/>
        </w:rPr>
        <w:t>40</w:t>
      </w:r>
      <w:r>
        <w:fldChar w:fldCharType="end"/>
      </w:r>
      <w:bookmarkEnd w:id="442"/>
      <w:r w:rsidRPr="00DD7D8C">
        <w:t xml:space="preserve">. </w:t>
      </w:r>
      <w:r>
        <w:t>The Base case sensitivity 2 scenarios m</w:t>
      </w:r>
      <w:r w:rsidRPr="7ADEDDC3">
        <w:rPr>
          <w:szCs w:val="20"/>
        </w:rPr>
        <w:t xml:space="preserve">odelled </w:t>
      </w:r>
      <w:r>
        <w:rPr>
          <w:szCs w:val="20"/>
        </w:rPr>
        <w:t xml:space="preserve">for </w:t>
      </w:r>
      <w:r w:rsidRPr="7ADEDDC3">
        <w:rPr>
          <w:szCs w:val="20"/>
        </w:rPr>
        <w:t>Golden Perch</w:t>
      </w:r>
      <w:r>
        <w:rPr>
          <w:szCs w:val="20"/>
        </w:rPr>
        <w:t xml:space="preserve"> sensitivity analysis </w:t>
      </w:r>
      <w:r w:rsidRPr="00791637">
        <w:t>aggregated across all modelled RRCP focal zones, together with the Wakool Junction to Wentworth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56D04358" w14:textId="398DF32C" w:rsidR="00491210" w:rsidRDefault="003E1401" w:rsidP="00AA38AC">
      <w:pPr>
        <w:spacing w:after="0"/>
        <w:rPr>
          <w:sz w:val="22"/>
          <w:szCs w:val="22"/>
        </w:rPr>
      </w:pPr>
      <w:r>
        <w:rPr>
          <w:noProof/>
          <w:lang w:eastAsia="en-AU"/>
        </w:rPr>
        <w:t xml:space="preserve">  </w:t>
      </w:r>
    </w:p>
    <w:p w14:paraId="0EB463A9" w14:textId="5A49C116" w:rsidR="00491210" w:rsidRPr="000263DF" w:rsidRDefault="00EE200C" w:rsidP="00F602FE">
      <w:pPr>
        <w:pStyle w:val="AppendixFigureCaption"/>
        <w:rPr>
          <w:szCs w:val="20"/>
        </w:rPr>
      </w:pPr>
      <w:bookmarkStart w:id="443" w:name="_Ref108007084"/>
      <w:r>
        <w:t>Figure A4.</w:t>
      </w:r>
      <w:r>
        <w:fldChar w:fldCharType="begin"/>
      </w:r>
      <w:r>
        <w:instrText>SEQ Figure_A4. \* ARABIC</w:instrText>
      </w:r>
      <w:r>
        <w:fldChar w:fldCharType="separate"/>
      </w:r>
      <w:r w:rsidR="005B672A">
        <w:rPr>
          <w:noProof/>
        </w:rPr>
        <w:t>41</w:t>
      </w:r>
      <w:r>
        <w:fldChar w:fldCharType="end"/>
      </w:r>
      <w:bookmarkEnd w:id="443"/>
      <w:r w:rsidRPr="00DD7D8C">
        <w:t xml:space="preserve">. </w:t>
      </w:r>
      <w:r>
        <w:t>Option 4 sensitivity 2 scenarios modelled in the Golden Perch sensitivity analysis</w:t>
      </w:r>
      <w:r>
        <w:rPr>
          <w:szCs w:val="20"/>
        </w:rPr>
        <w:t xml:space="preserve"> </w:t>
      </w:r>
      <w:r w:rsidRPr="00791637">
        <w:t>aggregated across all modelled RRCP focal zones, together with the Wakool Junction to Wentworth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 xml:space="preserve">population </w:t>
      </w:r>
      <w:r>
        <w:t>sizes, with the percentage change from</w:t>
      </w:r>
      <w:r w:rsidRPr="00DD7D8C">
        <w:t xml:space="preserve"> </w:t>
      </w:r>
      <w:r>
        <w:t xml:space="preserve">the default </w:t>
      </w:r>
      <w:r w:rsidRPr="00DD7D8C">
        <w:t>shown in each bar</w:t>
      </w:r>
      <w:r>
        <w:t>.</w:t>
      </w:r>
    </w:p>
    <w:p w14:paraId="395FF1F5" w14:textId="1F7B35B4" w:rsidR="00491210" w:rsidRPr="00DF5DA6" w:rsidRDefault="003E1401" w:rsidP="00AA38AC">
      <w:pPr>
        <w:spacing w:after="0"/>
        <w:rPr>
          <w:szCs w:val="20"/>
        </w:rPr>
      </w:pPr>
      <w:r>
        <w:rPr>
          <w:noProof/>
          <w:lang w:eastAsia="en-AU"/>
        </w:rPr>
        <w:t xml:space="preserve"> </w:t>
      </w:r>
    </w:p>
    <w:p w14:paraId="30D21A3F" w14:textId="1970F538" w:rsidR="00491210" w:rsidRDefault="00EE200C" w:rsidP="00F602FE">
      <w:pPr>
        <w:pStyle w:val="AppendixFigureCaption"/>
      </w:pPr>
      <w:bookmarkStart w:id="444" w:name="_Ref108007131"/>
      <w:r>
        <w:t>Figure A4.</w:t>
      </w:r>
      <w:r>
        <w:fldChar w:fldCharType="begin"/>
      </w:r>
      <w:r>
        <w:instrText>SEQ Figure_A4. \* ARABIC</w:instrText>
      </w:r>
      <w:r>
        <w:fldChar w:fldCharType="separate"/>
      </w:r>
      <w:r w:rsidR="005B672A">
        <w:rPr>
          <w:noProof/>
        </w:rPr>
        <w:t>42</w:t>
      </w:r>
      <w:r>
        <w:fldChar w:fldCharType="end"/>
      </w:r>
      <w:bookmarkEnd w:id="444"/>
      <w:r w:rsidRPr="00DD7D8C">
        <w:t xml:space="preserve">. </w:t>
      </w:r>
      <w:r>
        <w:t>Comparisons between Base case (solid colour) and Option 4 (striped colour) for the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rsidRPr="00791637">
        <w:t>aggregated across all modelled RRCP focal zones, together with the Wakool Junction to Wentworth reach</w:t>
      </w:r>
      <w:r>
        <w:rPr>
          <w:szCs w:val="20"/>
        </w:rPr>
        <w:t>.</w:t>
      </w:r>
    </w:p>
    <w:p w14:paraId="0745BF5A" w14:textId="132FA6E0" w:rsidR="00491210" w:rsidRDefault="003E1401" w:rsidP="00AA38AC">
      <w:pPr>
        <w:spacing w:after="0"/>
        <w:rPr>
          <w:sz w:val="22"/>
          <w:szCs w:val="22"/>
        </w:rPr>
      </w:pPr>
      <w:r>
        <w:rPr>
          <w:noProof/>
          <w:lang w:eastAsia="en-AU"/>
        </w:rPr>
        <w:t xml:space="preserve">  </w:t>
      </w:r>
    </w:p>
    <w:p w14:paraId="19CA98B8" w14:textId="3D9106FC" w:rsidR="00491210" w:rsidRPr="00DD7D8C" w:rsidRDefault="00EE200C" w:rsidP="00F602FE">
      <w:pPr>
        <w:pStyle w:val="AppendixFigureCaption"/>
      </w:pPr>
      <w:r>
        <w:lastRenderedPageBreak/>
        <w:t>Figure A4.</w:t>
      </w:r>
      <w:r>
        <w:fldChar w:fldCharType="begin"/>
      </w:r>
      <w:r>
        <w:instrText>SEQ Figure_A4. \* ARABIC</w:instrText>
      </w:r>
      <w:r>
        <w:fldChar w:fldCharType="separate"/>
      </w:r>
      <w:r w:rsidR="005B672A">
        <w:rPr>
          <w:noProof/>
        </w:rPr>
        <w:t>43</w:t>
      </w:r>
      <w:r>
        <w:fldChar w:fldCharType="end"/>
      </w:r>
      <w:r w:rsidRPr="00DD7D8C">
        <w:t xml:space="preserve">. </w:t>
      </w:r>
      <w:r>
        <w:t>The Base case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rsidRPr="00791637">
        <w:t>aggregated across the Murray River RRCP focal zones (including the Edward River), together with the Wakool Junction to Wentworth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rsidDel="0085085A">
        <w:t xml:space="preserve"> </w:t>
      </w:r>
      <w:r w:rsidRPr="00DD7D8C">
        <w:t xml:space="preserve">change from </w:t>
      </w:r>
      <w:r>
        <w:t xml:space="preserve">the default </w:t>
      </w:r>
      <w:r w:rsidRPr="00DD7D8C">
        <w:t>shown in each bar</w:t>
      </w:r>
      <w:r>
        <w:t>.</w:t>
      </w:r>
    </w:p>
    <w:p w14:paraId="0C518717" w14:textId="7C07E03C" w:rsidR="00491210" w:rsidRDefault="003E1401" w:rsidP="00AA38AC">
      <w:pPr>
        <w:spacing w:after="0"/>
        <w:rPr>
          <w:sz w:val="22"/>
          <w:szCs w:val="22"/>
        </w:rPr>
      </w:pPr>
      <w:r>
        <w:rPr>
          <w:noProof/>
          <w:lang w:eastAsia="en-AU"/>
        </w:rPr>
        <w:t xml:space="preserve">  </w:t>
      </w:r>
    </w:p>
    <w:p w14:paraId="2EB83255" w14:textId="42180615"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44</w:t>
      </w:r>
      <w:r>
        <w:fldChar w:fldCharType="end"/>
      </w:r>
      <w:r w:rsidRPr="00DD7D8C">
        <w:t xml:space="preserve">. </w:t>
      </w:r>
      <w:r>
        <w:t>Option 4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rsidRPr="00791637">
        <w:t>aggregated across the Murray River RRCP focal zones (including the Edward River), together with the Wakool Junction to Wentworth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6B6FAA76" w14:textId="06AC2A94" w:rsidR="00491210" w:rsidRPr="00DF5DA6" w:rsidRDefault="003E1401" w:rsidP="00AA38AC">
      <w:pPr>
        <w:spacing w:after="0"/>
        <w:rPr>
          <w:szCs w:val="20"/>
        </w:rPr>
      </w:pPr>
      <w:r>
        <w:rPr>
          <w:noProof/>
          <w:lang w:eastAsia="en-AU"/>
        </w:rPr>
        <w:t xml:space="preserve"> </w:t>
      </w:r>
    </w:p>
    <w:p w14:paraId="35EB6AED" w14:textId="5D2485E9" w:rsidR="00491210" w:rsidRDefault="00EE200C" w:rsidP="00F602FE">
      <w:pPr>
        <w:pStyle w:val="AppendixFigureCaption"/>
      </w:pPr>
      <w:r>
        <w:t>Figure A4.</w:t>
      </w:r>
      <w:r>
        <w:fldChar w:fldCharType="begin"/>
      </w:r>
      <w:r>
        <w:instrText>SEQ Figure_A4. \* ARABIC</w:instrText>
      </w:r>
      <w:r>
        <w:fldChar w:fldCharType="separate"/>
      </w:r>
      <w:r w:rsidR="005B672A">
        <w:rPr>
          <w:noProof/>
        </w:rPr>
        <w:t>45</w:t>
      </w:r>
      <w:r>
        <w:fldChar w:fldCharType="end"/>
      </w:r>
      <w:r w:rsidRPr="00DD7D8C">
        <w:t xml:space="preserve">. </w:t>
      </w:r>
      <w:r>
        <w:t>Comparisons between Base case (solid colour) and Option 4 (striped colour) for the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rsidRPr="00791637">
        <w:t>aggregated across the Murray River RRCP focal zones (including the Edward River), together with the Wakool Junction to Wentworth reach</w:t>
      </w:r>
      <w:r>
        <w:rPr>
          <w:szCs w:val="20"/>
        </w:rPr>
        <w:t>.</w:t>
      </w:r>
    </w:p>
    <w:p w14:paraId="2371DBE5" w14:textId="295AC44F" w:rsidR="00491210" w:rsidRDefault="003E1401" w:rsidP="00AA38AC">
      <w:pPr>
        <w:spacing w:after="0"/>
        <w:rPr>
          <w:sz w:val="22"/>
          <w:szCs w:val="22"/>
        </w:rPr>
      </w:pPr>
      <w:r>
        <w:rPr>
          <w:noProof/>
          <w:lang w:eastAsia="en-AU"/>
        </w:rPr>
        <w:t xml:space="preserve">  </w:t>
      </w:r>
    </w:p>
    <w:p w14:paraId="620D92D7" w14:textId="64440F34"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46</w:t>
      </w:r>
      <w:r>
        <w:fldChar w:fldCharType="end"/>
      </w:r>
      <w:r w:rsidRPr="00DD7D8C">
        <w:t xml:space="preserve">. </w:t>
      </w:r>
      <w:r>
        <w:t>The Base case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rsidRPr="00791637">
        <w:t>aggregated across the Murrumbidgee River RRCP focal zone</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rsidDel="0085085A">
        <w:t xml:space="preserve"> </w:t>
      </w:r>
      <w:r w:rsidRPr="00DD7D8C">
        <w:t xml:space="preserve">change from </w:t>
      </w:r>
      <w:r>
        <w:t xml:space="preserve">the default </w:t>
      </w:r>
      <w:r w:rsidRPr="00DD7D8C">
        <w:t>shown in each bar</w:t>
      </w:r>
      <w:r>
        <w:t>.</w:t>
      </w:r>
    </w:p>
    <w:p w14:paraId="3DC73A37" w14:textId="1E0D858B" w:rsidR="00491210" w:rsidRDefault="003E1401" w:rsidP="00AA38AC">
      <w:pPr>
        <w:spacing w:after="0"/>
        <w:rPr>
          <w:sz w:val="22"/>
          <w:szCs w:val="22"/>
        </w:rPr>
      </w:pPr>
      <w:r>
        <w:rPr>
          <w:noProof/>
          <w:lang w:eastAsia="en-AU"/>
        </w:rPr>
        <w:t xml:space="preserve">  </w:t>
      </w:r>
    </w:p>
    <w:p w14:paraId="1F113057" w14:textId="6F79AD33"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47</w:t>
      </w:r>
      <w:r>
        <w:fldChar w:fldCharType="end"/>
      </w:r>
      <w:r w:rsidRPr="00DD7D8C">
        <w:t xml:space="preserve">. </w:t>
      </w:r>
      <w:r>
        <w:t>Option 4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rsidRPr="00087E0F">
        <w:t>aggregated across the Murrumbidgee River RRCP focal zone</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rsidDel="0085085A">
        <w:t xml:space="preserve"> </w:t>
      </w:r>
      <w:r w:rsidRPr="00DD7D8C">
        <w:t xml:space="preserve">change from </w:t>
      </w:r>
      <w:r>
        <w:t xml:space="preserve">the default </w:t>
      </w:r>
      <w:r w:rsidRPr="00DD7D8C">
        <w:t>shown in each bar</w:t>
      </w:r>
      <w:r>
        <w:t>.</w:t>
      </w:r>
    </w:p>
    <w:p w14:paraId="717843B5" w14:textId="402A0F44" w:rsidR="00491210" w:rsidRPr="00DF5DA6" w:rsidRDefault="003E1401" w:rsidP="00AA38AC">
      <w:pPr>
        <w:spacing w:after="0"/>
        <w:rPr>
          <w:szCs w:val="20"/>
        </w:rPr>
      </w:pPr>
      <w:r>
        <w:rPr>
          <w:noProof/>
          <w:lang w:eastAsia="en-AU"/>
        </w:rPr>
        <w:t xml:space="preserve"> </w:t>
      </w:r>
    </w:p>
    <w:p w14:paraId="2DCA693F" w14:textId="7894E142" w:rsidR="00491210" w:rsidRDefault="00EE200C" w:rsidP="00F602FE">
      <w:pPr>
        <w:pStyle w:val="AppendixFigureCaption"/>
      </w:pPr>
      <w:r>
        <w:t>Figure A4.</w:t>
      </w:r>
      <w:r>
        <w:fldChar w:fldCharType="begin"/>
      </w:r>
      <w:r>
        <w:instrText>SEQ Figure_A4. \* ARABIC</w:instrText>
      </w:r>
      <w:r>
        <w:fldChar w:fldCharType="separate"/>
      </w:r>
      <w:r w:rsidR="005B672A">
        <w:rPr>
          <w:noProof/>
        </w:rPr>
        <w:t>48</w:t>
      </w:r>
      <w:r>
        <w:fldChar w:fldCharType="end"/>
      </w:r>
      <w:r w:rsidRPr="00DD7D8C">
        <w:t xml:space="preserve">. </w:t>
      </w:r>
      <w:r>
        <w:t>Comparisons between Base case (solid colour) and Option 4 (striped colour) for the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rsidRPr="00087E0F">
        <w:t>aggregated across the Murrumbidgee River RRCP focal zone</w:t>
      </w:r>
      <w:r>
        <w:rPr>
          <w:szCs w:val="20"/>
        </w:rPr>
        <w:t>.</w:t>
      </w:r>
    </w:p>
    <w:p w14:paraId="49345E58" w14:textId="056FA3BE" w:rsidR="00491210" w:rsidRDefault="003E1401" w:rsidP="00AA38AC">
      <w:pPr>
        <w:spacing w:after="0"/>
        <w:rPr>
          <w:sz w:val="22"/>
          <w:szCs w:val="22"/>
        </w:rPr>
      </w:pPr>
      <w:r>
        <w:rPr>
          <w:noProof/>
          <w:lang w:eastAsia="en-AU"/>
        </w:rPr>
        <w:t xml:space="preserve">  </w:t>
      </w:r>
    </w:p>
    <w:p w14:paraId="7914223E" w14:textId="7033CEE1"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49</w:t>
      </w:r>
      <w:r>
        <w:fldChar w:fldCharType="end"/>
      </w:r>
      <w:r w:rsidRPr="00DD7D8C">
        <w:t xml:space="preserve">. </w:t>
      </w:r>
      <w:r>
        <w:t>The Base case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t xml:space="preserve">for the Torrumbarry </w:t>
      </w:r>
      <w:r w:rsidRPr="00E41D2F">
        <w:rPr>
          <w:szCs w:val="20"/>
        </w:rPr>
        <w:t>to</w:t>
      </w:r>
      <w:r>
        <w:rPr>
          <w:szCs w:val="20"/>
        </w:rPr>
        <w:t xml:space="preserve"> </w:t>
      </w:r>
      <w:r w:rsidRPr="00EA455D">
        <w:rPr>
          <w:szCs w:val="20"/>
        </w:rPr>
        <w:t xml:space="preserve">Wentworth </w:t>
      </w:r>
      <w:r>
        <w:rPr>
          <w:szCs w:val="20"/>
        </w:rPr>
        <w:t>reach</w:t>
      </w:r>
      <w:r w:rsidRPr="00E41D2F">
        <w:rPr>
          <w:szCs w:val="20"/>
        </w:rPr>
        <w:t>. Top panel</w:t>
      </w:r>
      <w:r w:rsidRPr="00DD7D8C">
        <w:t xml:space="preserve">: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rsidDel="0085085A">
        <w:t xml:space="preserve"> </w:t>
      </w:r>
      <w:r w:rsidRPr="00DD7D8C">
        <w:t xml:space="preserve">change from </w:t>
      </w:r>
      <w:r>
        <w:t xml:space="preserve">the default </w:t>
      </w:r>
      <w:r w:rsidRPr="00DD7D8C">
        <w:t>shown in each bar</w:t>
      </w:r>
      <w:r>
        <w:t>.</w:t>
      </w:r>
    </w:p>
    <w:p w14:paraId="1472A148" w14:textId="08835DC5" w:rsidR="00491210" w:rsidRDefault="003E1401" w:rsidP="00AA38AC">
      <w:pPr>
        <w:spacing w:after="0"/>
        <w:rPr>
          <w:sz w:val="22"/>
          <w:szCs w:val="22"/>
        </w:rPr>
      </w:pPr>
      <w:r>
        <w:rPr>
          <w:noProof/>
          <w:lang w:eastAsia="en-AU"/>
        </w:rPr>
        <w:t xml:space="preserve">  </w:t>
      </w:r>
    </w:p>
    <w:p w14:paraId="0CA20B45" w14:textId="1825D6F7"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50</w:t>
      </w:r>
      <w:r>
        <w:fldChar w:fldCharType="end"/>
      </w:r>
      <w:r w:rsidRPr="00DD7D8C">
        <w:t xml:space="preserve">. </w:t>
      </w:r>
      <w:r>
        <w:t>Option 4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for the </w:t>
      </w:r>
      <w:r w:rsidRPr="00E41D2F">
        <w:rPr>
          <w:szCs w:val="20"/>
        </w:rPr>
        <w:t>Torrumbarry</w:t>
      </w:r>
      <w:r>
        <w:rPr>
          <w:szCs w:val="20"/>
        </w:rPr>
        <w:t xml:space="preserve"> </w:t>
      </w:r>
      <w:r w:rsidRPr="00E41D2F">
        <w:rPr>
          <w:szCs w:val="20"/>
        </w:rPr>
        <w:t>to</w:t>
      </w:r>
      <w:r>
        <w:rPr>
          <w:szCs w:val="20"/>
        </w:rPr>
        <w:t xml:space="preserve"> </w:t>
      </w:r>
      <w:r w:rsidRPr="00EA455D">
        <w:rPr>
          <w:szCs w:val="20"/>
        </w:rPr>
        <w:t xml:space="preserve">Wentworth </w:t>
      </w:r>
      <w:r>
        <w:rPr>
          <w:szCs w:val="20"/>
        </w:rPr>
        <w:t>reach</w:t>
      </w:r>
      <w:r w:rsidRPr="00E41D2F">
        <w:rPr>
          <w:szCs w:val="20"/>
        </w:rPr>
        <w:t>. Top panel</w:t>
      </w:r>
      <w:r w:rsidRPr="00DD7D8C">
        <w:t xml:space="preserve">: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3F970DD0" w14:textId="495DCC0D" w:rsidR="00491210" w:rsidRPr="00DF5DA6" w:rsidRDefault="003E1401" w:rsidP="00AA38AC">
      <w:pPr>
        <w:spacing w:after="0"/>
        <w:rPr>
          <w:szCs w:val="20"/>
        </w:rPr>
      </w:pPr>
      <w:r>
        <w:rPr>
          <w:noProof/>
          <w:lang w:eastAsia="en-AU"/>
        </w:rPr>
        <w:t xml:space="preserve"> </w:t>
      </w:r>
    </w:p>
    <w:p w14:paraId="20F9C3CC" w14:textId="7133EEC7" w:rsidR="00491210" w:rsidRPr="00E41D2F" w:rsidRDefault="00EE200C" w:rsidP="00F602FE">
      <w:pPr>
        <w:pStyle w:val="AppendixFigureCaption"/>
        <w:rPr>
          <w:szCs w:val="20"/>
        </w:rPr>
      </w:pPr>
      <w:r>
        <w:t>Figure A4.</w:t>
      </w:r>
      <w:r>
        <w:fldChar w:fldCharType="begin"/>
      </w:r>
      <w:r>
        <w:instrText>SEQ Figure_A4. \* ARABIC</w:instrText>
      </w:r>
      <w:r>
        <w:fldChar w:fldCharType="separate"/>
      </w:r>
      <w:r w:rsidR="005B672A">
        <w:rPr>
          <w:noProof/>
        </w:rPr>
        <w:t>51</w:t>
      </w:r>
      <w:r>
        <w:fldChar w:fldCharType="end"/>
      </w:r>
      <w:r w:rsidRPr="00DD7D8C">
        <w:t xml:space="preserve">. </w:t>
      </w:r>
      <w:r>
        <w:t>Comparisons between Base case (solid colour) and Option 4 (striped colour) for the sensitivity 2 scenarios m</w:t>
      </w:r>
      <w:r w:rsidRPr="7ADEDDC3">
        <w:rPr>
          <w:szCs w:val="20"/>
        </w:rPr>
        <w:t xml:space="preserve">odelled </w:t>
      </w:r>
      <w:r>
        <w:rPr>
          <w:szCs w:val="20"/>
        </w:rPr>
        <w:t xml:space="preserve">for </w:t>
      </w:r>
      <w:r w:rsidRPr="7ADEDDC3">
        <w:rPr>
          <w:szCs w:val="20"/>
        </w:rPr>
        <w:t>Golden Perch</w:t>
      </w:r>
      <w:r>
        <w:rPr>
          <w:szCs w:val="20"/>
        </w:rPr>
        <w:t xml:space="preserve"> </w:t>
      </w:r>
      <w:r w:rsidRPr="00E41D2F">
        <w:rPr>
          <w:szCs w:val="20"/>
        </w:rPr>
        <w:t>sensitivity in the Torrumbarry</w:t>
      </w:r>
      <w:r>
        <w:rPr>
          <w:szCs w:val="20"/>
        </w:rPr>
        <w:t xml:space="preserve"> </w:t>
      </w:r>
      <w:r w:rsidRPr="00E41D2F">
        <w:rPr>
          <w:szCs w:val="20"/>
        </w:rPr>
        <w:t>to</w:t>
      </w:r>
      <w:r>
        <w:rPr>
          <w:szCs w:val="20"/>
        </w:rPr>
        <w:t xml:space="preserve"> </w:t>
      </w:r>
      <w:r w:rsidRPr="00EA455D">
        <w:rPr>
          <w:szCs w:val="20"/>
        </w:rPr>
        <w:t xml:space="preserve">Wentworth </w:t>
      </w:r>
      <w:r>
        <w:rPr>
          <w:szCs w:val="20"/>
        </w:rPr>
        <w:t>reach</w:t>
      </w:r>
      <w:r w:rsidRPr="00E41D2F">
        <w:rPr>
          <w:szCs w:val="20"/>
        </w:rPr>
        <w:t>.</w:t>
      </w:r>
    </w:p>
    <w:p w14:paraId="28D93DC8" w14:textId="45B79C46" w:rsidR="00491210" w:rsidRDefault="003E1401" w:rsidP="00AA38AC">
      <w:pPr>
        <w:spacing w:after="0"/>
        <w:rPr>
          <w:sz w:val="22"/>
          <w:szCs w:val="22"/>
        </w:rPr>
      </w:pPr>
      <w:r>
        <w:rPr>
          <w:noProof/>
          <w:lang w:eastAsia="en-AU"/>
        </w:rPr>
        <w:t xml:space="preserve">  </w:t>
      </w:r>
    </w:p>
    <w:p w14:paraId="3123DEE0" w14:textId="6DFAD083"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52</w:t>
      </w:r>
      <w:r>
        <w:fldChar w:fldCharType="end"/>
      </w:r>
      <w:r w:rsidRPr="00DD7D8C">
        <w:t xml:space="preserve">. </w:t>
      </w:r>
      <w:r>
        <w:t>The Base case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t>for the Yarrawonga to Torrumbarry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4829FA36" w14:textId="0654EB11" w:rsidR="00491210" w:rsidRDefault="003E1401" w:rsidP="00AA38AC">
      <w:pPr>
        <w:spacing w:after="0"/>
        <w:rPr>
          <w:sz w:val="22"/>
          <w:szCs w:val="22"/>
        </w:rPr>
      </w:pPr>
      <w:r>
        <w:rPr>
          <w:noProof/>
          <w:lang w:eastAsia="en-AU"/>
        </w:rPr>
        <w:t xml:space="preserve">  </w:t>
      </w:r>
    </w:p>
    <w:p w14:paraId="0D70C45C" w14:textId="018051ED"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53</w:t>
      </w:r>
      <w:r>
        <w:fldChar w:fldCharType="end"/>
      </w:r>
      <w:r w:rsidRPr="00DD7D8C">
        <w:t xml:space="preserve">. </w:t>
      </w:r>
      <w:r>
        <w:t>Option 4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for the </w:t>
      </w:r>
      <w:r>
        <w:t>Yarrawonga to Torrumbarry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3A29AFA0" w14:textId="332C7338" w:rsidR="00491210" w:rsidRPr="00DF5DA6" w:rsidRDefault="003E1401" w:rsidP="00AA38AC">
      <w:pPr>
        <w:spacing w:after="0"/>
        <w:rPr>
          <w:szCs w:val="20"/>
        </w:rPr>
      </w:pPr>
      <w:r>
        <w:rPr>
          <w:noProof/>
          <w:lang w:eastAsia="en-AU"/>
        </w:rPr>
        <w:t xml:space="preserve"> </w:t>
      </w:r>
    </w:p>
    <w:p w14:paraId="6C435B6C" w14:textId="0A639465" w:rsidR="00491210" w:rsidRDefault="00EE200C" w:rsidP="00F602FE">
      <w:pPr>
        <w:pStyle w:val="AppendixFigureCaption"/>
      </w:pPr>
      <w:r>
        <w:lastRenderedPageBreak/>
        <w:t>Figure A4.</w:t>
      </w:r>
      <w:r>
        <w:fldChar w:fldCharType="begin"/>
      </w:r>
      <w:r>
        <w:instrText>SEQ Figure_A4. \* ARABIC</w:instrText>
      </w:r>
      <w:r>
        <w:fldChar w:fldCharType="separate"/>
      </w:r>
      <w:r w:rsidR="005B672A">
        <w:rPr>
          <w:noProof/>
        </w:rPr>
        <w:t>54</w:t>
      </w:r>
      <w:r>
        <w:fldChar w:fldCharType="end"/>
      </w:r>
      <w:r w:rsidRPr="00DD7D8C">
        <w:t xml:space="preserve">. </w:t>
      </w:r>
      <w:r>
        <w:t>Comparisons between Base case (solid colour) and Option 4 (striped colour) for the sensitivity 2 scenarios m</w:t>
      </w:r>
      <w:r w:rsidRPr="7ADEDDC3">
        <w:rPr>
          <w:szCs w:val="20"/>
        </w:rPr>
        <w:t xml:space="preserve">odelled </w:t>
      </w:r>
      <w:r>
        <w:rPr>
          <w:szCs w:val="20"/>
        </w:rPr>
        <w:t xml:space="preserve">for </w:t>
      </w:r>
      <w:r w:rsidRPr="7ADEDDC3">
        <w:rPr>
          <w:szCs w:val="20"/>
        </w:rPr>
        <w:t>Golden Perch</w:t>
      </w:r>
      <w:r>
        <w:rPr>
          <w:szCs w:val="20"/>
        </w:rPr>
        <w:t xml:space="preserve"> sensitivity in the </w:t>
      </w:r>
      <w:r>
        <w:t>Yarrawonga to Torrumbarry reach</w:t>
      </w:r>
      <w:r>
        <w:rPr>
          <w:szCs w:val="20"/>
        </w:rPr>
        <w:t>.</w:t>
      </w:r>
    </w:p>
    <w:p w14:paraId="6F173751" w14:textId="0CC0F000" w:rsidR="00491210" w:rsidRDefault="003E1401" w:rsidP="00AA38AC">
      <w:pPr>
        <w:spacing w:after="0"/>
        <w:rPr>
          <w:sz w:val="22"/>
          <w:szCs w:val="22"/>
        </w:rPr>
      </w:pPr>
      <w:r>
        <w:rPr>
          <w:noProof/>
          <w:lang w:eastAsia="en-AU"/>
        </w:rPr>
        <w:t xml:space="preserve">  </w:t>
      </w:r>
    </w:p>
    <w:p w14:paraId="68B20CA5" w14:textId="08DE6C49"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55</w:t>
      </w:r>
      <w:r>
        <w:fldChar w:fldCharType="end"/>
      </w:r>
      <w:r w:rsidRPr="00DD7D8C">
        <w:t xml:space="preserve">. </w:t>
      </w:r>
      <w:r>
        <w:t>The Base case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t>for the Hume to Yarrawonga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119BF747" w14:textId="7FB364B9" w:rsidR="00491210" w:rsidRDefault="003E1401" w:rsidP="00AA38AC">
      <w:pPr>
        <w:spacing w:after="0"/>
        <w:rPr>
          <w:sz w:val="22"/>
          <w:szCs w:val="22"/>
        </w:rPr>
      </w:pPr>
      <w:r>
        <w:rPr>
          <w:noProof/>
          <w:lang w:eastAsia="en-AU"/>
        </w:rPr>
        <w:t xml:space="preserve">  </w:t>
      </w:r>
    </w:p>
    <w:p w14:paraId="276A1066" w14:textId="5169F4DA"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56</w:t>
      </w:r>
      <w:r>
        <w:fldChar w:fldCharType="end"/>
      </w:r>
      <w:r w:rsidRPr="00DD7D8C">
        <w:t xml:space="preserve">. </w:t>
      </w:r>
      <w:r>
        <w:t>Option 4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for the </w:t>
      </w:r>
      <w:r>
        <w:t>Hume to Yarrawonga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2B03D5F9" w14:textId="52FA5EB0" w:rsidR="00491210" w:rsidRPr="00DF5DA6" w:rsidRDefault="003E1401" w:rsidP="00AA38AC">
      <w:pPr>
        <w:spacing w:after="0"/>
        <w:rPr>
          <w:szCs w:val="20"/>
        </w:rPr>
      </w:pPr>
      <w:r>
        <w:rPr>
          <w:noProof/>
          <w:lang w:eastAsia="en-AU"/>
        </w:rPr>
        <w:t xml:space="preserve"> </w:t>
      </w:r>
    </w:p>
    <w:p w14:paraId="4D347EC8" w14:textId="3FDF62A3" w:rsidR="00491210" w:rsidRDefault="00EE200C" w:rsidP="00F602FE">
      <w:pPr>
        <w:pStyle w:val="AppendixFigureCaption"/>
      </w:pPr>
      <w:r>
        <w:t>Figure A4.</w:t>
      </w:r>
      <w:r>
        <w:fldChar w:fldCharType="begin"/>
      </w:r>
      <w:r>
        <w:instrText>SEQ Figure_A4. \* ARABIC</w:instrText>
      </w:r>
      <w:r>
        <w:fldChar w:fldCharType="separate"/>
      </w:r>
      <w:r w:rsidR="005B672A">
        <w:rPr>
          <w:noProof/>
        </w:rPr>
        <w:t>57</w:t>
      </w:r>
      <w:r>
        <w:fldChar w:fldCharType="end"/>
      </w:r>
      <w:r w:rsidRPr="00DD7D8C">
        <w:t xml:space="preserve">. </w:t>
      </w:r>
      <w:r>
        <w:t>Comparisons between Base case (solid colour) and Option 4 (striped colour) for the sensitivity 2 scenarios m</w:t>
      </w:r>
      <w:r w:rsidRPr="7ADEDDC3">
        <w:rPr>
          <w:szCs w:val="20"/>
        </w:rPr>
        <w:t xml:space="preserve">odelled </w:t>
      </w:r>
      <w:r>
        <w:rPr>
          <w:szCs w:val="20"/>
        </w:rPr>
        <w:t xml:space="preserve">for </w:t>
      </w:r>
      <w:r w:rsidRPr="7ADEDDC3">
        <w:rPr>
          <w:szCs w:val="20"/>
        </w:rPr>
        <w:t>Golden Perch</w:t>
      </w:r>
      <w:r>
        <w:rPr>
          <w:szCs w:val="20"/>
        </w:rPr>
        <w:t xml:space="preserve"> sensitivity in the </w:t>
      </w:r>
      <w:r>
        <w:t>Hume to Yarrawonga reach</w:t>
      </w:r>
      <w:r>
        <w:rPr>
          <w:szCs w:val="20"/>
        </w:rPr>
        <w:t>.</w:t>
      </w:r>
    </w:p>
    <w:p w14:paraId="71F0A9E0" w14:textId="437C3BCC" w:rsidR="00491210" w:rsidRDefault="003E1401" w:rsidP="00AA38AC">
      <w:pPr>
        <w:spacing w:after="0"/>
        <w:rPr>
          <w:sz w:val="22"/>
          <w:szCs w:val="22"/>
        </w:rPr>
      </w:pPr>
      <w:r>
        <w:rPr>
          <w:noProof/>
          <w:lang w:eastAsia="en-AU"/>
        </w:rPr>
        <w:t xml:space="preserve">  </w:t>
      </w:r>
    </w:p>
    <w:p w14:paraId="38B1F3CE" w14:textId="7AF9002B"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58</w:t>
      </w:r>
      <w:r>
        <w:fldChar w:fldCharType="end"/>
      </w:r>
      <w:r w:rsidRPr="00DD7D8C">
        <w:t xml:space="preserve">. </w:t>
      </w:r>
      <w:r>
        <w:t>The Base case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t>for the Edward River</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1DE30260" w14:textId="613C2744" w:rsidR="00491210" w:rsidRDefault="003E1401" w:rsidP="00AA38AC">
      <w:pPr>
        <w:spacing w:after="0"/>
        <w:rPr>
          <w:sz w:val="22"/>
          <w:szCs w:val="22"/>
        </w:rPr>
      </w:pPr>
      <w:r>
        <w:rPr>
          <w:noProof/>
          <w:lang w:eastAsia="en-AU"/>
        </w:rPr>
        <w:t xml:space="preserve">  </w:t>
      </w:r>
    </w:p>
    <w:p w14:paraId="28DEDCDE" w14:textId="3B43556F"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59</w:t>
      </w:r>
      <w:r>
        <w:fldChar w:fldCharType="end"/>
      </w:r>
      <w:r w:rsidRPr="00DD7D8C">
        <w:t xml:space="preserve">. </w:t>
      </w:r>
      <w:r>
        <w:t>Option 4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for the </w:t>
      </w:r>
      <w:r>
        <w:t>Edward River</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08CBE8C6" w14:textId="3AF8C507" w:rsidR="00491210" w:rsidRPr="00DF5DA6" w:rsidRDefault="003E1401" w:rsidP="00AA38AC">
      <w:pPr>
        <w:spacing w:after="0"/>
        <w:rPr>
          <w:szCs w:val="20"/>
        </w:rPr>
      </w:pPr>
      <w:r>
        <w:rPr>
          <w:noProof/>
          <w:lang w:eastAsia="en-AU"/>
        </w:rPr>
        <w:t xml:space="preserve"> </w:t>
      </w:r>
    </w:p>
    <w:p w14:paraId="11ADA948" w14:textId="42250D55" w:rsidR="00491210" w:rsidRDefault="00EE200C" w:rsidP="00F602FE">
      <w:pPr>
        <w:pStyle w:val="AppendixFigureCaption"/>
      </w:pPr>
      <w:r>
        <w:t>Figure A4.</w:t>
      </w:r>
      <w:r>
        <w:fldChar w:fldCharType="begin"/>
      </w:r>
      <w:r>
        <w:instrText>SEQ Figure_A4. \* ARABIC</w:instrText>
      </w:r>
      <w:r>
        <w:fldChar w:fldCharType="separate"/>
      </w:r>
      <w:r w:rsidR="005B672A">
        <w:rPr>
          <w:noProof/>
        </w:rPr>
        <w:t>60</w:t>
      </w:r>
      <w:r>
        <w:fldChar w:fldCharType="end"/>
      </w:r>
      <w:r w:rsidRPr="00DD7D8C">
        <w:t xml:space="preserve">. </w:t>
      </w:r>
      <w:r>
        <w:t>Comparisons between Base case (solid colour) and Option 4 (striped colour) for the sensitivity 2 scenarios m</w:t>
      </w:r>
      <w:r w:rsidRPr="7ADEDDC3">
        <w:rPr>
          <w:szCs w:val="20"/>
        </w:rPr>
        <w:t xml:space="preserve">odelled </w:t>
      </w:r>
      <w:r>
        <w:rPr>
          <w:szCs w:val="20"/>
        </w:rPr>
        <w:t xml:space="preserve">for </w:t>
      </w:r>
      <w:r w:rsidRPr="7ADEDDC3">
        <w:rPr>
          <w:szCs w:val="20"/>
        </w:rPr>
        <w:t>Golden Perch</w:t>
      </w:r>
      <w:r>
        <w:rPr>
          <w:szCs w:val="20"/>
        </w:rPr>
        <w:t xml:space="preserve"> sensitivity in the </w:t>
      </w:r>
      <w:r>
        <w:t>Edward River</w:t>
      </w:r>
      <w:r>
        <w:rPr>
          <w:szCs w:val="20"/>
        </w:rPr>
        <w:t>.</w:t>
      </w:r>
    </w:p>
    <w:p w14:paraId="4E43EF38" w14:textId="1DED9A11" w:rsidR="00491210" w:rsidRDefault="003E1401" w:rsidP="00AA38AC">
      <w:pPr>
        <w:spacing w:after="0"/>
        <w:rPr>
          <w:sz w:val="22"/>
          <w:szCs w:val="22"/>
        </w:rPr>
      </w:pPr>
      <w:r>
        <w:rPr>
          <w:noProof/>
          <w:lang w:eastAsia="en-AU"/>
        </w:rPr>
        <w:t xml:space="preserve">  </w:t>
      </w:r>
    </w:p>
    <w:p w14:paraId="1F3D1CCD" w14:textId="0C420FD2"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61</w:t>
      </w:r>
      <w:r>
        <w:fldChar w:fldCharType="end"/>
      </w:r>
      <w:r w:rsidRPr="00DD7D8C">
        <w:t xml:space="preserve">. </w:t>
      </w:r>
      <w:r>
        <w:t>The Base case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t>for the Hay to Balranald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068695B4" w14:textId="09D6B66E" w:rsidR="00491210" w:rsidRDefault="003E1401" w:rsidP="00AA38AC">
      <w:pPr>
        <w:spacing w:after="0"/>
        <w:rPr>
          <w:sz w:val="22"/>
          <w:szCs w:val="22"/>
        </w:rPr>
      </w:pPr>
      <w:r>
        <w:rPr>
          <w:noProof/>
          <w:lang w:eastAsia="en-AU"/>
        </w:rPr>
        <w:t xml:space="preserve">  </w:t>
      </w:r>
    </w:p>
    <w:p w14:paraId="7429DAD3" w14:textId="6951A2C6"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62</w:t>
      </w:r>
      <w:r>
        <w:fldChar w:fldCharType="end"/>
      </w:r>
      <w:r w:rsidRPr="00DD7D8C">
        <w:t xml:space="preserve">. </w:t>
      </w:r>
      <w:r>
        <w:t>Option 4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for the </w:t>
      </w:r>
      <w:r>
        <w:t>Hay to Balranald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04BCD8F3" w14:textId="4F62CD5A" w:rsidR="00491210" w:rsidRPr="00DF5DA6" w:rsidRDefault="003E1401" w:rsidP="00AA38AC">
      <w:pPr>
        <w:spacing w:after="0"/>
        <w:rPr>
          <w:szCs w:val="20"/>
        </w:rPr>
      </w:pPr>
      <w:r>
        <w:rPr>
          <w:noProof/>
          <w:lang w:eastAsia="en-AU"/>
        </w:rPr>
        <w:t xml:space="preserve"> </w:t>
      </w:r>
    </w:p>
    <w:p w14:paraId="5BDBA556" w14:textId="2BA84A4D" w:rsidR="00491210" w:rsidRDefault="00EE200C" w:rsidP="00F602FE">
      <w:pPr>
        <w:pStyle w:val="AppendixFigureCaption"/>
      </w:pPr>
      <w:r>
        <w:t>Figure A4.</w:t>
      </w:r>
      <w:r>
        <w:fldChar w:fldCharType="begin"/>
      </w:r>
      <w:r>
        <w:instrText>SEQ Figure_A4. \* ARABIC</w:instrText>
      </w:r>
      <w:r>
        <w:fldChar w:fldCharType="separate"/>
      </w:r>
      <w:r w:rsidR="005B672A">
        <w:rPr>
          <w:noProof/>
        </w:rPr>
        <w:t>63</w:t>
      </w:r>
      <w:r>
        <w:fldChar w:fldCharType="end"/>
      </w:r>
      <w:r w:rsidRPr="00DD7D8C">
        <w:t xml:space="preserve">. </w:t>
      </w:r>
      <w:r>
        <w:t>Comparisons between Base case (solid colour) and Option 4 (striped colour) for the sensitivity 2 scenarios m</w:t>
      </w:r>
      <w:r w:rsidRPr="7ADEDDC3">
        <w:rPr>
          <w:szCs w:val="20"/>
        </w:rPr>
        <w:t xml:space="preserve">odelled </w:t>
      </w:r>
      <w:r>
        <w:rPr>
          <w:szCs w:val="20"/>
        </w:rPr>
        <w:t xml:space="preserve">for </w:t>
      </w:r>
      <w:r w:rsidRPr="7ADEDDC3">
        <w:rPr>
          <w:szCs w:val="20"/>
        </w:rPr>
        <w:t>Golden Perch</w:t>
      </w:r>
      <w:r>
        <w:rPr>
          <w:szCs w:val="20"/>
        </w:rPr>
        <w:t xml:space="preserve"> sensitivity in the </w:t>
      </w:r>
      <w:r>
        <w:t>Hay to Balranald reach</w:t>
      </w:r>
      <w:r>
        <w:rPr>
          <w:szCs w:val="20"/>
        </w:rPr>
        <w:t>.</w:t>
      </w:r>
    </w:p>
    <w:p w14:paraId="1462C3E3" w14:textId="33E45D80" w:rsidR="00491210" w:rsidRDefault="003E1401" w:rsidP="00AA38AC">
      <w:pPr>
        <w:spacing w:after="0"/>
        <w:rPr>
          <w:sz w:val="22"/>
          <w:szCs w:val="22"/>
        </w:rPr>
      </w:pPr>
      <w:r>
        <w:rPr>
          <w:noProof/>
          <w:lang w:eastAsia="en-AU"/>
        </w:rPr>
        <w:t xml:space="preserve">  </w:t>
      </w:r>
    </w:p>
    <w:p w14:paraId="2C01A7AB" w14:textId="5D7B5E4D"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64</w:t>
      </w:r>
      <w:r>
        <w:fldChar w:fldCharType="end"/>
      </w:r>
      <w:r w:rsidRPr="00DD7D8C">
        <w:t xml:space="preserve">. </w:t>
      </w:r>
      <w:r>
        <w:t>The Base case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t>for the Gundagai to Hay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568A1A8B" w14:textId="10E46916" w:rsidR="00491210" w:rsidRDefault="003E1401" w:rsidP="00AA38AC">
      <w:pPr>
        <w:spacing w:after="0"/>
        <w:rPr>
          <w:sz w:val="22"/>
          <w:szCs w:val="22"/>
        </w:rPr>
      </w:pPr>
      <w:r>
        <w:rPr>
          <w:noProof/>
          <w:lang w:eastAsia="en-AU"/>
        </w:rPr>
        <w:t xml:space="preserve">  </w:t>
      </w:r>
    </w:p>
    <w:p w14:paraId="0B293505" w14:textId="67A6E7DE"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65</w:t>
      </w:r>
      <w:r>
        <w:fldChar w:fldCharType="end"/>
      </w:r>
      <w:r w:rsidRPr="00DD7D8C">
        <w:t xml:space="preserve">. </w:t>
      </w:r>
      <w:r>
        <w:t>Option 4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for the </w:t>
      </w:r>
      <w:r>
        <w:t>Gundagai to Hay reach</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46E3B138" w14:textId="0DC8E891" w:rsidR="00491210" w:rsidRPr="00DF5DA6" w:rsidRDefault="003E1401" w:rsidP="00AA38AC">
      <w:pPr>
        <w:spacing w:after="0"/>
        <w:rPr>
          <w:szCs w:val="20"/>
        </w:rPr>
      </w:pPr>
      <w:r>
        <w:rPr>
          <w:noProof/>
          <w:lang w:eastAsia="en-AU"/>
        </w:rPr>
        <w:t xml:space="preserve"> </w:t>
      </w:r>
    </w:p>
    <w:p w14:paraId="28129839" w14:textId="7F84E903" w:rsidR="00491210" w:rsidRDefault="00EE200C" w:rsidP="00F602FE">
      <w:pPr>
        <w:pStyle w:val="AppendixFigureCaption"/>
      </w:pPr>
      <w:r>
        <w:t>Figure A4.</w:t>
      </w:r>
      <w:r>
        <w:fldChar w:fldCharType="begin"/>
      </w:r>
      <w:r>
        <w:instrText>SEQ Figure_A4. \* ARABIC</w:instrText>
      </w:r>
      <w:r>
        <w:fldChar w:fldCharType="separate"/>
      </w:r>
      <w:r w:rsidR="005B672A">
        <w:rPr>
          <w:noProof/>
        </w:rPr>
        <w:t>66</w:t>
      </w:r>
      <w:r>
        <w:fldChar w:fldCharType="end"/>
      </w:r>
      <w:r w:rsidRPr="00DD7D8C">
        <w:t xml:space="preserve">. </w:t>
      </w:r>
      <w:r>
        <w:t>Comparisons between Base case (solid colour) and Option 4 (striped colour) for the sensitivity 2 scenarios m</w:t>
      </w:r>
      <w:r w:rsidRPr="7ADEDDC3">
        <w:rPr>
          <w:szCs w:val="20"/>
        </w:rPr>
        <w:t xml:space="preserve">odelled </w:t>
      </w:r>
      <w:r>
        <w:rPr>
          <w:szCs w:val="20"/>
        </w:rPr>
        <w:t xml:space="preserve">for </w:t>
      </w:r>
      <w:r w:rsidRPr="7ADEDDC3">
        <w:rPr>
          <w:szCs w:val="20"/>
        </w:rPr>
        <w:t>Golden Perch</w:t>
      </w:r>
      <w:r>
        <w:rPr>
          <w:szCs w:val="20"/>
        </w:rPr>
        <w:t xml:space="preserve"> sensitivity in the </w:t>
      </w:r>
      <w:r>
        <w:t>Gundagai to Hay reach</w:t>
      </w:r>
      <w:r>
        <w:rPr>
          <w:szCs w:val="20"/>
        </w:rPr>
        <w:t>.</w:t>
      </w:r>
    </w:p>
    <w:p w14:paraId="2E9F1878" w14:textId="1344A31A" w:rsidR="00491210" w:rsidRDefault="003E1401" w:rsidP="008736C4">
      <w:pPr>
        <w:spacing w:after="0"/>
        <w:rPr>
          <w:sz w:val="22"/>
          <w:szCs w:val="22"/>
        </w:rPr>
      </w:pPr>
      <w:r>
        <w:rPr>
          <w:noProof/>
          <w:lang w:eastAsia="en-AU"/>
        </w:rPr>
        <w:t xml:space="preserve">  </w:t>
      </w:r>
    </w:p>
    <w:p w14:paraId="287A8E8F" w14:textId="25BD58F3"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67</w:t>
      </w:r>
      <w:r>
        <w:fldChar w:fldCharType="end"/>
      </w:r>
      <w:r w:rsidRPr="00DD7D8C">
        <w:t xml:space="preserve">. </w:t>
      </w:r>
      <w:r>
        <w:t>The Base case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t xml:space="preserve">for the Lower Murray </w:t>
      </w:r>
      <w:r w:rsidRPr="00E41D2F">
        <w:rPr>
          <w:szCs w:val="20"/>
        </w:rPr>
        <w:t>below</w:t>
      </w:r>
      <w:r>
        <w:rPr>
          <w:szCs w:val="20"/>
        </w:rPr>
        <w:t xml:space="preserve"> </w:t>
      </w:r>
      <w:r w:rsidRPr="00EA455D">
        <w:rPr>
          <w:szCs w:val="20"/>
        </w:rPr>
        <w:t xml:space="preserve">Wentworth </w:t>
      </w:r>
      <w:r>
        <w:rPr>
          <w:szCs w:val="20"/>
        </w:rPr>
        <w:t>reach</w:t>
      </w:r>
      <w:r w:rsidRPr="00E41D2F">
        <w:rPr>
          <w:szCs w:val="20"/>
        </w:rPr>
        <w:t>. Top panel</w:t>
      </w:r>
      <w:r w:rsidRPr="00DD7D8C">
        <w:t xml:space="preserve">: </w:t>
      </w:r>
      <w:r>
        <w:rPr>
          <w:szCs w:val="20"/>
        </w:rPr>
        <w:t xml:space="preserve">the mean </w:t>
      </w:r>
      <w:r w:rsidRPr="00DD7D8C">
        <w:t>adult population size</w:t>
      </w:r>
      <w:r>
        <w:t xml:space="preserve"> </w:t>
      </w:r>
      <w:r>
        <w:rPr>
          <w:szCs w:val="20"/>
        </w:rPr>
        <w:t xml:space="preserve">trajectories. </w:t>
      </w:r>
      <w:r>
        <w:rPr>
          <w:szCs w:val="20"/>
        </w:rPr>
        <w:lastRenderedPageBreak/>
        <w:t xml:space="preserve">Bottom panel: the </w:t>
      </w:r>
      <w:r>
        <w:t xml:space="preserve">expected mean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00BBCB0F" w14:textId="4F8334FB" w:rsidR="00491210" w:rsidRDefault="003E1401" w:rsidP="008736C4">
      <w:pPr>
        <w:spacing w:after="0"/>
        <w:rPr>
          <w:sz w:val="22"/>
          <w:szCs w:val="22"/>
        </w:rPr>
      </w:pPr>
      <w:r>
        <w:rPr>
          <w:noProof/>
          <w:lang w:eastAsia="en-AU"/>
        </w:rPr>
        <w:t xml:space="preserve">  </w:t>
      </w:r>
    </w:p>
    <w:p w14:paraId="3F69C063" w14:textId="43DC0616"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68</w:t>
      </w:r>
      <w:r>
        <w:fldChar w:fldCharType="end"/>
      </w:r>
      <w:r w:rsidRPr="00DD7D8C">
        <w:t xml:space="preserve">. </w:t>
      </w:r>
      <w:r>
        <w:t>Option 4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for the </w:t>
      </w:r>
      <w:r>
        <w:t xml:space="preserve">Lower Murray </w:t>
      </w:r>
      <w:r w:rsidRPr="00E41D2F">
        <w:rPr>
          <w:szCs w:val="20"/>
        </w:rPr>
        <w:t>below</w:t>
      </w:r>
      <w:r>
        <w:rPr>
          <w:szCs w:val="20"/>
        </w:rPr>
        <w:t xml:space="preserve"> </w:t>
      </w:r>
      <w:r w:rsidRPr="00EA455D">
        <w:rPr>
          <w:szCs w:val="20"/>
        </w:rPr>
        <w:t xml:space="preserve">Wentworth </w:t>
      </w:r>
      <w:r>
        <w:rPr>
          <w:szCs w:val="20"/>
        </w:rPr>
        <w:t>reach</w:t>
      </w:r>
      <w:r w:rsidRPr="00E41D2F">
        <w:rPr>
          <w:szCs w:val="20"/>
        </w:rPr>
        <w:t>. Top panel</w:t>
      </w:r>
      <w:r w:rsidRPr="00DD7D8C">
        <w:t xml:space="preserve">: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570669CF" w14:textId="0FDC9938" w:rsidR="00491210" w:rsidRPr="00DF5DA6" w:rsidRDefault="003E1401" w:rsidP="008736C4">
      <w:pPr>
        <w:spacing w:after="0"/>
        <w:rPr>
          <w:szCs w:val="20"/>
        </w:rPr>
      </w:pPr>
      <w:r>
        <w:rPr>
          <w:noProof/>
          <w:lang w:eastAsia="en-AU"/>
        </w:rPr>
        <w:t xml:space="preserve"> </w:t>
      </w:r>
    </w:p>
    <w:p w14:paraId="2C161952" w14:textId="7FBD7271" w:rsidR="00491210" w:rsidRPr="00E41D2F" w:rsidRDefault="00EE200C" w:rsidP="00F602FE">
      <w:pPr>
        <w:pStyle w:val="AppendixFigureCaption"/>
        <w:rPr>
          <w:szCs w:val="20"/>
        </w:rPr>
      </w:pPr>
      <w:r>
        <w:t>Figure A4.</w:t>
      </w:r>
      <w:r>
        <w:fldChar w:fldCharType="begin"/>
      </w:r>
      <w:r>
        <w:instrText>SEQ Figure_A4. \* ARABIC</w:instrText>
      </w:r>
      <w:r>
        <w:fldChar w:fldCharType="separate"/>
      </w:r>
      <w:r w:rsidR="005B672A">
        <w:rPr>
          <w:noProof/>
        </w:rPr>
        <w:t>69</w:t>
      </w:r>
      <w:r>
        <w:fldChar w:fldCharType="end"/>
      </w:r>
      <w:r w:rsidRPr="00DD7D8C">
        <w:t xml:space="preserve">. </w:t>
      </w:r>
      <w:r>
        <w:t>Comparisons between Base case (solid colour) and Option 4 (striped colour) for the sensitivity 2 scenarios m</w:t>
      </w:r>
      <w:r w:rsidRPr="7ADEDDC3">
        <w:rPr>
          <w:szCs w:val="20"/>
        </w:rPr>
        <w:t xml:space="preserve">odelled </w:t>
      </w:r>
      <w:r>
        <w:rPr>
          <w:szCs w:val="20"/>
        </w:rPr>
        <w:t xml:space="preserve">for </w:t>
      </w:r>
      <w:r w:rsidRPr="7ADEDDC3">
        <w:rPr>
          <w:szCs w:val="20"/>
        </w:rPr>
        <w:t>Golden Perch</w:t>
      </w:r>
      <w:r>
        <w:rPr>
          <w:szCs w:val="20"/>
        </w:rPr>
        <w:t xml:space="preserve"> </w:t>
      </w:r>
      <w:r w:rsidRPr="00E41D2F">
        <w:rPr>
          <w:szCs w:val="20"/>
        </w:rPr>
        <w:t xml:space="preserve">sensitivity in the Lower </w:t>
      </w:r>
      <w:r>
        <w:rPr>
          <w:szCs w:val="20"/>
        </w:rPr>
        <w:t>Murray below Wentworth</w:t>
      </w:r>
      <w:r w:rsidRPr="00EA455D">
        <w:rPr>
          <w:szCs w:val="20"/>
        </w:rPr>
        <w:t xml:space="preserve"> </w:t>
      </w:r>
      <w:r>
        <w:rPr>
          <w:szCs w:val="20"/>
        </w:rPr>
        <w:t>reach</w:t>
      </w:r>
      <w:r w:rsidRPr="00E41D2F">
        <w:rPr>
          <w:szCs w:val="20"/>
        </w:rPr>
        <w:t>.</w:t>
      </w:r>
    </w:p>
    <w:p w14:paraId="66D62093" w14:textId="3FE784D8" w:rsidR="00491210" w:rsidRDefault="003E1401" w:rsidP="008736C4">
      <w:pPr>
        <w:spacing w:after="0"/>
        <w:rPr>
          <w:sz w:val="22"/>
          <w:szCs w:val="22"/>
        </w:rPr>
      </w:pPr>
      <w:r>
        <w:rPr>
          <w:noProof/>
          <w:lang w:eastAsia="en-AU"/>
        </w:rPr>
        <w:t xml:space="preserve">  </w:t>
      </w:r>
    </w:p>
    <w:p w14:paraId="3FAC93AD" w14:textId="4CF28D03"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70</w:t>
      </w:r>
      <w:r>
        <w:fldChar w:fldCharType="end"/>
      </w:r>
      <w:r w:rsidRPr="00DD7D8C">
        <w:t xml:space="preserve">. </w:t>
      </w:r>
      <w:r>
        <w:t>The Base case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w:t>
      </w:r>
      <w:r>
        <w:t>for the Lower Darling</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5AAA1961" w14:textId="4770EB19" w:rsidR="00491210" w:rsidRDefault="003E1401" w:rsidP="008736C4">
      <w:pPr>
        <w:spacing w:after="0"/>
        <w:rPr>
          <w:sz w:val="22"/>
          <w:szCs w:val="22"/>
        </w:rPr>
      </w:pPr>
      <w:r>
        <w:rPr>
          <w:noProof/>
          <w:lang w:eastAsia="en-AU"/>
        </w:rPr>
        <w:t xml:space="preserve">  </w:t>
      </w:r>
    </w:p>
    <w:p w14:paraId="4A9C8DA8" w14:textId="3B2E1648" w:rsidR="00491210" w:rsidRPr="00DD7D8C" w:rsidRDefault="00EE200C" w:rsidP="00F602FE">
      <w:pPr>
        <w:pStyle w:val="AppendixFigureCaption"/>
      </w:pPr>
      <w:r>
        <w:t>Figure A4.</w:t>
      </w:r>
      <w:r>
        <w:fldChar w:fldCharType="begin"/>
      </w:r>
      <w:r>
        <w:instrText>SEQ Figure_A4. \* ARABIC</w:instrText>
      </w:r>
      <w:r>
        <w:fldChar w:fldCharType="separate"/>
      </w:r>
      <w:r w:rsidR="005B672A">
        <w:rPr>
          <w:noProof/>
        </w:rPr>
        <w:t>71</w:t>
      </w:r>
      <w:r>
        <w:fldChar w:fldCharType="end"/>
      </w:r>
      <w:r w:rsidRPr="00DD7D8C">
        <w:t xml:space="preserve">. </w:t>
      </w:r>
      <w:r>
        <w:t>Option 4 sensitivity 2 scenarios m</w:t>
      </w:r>
      <w:r w:rsidRPr="7ADEDDC3">
        <w:rPr>
          <w:szCs w:val="20"/>
        </w:rPr>
        <w:t xml:space="preserve">odelled </w:t>
      </w:r>
      <w:r>
        <w:rPr>
          <w:szCs w:val="20"/>
        </w:rPr>
        <w:t xml:space="preserve">in the </w:t>
      </w:r>
      <w:r w:rsidRPr="7ADEDDC3">
        <w:rPr>
          <w:szCs w:val="20"/>
        </w:rPr>
        <w:t>Golden Perch</w:t>
      </w:r>
      <w:r>
        <w:rPr>
          <w:szCs w:val="20"/>
        </w:rPr>
        <w:t xml:space="preserve"> sensitivity analysis for the </w:t>
      </w:r>
      <w:r>
        <w:t>Lower Darling</w:t>
      </w:r>
      <w:r>
        <w:rPr>
          <w:szCs w:val="20"/>
        </w:rPr>
        <w:t xml:space="preserve">. </w:t>
      </w:r>
      <w:r w:rsidRPr="00DD7D8C">
        <w:t xml:space="preserve">Top panel: </w:t>
      </w:r>
      <w:r>
        <w:rPr>
          <w:szCs w:val="20"/>
        </w:rPr>
        <w:t xml:space="preserve">the mean </w:t>
      </w:r>
      <w:r w:rsidRPr="00DD7D8C">
        <w:t>adult population size</w:t>
      </w:r>
      <w:r>
        <w:t xml:space="preserve"> </w:t>
      </w:r>
      <w:r>
        <w:rPr>
          <w:szCs w:val="20"/>
        </w:rPr>
        <w:t xml:space="preserve">trajectories. Bottom panel: the </w:t>
      </w:r>
      <w:r>
        <w:t xml:space="preserve">expected mean adult </w:t>
      </w:r>
      <w:r w:rsidRPr="00DD7D8C">
        <w:t>population size</w:t>
      </w:r>
      <w:r>
        <w:t>s,</w:t>
      </w:r>
      <w:r w:rsidRPr="00DD7D8C">
        <w:t xml:space="preserve"> with </w:t>
      </w:r>
      <w:r>
        <w:t>the percentage</w:t>
      </w:r>
      <w:r w:rsidRPr="00DD7D8C">
        <w:t xml:space="preserve"> change from </w:t>
      </w:r>
      <w:r>
        <w:t xml:space="preserve">the default </w:t>
      </w:r>
      <w:r w:rsidRPr="00DD7D8C">
        <w:t>shown in each bar</w:t>
      </w:r>
      <w:r>
        <w:t>.</w:t>
      </w:r>
    </w:p>
    <w:p w14:paraId="72F343B0" w14:textId="3042722B" w:rsidR="00491210" w:rsidRPr="00DF5DA6" w:rsidRDefault="003E1401" w:rsidP="008736C4">
      <w:pPr>
        <w:spacing w:after="0"/>
        <w:rPr>
          <w:szCs w:val="20"/>
        </w:rPr>
      </w:pPr>
      <w:r>
        <w:rPr>
          <w:noProof/>
          <w:lang w:eastAsia="en-AU"/>
        </w:rPr>
        <w:t xml:space="preserve"> </w:t>
      </w:r>
    </w:p>
    <w:p w14:paraId="7978B916" w14:textId="13B8CDA8" w:rsidR="00491210" w:rsidRDefault="00EE200C" w:rsidP="00F602FE">
      <w:pPr>
        <w:pStyle w:val="AppendixFigureCaption"/>
      </w:pPr>
      <w:r>
        <w:t>Figure A4.</w:t>
      </w:r>
      <w:r>
        <w:fldChar w:fldCharType="begin"/>
      </w:r>
      <w:r>
        <w:instrText>SEQ Figure_A4. \* ARABIC</w:instrText>
      </w:r>
      <w:r>
        <w:fldChar w:fldCharType="separate"/>
      </w:r>
      <w:r w:rsidR="005B672A">
        <w:rPr>
          <w:noProof/>
        </w:rPr>
        <w:t>72</w:t>
      </w:r>
      <w:r>
        <w:fldChar w:fldCharType="end"/>
      </w:r>
      <w:r w:rsidRPr="00DD7D8C">
        <w:t xml:space="preserve">. </w:t>
      </w:r>
      <w:r>
        <w:t>Comparisons between Base case (solid colour) and Option 4 (striped colour) for the sensitivity 2 scenarios m</w:t>
      </w:r>
      <w:r w:rsidRPr="7ADEDDC3">
        <w:rPr>
          <w:szCs w:val="20"/>
        </w:rPr>
        <w:t xml:space="preserve">odelled </w:t>
      </w:r>
      <w:r>
        <w:rPr>
          <w:szCs w:val="20"/>
        </w:rPr>
        <w:t xml:space="preserve">for </w:t>
      </w:r>
      <w:r w:rsidRPr="7ADEDDC3">
        <w:rPr>
          <w:szCs w:val="20"/>
        </w:rPr>
        <w:t>Golden Perch</w:t>
      </w:r>
      <w:r>
        <w:rPr>
          <w:szCs w:val="20"/>
        </w:rPr>
        <w:t xml:space="preserve"> sensitivity in the </w:t>
      </w:r>
      <w:r>
        <w:t>Lower Darling</w:t>
      </w:r>
      <w:r>
        <w:rPr>
          <w:szCs w:val="20"/>
        </w:rPr>
        <w:t>.</w:t>
      </w:r>
    </w:p>
    <w:p w14:paraId="778CE30C" w14:textId="77777777" w:rsidR="00491210" w:rsidRPr="00EE75DE" w:rsidRDefault="00EE200C" w:rsidP="005F1F7F">
      <w:pPr>
        <w:pStyle w:val="Heading3"/>
      </w:pPr>
      <w:bookmarkStart w:id="445" w:name="_Toc116994951"/>
      <w:r w:rsidRPr="00EE75DE">
        <w:t>Third sensitivity analysis</w:t>
      </w:r>
      <w:bookmarkEnd w:id="445"/>
    </w:p>
    <w:p w14:paraId="72EF38EB" w14:textId="4C94E015" w:rsidR="00491210" w:rsidRDefault="00EE200C" w:rsidP="00C721B5">
      <w:pPr>
        <w:spacing w:before="240" w:after="240"/>
        <w:jc w:val="both"/>
        <w:rPr>
          <w:sz w:val="22"/>
          <w:szCs w:val="22"/>
        </w:rPr>
      </w:pPr>
      <w:r>
        <w:rPr>
          <w:sz w:val="22"/>
          <w:szCs w:val="22"/>
        </w:rPr>
        <w:t xml:space="preserve">The third approach changed the period over which the expected mean population size was generated. Flow and temperature data were generated for the five scenarios examined in this study, Base case – Option 4, over 124 years at the various gauges that underpin the Golden Perch metapopulation model construct, with the results for the Total RRCP Populations shown in </w:t>
      </w:r>
      <w:r w:rsidRPr="00977687">
        <w:rPr>
          <w:sz w:val="22"/>
          <w:szCs w:val="22"/>
        </w:rPr>
        <w:fldChar w:fldCharType="begin"/>
      </w:r>
      <w:r w:rsidRPr="00977687">
        <w:rPr>
          <w:sz w:val="22"/>
          <w:szCs w:val="22"/>
        </w:rPr>
        <w:instrText xml:space="preserve"> REF _Ref104292857 \h </w:instrText>
      </w:r>
      <w:r>
        <w:rPr>
          <w:sz w:val="22"/>
          <w:szCs w:val="22"/>
        </w:rPr>
        <w:instrText xml:space="preserve"> \* MERGEFORMAT </w:instrText>
      </w:r>
      <w:r w:rsidRPr="00977687">
        <w:rPr>
          <w:sz w:val="22"/>
          <w:szCs w:val="22"/>
        </w:rPr>
      </w:r>
      <w:r w:rsidRPr="00977687">
        <w:rPr>
          <w:sz w:val="22"/>
          <w:szCs w:val="22"/>
        </w:rPr>
        <w:fldChar w:fldCharType="separate"/>
      </w:r>
      <w:r w:rsidR="005B672A" w:rsidRPr="005B672A">
        <w:rPr>
          <w:sz w:val="22"/>
          <w:szCs w:val="22"/>
        </w:rPr>
        <w:t xml:space="preserve">Figure </w:t>
      </w:r>
      <w:r w:rsidR="005B672A" w:rsidRPr="005B672A">
        <w:rPr>
          <w:noProof/>
          <w:sz w:val="22"/>
          <w:szCs w:val="22"/>
        </w:rPr>
        <w:t>18</w:t>
      </w:r>
      <w:r w:rsidRPr="00977687">
        <w:rPr>
          <w:sz w:val="22"/>
          <w:szCs w:val="22"/>
        </w:rPr>
        <w:fldChar w:fldCharType="end"/>
      </w:r>
      <w:r>
        <w:rPr>
          <w:sz w:val="22"/>
          <w:szCs w:val="22"/>
        </w:rPr>
        <w:t xml:space="preserve"> and reproduced in </w:t>
      </w:r>
      <w:r w:rsidRPr="00AC0F1F">
        <w:rPr>
          <w:sz w:val="22"/>
          <w:szCs w:val="22"/>
        </w:rPr>
        <w:fldChar w:fldCharType="begin"/>
      </w:r>
      <w:r w:rsidRPr="00AC0F1F">
        <w:rPr>
          <w:sz w:val="22"/>
          <w:szCs w:val="22"/>
        </w:rPr>
        <w:instrText xml:space="preserve"> REF _Ref108007534 \h </w:instrText>
      </w:r>
      <w:r>
        <w:rPr>
          <w:sz w:val="22"/>
          <w:szCs w:val="22"/>
        </w:rPr>
        <w:instrText xml:space="preserve"> \* MERGEFORMAT </w:instrText>
      </w:r>
      <w:r w:rsidRPr="00AC0F1F">
        <w:rPr>
          <w:sz w:val="22"/>
          <w:szCs w:val="22"/>
        </w:rPr>
      </w:r>
      <w:r w:rsidRPr="00AC0F1F">
        <w:rPr>
          <w:sz w:val="22"/>
          <w:szCs w:val="22"/>
        </w:rPr>
        <w:fldChar w:fldCharType="separate"/>
      </w:r>
      <w:r w:rsidR="005B672A" w:rsidRPr="005B672A">
        <w:rPr>
          <w:sz w:val="22"/>
          <w:szCs w:val="22"/>
        </w:rPr>
        <w:t>Figure A4.73</w:t>
      </w:r>
      <w:r w:rsidRPr="00AC0F1F">
        <w:rPr>
          <w:sz w:val="22"/>
          <w:szCs w:val="22"/>
        </w:rPr>
        <w:fldChar w:fldCharType="end"/>
      </w:r>
      <w:r>
        <w:rPr>
          <w:sz w:val="22"/>
          <w:szCs w:val="22"/>
        </w:rPr>
        <w:t xml:space="preserve">. The expected mean adult population size was calculated from the distribution of mean population sizes across the whole 124-year data time frame. When the time frame is altered, the associated expected mean would differ from the expected mean calculated for the 124-year data time frame. Convergence was observed to occur among the five scenarios in the period from the early 1980s to the end of the dataset, 2019, see </w:t>
      </w:r>
      <w:r w:rsidRPr="00AC0F1F">
        <w:rPr>
          <w:sz w:val="22"/>
          <w:szCs w:val="22"/>
        </w:rPr>
        <w:fldChar w:fldCharType="begin"/>
      </w:r>
      <w:r w:rsidRPr="00AC0F1F">
        <w:rPr>
          <w:sz w:val="22"/>
          <w:szCs w:val="22"/>
        </w:rPr>
        <w:instrText xml:space="preserve"> REF _Ref108007534 \h </w:instrText>
      </w:r>
      <w:r>
        <w:rPr>
          <w:sz w:val="22"/>
          <w:szCs w:val="22"/>
        </w:rPr>
        <w:instrText xml:space="preserve"> \* MERGEFORMAT </w:instrText>
      </w:r>
      <w:r w:rsidRPr="00AC0F1F">
        <w:rPr>
          <w:sz w:val="22"/>
          <w:szCs w:val="22"/>
        </w:rPr>
      </w:r>
      <w:r w:rsidRPr="00AC0F1F">
        <w:rPr>
          <w:sz w:val="22"/>
          <w:szCs w:val="22"/>
        </w:rPr>
        <w:fldChar w:fldCharType="separate"/>
      </w:r>
      <w:r w:rsidR="005B672A" w:rsidRPr="005B672A">
        <w:rPr>
          <w:sz w:val="22"/>
          <w:szCs w:val="22"/>
        </w:rPr>
        <w:t>Figure A4.73</w:t>
      </w:r>
      <w:r w:rsidRPr="00AC0F1F">
        <w:rPr>
          <w:sz w:val="22"/>
          <w:szCs w:val="22"/>
        </w:rPr>
        <w:fldChar w:fldCharType="end"/>
      </w:r>
      <w:r>
        <w:rPr>
          <w:sz w:val="22"/>
          <w:szCs w:val="22"/>
        </w:rPr>
        <w:t xml:space="preserve"> (see Appendix 5 for an investigation of this convergence). Selecting the time frame for collecting the distribution of the mean population sizes to 1980–2019, 40 years, and then calculating the associated expected mean population size, it can be seen that the population size benefits of the relaxed-flow-constraints scenarios decrease </w:t>
      </w:r>
      <w:r w:rsidRPr="0043228A">
        <w:rPr>
          <w:sz w:val="22"/>
          <w:szCs w:val="22"/>
        </w:rPr>
        <w:t xml:space="preserve">in comparison </w:t>
      </w:r>
      <w:r>
        <w:rPr>
          <w:sz w:val="22"/>
          <w:szCs w:val="22"/>
        </w:rPr>
        <w:t>with</w:t>
      </w:r>
      <w:r w:rsidRPr="0043228A">
        <w:rPr>
          <w:sz w:val="22"/>
          <w:szCs w:val="22"/>
        </w:rPr>
        <w:t xml:space="preserve"> the overall expected mean population size (compare the bottom panel of </w:t>
      </w:r>
      <w:r>
        <w:rPr>
          <w:sz w:val="22"/>
          <w:szCs w:val="22"/>
        </w:rPr>
        <w:fldChar w:fldCharType="begin"/>
      </w:r>
      <w:r>
        <w:rPr>
          <w:sz w:val="22"/>
          <w:szCs w:val="22"/>
        </w:rPr>
        <w:instrText xml:space="preserve"> REF _Ref104807334 \h </w:instrText>
      </w:r>
      <w:r>
        <w:rPr>
          <w:sz w:val="22"/>
          <w:szCs w:val="22"/>
        </w:rPr>
      </w:r>
      <w:r>
        <w:rPr>
          <w:sz w:val="22"/>
          <w:szCs w:val="22"/>
        </w:rPr>
        <w:fldChar w:fldCharType="separate"/>
      </w:r>
      <w:r w:rsidR="005B672A" w:rsidRPr="00DD7D8C">
        <w:t xml:space="preserve">Figure </w:t>
      </w:r>
      <w:r w:rsidR="005B672A">
        <w:rPr>
          <w:noProof/>
        </w:rPr>
        <w:t>36</w:t>
      </w:r>
      <w:r>
        <w:rPr>
          <w:sz w:val="22"/>
          <w:szCs w:val="22"/>
        </w:rPr>
        <w:fldChar w:fldCharType="end"/>
      </w:r>
      <w:r>
        <w:rPr>
          <w:sz w:val="22"/>
          <w:szCs w:val="22"/>
        </w:rPr>
        <w:t xml:space="preserve"> </w:t>
      </w:r>
      <w:r w:rsidRPr="0043228A">
        <w:rPr>
          <w:sz w:val="22"/>
          <w:szCs w:val="22"/>
        </w:rPr>
        <w:t xml:space="preserve">with the top panel of </w:t>
      </w:r>
      <w:r w:rsidRPr="00AC0F1F">
        <w:rPr>
          <w:sz w:val="22"/>
          <w:szCs w:val="22"/>
        </w:rPr>
        <w:fldChar w:fldCharType="begin"/>
      </w:r>
      <w:r w:rsidRPr="00AC0F1F">
        <w:rPr>
          <w:sz w:val="22"/>
          <w:szCs w:val="22"/>
        </w:rPr>
        <w:instrText xml:space="preserve"> REF _Ref108007596 \h </w:instrText>
      </w:r>
      <w:r>
        <w:rPr>
          <w:sz w:val="22"/>
          <w:szCs w:val="22"/>
        </w:rPr>
        <w:instrText xml:space="preserve"> \* MERGEFORMAT </w:instrText>
      </w:r>
      <w:r w:rsidRPr="00AC0F1F">
        <w:rPr>
          <w:sz w:val="22"/>
          <w:szCs w:val="22"/>
        </w:rPr>
      </w:r>
      <w:r w:rsidRPr="00AC0F1F">
        <w:rPr>
          <w:sz w:val="22"/>
          <w:szCs w:val="22"/>
        </w:rPr>
        <w:fldChar w:fldCharType="separate"/>
      </w:r>
      <w:r w:rsidR="005B672A" w:rsidRPr="005B672A">
        <w:rPr>
          <w:sz w:val="22"/>
          <w:szCs w:val="22"/>
        </w:rPr>
        <w:t>Figure A4.74</w:t>
      </w:r>
      <w:r w:rsidRPr="00AC0F1F">
        <w:rPr>
          <w:sz w:val="22"/>
          <w:szCs w:val="22"/>
        </w:rPr>
        <w:fldChar w:fldCharType="end"/>
      </w:r>
      <w:r>
        <w:rPr>
          <w:sz w:val="22"/>
          <w:szCs w:val="22"/>
        </w:rPr>
        <w:t xml:space="preserve">). Alternatively, selecting the time frame for collecting the distribution of mean population sizes to 1910–1949 increases the population size benefits of the relaxed-flow-constraints scenarios </w:t>
      </w:r>
      <w:r w:rsidRPr="0043228A">
        <w:rPr>
          <w:sz w:val="22"/>
          <w:szCs w:val="22"/>
        </w:rPr>
        <w:t xml:space="preserve">in comparison </w:t>
      </w:r>
      <w:r>
        <w:rPr>
          <w:sz w:val="22"/>
          <w:szCs w:val="22"/>
        </w:rPr>
        <w:t>with</w:t>
      </w:r>
      <w:r w:rsidRPr="0043228A">
        <w:rPr>
          <w:sz w:val="22"/>
          <w:szCs w:val="22"/>
        </w:rPr>
        <w:t xml:space="preserve"> the overall expected mean population size</w:t>
      </w:r>
      <w:r>
        <w:rPr>
          <w:sz w:val="22"/>
          <w:szCs w:val="22"/>
        </w:rPr>
        <w:t xml:space="preserve"> </w:t>
      </w:r>
      <w:r w:rsidRPr="0043228A">
        <w:rPr>
          <w:sz w:val="22"/>
          <w:szCs w:val="22"/>
        </w:rPr>
        <w:t xml:space="preserve">(compare the bottom panel of </w:t>
      </w:r>
      <w:r w:rsidRPr="00AC0F1F">
        <w:rPr>
          <w:sz w:val="22"/>
          <w:szCs w:val="22"/>
        </w:rPr>
        <w:fldChar w:fldCharType="begin"/>
      </w:r>
      <w:r w:rsidRPr="00AC0F1F">
        <w:rPr>
          <w:sz w:val="22"/>
          <w:szCs w:val="22"/>
        </w:rPr>
        <w:instrText xml:space="preserve"> REF _Ref108007534 \h </w:instrText>
      </w:r>
      <w:r>
        <w:rPr>
          <w:sz w:val="22"/>
          <w:szCs w:val="22"/>
        </w:rPr>
        <w:instrText xml:space="preserve"> \* MERGEFORMAT </w:instrText>
      </w:r>
      <w:r w:rsidRPr="00AC0F1F">
        <w:rPr>
          <w:sz w:val="22"/>
          <w:szCs w:val="22"/>
        </w:rPr>
      </w:r>
      <w:r w:rsidRPr="00AC0F1F">
        <w:rPr>
          <w:sz w:val="22"/>
          <w:szCs w:val="22"/>
        </w:rPr>
        <w:fldChar w:fldCharType="separate"/>
      </w:r>
      <w:r w:rsidR="005B672A" w:rsidRPr="005B672A">
        <w:rPr>
          <w:sz w:val="22"/>
          <w:szCs w:val="22"/>
        </w:rPr>
        <w:t>Figure A4.73</w:t>
      </w:r>
      <w:r w:rsidRPr="00AC0F1F">
        <w:rPr>
          <w:sz w:val="22"/>
          <w:szCs w:val="22"/>
        </w:rPr>
        <w:fldChar w:fldCharType="end"/>
      </w:r>
      <w:r w:rsidRPr="00177CFF">
        <w:rPr>
          <w:sz w:val="22"/>
          <w:szCs w:val="22"/>
        </w:rPr>
        <w:t xml:space="preserve"> w</w:t>
      </w:r>
      <w:r w:rsidRPr="0043228A">
        <w:rPr>
          <w:sz w:val="22"/>
          <w:szCs w:val="22"/>
        </w:rPr>
        <w:t xml:space="preserve">ith the </w:t>
      </w:r>
      <w:r>
        <w:rPr>
          <w:sz w:val="22"/>
          <w:szCs w:val="22"/>
        </w:rPr>
        <w:t>bottom</w:t>
      </w:r>
      <w:r w:rsidRPr="0043228A">
        <w:rPr>
          <w:sz w:val="22"/>
          <w:szCs w:val="22"/>
        </w:rPr>
        <w:t xml:space="preserve"> panel of </w:t>
      </w:r>
      <w:r w:rsidRPr="00AC0F1F">
        <w:rPr>
          <w:sz w:val="22"/>
          <w:szCs w:val="22"/>
        </w:rPr>
        <w:fldChar w:fldCharType="begin"/>
      </w:r>
      <w:r w:rsidRPr="00AC0F1F">
        <w:rPr>
          <w:sz w:val="22"/>
          <w:szCs w:val="22"/>
        </w:rPr>
        <w:instrText xml:space="preserve"> REF _Ref108007596 \h </w:instrText>
      </w:r>
      <w:r>
        <w:rPr>
          <w:sz w:val="22"/>
          <w:szCs w:val="22"/>
        </w:rPr>
        <w:instrText xml:space="preserve"> \* MERGEFORMAT </w:instrText>
      </w:r>
      <w:r w:rsidRPr="00AC0F1F">
        <w:rPr>
          <w:sz w:val="22"/>
          <w:szCs w:val="22"/>
        </w:rPr>
      </w:r>
      <w:r w:rsidRPr="00AC0F1F">
        <w:rPr>
          <w:sz w:val="22"/>
          <w:szCs w:val="22"/>
        </w:rPr>
        <w:fldChar w:fldCharType="separate"/>
      </w:r>
      <w:r w:rsidR="005B672A" w:rsidRPr="005B672A">
        <w:rPr>
          <w:sz w:val="22"/>
          <w:szCs w:val="22"/>
        </w:rPr>
        <w:t>Figure A4.74</w:t>
      </w:r>
      <w:r w:rsidRPr="00AC0F1F">
        <w:rPr>
          <w:sz w:val="22"/>
          <w:szCs w:val="22"/>
        </w:rPr>
        <w:fldChar w:fldCharType="end"/>
      </w:r>
      <w:r>
        <w:rPr>
          <w:sz w:val="22"/>
          <w:szCs w:val="22"/>
        </w:rPr>
        <w:t>). While the</w:t>
      </w:r>
      <w:r w:rsidRPr="00AF5524">
        <w:rPr>
          <w:sz w:val="22"/>
          <w:szCs w:val="22"/>
        </w:rPr>
        <w:t xml:space="preserve"> </w:t>
      </w:r>
      <w:r w:rsidRPr="0043228A">
        <w:rPr>
          <w:sz w:val="22"/>
          <w:szCs w:val="22"/>
        </w:rPr>
        <w:t>expected mean population size</w:t>
      </w:r>
      <w:r>
        <w:rPr>
          <w:sz w:val="22"/>
          <w:szCs w:val="22"/>
        </w:rPr>
        <w:t xml:space="preserve"> was sensitive to the time frame in which the statistic was calculated, Option 4 generated a higher expected mean population size for the Total RRCP Populations across different time frames.</w:t>
      </w:r>
    </w:p>
    <w:p w14:paraId="36524C9C" w14:textId="506E2A7D" w:rsidR="00491210" w:rsidRDefault="003E1401" w:rsidP="00C721B5">
      <w:pPr>
        <w:spacing w:after="0"/>
      </w:pPr>
      <w:r>
        <w:rPr>
          <w:noProof/>
          <w:lang w:eastAsia="en-AU"/>
        </w:rPr>
        <w:t xml:space="preserve">  </w:t>
      </w:r>
    </w:p>
    <w:p w14:paraId="0E51BD7D" w14:textId="506249DA" w:rsidR="00491210" w:rsidRPr="00DD7D8C" w:rsidRDefault="00EE200C" w:rsidP="00AC0F1F">
      <w:pPr>
        <w:pStyle w:val="AppendixFigureCaption"/>
      </w:pPr>
      <w:bookmarkStart w:id="446" w:name="_Ref108007534"/>
      <w:r>
        <w:t>Figure A4.</w:t>
      </w:r>
      <w:r>
        <w:rPr>
          <w:noProof/>
        </w:rPr>
        <w:fldChar w:fldCharType="begin"/>
      </w:r>
      <w:r>
        <w:rPr>
          <w:noProof/>
        </w:rPr>
        <w:instrText xml:space="preserve"> SEQ Figure_A4. \* ARABIC </w:instrText>
      </w:r>
      <w:r>
        <w:rPr>
          <w:noProof/>
        </w:rPr>
        <w:fldChar w:fldCharType="separate"/>
      </w:r>
      <w:r w:rsidR="005B672A">
        <w:rPr>
          <w:noProof/>
        </w:rPr>
        <w:t>73</w:t>
      </w:r>
      <w:r>
        <w:rPr>
          <w:noProof/>
        </w:rPr>
        <w:fldChar w:fldCharType="end"/>
      </w:r>
      <w:bookmarkEnd w:id="446"/>
      <w:r>
        <w:t>. Modelled Golden Perch Total RRCP Populations</w:t>
      </w:r>
      <w:r w:rsidRPr="0043228A">
        <w:t xml:space="preserve"> </w:t>
      </w:r>
      <w:r>
        <w:t xml:space="preserve">reproduced from </w:t>
      </w:r>
      <w:r>
        <w:fldChar w:fldCharType="begin"/>
      </w:r>
      <w:r>
        <w:instrText xml:space="preserve"> REF _Ref104292857 \h  \* MERGEFORMAT </w:instrText>
      </w:r>
      <w:r>
        <w:fldChar w:fldCharType="separate"/>
      </w:r>
      <w:r w:rsidR="005B672A" w:rsidRPr="00DD7D8C">
        <w:t xml:space="preserve">Figure </w:t>
      </w:r>
      <w:r w:rsidR="005B672A">
        <w:rPr>
          <w:noProof/>
        </w:rPr>
        <w:t>18</w:t>
      </w:r>
      <w:r>
        <w:fldChar w:fldCharType="end"/>
      </w:r>
      <w:r>
        <w:t xml:space="preserve"> for the RRCP flow scenarios Base case – Option 4. Top panel: mean adult population size through time. Bottom panel: expected mean adult population size with the percentage change from Base case shown in each bar.</w:t>
      </w:r>
    </w:p>
    <w:p w14:paraId="70DF1C74" w14:textId="77EC3B62" w:rsidR="00491210" w:rsidRDefault="003E1401" w:rsidP="00C721B5">
      <w:pPr>
        <w:spacing w:after="0"/>
        <w:rPr>
          <w:sz w:val="22"/>
          <w:szCs w:val="22"/>
        </w:rPr>
      </w:pPr>
      <w:r>
        <w:rPr>
          <w:noProof/>
          <w:lang w:eastAsia="en-AU"/>
        </w:rPr>
        <w:t xml:space="preserve"> </w:t>
      </w:r>
    </w:p>
    <w:p w14:paraId="3A538940" w14:textId="24A81D4F" w:rsidR="00491210" w:rsidRDefault="003E1401" w:rsidP="00C721B5">
      <w:pPr>
        <w:spacing w:after="0"/>
        <w:rPr>
          <w:sz w:val="22"/>
          <w:szCs w:val="22"/>
        </w:rPr>
      </w:pPr>
      <w:r>
        <w:rPr>
          <w:noProof/>
          <w:lang w:eastAsia="en-AU"/>
        </w:rPr>
        <w:t xml:space="preserve"> </w:t>
      </w:r>
    </w:p>
    <w:p w14:paraId="31C52083" w14:textId="57891EDF" w:rsidR="00491210" w:rsidRDefault="00EE200C" w:rsidP="00AC0F1F">
      <w:pPr>
        <w:pStyle w:val="AppendixFigureCaption"/>
      </w:pPr>
      <w:bookmarkStart w:id="447" w:name="_Ref108007596"/>
      <w:r>
        <w:lastRenderedPageBreak/>
        <w:t>Figure A4.</w:t>
      </w:r>
      <w:r>
        <w:rPr>
          <w:noProof/>
        </w:rPr>
        <w:fldChar w:fldCharType="begin"/>
      </w:r>
      <w:r>
        <w:rPr>
          <w:noProof/>
        </w:rPr>
        <w:instrText xml:space="preserve"> SEQ Figure_A4. \* ARABIC </w:instrText>
      </w:r>
      <w:r>
        <w:rPr>
          <w:noProof/>
        </w:rPr>
        <w:fldChar w:fldCharType="separate"/>
      </w:r>
      <w:r w:rsidR="005B672A">
        <w:rPr>
          <w:noProof/>
        </w:rPr>
        <w:t>74</w:t>
      </w:r>
      <w:r>
        <w:rPr>
          <w:noProof/>
        </w:rPr>
        <w:fldChar w:fldCharType="end"/>
      </w:r>
      <w:bookmarkEnd w:id="447"/>
      <w:r>
        <w:t xml:space="preserve">. Modelled </w:t>
      </w:r>
      <w:r w:rsidRPr="0043228A">
        <w:t xml:space="preserve">Golden Perch </w:t>
      </w:r>
      <w:r>
        <w:t>Total RRCP Populations</w:t>
      </w:r>
      <w:r w:rsidRPr="0043228A">
        <w:t xml:space="preserve"> expected mean </w:t>
      </w:r>
      <w:r>
        <w:t xml:space="preserve">adult </w:t>
      </w:r>
      <w:r w:rsidRPr="0043228A">
        <w:t>population size</w:t>
      </w:r>
      <w:r>
        <w:t xml:space="preserve"> </w:t>
      </w:r>
      <w:r w:rsidRPr="0043228A">
        <w:t>for the 40</w:t>
      </w:r>
      <w:r>
        <w:t>-</w:t>
      </w:r>
      <w:r w:rsidRPr="0043228A">
        <w:t>year</w:t>
      </w:r>
      <w:r>
        <w:t xml:space="preserve"> period 1980–2019 </w:t>
      </w:r>
      <w:r w:rsidRPr="05D19AF3">
        <w:t>(</w:t>
      </w:r>
      <w:r>
        <w:t>t</w:t>
      </w:r>
      <w:r w:rsidRPr="05D19AF3">
        <w:t xml:space="preserve">op panel) and </w:t>
      </w:r>
      <w:r>
        <w:t>the expected mean</w:t>
      </w:r>
      <w:r w:rsidRPr="05D19AF3">
        <w:t xml:space="preserve"> </w:t>
      </w:r>
      <w:r>
        <w:t xml:space="preserve">adult </w:t>
      </w:r>
      <w:r w:rsidRPr="05D19AF3">
        <w:t xml:space="preserve">population size </w:t>
      </w:r>
      <w:r>
        <w:t xml:space="preserve">for the 40-year period 1910–2049 </w:t>
      </w:r>
      <w:r w:rsidRPr="05D19AF3">
        <w:t>(</w:t>
      </w:r>
      <w:r>
        <w:t>b</w:t>
      </w:r>
      <w:r w:rsidRPr="05D19AF3">
        <w:t xml:space="preserve">ottom panel) for the </w:t>
      </w:r>
      <w:r>
        <w:t>RRCP flow scenarios</w:t>
      </w:r>
      <w:r w:rsidRPr="05D19AF3">
        <w:t xml:space="preserve"> </w:t>
      </w:r>
      <w:r>
        <w:t>Base case</w:t>
      </w:r>
      <w:r w:rsidRPr="05D19AF3">
        <w:t xml:space="preserve"> – </w:t>
      </w:r>
      <w:r>
        <w:t>Option 4</w:t>
      </w:r>
      <w:r w:rsidRPr="05D19AF3">
        <w:t>.</w:t>
      </w:r>
    </w:p>
    <w:p w14:paraId="5BCBA387" w14:textId="58326646" w:rsidR="00491210" w:rsidRDefault="00EE200C">
      <w:pPr>
        <w:spacing w:after="0"/>
      </w:pPr>
      <w:r>
        <w:br w:type="page"/>
      </w:r>
    </w:p>
    <w:p w14:paraId="5399C904" w14:textId="555E9AC7" w:rsidR="00491210" w:rsidRDefault="00EE200C" w:rsidP="00745297">
      <w:pPr>
        <w:pStyle w:val="Heading2"/>
      </w:pPr>
      <w:bookmarkStart w:id="448" w:name="_Toc116994952"/>
      <w:r w:rsidRPr="05D19AF3">
        <w:rPr>
          <w:rFonts w:eastAsia="Arial"/>
          <w:lang w:val="en-US"/>
        </w:rPr>
        <w:lastRenderedPageBreak/>
        <w:t xml:space="preserve">Appendix </w:t>
      </w:r>
      <w:r>
        <w:rPr>
          <w:rFonts w:eastAsia="Arial"/>
          <w:lang w:val="en-US"/>
        </w:rPr>
        <w:t>5</w:t>
      </w:r>
      <w:r w:rsidRPr="05D19AF3">
        <w:rPr>
          <w:rFonts w:eastAsia="Arial"/>
          <w:lang w:val="en-US"/>
        </w:rPr>
        <w:t xml:space="preserve">: </w:t>
      </w:r>
      <w:r w:rsidRPr="00745297">
        <w:rPr>
          <w:rFonts w:eastAsia="Arial"/>
          <w:lang w:val="en-US"/>
        </w:rPr>
        <w:t>Golden</w:t>
      </w:r>
      <w:r>
        <w:t xml:space="preserve"> Perch model convergence investigation</w:t>
      </w:r>
      <w:bookmarkEnd w:id="448"/>
    </w:p>
    <w:p w14:paraId="6DD9EEB8" w14:textId="53DD4052" w:rsidR="00491210" w:rsidRDefault="00EE200C" w:rsidP="00745297">
      <w:pPr>
        <w:spacing w:line="259" w:lineRule="auto"/>
        <w:jc w:val="both"/>
        <w:rPr>
          <w:rFonts w:eastAsia="Arial"/>
          <w:color w:val="000000"/>
          <w:sz w:val="22"/>
          <w:szCs w:val="22"/>
        </w:rPr>
      </w:pPr>
      <w:r w:rsidRPr="00581683">
        <w:rPr>
          <w:rFonts w:eastAsia="Arial"/>
          <w:color w:val="000000"/>
          <w:sz w:val="22"/>
          <w:szCs w:val="22"/>
        </w:rPr>
        <w:t>The purpose of th</w:t>
      </w:r>
      <w:r>
        <w:rPr>
          <w:rFonts w:eastAsia="Arial"/>
          <w:color w:val="000000"/>
          <w:sz w:val="22"/>
          <w:szCs w:val="22"/>
        </w:rPr>
        <w:t>e</w:t>
      </w:r>
      <w:r w:rsidRPr="00581683">
        <w:rPr>
          <w:rFonts w:eastAsia="Arial"/>
          <w:color w:val="000000"/>
          <w:sz w:val="22"/>
          <w:szCs w:val="22"/>
        </w:rPr>
        <w:t xml:space="preserve"> convergence testing was to ensure that the outcomes presented and conclusions drawn are robust in the assessment of the relaxed-flow-constraints scenarios. </w:t>
      </w:r>
      <w:r>
        <w:rPr>
          <w:rFonts w:eastAsia="Arial"/>
          <w:color w:val="000000"/>
          <w:sz w:val="22"/>
          <w:szCs w:val="22"/>
        </w:rPr>
        <w:t>M</w:t>
      </w:r>
      <w:r w:rsidRPr="05D19AF3">
        <w:rPr>
          <w:rFonts w:eastAsia="Arial"/>
          <w:color w:val="000000"/>
          <w:sz w:val="22"/>
          <w:szCs w:val="22"/>
        </w:rPr>
        <w:t xml:space="preserve">odel outputs displayed </w:t>
      </w:r>
      <w:r>
        <w:rPr>
          <w:rFonts w:eastAsia="Arial"/>
          <w:color w:val="000000"/>
          <w:sz w:val="22"/>
          <w:szCs w:val="22"/>
        </w:rPr>
        <w:t>a</w:t>
      </w:r>
      <w:r w:rsidRPr="05D19AF3">
        <w:rPr>
          <w:rFonts w:eastAsia="Arial"/>
          <w:color w:val="000000"/>
          <w:sz w:val="22"/>
          <w:szCs w:val="22"/>
        </w:rPr>
        <w:t xml:space="preserve"> convergence (i.e. congruence) </w:t>
      </w:r>
      <w:r>
        <w:rPr>
          <w:rFonts w:eastAsia="Arial"/>
          <w:color w:val="000000"/>
          <w:sz w:val="22"/>
          <w:szCs w:val="22"/>
        </w:rPr>
        <w:t>among the</w:t>
      </w:r>
      <w:r w:rsidRPr="007B491D">
        <w:rPr>
          <w:rFonts w:eastAsia="Arial"/>
          <w:color w:val="000000"/>
          <w:sz w:val="22"/>
          <w:szCs w:val="22"/>
        </w:rPr>
        <w:t xml:space="preserve"> </w:t>
      </w:r>
      <w:r>
        <w:rPr>
          <w:rFonts w:eastAsia="Arial"/>
          <w:color w:val="000000"/>
          <w:sz w:val="22"/>
          <w:szCs w:val="22"/>
        </w:rPr>
        <w:t>relaxed-flow-constraints scenarios across time</w:t>
      </w:r>
      <w:r w:rsidRPr="05D19AF3">
        <w:rPr>
          <w:rFonts w:eastAsia="Arial"/>
          <w:color w:val="000000"/>
          <w:sz w:val="22"/>
          <w:szCs w:val="22"/>
        </w:rPr>
        <w:t xml:space="preserve"> for Golden Perch (for examples</w:t>
      </w:r>
      <w:r>
        <w:rPr>
          <w:rFonts w:eastAsia="Arial"/>
          <w:color w:val="000000"/>
          <w:sz w:val="22"/>
          <w:szCs w:val="22"/>
        </w:rPr>
        <w:t>,</w:t>
      </w:r>
      <w:r w:rsidRPr="05D19AF3">
        <w:rPr>
          <w:rFonts w:eastAsia="Arial"/>
          <w:color w:val="000000"/>
          <w:sz w:val="22"/>
          <w:szCs w:val="22"/>
        </w:rPr>
        <w:t xml:space="preserve"> see </w:t>
      </w:r>
      <w:r>
        <w:rPr>
          <w:rFonts w:eastAsia="Arial"/>
          <w:color w:val="000000"/>
          <w:sz w:val="22"/>
          <w:szCs w:val="22"/>
        </w:rPr>
        <w:t xml:space="preserve">the </w:t>
      </w:r>
      <w:r w:rsidRPr="05D19AF3">
        <w:rPr>
          <w:rFonts w:eastAsia="Arial"/>
          <w:color w:val="000000"/>
          <w:sz w:val="22"/>
          <w:szCs w:val="22"/>
        </w:rPr>
        <w:t xml:space="preserve">top panel </w:t>
      </w:r>
      <w:r w:rsidRPr="00B13D45">
        <w:rPr>
          <w:rFonts w:eastAsia="Arial"/>
          <w:color w:val="000000"/>
          <w:sz w:val="22"/>
          <w:szCs w:val="22"/>
        </w:rPr>
        <w:t xml:space="preserve">of </w:t>
      </w:r>
      <w:r w:rsidRPr="00B13D45">
        <w:rPr>
          <w:rFonts w:eastAsia="Arial"/>
          <w:color w:val="000000"/>
          <w:sz w:val="22"/>
          <w:szCs w:val="22"/>
        </w:rPr>
        <w:fldChar w:fldCharType="begin"/>
      </w:r>
      <w:r w:rsidRPr="00B13D45">
        <w:rPr>
          <w:rFonts w:eastAsia="Arial"/>
          <w:color w:val="000000"/>
          <w:sz w:val="22"/>
          <w:szCs w:val="22"/>
        </w:rPr>
        <w:instrText xml:space="preserve"> REF _Ref104292857 \h </w:instrText>
      </w:r>
      <w:r>
        <w:rPr>
          <w:rFonts w:eastAsia="Arial"/>
          <w:color w:val="000000"/>
          <w:sz w:val="22"/>
          <w:szCs w:val="22"/>
        </w:rPr>
        <w:instrText xml:space="preserve"> \* MERGEFORMAT </w:instrText>
      </w:r>
      <w:r w:rsidRPr="00B13D45">
        <w:rPr>
          <w:rFonts w:eastAsia="Arial"/>
          <w:color w:val="000000"/>
          <w:sz w:val="22"/>
          <w:szCs w:val="22"/>
        </w:rPr>
      </w:r>
      <w:r w:rsidRPr="00B13D45">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18</w:t>
      </w:r>
      <w:r w:rsidRPr="00B13D45">
        <w:rPr>
          <w:rFonts w:eastAsia="Arial"/>
          <w:color w:val="000000"/>
          <w:sz w:val="22"/>
          <w:szCs w:val="22"/>
        </w:rPr>
        <w:fldChar w:fldCharType="end"/>
      </w:r>
      <w:r>
        <w:rPr>
          <w:rFonts w:eastAsia="Arial"/>
          <w:color w:val="000000"/>
          <w:sz w:val="22"/>
          <w:szCs w:val="22"/>
        </w:rPr>
        <w:t>, 1980 onwards</w:t>
      </w:r>
      <w:r w:rsidRPr="05D19AF3">
        <w:rPr>
          <w:rFonts w:eastAsia="Arial"/>
          <w:color w:val="000000"/>
          <w:sz w:val="22"/>
          <w:szCs w:val="22"/>
        </w:rPr>
        <w:t>).</w:t>
      </w:r>
      <w:r>
        <w:rPr>
          <w:rFonts w:eastAsia="Arial"/>
          <w:color w:val="000000"/>
          <w:sz w:val="22"/>
          <w:szCs w:val="22"/>
        </w:rPr>
        <w:t xml:space="preserve"> There is an apparent divergence of responses to the relaxed-flow-constraints scenarios that then later converge to very similar outcomes from around 1980 onwards (</w:t>
      </w:r>
      <w:r w:rsidRPr="00B13D45">
        <w:rPr>
          <w:rFonts w:eastAsia="Arial"/>
          <w:color w:val="000000"/>
          <w:sz w:val="22"/>
          <w:szCs w:val="22"/>
        </w:rPr>
        <w:fldChar w:fldCharType="begin"/>
      </w:r>
      <w:r w:rsidRPr="00B13D45">
        <w:rPr>
          <w:rFonts w:eastAsia="Arial"/>
          <w:color w:val="000000"/>
          <w:sz w:val="22"/>
          <w:szCs w:val="22"/>
        </w:rPr>
        <w:instrText xml:space="preserve"> REF _Ref104292857 \h </w:instrText>
      </w:r>
      <w:r>
        <w:rPr>
          <w:rFonts w:eastAsia="Arial"/>
          <w:color w:val="000000"/>
          <w:sz w:val="22"/>
          <w:szCs w:val="22"/>
        </w:rPr>
        <w:instrText xml:space="preserve"> \* MERGEFORMAT </w:instrText>
      </w:r>
      <w:r w:rsidRPr="00B13D45">
        <w:rPr>
          <w:rFonts w:eastAsia="Arial"/>
          <w:color w:val="000000"/>
          <w:sz w:val="22"/>
          <w:szCs w:val="22"/>
        </w:rPr>
      </w:r>
      <w:r w:rsidRPr="00B13D45">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18</w:t>
      </w:r>
      <w:r w:rsidRPr="00B13D45">
        <w:rPr>
          <w:rFonts w:eastAsia="Arial"/>
          <w:color w:val="000000"/>
          <w:sz w:val="22"/>
          <w:szCs w:val="22"/>
        </w:rPr>
        <w:fldChar w:fldCharType="end"/>
      </w:r>
      <w:r>
        <w:rPr>
          <w:rFonts w:eastAsia="Arial"/>
          <w:color w:val="000000"/>
          <w:sz w:val="22"/>
          <w:szCs w:val="22"/>
        </w:rPr>
        <w:t xml:space="preserve">: top panel). To assess the convergence of model response to the </w:t>
      </w:r>
      <w:r w:rsidRPr="003E4E94">
        <w:rPr>
          <w:color w:val="000000"/>
          <w:sz w:val="22"/>
          <w:szCs w:val="22"/>
          <w:lang w:eastAsia="en-AU"/>
        </w:rPr>
        <w:t>relaxed</w:t>
      </w:r>
      <w:r>
        <w:rPr>
          <w:color w:val="000000"/>
          <w:sz w:val="22"/>
          <w:szCs w:val="22"/>
          <w:lang w:eastAsia="en-AU"/>
        </w:rPr>
        <w:t>-flow-constraints</w:t>
      </w:r>
      <w:r w:rsidRPr="003E4E94">
        <w:rPr>
          <w:color w:val="000000"/>
          <w:sz w:val="22"/>
          <w:szCs w:val="22"/>
          <w:lang w:eastAsia="en-AU"/>
        </w:rPr>
        <w:t xml:space="preserve"> scenarios</w:t>
      </w:r>
      <w:r>
        <w:rPr>
          <w:color w:val="000000"/>
          <w:sz w:val="22"/>
          <w:szCs w:val="22"/>
          <w:lang w:eastAsia="en-AU"/>
        </w:rPr>
        <w:t>, two analyses were undertaken to understand why it occurs and whether it is an artifact of the model or the input data.</w:t>
      </w:r>
    </w:p>
    <w:p w14:paraId="144FEE7A" w14:textId="2D86ABBF" w:rsidR="00491210" w:rsidRDefault="00EE200C" w:rsidP="005F1F7F">
      <w:pPr>
        <w:pStyle w:val="Heading3"/>
      </w:pPr>
      <w:bookmarkStart w:id="449" w:name="_Toc116994953"/>
      <w:r>
        <w:t>First investigation</w:t>
      </w:r>
      <w:bookmarkEnd w:id="449"/>
    </w:p>
    <w:p w14:paraId="597C8C18" w14:textId="6662D641" w:rsidR="00491210" w:rsidRDefault="00EE200C" w:rsidP="00745297">
      <w:pPr>
        <w:spacing w:line="259" w:lineRule="auto"/>
        <w:jc w:val="both"/>
        <w:rPr>
          <w:rFonts w:eastAsia="Arial"/>
          <w:color w:val="000000"/>
          <w:sz w:val="22"/>
          <w:szCs w:val="22"/>
        </w:rPr>
      </w:pPr>
      <w:r w:rsidRPr="13609C11">
        <w:rPr>
          <w:rFonts w:eastAsia="Arial"/>
          <w:color w:val="000000"/>
          <w:sz w:val="22"/>
          <w:szCs w:val="22"/>
        </w:rPr>
        <w:t>The first method was to examine the model input data (life</w:t>
      </w:r>
      <w:r>
        <w:rPr>
          <w:rFonts w:eastAsia="Arial"/>
          <w:color w:val="000000"/>
          <w:sz w:val="22"/>
          <w:szCs w:val="22"/>
        </w:rPr>
        <w:t>-</w:t>
      </w:r>
      <w:r w:rsidRPr="13609C11">
        <w:rPr>
          <w:rFonts w:eastAsia="Arial"/>
          <w:color w:val="000000"/>
          <w:sz w:val="22"/>
          <w:szCs w:val="22"/>
        </w:rPr>
        <w:t>history responses to flow and temperature data) for time</w:t>
      </w:r>
      <w:r>
        <w:rPr>
          <w:rFonts w:eastAsia="Arial"/>
          <w:color w:val="000000"/>
          <w:sz w:val="22"/>
          <w:szCs w:val="22"/>
        </w:rPr>
        <w:t xml:space="preserve"> </w:t>
      </w:r>
      <w:r w:rsidRPr="13609C11">
        <w:rPr>
          <w:rFonts w:eastAsia="Arial"/>
          <w:color w:val="000000"/>
          <w:sz w:val="22"/>
          <w:szCs w:val="22"/>
        </w:rPr>
        <w:t xml:space="preserve">series correlation. A </w:t>
      </w:r>
      <w:bookmarkStart w:id="450" w:name="_Hlk105032723"/>
      <w:r w:rsidRPr="13609C11">
        <w:rPr>
          <w:rFonts w:eastAsia="Arial"/>
          <w:color w:val="000000"/>
          <w:sz w:val="22"/>
          <w:szCs w:val="22"/>
        </w:rPr>
        <w:t xml:space="preserve">Rolling Pearson Correlation </w:t>
      </w:r>
      <w:bookmarkEnd w:id="450"/>
      <w:r w:rsidRPr="13609C11">
        <w:rPr>
          <w:rFonts w:eastAsia="Arial"/>
          <w:color w:val="000000"/>
          <w:sz w:val="22"/>
          <w:szCs w:val="22"/>
        </w:rPr>
        <w:t>(Kirch 2008) demonstrates the correlation between two data series over the course of a time</w:t>
      </w:r>
      <w:r>
        <w:rPr>
          <w:rFonts w:eastAsia="Arial"/>
          <w:color w:val="000000"/>
          <w:sz w:val="22"/>
          <w:szCs w:val="22"/>
        </w:rPr>
        <w:t xml:space="preserve"> </w:t>
      </w:r>
      <w:r w:rsidRPr="13609C11">
        <w:rPr>
          <w:rFonts w:eastAsia="Arial"/>
          <w:color w:val="000000"/>
          <w:sz w:val="22"/>
          <w:szCs w:val="22"/>
        </w:rPr>
        <w:t xml:space="preserve">series, thus allowing for the investigation of correlation through time. Rolling Pearson Correlations were calculated across </w:t>
      </w:r>
      <w:r>
        <w:rPr>
          <w:rFonts w:eastAsia="Arial"/>
          <w:color w:val="000000"/>
          <w:sz w:val="22"/>
          <w:szCs w:val="22"/>
        </w:rPr>
        <w:t>10</w:t>
      </w:r>
      <w:r w:rsidRPr="13609C11">
        <w:rPr>
          <w:rFonts w:eastAsia="Arial"/>
          <w:color w:val="000000"/>
          <w:sz w:val="22"/>
          <w:szCs w:val="22"/>
        </w:rPr>
        <w:t>-year windows of flow inputs, Golden Perch population model inputs and Golden Perch population model outputs. For simplicity, only correlations between the Base case time</w:t>
      </w:r>
      <w:r>
        <w:rPr>
          <w:rFonts w:eastAsia="Arial"/>
          <w:color w:val="000000"/>
          <w:sz w:val="22"/>
          <w:szCs w:val="22"/>
        </w:rPr>
        <w:t xml:space="preserve"> </w:t>
      </w:r>
      <w:r w:rsidRPr="13609C11">
        <w:rPr>
          <w:rFonts w:eastAsia="Arial"/>
          <w:color w:val="000000"/>
          <w:sz w:val="22"/>
          <w:szCs w:val="22"/>
        </w:rPr>
        <w:t xml:space="preserve">series and </w:t>
      </w:r>
      <w:r>
        <w:rPr>
          <w:rFonts w:eastAsia="Arial"/>
          <w:color w:val="000000"/>
          <w:sz w:val="22"/>
          <w:szCs w:val="22"/>
        </w:rPr>
        <w:t xml:space="preserve">the </w:t>
      </w:r>
      <w:r w:rsidRPr="13609C11">
        <w:rPr>
          <w:rFonts w:eastAsia="Arial"/>
          <w:color w:val="000000"/>
          <w:sz w:val="22"/>
          <w:szCs w:val="22"/>
        </w:rPr>
        <w:t>Option 4 time</w:t>
      </w:r>
      <w:r>
        <w:rPr>
          <w:rFonts w:eastAsia="Arial"/>
          <w:color w:val="000000"/>
          <w:sz w:val="22"/>
          <w:szCs w:val="22"/>
        </w:rPr>
        <w:t xml:space="preserve"> </w:t>
      </w:r>
      <w:r w:rsidRPr="13609C11">
        <w:rPr>
          <w:rFonts w:eastAsia="Arial"/>
          <w:color w:val="000000"/>
          <w:sz w:val="22"/>
          <w:szCs w:val="22"/>
        </w:rPr>
        <w:t>series were assessed</w:t>
      </w:r>
      <w:r>
        <w:rPr>
          <w:rFonts w:eastAsia="Arial"/>
          <w:color w:val="000000"/>
          <w:sz w:val="22"/>
          <w:szCs w:val="22"/>
        </w:rPr>
        <w:t>. They</w:t>
      </w:r>
      <w:r w:rsidRPr="13609C11">
        <w:rPr>
          <w:rFonts w:eastAsia="Arial"/>
          <w:color w:val="000000"/>
          <w:sz w:val="22"/>
          <w:szCs w:val="22"/>
        </w:rPr>
        <w:t xml:space="preserve"> generated statisti</w:t>
      </w:r>
      <w:r>
        <w:rPr>
          <w:rFonts w:eastAsia="Arial"/>
          <w:color w:val="000000"/>
          <w:sz w:val="22"/>
          <w:szCs w:val="22"/>
        </w:rPr>
        <w:t>cs</w:t>
      </w:r>
      <w:r w:rsidRPr="13609C11">
        <w:rPr>
          <w:rFonts w:eastAsia="Arial"/>
          <w:color w:val="000000"/>
          <w:sz w:val="22"/>
          <w:szCs w:val="22"/>
        </w:rPr>
        <w:t xml:space="preserve"> split into </w:t>
      </w:r>
      <w:r>
        <w:rPr>
          <w:rFonts w:eastAsia="Arial"/>
          <w:color w:val="000000"/>
          <w:sz w:val="22"/>
          <w:szCs w:val="22"/>
        </w:rPr>
        <w:t>10</w:t>
      </w:r>
      <w:r w:rsidRPr="13609C11">
        <w:rPr>
          <w:rFonts w:eastAsia="Arial"/>
          <w:color w:val="000000"/>
          <w:sz w:val="22"/>
          <w:szCs w:val="22"/>
        </w:rPr>
        <w:t>-year windows</w:t>
      </w:r>
      <w:r>
        <w:rPr>
          <w:rFonts w:eastAsia="Arial"/>
          <w:color w:val="000000"/>
          <w:sz w:val="22"/>
          <w:szCs w:val="22"/>
        </w:rPr>
        <w:t>,</w:t>
      </w:r>
      <w:r w:rsidRPr="13609C11">
        <w:rPr>
          <w:rFonts w:eastAsia="Arial"/>
          <w:color w:val="000000"/>
          <w:sz w:val="22"/>
          <w:szCs w:val="22"/>
        </w:rPr>
        <w:t xml:space="preserve"> and Pearson Correlations </w:t>
      </w:r>
      <w:r>
        <w:rPr>
          <w:rFonts w:eastAsia="Arial"/>
          <w:color w:val="000000"/>
          <w:sz w:val="22"/>
          <w:szCs w:val="22"/>
        </w:rPr>
        <w:t xml:space="preserve">were </w:t>
      </w:r>
      <w:r w:rsidRPr="13609C11">
        <w:rPr>
          <w:rFonts w:eastAsia="Arial"/>
          <w:color w:val="000000"/>
          <w:sz w:val="22"/>
          <w:szCs w:val="22"/>
        </w:rPr>
        <w:t>calculated for each window and stitched together across the time</w:t>
      </w:r>
      <w:r>
        <w:rPr>
          <w:rFonts w:eastAsia="Arial"/>
          <w:color w:val="000000"/>
          <w:sz w:val="22"/>
          <w:szCs w:val="22"/>
        </w:rPr>
        <w:t xml:space="preserve"> </w:t>
      </w:r>
      <w:r w:rsidRPr="13609C11">
        <w:rPr>
          <w:rFonts w:eastAsia="Arial"/>
          <w:color w:val="000000"/>
          <w:sz w:val="22"/>
          <w:szCs w:val="22"/>
        </w:rPr>
        <w:t xml:space="preserve">series window index. Note that these windows overlap with one another, rather than being discreet </w:t>
      </w:r>
      <w:r>
        <w:rPr>
          <w:rFonts w:eastAsia="Arial"/>
          <w:color w:val="000000"/>
          <w:sz w:val="22"/>
          <w:szCs w:val="22"/>
        </w:rPr>
        <w:t>from</w:t>
      </w:r>
      <w:r w:rsidRPr="13609C11">
        <w:rPr>
          <w:rFonts w:eastAsia="Arial"/>
          <w:color w:val="000000"/>
          <w:sz w:val="22"/>
          <w:szCs w:val="22"/>
        </w:rPr>
        <w:t xml:space="preserve"> one another.</w:t>
      </w:r>
    </w:p>
    <w:p w14:paraId="1A176364" w14:textId="2439E4F9" w:rsidR="00491210" w:rsidRDefault="003E1401" w:rsidP="00745297">
      <w:pPr>
        <w:keepNext/>
        <w:keepLines/>
        <w:spacing w:after="0"/>
        <w:rPr>
          <w:rFonts w:eastAsia="Arial"/>
          <w:color w:val="000000"/>
          <w:sz w:val="22"/>
          <w:szCs w:val="22"/>
        </w:rPr>
      </w:pPr>
      <w:r>
        <w:rPr>
          <w:noProof/>
          <w:lang w:eastAsia="en-AU"/>
        </w:rPr>
        <w:t xml:space="preserve"> </w:t>
      </w:r>
    </w:p>
    <w:p w14:paraId="0E4CB1AC" w14:textId="37CF7C67" w:rsidR="00491210" w:rsidRDefault="00EE200C" w:rsidP="00F602FE">
      <w:pPr>
        <w:pStyle w:val="AppendixFigureCaption"/>
      </w:pPr>
      <w:bookmarkStart w:id="451" w:name="_Ref105687379"/>
      <w:bookmarkStart w:id="452" w:name="_Hlk104973803"/>
      <w:r w:rsidRPr="00E41D2F">
        <w:rPr>
          <w:szCs w:val="20"/>
        </w:rPr>
        <w:t>Figure A5.</w:t>
      </w:r>
      <w:r w:rsidRPr="00E41D2F">
        <w:rPr>
          <w:szCs w:val="20"/>
        </w:rPr>
        <w:fldChar w:fldCharType="begin"/>
      </w:r>
      <w:r w:rsidRPr="00E41D2F">
        <w:rPr>
          <w:szCs w:val="20"/>
        </w:rPr>
        <w:instrText>SEQ Figure_A5. \* ARABIC</w:instrText>
      </w:r>
      <w:r w:rsidRPr="00E41D2F">
        <w:rPr>
          <w:szCs w:val="20"/>
        </w:rPr>
        <w:fldChar w:fldCharType="separate"/>
      </w:r>
      <w:r w:rsidR="005B672A">
        <w:rPr>
          <w:noProof/>
          <w:szCs w:val="20"/>
        </w:rPr>
        <w:t>1</w:t>
      </w:r>
      <w:r w:rsidRPr="00E41D2F">
        <w:rPr>
          <w:szCs w:val="20"/>
        </w:rPr>
        <w:fldChar w:fldCharType="end"/>
      </w:r>
      <w:bookmarkEnd w:id="451"/>
      <w:r w:rsidRPr="00E41D2F">
        <w:rPr>
          <w:szCs w:val="20"/>
        </w:rPr>
        <w:t xml:space="preserve">. Rolling Pearson Correlations between </w:t>
      </w:r>
      <w:r>
        <w:rPr>
          <w:szCs w:val="20"/>
        </w:rPr>
        <w:t xml:space="preserve">the </w:t>
      </w:r>
      <w:r w:rsidRPr="00E41D2F">
        <w:rPr>
          <w:szCs w:val="20"/>
        </w:rPr>
        <w:t xml:space="preserve">Base case and Option 4 generated across </w:t>
      </w:r>
      <w:r>
        <w:rPr>
          <w:szCs w:val="20"/>
        </w:rPr>
        <w:t>10-</w:t>
      </w:r>
      <w:r w:rsidRPr="00E41D2F">
        <w:rPr>
          <w:szCs w:val="20"/>
        </w:rPr>
        <w:t xml:space="preserve">year windows demonstrates serial correlation of </w:t>
      </w:r>
      <w:r>
        <w:rPr>
          <w:szCs w:val="20"/>
        </w:rPr>
        <w:t xml:space="preserve">the </w:t>
      </w:r>
      <w:r w:rsidRPr="00E41D2F">
        <w:rPr>
          <w:szCs w:val="20"/>
        </w:rPr>
        <w:t>flows in each location. Pop1</w:t>
      </w:r>
      <w:r>
        <w:rPr>
          <w:szCs w:val="20"/>
        </w:rPr>
        <w:t>:</w:t>
      </w:r>
      <w:r w:rsidRPr="00E41D2F">
        <w:rPr>
          <w:szCs w:val="20"/>
        </w:rPr>
        <w:t xml:space="preserve"> Lower Murray below </w:t>
      </w:r>
      <w:r w:rsidRPr="00EA455D">
        <w:rPr>
          <w:szCs w:val="20"/>
        </w:rPr>
        <w:t>Wentworth</w:t>
      </w:r>
      <w:r>
        <w:rPr>
          <w:szCs w:val="20"/>
        </w:rPr>
        <w:t>;</w:t>
      </w:r>
      <w:r w:rsidRPr="00E41D2F">
        <w:rPr>
          <w:szCs w:val="20"/>
        </w:rPr>
        <w:t xml:space="preserve"> Pop2</w:t>
      </w:r>
      <w:r>
        <w:rPr>
          <w:szCs w:val="20"/>
        </w:rPr>
        <w:t>:</w:t>
      </w:r>
      <w:r w:rsidRPr="00E41D2F">
        <w:rPr>
          <w:szCs w:val="20"/>
        </w:rPr>
        <w:t xml:space="preserve"> Torrumbarry to </w:t>
      </w:r>
      <w:r w:rsidRPr="00EA455D">
        <w:rPr>
          <w:szCs w:val="20"/>
        </w:rPr>
        <w:t>Wentworth</w:t>
      </w:r>
      <w:r>
        <w:rPr>
          <w:szCs w:val="20"/>
        </w:rPr>
        <w:t>;</w:t>
      </w:r>
      <w:r w:rsidRPr="00E41D2F">
        <w:rPr>
          <w:szCs w:val="20"/>
        </w:rPr>
        <w:t xml:space="preserve"> Pop3</w:t>
      </w:r>
      <w:r>
        <w:rPr>
          <w:szCs w:val="20"/>
        </w:rPr>
        <w:t>:</w:t>
      </w:r>
      <w:r w:rsidRPr="00E41D2F">
        <w:rPr>
          <w:szCs w:val="20"/>
        </w:rPr>
        <w:t xml:space="preserve"> Yarrawonga to Torrumbarry</w:t>
      </w:r>
      <w:r>
        <w:t xml:space="preserve">; Pop4: </w:t>
      </w:r>
      <w:r w:rsidRPr="00B56F70">
        <w:t>Hume to Yarrawonga</w:t>
      </w:r>
      <w:r>
        <w:t xml:space="preserve">; Pop5: </w:t>
      </w:r>
      <w:r w:rsidRPr="00B56F70">
        <w:t>Lower Darling</w:t>
      </w:r>
      <w:r>
        <w:t xml:space="preserve">; Pop6: </w:t>
      </w:r>
      <w:r w:rsidRPr="00B56F70">
        <w:t>Hay to Balranald</w:t>
      </w:r>
      <w:r>
        <w:t xml:space="preserve">; Pop7: </w:t>
      </w:r>
      <w:r w:rsidRPr="00B56F70">
        <w:t>Edward</w:t>
      </w:r>
      <w:r>
        <w:t xml:space="preserve"> River; and Pop8: </w:t>
      </w:r>
      <w:r w:rsidRPr="00B56F70">
        <w:t>Gundagai to Hay</w:t>
      </w:r>
      <w:r>
        <w:t>.</w:t>
      </w:r>
    </w:p>
    <w:p w14:paraId="48088CBC" w14:textId="6FFC05E9" w:rsidR="00491210" w:rsidRDefault="00EE200C" w:rsidP="00745297">
      <w:pPr>
        <w:spacing w:line="259" w:lineRule="auto"/>
        <w:jc w:val="both"/>
        <w:rPr>
          <w:rFonts w:eastAsia="Arial"/>
          <w:color w:val="000000"/>
          <w:sz w:val="22"/>
          <w:szCs w:val="22"/>
        </w:rPr>
      </w:pPr>
      <w:r>
        <w:rPr>
          <w:rFonts w:eastAsia="Arial"/>
          <w:color w:val="000000"/>
          <w:sz w:val="22"/>
          <w:szCs w:val="22"/>
        </w:rPr>
        <w:t xml:space="preserve">The correlation analysis demonstrated the flow inputs to be highly correlated for some of the populations. The reaches of the </w:t>
      </w:r>
      <w:r w:rsidRPr="00DD586E">
        <w:rPr>
          <w:rFonts w:eastAsia="Arial"/>
          <w:color w:val="000000"/>
          <w:sz w:val="22"/>
          <w:szCs w:val="22"/>
        </w:rPr>
        <w:t xml:space="preserve">Lower Murray below </w:t>
      </w:r>
      <w:r w:rsidRPr="0063617E">
        <w:rPr>
          <w:sz w:val="22"/>
          <w:szCs w:val="28"/>
        </w:rPr>
        <w:t>Wentworth</w:t>
      </w:r>
      <w:r>
        <w:rPr>
          <w:rFonts w:eastAsia="Arial"/>
          <w:color w:val="000000"/>
          <w:sz w:val="22"/>
          <w:szCs w:val="22"/>
        </w:rPr>
        <w:t xml:space="preserve">, Torrumbarry to </w:t>
      </w:r>
      <w:r w:rsidRPr="0063617E">
        <w:rPr>
          <w:sz w:val="22"/>
          <w:szCs w:val="28"/>
        </w:rPr>
        <w:t>Wentworth</w:t>
      </w:r>
      <w:r>
        <w:rPr>
          <w:rFonts w:eastAsia="Arial"/>
          <w:color w:val="000000"/>
          <w:sz w:val="22"/>
          <w:szCs w:val="22"/>
        </w:rPr>
        <w:t xml:space="preserve">, Hay to Balranald and Gundagai to Hay (Pop1, Pop2, Pop6 and Pop8 </w:t>
      </w:r>
      <w:r w:rsidRPr="007119AB">
        <w:rPr>
          <w:rFonts w:eastAsia="Arial"/>
          <w:color w:val="000000"/>
          <w:sz w:val="22"/>
          <w:szCs w:val="22"/>
        </w:rPr>
        <w:t xml:space="preserve">– </w:t>
      </w:r>
      <w:r w:rsidRPr="007119AB">
        <w:rPr>
          <w:rFonts w:eastAsia="Arial"/>
          <w:color w:val="000000"/>
          <w:sz w:val="22"/>
          <w:szCs w:val="22"/>
        </w:rPr>
        <w:fldChar w:fldCharType="begin"/>
      </w:r>
      <w:r w:rsidRPr="007119AB">
        <w:rPr>
          <w:rFonts w:eastAsia="Arial"/>
          <w:color w:val="000000"/>
          <w:sz w:val="22"/>
          <w:szCs w:val="22"/>
        </w:rPr>
        <w:instrText xml:space="preserve"> REF _Ref105687379 \h </w:instrText>
      </w:r>
      <w:r>
        <w:rPr>
          <w:rFonts w:eastAsia="Arial"/>
          <w:color w:val="000000"/>
          <w:sz w:val="22"/>
          <w:szCs w:val="22"/>
        </w:rPr>
        <w:instrText xml:space="preserve"> \* MERGEFORMAT </w:instrText>
      </w:r>
      <w:r w:rsidRPr="007119AB">
        <w:rPr>
          <w:rFonts w:eastAsia="Arial"/>
          <w:color w:val="000000"/>
          <w:sz w:val="22"/>
          <w:szCs w:val="22"/>
        </w:rPr>
      </w:r>
      <w:r w:rsidRPr="007119AB">
        <w:rPr>
          <w:rFonts w:eastAsia="Arial"/>
          <w:color w:val="000000"/>
          <w:sz w:val="22"/>
          <w:szCs w:val="22"/>
        </w:rPr>
        <w:fldChar w:fldCharType="separate"/>
      </w:r>
      <w:r w:rsidR="005B672A" w:rsidRPr="005B672A">
        <w:rPr>
          <w:sz w:val="22"/>
          <w:szCs w:val="22"/>
        </w:rPr>
        <w:t>Figure A5.1</w:t>
      </w:r>
      <w:r w:rsidRPr="007119AB">
        <w:rPr>
          <w:rFonts w:eastAsia="Arial"/>
          <w:color w:val="000000"/>
          <w:sz w:val="22"/>
          <w:szCs w:val="22"/>
        </w:rPr>
        <w:fldChar w:fldCharType="end"/>
      </w:r>
      <w:r w:rsidRPr="007119AB">
        <w:rPr>
          <w:rFonts w:eastAsia="Arial"/>
          <w:color w:val="000000"/>
          <w:sz w:val="22"/>
          <w:szCs w:val="22"/>
        </w:rPr>
        <w:t>)</w:t>
      </w:r>
      <w:r>
        <w:rPr>
          <w:rFonts w:eastAsia="Arial"/>
          <w:color w:val="000000"/>
          <w:sz w:val="22"/>
          <w:szCs w:val="22"/>
        </w:rPr>
        <w:t xml:space="preserve"> are highly correlated, and all populations exhibit positive correlation, are dynamic and shift through time, as indicated by the repetitive patterns in all populations (</w:t>
      </w:r>
      <w:r w:rsidRPr="007119AB">
        <w:rPr>
          <w:rFonts w:eastAsia="Arial"/>
          <w:color w:val="000000"/>
          <w:sz w:val="22"/>
          <w:szCs w:val="22"/>
        </w:rPr>
        <w:fldChar w:fldCharType="begin"/>
      </w:r>
      <w:r w:rsidRPr="007119AB">
        <w:rPr>
          <w:rFonts w:eastAsia="Arial"/>
          <w:color w:val="000000"/>
          <w:sz w:val="22"/>
          <w:szCs w:val="22"/>
        </w:rPr>
        <w:instrText xml:space="preserve"> REF _Ref105687379 \h </w:instrText>
      </w:r>
      <w:r>
        <w:rPr>
          <w:rFonts w:eastAsia="Arial"/>
          <w:color w:val="000000"/>
          <w:sz w:val="22"/>
          <w:szCs w:val="22"/>
        </w:rPr>
        <w:instrText xml:space="preserve"> \* MERGEFORMAT </w:instrText>
      </w:r>
      <w:r w:rsidRPr="007119AB">
        <w:rPr>
          <w:rFonts w:eastAsia="Arial"/>
          <w:color w:val="000000"/>
          <w:sz w:val="22"/>
          <w:szCs w:val="22"/>
        </w:rPr>
      </w:r>
      <w:r w:rsidRPr="007119AB">
        <w:rPr>
          <w:rFonts w:eastAsia="Arial"/>
          <w:color w:val="000000"/>
          <w:sz w:val="22"/>
          <w:szCs w:val="22"/>
        </w:rPr>
        <w:fldChar w:fldCharType="separate"/>
      </w:r>
      <w:r w:rsidR="005B672A" w:rsidRPr="005B672A">
        <w:rPr>
          <w:sz w:val="22"/>
          <w:szCs w:val="22"/>
        </w:rPr>
        <w:t>Figure A5.1</w:t>
      </w:r>
      <w:r w:rsidRPr="007119AB">
        <w:rPr>
          <w:rFonts w:eastAsia="Arial"/>
          <w:color w:val="000000"/>
          <w:sz w:val="22"/>
          <w:szCs w:val="22"/>
        </w:rPr>
        <w:fldChar w:fldCharType="end"/>
      </w:r>
      <w:r>
        <w:rPr>
          <w:rFonts w:eastAsia="Arial"/>
          <w:color w:val="000000"/>
          <w:sz w:val="22"/>
          <w:szCs w:val="22"/>
        </w:rPr>
        <w:t>). The high correlation indicates that there is little difference between the Base case and Option 4 in behaviour through time (i.e. if the Base case changes, then Option 4 changes in a similar manner, and this is consistent through the time series) (</w:t>
      </w:r>
      <w:r w:rsidRPr="007119AB">
        <w:rPr>
          <w:rFonts w:eastAsia="Arial"/>
          <w:color w:val="000000"/>
          <w:sz w:val="22"/>
          <w:szCs w:val="22"/>
        </w:rPr>
        <w:fldChar w:fldCharType="begin"/>
      </w:r>
      <w:r w:rsidRPr="007119AB">
        <w:rPr>
          <w:rFonts w:eastAsia="Arial"/>
          <w:color w:val="000000"/>
          <w:sz w:val="22"/>
          <w:szCs w:val="22"/>
        </w:rPr>
        <w:instrText xml:space="preserve"> REF _Ref105687379 \h </w:instrText>
      </w:r>
      <w:r>
        <w:rPr>
          <w:rFonts w:eastAsia="Arial"/>
          <w:color w:val="000000"/>
          <w:sz w:val="22"/>
          <w:szCs w:val="22"/>
        </w:rPr>
        <w:instrText xml:space="preserve"> \* MERGEFORMAT </w:instrText>
      </w:r>
      <w:r w:rsidRPr="007119AB">
        <w:rPr>
          <w:rFonts w:eastAsia="Arial"/>
          <w:color w:val="000000"/>
          <w:sz w:val="22"/>
          <w:szCs w:val="22"/>
        </w:rPr>
      </w:r>
      <w:r w:rsidRPr="007119AB">
        <w:rPr>
          <w:rFonts w:eastAsia="Arial"/>
          <w:color w:val="000000"/>
          <w:sz w:val="22"/>
          <w:szCs w:val="22"/>
        </w:rPr>
        <w:fldChar w:fldCharType="separate"/>
      </w:r>
      <w:r w:rsidR="005B672A" w:rsidRPr="005B672A">
        <w:rPr>
          <w:sz w:val="22"/>
          <w:szCs w:val="22"/>
        </w:rPr>
        <w:t>Figure A5.1</w:t>
      </w:r>
      <w:r w:rsidRPr="007119AB">
        <w:rPr>
          <w:rFonts w:eastAsia="Arial"/>
          <w:color w:val="000000"/>
          <w:sz w:val="22"/>
          <w:szCs w:val="22"/>
        </w:rPr>
        <w:fldChar w:fldCharType="end"/>
      </w:r>
      <w:r>
        <w:rPr>
          <w:rFonts w:eastAsia="Arial"/>
          <w:color w:val="000000"/>
          <w:sz w:val="22"/>
          <w:szCs w:val="22"/>
        </w:rPr>
        <w:t>). T</w:t>
      </w:r>
      <w:r w:rsidRPr="00AC210A">
        <w:rPr>
          <w:rFonts w:eastAsia="Arial"/>
          <w:color w:val="000000"/>
          <w:sz w:val="22"/>
          <w:szCs w:val="22"/>
        </w:rPr>
        <w:t>his would be expected</w:t>
      </w:r>
      <w:r>
        <w:rPr>
          <w:rFonts w:eastAsia="Arial"/>
          <w:color w:val="000000"/>
          <w:sz w:val="22"/>
          <w:szCs w:val="22"/>
        </w:rPr>
        <w:t>,</w:t>
      </w:r>
      <w:r w:rsidRPr="00AC210A">
        <w:rPr>
          <w:rFonts w:eastAsia="Arial"/>
          <w:color w:val="000000"/>
          <w:sz w:val="22"/>
          <w:szCs w:val="22"/>
        </w:rPr>
        <w:t xml:space="preserve"> given that the environmental water delivery under relaxed flow </w:t>
      </w:r>
      <w:r>
        <w:rPr>
          <w:rFonts w:eastAsia="Arial"/>
          <w:color w:val="000000"/>
          <w:sz w:val="22"/>
          <w:szCs w:val="22"/>
        </w:rPr>
        <w:t>constraints</w:t>
      </w:r>
      <w:r w:rsidRPr="00AC210A">
        <w:rPr>
          <w:rFonts w:eastAsia="Arial"/>
          <w:color w:val="000000"/>
          <w:sz w:val="22"/>
          <w:szCs w:val="22"/>
        </w:rPr>
        <w:t xml:space="preserve"> provide</w:t>
      </w:r>
      <w:r>
        <w:rPr>
          <w:rFonts w:eastAsia="Arial"/>
          <w:color w:val="000000"/>
          <w:sz w:val="22"/>
          <w:szCs w:val="22"/>
        </w:rPr>
        <w:t>s</w:t>
      </w:r>
      <w:r w:rsidRPr="00AC210A">
        <w:rPr>
          <w:rFonts w:eastAsia="Arial"/>
          <w:color w:val="000000"/>
          <w:sz w:val="22"/>
          <w:szCs w:val="22"/>
        </w:rPr>
        <w:t xml:space="preserve"> only modest changes to flows overall</w:t>
      </w:r>
      <w:r>
        <w:rPr>
          <w:rFonts w:eastAsia="Arial"/>
          <w:color w:val="000000"/>
          <w:sz w:val="22"/>
          <w:szCs w:val="22"/>
        </w:rPr>
        <w:t>,</w:t>
      </w:r>
      <w:r w:rsidRPr="00AC210A">
        <w:rPr>
          <w:rFonts w:eastAsia="Arial"/>
          <w:color w:val="000000"/>
          <w:sz w:val="22"/>
          <w:szCs w:val="22"/>
        </w:rPr>
        <w:t xml:space="preserve"> for example</w:t>
      </w:r>
      <w:r>
        <w:rPr>
          <w:rFonts w:eastAsia="Arial"/>
          <w:color w:val="000000"/>
          <w:sz w:val="22"/>
          <w:szCs w:val="22"/>
        </w:rPr>
        <w:t>,</w:t>
      </w:r>
      <w:r w:rsidRPr="00AC210A">
        <w:rPr>
          <w:rFonts w:eastAsia="Arial"/>
          <w:color w:val="000000"/>
          <w:sz w:val="22"/>
          <w:szCs w:val="22"/>
        </w:rPr>
        <w:t xml:space="preserve"> extending the duration of natural flow events in the </w:t>
      </w:r>
      <w:r>
        <w:rPr>
          <w:rFonts w:eastAsia="Arial"/>
          <w:color w:val="000000"/>
          <w:sz w:val="22"/>
          <w:szCs w:val="22"/>
        </w:rPr>
        <w:t>B</w:t>
      </w:r>
      <w:r w:rsidRPr="00AC210A">
        <w:rPr>
          <w:rFonts w:eastAsia="Arial"/>
          <w:color w:val="000000"/>
          <w:sz w:val="22"/>
          <w:szCs w:val="22"/>
        </w:rPr>
        <w:t xml:space="preserve">ase case, raising the peak of an existing event in the </w:t>
      </w:r>
      <w:r>
        <w:rPr>
          <w:rFonts w:eastAsia="Arial"/>
          <w:color w:val="000000"/>
          <w:sz w:val="22"/>
          <w:szCs w:val="22"/>
        </w:rPr>
        <w:t>B</w:t>
      </w:r>
      <w:r w:rsidRPr="00AC210A">
        <w:rPr>
          <w:rFonts w:eastAsia="Arial"/>
          <w:color w:val="000000"/>
          <w:sz w:val="22"/>
          <w:szCs w:val="22"/>
        </w:rPr>
        <w:t>ase case, or in some years creating a new flow peak in winter</w:t>
      </w:r>
      <w:r>
        <w:rPr>
          <w:rFonts w:eastAsia="Arial"/>
          <w:color w:val="000000"/>
          <w:sz w:val="22"/>
          <w:szCs w:val="22"/>
        </w:rPr>
        <w:t>–</w:t>
      </w:r>
      <w:r w:rsidRPr="00AC210A">
        <w:rPr>
          <w:rFonts w:eastAsia="Arial"/>
          <w:color w:val="000000"/>
          <w:sz w:val="22"/>
          <w:szCs w:val="22"/>
        </w:rPr>
        <w:t>spring. However, the broad pattern of flows (dominated by higher winter</w:t>
      </w:r>
      <w:r>
        <w:rPr>
          <w:rFonts w:eastAsia="Arial"/>
          <w:color w:val="000000"/>
          <w:sz w:val="22"/>
          <w:szCs w:val="22"/>
        </w:rPr>
        <w:t>–</w:t>
      </w:r>
      <w:r w:rsidRPr="00AC210A">
        <w:rPr>
          <w:rFonts w:eastAsia="Arial"/>
          <w:color w:val="000000"/>
          <w:sz w:val="22"/>
          <w:szCs w:val="22"/>
        </w:rPr>
        <w:t>spring flows and lower summ</w:t>
      </w:r>
      <w:r>
        <w:rPr>
          <w:rFonts w:eastAsia="Arial"/>
          <w:color w:val="000000"/>
          <w:sz w:val="22"/>
          <w:szCs w:val="22"/>
        </w:rPr>
        <w:t>e</w:t>
      </w:r>
      <w:r w:rsidRPr="00AC210A">
        <w:rPr>
          <w:rFonts w:eastAsia="Arial"/>
          <w:color w:val="000000"/>
          <w:sz w:val="22"/>
          <w:szCs w:val="22"/>
        </w:rPr>
        <w:t>r</w:t>
      </w:r>
      <w:r>
        <w:rPr>
          <w:rFonts w:eastAsia="Arial"/>
          <w:color w:val="000000"/>
          <w:sz w:val="22"/>
          <w:szCs w:val="22"/>
        </w:rPr>
        <w:t>–</w:t>
      </w:r>
      <w:r w:rsidRPr="00AC210A">
        <w:rPr>
          <w:rFonts w:eastAsia="Arial"/>
          <w:color w:val="000000"/>
          <w:sz w:val="22"/>
          <w:szCs w:val="22"/>
        </w:rPr>
        <w:t xml:space="preserve">autumn flows) is largely consistent between the </w:t>
      </w:r>
      <w:r>
        <w:rPr>
          <w:rFonts w:eastAsia="Arial"/>
          <w:color w:val="000000"/>
          <w:sz w:val="22"/>
          <w:szCs w:val="22"/>
        </w:rPr>
        <w:t>B</w:t>
      </w:r>
      <w:r w:rsidRPr="00AC210A">
        <w:rPr>
          <w:rFonts w:eastAsia="Arial"/>
          <w:color w:val="000000"/>
          <w:sz w:val="22"/>
          <w:szCs w:val="22"/>
        </w:rPr>
        <w:t>ase case and the RRCP flow scenarios.</w:t>
      </w:r>
      <w:r>
        <w:rPr>
          <w:rFonts w:eastAsia="Arial"/>
          <w:color w:val="000000"/>
          <w:sz w:val="22"/>
          <w:szCs w:val="22"/>
        </w:rPr>
        <w:t xml:space="preserve"> Generally, the </w:t>
      </w:r>
      <w:r w:rsidRPr="00DD586E">
        <w:rPr>
          <w:rFonts w:eastAsia="Arial"/>
          <w:color w:val="000000"/>
          <w:sz w:val="22"/>
          <w:szCs w:val="22"/>
        </w:rPr>
        <w:t>Lower Murray</w:t>
      </w:r>
      <w:r>
        <w:rPr>
          <w:rFonts w:eastAsia="Arial"/>
          <w:color w:val="000000"/>
          <w:sz w:val="22"/>
          <w:szCs w:val="22"/>
        </w:rPr>
        <w:t xml:space="preserve"> </w:t>
      </w:r>
      <w:r w:rsidRPr="00DD586E">
        <w:rPr>
          <w:rFonts w:eastAsia="Arial"/>
          <w:color w:val="000000"/>
          <w:sz w:val="22"/>
          <w:szCs w:val="22"/>
        </w:rPr>
        <w:t>below</w:t>
      </w:r>
      <w:r>
        <w:rPr>
          <w:rFonts w:eastAsia="Arial"/>
          <w:color w:val="000000"/>
          <w:sz w:val="22"/>
          <w:szCs w:val="22"/>
        </w:rPr>
        <w:t xml:space="preserve"> </w:t>
      </w:r>
      <w:r w:rsidRPr="0063617E">
        <w:rPr>
          <w:sz w:val="22"/>
          <w:szCs w:val="28"/>
        </w:rPr>
        <w:t xml:space="preserve">Wentworth </w:t>
      </w:r>
      <w:r>
        <w:rPr>
          <w:rFonts w:eastAsia="Arial"/>
          <w:color w:val="000000"/>
          <w:sz w:val="22"/>
          <w:szCs w:val="22"/>
        </w:rPr>
        <w:t xml:space="preserve">population drives the Golden Perch population </w:t>
      </w:r>
      <w:r w:rsidRPr="00FF0EDF">
        <w:rPr>
          <w:rFonts w:eastAsia="Arial"/>
          <w:color w:val="000000"/>
          <w:sz w:val="22"/>
          <w:szCs w:val="22"/>
        </w:rPr>
        <w:t xml:space="preserve">in the </w:t>
      </w:r>
      <w:r>
        <w:rPr>
          <w:rFonts w:eastAsia="Arial"/>
          <w:color w:val="000000"/>
          <w:sz w:val="22"/>
          <w:szCs w:val="22"/>
        </w:rPr>
        <w:t>S</w:t>
      </w:r>
      <w:r w:rsidRPr="00FF0EDF">
        <w:rPr>
          <w:rFonts w:eastAsia="Arial"/>
          <w:color w:val="000000"/>
          <w:sz w:val="22"/>
          <w:szCs w:val="22"/>
        </w:rPr>
        <w:t xml:space="preserve">outhern </w:t>
      </w:r>
      <w:r>
        <w:rPr>
          <w:rFonts w:eastAsia="Arial"/>
          <w:color w:val="000000"/>
          <w:sz w:val="22"/>
          <w:szCs w:val="22"/>
        </w:rPr>
        <w:t>(</w:t>
      </w:r>
      <w:r w:rsidRPr="00FF0EDF">
        <w:rPr>
          <w:rFonts w:eastAsia="Arial"/>
          <w:color w:val="000000"/>
          <w:sz w:val="22"/>
          <w:szCs w:val="22"/>
        </w:rPr>
        <w:t>connected</w:t>
      </w:r>
      <w:r>
        <w:rPr>
          <w:rFonts w:eastAsia="Arial"/>
          <w:color w:val="000000"/>
          <w:sz w:val="22"/>
          <w:szCs w:val="22"/>
        </w:rPr>
        <w:t>)</w:t>
      </w:r>
      <w:r w:rsidRPr="00FF0EDF">
        <w:rPr>
          <w:rFonts w:eastAsia="Arial"/>
          <w:color w:val="000000"/>
          <w:sz w:val="22"/>
          <w:szCs w:val="22"/>
        </w:rPr>
        <w:t xml:space="preserve"> </w:t>
      </w:r>
      <w:r>
        <w:rPr>
          <w:rFonts w:eastAsia="Arial"/>
          <w:color w:val="000000"/>
          <w:sz w:val="22"/>
          <w:szCs w:val="22"/>
        </w:rPr>
        <w:t xml:space="preserve">MDB; the Lower Darling and Torrumbarry to </w:t>
      </w:r>
      <w:r w:rsidRPr="0063617E">
        <w:rPr>
          <w:sz w:val="22"/>
          <w:szCs w:val="28"/>
        </w:rPr>
        <w:t xml:space="preserve">Wentworth </w:t>
      </w:r>
      <w:r>
        <w:rPr>
          <w:rFonts w:eastAsia="Arial"/>
          <w:color w:val="000000"/>
          <w:sz w:val="22"/>
          <w:szCs w:val="22"/>
        </w:rPr>
        <w:t xml:space="preserve">are very important as well, but it is the </w:t>
      </w:r>
      <w:r w:rsidRPr="00DD586E">
        <w:rPr>
          <w:rFonts w:eastAsia="Arial"/>
          <w:color w:val="000000"/>
          <w:sz w:val="22"/>
          <w:szCs w:val="22"/>
        </w:rPr>
        <w:t>Lower Murray</w:t>
      </w:r>
      <w:r>
        <w:rPr>
          <w:rFonts w:eastAsia="Arial"/>
          <w:color w:val="000000"/>
          <w:sz w:val="22"/>
          <w:szCs w:val="22"/>
        </w:rPr>
        <w:t xml:space="preserve"> </w:t>
      </w:r>
      <w:r w:rsidRPr="00DD586E">
        <w:rPr>
          <w:rFonts w:eastAsia="Arial"/>
          <w:color w:val="000000"/>
          <w:sz w:val="22"/>
          <w:szCs w:val="22"/>
        </w:rPr>
        <w:t>below</w:t>
      </w:r>
      <w:r>
        <w:rPr>
          <w:rFonts w:eastAsia="Arial"/>
          <w:color w:val="000000"/>
          <w:sz w:val="22"/>
          <w:szCs w:val="22"/>
        </w:rPr>
        <w:t xml:space="preserve"> </w:t>
      </w:r>
      <w:r w:rsidRPr="0063617E">
        <w:rPr>
          <w:sz w:val="22"/>
          <w:szCs w:val="28"/>
        </w:rPr>
        <w:t xml:space="preserve">Wentworth </w:t>
      </w:r>
      <w:r>
        <w:rPr>
          <w:rFonts w:eastAsia="Arial"/>
          <w:color w:val="000000"/>
          <w:sz w:val="22"/>
          <w:szCs w:val="22"/>
        </w:rPr>
        <w:t>where there is high correlation between the Base case and Option 4, and there is high correlation in the latter part of the time series</w:t>
      </w:r>
      <w:r w:rsidRPr="001F2004">
        <w:rPr>
          <w:rFonts w:eastAsia="Arial"/>
          <w:color w:val="000000"/>
          <w:sz w:val="22"/>
          <w:szCs w:val="22"/>
        </w:rPr>
        <w:t xml:space="preserve"> </w:t>
      </w:r>
      <w:r>
        <w:rPr>
          <w:rFonts w:eastAsia="Arial"/>
          <w:color w:val="000000"/>
          <w:sz w:val="22"/>
          <w:szCs w:val="22"/>
        </w:rPr>
        <w:t xml:space="preserve">between the Base case and Option 4 in spawning </w:t>
      </w:r>
      <w:r w:rsidRPr="007119AB">
        <w:rPr>
          <w:rFonts w:eastAsia="Arial"/>
          <w:color w:val="000000"/>
          <w:sz w:val="22"/>
          <w:szCs w:val="22"/>
        </w:rPr>
        <w:t>(</w:t>
      </w:r>
      <w:r w:rsidRPr="007119AB">
        <w:rPr>
          <w:rFonts w:eastAsia="Arial"/>
          <w:color w:val="000000"/>
          <w:sz w:val="22"/>
          <w:szCs w:val="22"/>
        </w:rPr>
        <w:fldChar w:fldCharType="begin"/>
      </w:r>
      <w:r w:rsidRPr="007119AB">
        <w:rPr>
          <w:rFonts w:eastAsia="Arial"/>
          <w:color w:val="000000"/>
          <w:sz w:val="22"/>
          <w:szCs w:val="22"/>
        </w:rPr>
        <w:instrText xml:space="preserve"> REF _Ref105687466 \h </w:instrText>
      </w:r>
      <w:r>
        <w:rPr>
          <w:rFonts w:eastAsia="Arial"/>
          <w:color w:val="000000"/>
          <w:sz w:val="22"/>
          <w:szCs w:val="22"/>
        </w:rPr>
        <w:instrText xml:space="preserve"> \* MERGEFORMAT </w:instrText>
      </w:r>
      <w:r w:rsidRPr="007119AB">
        <w:rPr>
          <w:rFonts w:eastAsia="Arial"/>
          <w:color w:val="000000"/>
          <w:sz w:val="22"/>
          <w:szCs w:val="22"/>
        </w:rPr>
      </w:r>
      <w:r w:rsidRPr="007119AB">
        <w:rPr>
          <w:rFonts w:eastAsia="Arial"/>
          <w:color w:val="000000"/>
          <w:sz w:val="22"/>
          <w:szCs w:val="22"/>
        </w:rPr>
        <w:fldChar w:fldCharType="separate"/>
      </w:r>
      <w:r w:rsidR="005B672A" w:rsidRPr="005B672A">
        <w:rPr>
          <w:sz w:val="22"/>
          <w:szCs w:val="22"/>
        </w:rPr>
        <w:t>Figure A5.2</w:t>
      </w:r>
      <w:r w:rsidRPr="007119AB">
        <w:rPr>
          <w:rFonts w:eastAsia="Arial"/>
          <w:color w:val="000000"/>
          <w:sz w:val="22"/>
          <w:szCs w:val="22"/>
        </w:rPr>
        <w:fldChar w:fldCharType="end"/>
      </w:r>
      <w:r w:rsidRPr="007119AB">
        <w:rPr>
          <w:rFonts w:eastAsia="Arial"/>
          <w:color w:val="000000"/>
          <w:sz w:val="22"/>
          <w:szCs w:val="22"/>
        </w:rPr>
        <w:t>).</w:t>
      </w:r>
      <w:r>
        <w:rPr>
          <w:rFonts w:eastAsia="Arial"/>
          <w:color w:val="000000"/>
          <w:sz w:val="22"/>
          <w:szCs w:val="22"/>
        </w:rPr>
        <w:t xml:space="preserve"> We conclude that the correlation in flow in the </w:t>
      </w:r>
      <w:r w:rsidRPr="00DD586E">
        <w:rPr>
          <w:rFonts w:eastAsia="Arial"/>
          <w:color w:val="000000"/>
          <w:sz w:val="22"/>
          <w:szCs w:val="22"/>
        </w:rPr>
        <w:t>Lower Murray</w:t>
      </w:r>
      <w:r>
        <w:rPr>
          <w:rFonts w:eastAsia="Arial"/>
          <w:color w:val="000000"/>
          <w:sz w:val="22"/>
          <w:szCs w:val="22"/>
        </w:rPr>
        <w:t xml:space="preserve"> </w:t>
      </w:r>
      <w:r w:rsidRPr="00DD586E">
        <w:rPr>
          <w:rFonts w:eastAsia="Arial"/>
          <w:color w:val="000000"/>
          <w:sz w:val="22"/>
          <w:szCs w:val="22"/>
        </w:rPr>
        <w:t>below</w:t>
      </w:r>
      <w:r>
        <w:rPr>
          <w:rFonts w:eastAsia="Arial"/>
          <w:color w:val="000000"/>
          <w:sz w:val="22"/>
          <w:szCs w:val="22"/>
        </w:rPr>
        <w:t xml:space="preserve"> </w:t>
      </w:r>
      <w:r w:rsidRPr="0063617E">
        <w:rPr>
          <w:sz w:val="22"/>
          <w:szCs w:val="28"/>
        </w:rPr>
        <w:t>Wentworth</w:t>
      </w:r>
      <w:r>
        <w:rPr>
          <w:rFonts w:eastAsia="Arial"/>
          <w:color w:val="000000"/>
          <w:sz w:val="22"/>
          <w:szCs w:val="22"/>
        </w:rPr>
        <w:t xml:space="preserve">, combined with correlation in spawning leads to correlation in the Golden Perch population trajectories </w:t>
      </w:r>
      <w:r w:rsidRPr="00C66996">
        <w:rPr>
          <w:rFonts w:eastAsia="Arial"/>
          <w:color w:val="000000"/>
          <w:sz w:val="22"/>
          <w:szCs w:val="22"/>
        </w:rPr>
        <w:t>(</w:t>
      </w:r>
      <w:r w:rsidRPr="007119AB">
        <w:rPr>
          <w:rFonts w:eastAsia="Arial"/>
          <w:color w:val="000000"/>
          <w:sz w:val="22"/>
          <w:szCs w:val="22"/>
        </w:rPr>
        <w:fldChar w:fldCharType="begin"/>
      </w:r>
      <w:r w:rsidRPr="007119AB">
        <w:rPr>
          <w:rFonts w:eastAsia="Arial"/>
          <w:color w:val="000000"/>
          <w:sz w:val="22"/>
          <w:szCs w:val="22"/>
        </w:rPr>
        <w:instrText xml:space="preserve"> REF _Ref105687523 \h </w:instrText>
      </w:r>
      <w:r>
        <w:rPr>
          <w:rFonts w:eastAsia="Arial"/>
          <w:color w:val="000000"/>
          <w:sz w:val="22"/>
          <w:szCs w:val="22"/>
        </w:rPr>
        <w:instrText xml:space="preserve"> \* MERGEFORMAT </w:instrText>
      </w:r>
      <w:r w:rsidRPr="007119AB">
        <w:rPr>
          <w:rFonts w:eastAsia="Arial"/>
          <w:color w:val="000000"/>
          <w:sz w:val="22"/>
          <w:szCs w:val="22"/>
        </w:rPr>
      </w:r>
      <w:r w:rsidRPr="007119AB">
        <w:rPr>
          <w:rFonts w:eastAsia="Arial"/>
          <w:color w:val="000000"/>
          <w:sz w:val="22"/>
          <w:szCs w:val="22"/>
        </w:rPr>
        <w:fldChar w:fldCharType="separate"/>
      </w:r>
      <w:r w:rsidR="005B672A" w:rsidRPr="005B672A">
        <w:rPr>
          <w:sz w:val="22"/>
          <w:szCs w:val="22"/>
        </w:rPr>
        <w:t>Figure A5.3</w:t>
      </w:r>
      <w:r w:rsidRPr="007119AB">
        <w:rPr>
          <w:rFonts w:eastAsia="Arial"/>
          <w:color w:val="000000"/>
          <w:sz w:val="22"/>
          <w:szCs w:val="22"/>
        </w:rPr>
        <w:fldChar w:fldCharType="end"/>
      </w:r>
      <w:r>
        <w:rPr>
          <w:rFonts w:eastAsia="Arial"/>
          <w:color w:val="000000"/>
          <w:sz w:val="22"/>
          <w:szCs w:val="22"/>
        </w:rPr>
        <w:t xml:space="preserve">). In addition, the </w:t>
      </w:r>
      <w:r w:rsidRPr="00DD586E">
        <w:rPr>
          <w:rFonts w:eastAsia="Arial"/>
          <w:color w:val="000000"/>
          <w:sz w:val="22"/>
          <w:szCs w:val="22"/>
        </w:rPr>
        <w:t>Lower Murray</w:t>
      </w:r>
      <w:r>
        <w:rPr>
          <w:rFonts w:eastAsia="Arial"/>
          <w:color w:val="000000"/>
          <w:sz w:val="22"/>
          <w:szCs w:val="22"/>
        </w:rPr>
        <w:t xml:space="preserve"> </w:t>
      </w:r>
      <w:r w:rsidRPr="00DD586E">
        <w:rPr>
          <w:rFonts w:eastAsia="Arial"/>
          <w:color w:val="000000"/>
          <w:sz w:val="22"/>
          <w:szCs w:val="22"/>
        </w:rPr>
        <w:t>below</w:t>
      </w:r>
      <w:r>
        <w:rPr>
          <w:rFonts w:eastAsia="Arial"/>
          <w:color w:val="000000"/>
          <w:sz w:val="22"/>
          <w:szCs w:val="22"/>
        </w:rPr>
        <w:t xml:space="preserve"> </w:t>
      </w:r>
      <w:r w:rsidRPr="0063617E">
        <w:rPr>
          <w:sz w:val="22"/>
          <w:szCs w:val="28"/>
        </w:rPr>
        <w:t xml:space="preserve">Wentworth </w:t>
      </w:r>
      <w:r>
        <w:rPr>
          <w:rFonts w:eastAsia="Arial"/>
          <w:color w:val="000000"/>
          <w:sz w:val="22"/>
          <w:szCs w:val="22"/>
        </w:rPr>
        <w:t>strongly influences the dynamics of the Golden Perch population in the Southern (</w:t>
      </w:r>
      <w:r w:rsidRPr="00FF0EDF">
        <w:rPr>
          <w:rFonts w:eastAsia="Arial"/>
          <w:color w:val="000000"/>
          <w:sz w:val="22"/>
          <w:szCs w:val="22"/>
        </w:rPr>
        <w:t>connected</w:t>
      </w:r>
      <w:r>
        <w:rPr>
          <w:rFonts w:eastAsia="Arial"/>
          <w:color w:val="000000"/>
          <w:sz w:val="22"/>
          <w:szCs w:val="22"/>
        </w:rPr>
        <w:t>)</w:t>
      </w:r>
      <w:r w:rsidRPr="00FF0EDF">
        <w:rPr>
          <w:rFonts w:eastAsia="Arial"/>
          <w:color w:val="000000"/>
          <w:sz w:val="22"/>
          <w:szCs w:val="22"/>
        </w:rPr>
        <w:t xml:space="preserve"> </w:t>
      </w:r>
      <w:r>
        <w:rPr>
          <w:rFonts w:eastAsia="Arial"/>
          <w:color w:val="000000"/>
          <w:sz w:val="22"/>
          <w:szCs w:val="22"/>
        </w:rPr>
        <w:t xml:space="preserve">MDB correlation in the population trajectories in the Lower </w:t>
      </w:r>
      <w:r w:rsidRPr="00DD586E">
        <w:rPr>
          <w:rFonts w:eastAsia="Arial"/>
          <w:color w:val="000000"/>
          <w:sz w:val="22"/>
          <w:szCs w:val="22"/>
        </w:rPr>
        <w:t>Murray</w:t>
      </w:r>
      <w:r>
        <w:rPr>
          <w:rFonts w:eastAsia="Arial"/>
          <w:color w:val="000000"/>
          <w:sz w:val="22"/>
          <w:szCs w:val="22"/>
        </w:rPr>
        <w:t xml:space="preserve"> </w:t>
      </w:r>
      <w:r w:rsidRPr="00DD586E">
        <w:rPr>
          <w:rFonts w:eastAsia="Arial"/>
          <w:color w:val="000000"/>
          <w:sz w:val="22"/>
          <w:szCs w:val="22"/>
        </w:rPr>
        <w:t>below</w:t>
      </w:r>
      <w:r>
        <w:rPr>
          <w:rFonts w:eastAsia="Arial"/>
          <w:color w:val="000000"/>
          <w:sz w:val="22"/>
          <w:szCs w:val="22"/>
        </w:rPr>
        <w:t xml:space="preserve"> </w:t>
      </w:r>
      <w:r w:rsidRPr="0063617E">
        <w:rPr>
          <w:sz w:val="22"/>
          <w:szCs w:val="28"/>
        </w:rPr>
        <w:t xml:space="preserve">Wentworth </w:t>
      </w:r>
      <w:r>
        <w:rPr>
          <w:rFonts w:eastAsia="Arial"/>
          <w:color w:val="000000"/>
          <w:sz w:val="22"/>
          <w:szCs w:val="22"/>
        </w:rPr>
        <w:t>(</w:t>
      </w:r>
      <w:r w:rsidRPr="001F6248">
        <w:rPr>
          <w:rFonts w:eastAsia="Arial"/>
          <w:color w:val="000000"/>
          <w:sz w:val="22"/>
          <w:szCs w:val="22"/>
        </w:rPr>
        <w:fldChar w:fldCharType="begin"/>
      </w:r>
      <w:r w:rsidRPr="001F6248">
        <w:rPr>
          <w:rFonts w:eastAsia="Arial"/>
          <w:color w:val="000000"/>
          <w:sz w:val="22"/>
          <w:szCs w:val="22"/>
        </w:rPr>
        <w:instrText xml:space="preserve"> REF _Ref105687636 \h </w:instrText>
      </w:r>
      <w:r>
        <w:rPr>
          <w:rFonts w:eastAsia="Arial"/>
          <w:color w:val="000000"/>
          <w:sz w:val="22"/>
          <w:szCs w:val="22"/>
        </w:rPr>
        <w:instrText xml:space="preserve"> \* MERGEFORMAT </w:instrText>
      </w:r>
      <w:r w:rsidRPr="001F6248">
        <w:rPr>
          <w:rFonts w:eastAsia="Arial"/>
          <w:color w:val="000000"/>
          <w:sz w:val="22"/>
          <w:szCs w:val="22"/>
        </w:rPr>
      </w:r>
      <w:r w:rsidRPr="001F6248">
        <w:rPr>
          <w:rFonts w:eastAsia="Arial"/>
          <w:color w:val="000000"/>
          <w:sz w:val="22"/>
          <w:szCs w:val="22"/>
        </w:rPr>
        <w:fldChar w:fldCharType="separate"/>
      </w:r>
      <w:r w:rsidR="005B672A" w:rsidRPr="005B672A">
        <w:rPr>
          <w:sz w:val="22"/>
          <w:szCs w:val="22"/>
        </w:rPr>
        <w:t>Figure A5.4</w:t>
      </w:r>
      <w:r w:rsidRPr="001F6248">
        <w:rPr>
          <w:rFonts w:eastAsia="Arial"/>
          <w:color w:val="000000"/>
          <w:sz w:val="22"/>
          <w:szCs w:val="22"/>
        </w:rPr>
        <w:fldChar w:fldCharType="end"/>
      </w:r>
      <w:r w:rsidRPr="001F6248">
        <w:rPr>
          <w:rFonts w:eastAsia="Arial"/>
          <w:color w:val="000000"/>
          <w:sz w:val="22"/>
          <w:szCs w:val="22"/>
        </w:rPr>
        <w:t>)</w:t>
      </w:r>
      <w:r>
        <w:rPr>
          <w:rFonts w:eastAsia="Arial"/>
          <w:color w:val="000000"/>
          <w:sz w:val="22"/>
          <w:szCs w:val="22"/>
        </w:rPr>
        <w:t>, which leads to correlation in the rest of the populations (</w:t>
      </w:r>
      <w:r w:rsidRPr="007119AB">
        <w:rPr>
          <w:rFonts w:eastAsia="Arial"/>
          <w:color w:val="000000"/>
          <w:sz w:val="22"/>
          <w:szCs w:val="22"/>
        </w:rPr>
        <w:fldChar w:fldCharType="begin"/>
      </w:r>
      <w:r w:rsidRPr="007119AB">
        <w:rPr>
          <w:rFonts w:eastAsia="Arial"/>
          <w:color w:val="000000"/>
          <w:sz w:val="22"/>
          <w:szCs w:val="22"/>
        </w:rPr>
        <w:instrText xml:space="preserve"> REF _Ref105687523 \h </w:instrText>
      </w:r>
      <w:r>
        <w:rPr>
          <w:rFonts w:eastAsia="Arial"/>
          <w:color w:val="000000"/>
          <w:sz w:val="22"/>
          <w:szCs w:val="22"/>
        </w:rPr>
        <w:instrText xml:space="preserve"> \* MERGEFORMAT </w:instrText>
      </w:r>
      <w:r w:rsidRPr="007119AB">
        <w:rPr>
          <w:rFonts w:eastAsia="Arial"/>
          <w:color w:val="000000"/>
          <w:sz w:val="22"/>
          <w:szCs w:val="22"/>
        </w:rPr>
      </w:r>
      <w:r w:rsidRPr="007119AB">
        <w:rPr>
          <w:rFonts w:eastAsia="Arial"/>
          <w:color w:val="000000"/>
          <w:sz w:val="22"/>
          <w:szCs w:val="22"/>
        </w:rPr>
        <w:fldChar w:fldCharType="separate"/>
      </w:r>
      <w:r w:rsidR="005B672A" w:rsidRPr="005B672A">
        <w:rPr>
          <w:sz w:val="22"/>
          <w:szCs w:val="22"/>
        </w:rPr>
        <w:t>Figure A5.3</w:t>
      </w:r>
      <w:r w:rsidRPr="007119AB">
        <w:rPr>
          <w:rFonts w:eastAsia="Arial"/>
          <w:color w:val="000000"/>
          <w:sz w:val="22"/>
          <w:szCs w:val="22"/>
        </w:rPr>
        <w:fldChar w:fldCharType="end"/>
      </w:r>
      <w:r>
        <w:rPr>
          <w:rFonts w:eastAsia="Arial"/>
          <w:color w:val="000000"/>
          <w:sz w:val="22"/>
          <w:szCs w:val="22"/>
        </w:rPr>
        <w:t>) and hence the convergence that is observed in the model outcomes (</w:t>
      </w:r>
      <w:r w:rsidRPr="00B13D45">
        <w:rPr>
          <w:rFonts w:eastAsia="Arial"/>
          <w:color w:val="000000"/>
          <w:sz w:val="22"/>
          <w:szCs w:val="22"/>
        </w:rPr>
        <w:fldChar w:fldCharType="begin"/>
      </w:r>
      <w:r w:rsidRPr="00B13D45">
        <w:rPr>
          <w:rFonts w:eastAsia="Arial"/>
          <w:color w:val="000000"/>
          <w:sz w:val="22"/>
          <w:szCs w:val="22"/>
        </w:rPr>
        <w:instrText xml:space="preserve"> REF _Ref104292857 \h </w:instrText>
      </w:r>
      <w:r>
        <w:rPr>
          <w:rFonts w:eastAsia="Arial"/>
          <w:color w:val="000000"/>
          <w:sz w:val="22"/>
          <w:szCs w:val="22"/>
        </w:rPr>
        <w:instrText xml:space="preserve"> \* MERGEFORMAT </w:instrText>
      </w:r>
      <w:r w:rsidRPr="00B13D45">
        <w:rPr>
          <w:rFonts w:eastAsia="Arial"/>
          <w:color w:val="000000"/>
          <w:sz w:val="22"/>
          <w:szCs w:val="22"/>
        </w:rPr>
      </w:r>
      <w:r w:rsidRPr="00B13D45">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18</w:t>
      </w:r>
      <w:r w:rsidRPr="00B13D45">
        <w:rPr>
          <w:rFonts w:eastAsia="Arial"/>
          <w:color w:val="000000"/>
          <w:sz w:val="22"/>
          <w:szCs w:val="22"/>
        </w:rPr>
        <w:fldChar w:fldCharType="end"/>
      </w:r>
      <w:r>
        <w:rPr>
          <w:rFonts w:eastAsia="Arial"/>
          <w:color w:val="000000"/>
          <w:sz w:val="22"/>
          <w:szCs w:val="22"/>
        </w:rPr>
        <w:t>: top panel).</w:t>
      </w:r>
      <w:bookmarkEnd w:id="452"/>
    </w:p>
    <w:p w14:paraId="16BD94C4" w14:textId="35FA01F3" w:rsidR="00491210" w:rsidRPr="00655C30" w:rsidRDefault="003E1401" w:rsidP="00745297">
      <w:pPr>
        <w:spacing w:after="0"/>
        <w:rPr>
          <w:rFonts w:eastAsia="Arial"/>
          <w:color w:val="000000"/>
          <w:sz w:val="22"/>
          <w:szCs w:val="22"/>
        </w:rPr>
      </w:pPr>
      <w:r>
        <w:rPr>
          <w:noProof/>
          <w:lang w:eastAsia="en-AU"/>
        </w:rPr>
        <w:lastRenderedPageBreak/>
        <w:t xml:space="preserve"> </w:t>
      </w:r>
    </w:p>
    <w:p w14:paraId="0200DB07" w14:textId="6F825A4F" w:rsidR="00491210" w:rsidRDefault="00EE200C" w:rsidP="00F602FE">
      <w:pPr>
        <w:pStyle w:val="AppendixFigureCaption"/>
      </w:pPr>
      <w:bookmarkStart w:id="453" w:name="_Ref105687466"/>
      <w:r>
        <w:t>Figure A5.</w:t>
      </w:r>
      <w:r>
        <w:rPr>
          <w:noProof/>
        </w:rPr>
        <w:fldChar w:fldCharType="begin"/>
      </w:r>
      <w:r>
        <w:rPr>
          <w:noProof/>
        </w:rPr>
        <w:instrText xml:space="preserve"> SEQ Figure_A5. \* ARABIC </w:instrText>
      </w:r>
      <w:r>
        <w:rPr>
          <w:noProof/>
        </w:rPr>
        <w:fldChar w:fldCharType="separate"/>
      </w:r>
      <w:r w:rsidR="005B672A">
        <w:rPr>
          <w:noProof/>
        </w:rPr>
        <w:t>2</w:t>
      </w:r>
      <w:r>
        <w:rPr>
          <w:noProof/>
        </w:rPr>
        <w:fldChar w:fldCharType="end"/>
      </w:r>
      <w:bookmarkEnd w:id="453"/>
      <w:r>
        <w:t xml:space="preserve">. </w:t>
      </w:r>
      <w:r w:rsidRPr="00E41D2F">
        <w:rPr>
          <w:szCs w:val="20"/>
        </w:rPr>
        <w:t xml:space="preserve">Rolling Pearson Correlations between Base case and Option 4 generated across </w:t>
      </w:r>
      <w:r>
        <w:rPr>
          <w:szCs w:val="20"/>
        </w:rPr>
        <w:t>10-</w:t>
      </w:r>
      <w:r w:rsidRPr="00E41D2F">
        <w:rPr>
          <w:szCs w:val="20"/>
        </w:rPr>
        <w:t>year windows demonstrate serial correlation of spawning in each location. Pop1</w:t>
      </w:r>
      <w:r>
        <w:rPr>
          <w:szCs w:val="20"/>
        </w:rPr>
        <w:t>:</w:t>
      </w:r>
      <w:r w:rsidRPr="00E41D2F">
        <w:rPr>
          <w:szCs w:val="20"/>
        </w:rPr>
        <w:t xml:space="preserve"> Lower Murray below </w:t>
      </w:r>
      <w:r w:rsidRPr="00EA455D">
        <w:rPr>
          <w:szCs w:val="20"/>
        </w:rPr>
        <w:t>Wentworth</w:t>
      </w:r>
      <w:r>
        <w:rPr>
          <w:szCs w:val="20"/>
        </w:rPr>
        <w:t>;</w:t>
      </w:r>
      <w:r w:rsidRPr="00E41D2F">
        <w:rPr>
          <w:szCs w:val="20"/>
        </w:rPr>
        <w:t xml:space="preserve"> Pop2</w:t>
      </w:r>
      <w:r>
        <w:rPr>
          <w:szCs w:val="20"/>
        </w:rPr>
        <w:t>:</w:t>
      </w:r>
      <w:r w:rsidRPr="00E41D2F">
        <w:rPr>
          <w:szCs w:val="20"/>
        </w:rPr>
        <w:t xml:space="preserve"> Torrumbarry to </w:t>
      </w:r>
      <w:r w:rsidRPr="00EA455D">
        <w:rPr>
          <w:szCs w:val="20"/>
        </w:rPr>
        <w:t>Wentworth</w:t>
      </w:r>
      <w:r>
        <w:rPr>
          <w:szCs w:val="20"/>
        </w:rPr>
        <w:t>;</w:t>
      </w:r>
      <w:r w:rsidRPr="00E41D2F">
        <w:rPr>
          <w:szCs w:val="20"/>
        </w:rPr>
        <w:t xml:space="preserve"> Pop3</w:t>
      </w:r>
      <w:r>
        <w:rPr>
          <w:szCs w:val="20"/>
        </w:rPr>
        <w:t>:</w:t>
      </w:r>
      <w:r w:rsidRPr="00E41D2F">
        <w:rPr>
          <w:szCs w:val="20"/>
        </w:rPr>
        <w:t xml:space="preserve"> Yarrawonga to Torrumbarry</w:t>
      </w:r>
      <w:r>
        <w:t>; Pop4: Hume to Yarrawonga; Pop5: Lower Darling; Pop6: Hay to Balranald; Pop7: Edward River; and Pop8: Gundagai to Hay.</w:t>
      </w:r>
    </w:p>
    <w:p w14:paraId="75DF5B61" w14:textId="7FB4E674" w:rsidR="00491210" w:rsidRDefault="003E1401" w:rsidP="00745297">
      <w:pPr>
        <w:spacing w:line="259" w:lineRule="auto"/>
        <w:jc w:val="both"/>
        <w:rPr>
          <w:rFonts w:eastAsia="Arial"/>
          <w:color w:val="000000"/>
          <w:sz w:val="22"/>
          <w:szCs w:val="22"/>
        </w:rPr>
      </w:pPr>
      <w:r>
        <w:rPr>
          <w:noProof/>
          <w:lang w:eastAsia="en-AU"/>
        </w:rPr>
        <w:t xml:space="preserve"> </w:t>
      </w:r>
    </w:p>
    <w:p w14:paraId="14C18F28" w14:textId="11A4DF05" w:rsidR="00491210" w:rsidRDefault="00EE200C" w:rsidP="00F602FE">
      <w:pPr>
        <w:pStyle w:val="AppendixFigureCaption"/>
      </w:pPr>
      <w:bookmarkStart w:id="454" w:name="_Ref105687523"/>
      <w:r>
        <w:t>Figure A5.</w:t>
      </w:r>
      <w:r>
        <w:rPr>
          <w:noProof/>
        </w:rPr>
        <w:fldChar w:fldCharType="begin"/>
      </w:r>
      <w:r>
        <w:rPr>
          <w:noProof/>
        </w:rPr>
        <w:instrText xml:space="preserve"> SEQ Figure_A5. \* ARABIC </w:instrText>
      </w:r>
      <w:r>
        <w:rPr>
          <w:noProof/>
        </w:rPr>
        <w:fldChar w:fldCharType="separate"/>
      </w:r>
      <w:r w:rsidR="005B672A">
        <w:rPr>
          <w:noProof/>
        </w:rPr>
        <w:t>3</w:t>
      </w:r>
      <w:r>
        <w:rPr>
          <w:noProof/>
        </w:rPr>
        <w:fldChar w:fldCharType="end"/>
      </w:r>
      <w:bookmarkEnd w:id="454"/>
      <w:r>
        <w:t>. Rolling Pearson Correlations of population trajectories between Base case and Option 4 generated across 10 year windows demonstrate serial correlation at the broad-scale population level.</w:t>
      </w:r>
    </w:p>
    <w:p w14:paraId="609D9FC3" w14:textId="64FC0C56" w:rsidR="00491210" w:rsidRDefault="003E1401" w:rsidP="00745297">
      <w:r>
        <w:rPr>
          <w:noProof/>
          <w:lang w:eastAsia="en-AU"/>
        </w:rPr>
        <w:t xml:space="preserve"> </w:t>
      </w:r>
    </w:p>
    <w:p w14:paraId="1A06D874" w14:textId="62CAE183" w:rsidR="00491210" w:rsidRDefault="00EE200C" w:rsidP="00F602FE">
      <w:pPr>
        <w:pStyle w:val="AppendixFigureCaption"/>
      </w:pPr>
      <w:bookmarkStart w:id="455" w:name="_Ref105687636"/>
      <w:r>
        <w:t>Figure A5.</w:t>
      </w:r>
      <w:r>
        <w:rPr>
          <w:noProof/>
        </w:rPr>
        <w:fldChar w:fldCharType="begin"/>
      </w:r>
      <w:r>
        <w:rPr>
          <w:noProof/>
        </w:rPr>
        <w:instrText xml:space="preserve"> SEQ Figure_A5. \* ARABIC </w:instrText>
      </w:r>
      <w:r>
        <w:rPr>
          <w:noProof/>
        </w:rPr>
        <w:fldChar w:fldCharType="separate"/>
      </w:r>
      <w:r w:rsidR="005B672A">
        <w:rPr>
          <w:noProof/>
        </w:rPr>
        <w:t>4</w:t>
      </w:r>
      <w:r>
        <w:rPr>
          <w:noProof/>
        </w:rPr>
        <w:fldChar w:fldCharType="end"/>
      </w:r>
      <w:bookmarkEnd w:id="455"/>
      <w:r>
        <w:t xml:space="preserve">. Rolling Pearson Correlations of population trajectories between Base case and Option 4 generated across 10-year </w:t>
      </w:r>
      <w:r w:rsidRPr="00E41D2F">
        <w:rPr>
          <w:szCs w:val="20"/>
        </w:rPr>
        <w:t>windows demonstrate serial correlation for the major Golden Perch populations. Pop1</w:t>
      </w:r>
      <w:r>
        <w:rPr>
          <w:szCs w:val="20"/>
        </w:rPr>
        <w:t>:</w:t>
      </w:r>
      <w:r w:rsidRPr="00E41D2F">
        <w:rPr>
          <w:szCs w:val="20"/>
        </w:rPr>
        <w:t xml:space="preserve"> Lower Murray below </w:t>
      </w:r>
      <w:r w:rsidRPr="00EA455D">
        <w:rPr>
          <w:szCs w:val="20"/>
        </w:rPr>
        <w:t>Wentworth</w:t>
      </w:r>
      <w:r>
        <w:rPr>
          <w:szCs w:val="20"/>
        </w:rPr>
        <w:t>;</w:t>
      </w:r>
      <w:r w:rsidRPr="00E41D2F">
        <w:rPr>
          <w:szCs w:val="20"/>
        </w:rPr>
        <w:t xml:space="preserve"> Pop2</w:t>
      </w:r>
      <w:r>
        <w:rPr>
          <w:szCs w:val="20"/>
        </w:rPr>
        <w:t xml:space="preserve">: </w:t>
      </w:r>
      <w:r w:rsidRPr="00E41D2F">
        <w:rPr>
          <w:szCs w:val="20"/>
        </w:rPr>
        <w:t xml:space="preserve">Torrumbarry to </w:t>
      </w:r>
      <w:r w:rsidRPr="00EA455D">
        <w:rPr>
          <w:szCs w:val="20"/>
        </w:rPr>
        <w:t>Wentworth</w:t>
      </w:r>
      <w:r>
        <w:rPr>
          <w:szCs w:val="20"/>
        </w:rPr>
        <w:t>;</w:t>
      </w:r>
      <w:r w:rsidRPr="00E41D2F">
        <w:rPr>
          <w:szCs w:val="20"/>
        </w:rPr>
        <w:t xml:space="preserve"> Pop3</w:t>
      </w:r>
      <w:r>
        <w:rPr>
          <w:szCs w:val="20"/>
        </w:rPr>
        <w:t>:</w:t>
      </w:r>
      <w:r>
        <w:t xml:space="preserve"> Yarrawonga to Torrumbarry; and Pop5: Lower Darling.</w:t>
      </w:r>
    </w:p>
    <w:p w14:paraId="13AAA11A" w14:textId="1B9485A3" w:rsidR="00491210" w:rsidRDefault="003E1401" w:rsidP="00745297">
      <w:r>
        <w:rPr>
          <w:noProof/>
          <w:lang w:eastAsia="en-AU"/>
        </w:rPr>
        <w:t xml:space="preserve"> </w:t>
      </w:r>
    </w:p>
    <w:p w14:paraId="13F31673" w14:textId="00DB9B18" w:rsidR="00491210" w:rsidRDefault="00EE200C" w:rsidP="00F602FE">
      <w:pPr>
        <w:pStyle w:val="AppendixFigureCaption"/>
      </w:pPr>
      <w:bookmarkStart w:id="456" w:name="_Ref105687717"/>
      <w:r>
        <w:t>Figure A5.</w:t>
      </w:r>
      <w:r>
        <w:rPr>
          <w:noProof/>
        </w:rPr>
        <w:fldChar w:fldCharType="begin"/>
      </w:r>
      <w:r>
        <w:rPr>
          <w:noProof/>
        </w:rPr>
        <w:instrText xml:space="preserve"> SEQ Figure_A5. \* ARABIC </w:instrText>
      </w:r>
      <w:r>
        <w:rPr>
          <w:noProof/>
        </w:rPr>
        <w:fldChar w:fldCharType="separate"/>
      </w:r>
      <w:r w:rsidR="005B672A">
        <w:rPr>
          <w:noProof/>
        </w:rPr>
        <w:t>5</w:t>
      </w:r>
      <w:r>
        <w:rPr>
          <w:noProof/>
        </w:rPr>
        <w:fldChar w:fldCharType="end"/>
      </w:r>
      <w:bookmarkEnd w:id="456"/>
      <w:r>
        <w:t xml:space="preserve">. Rolling Pearson Correlations between Base case and Option 4 generated across 10-year windows demonstrate </w:t>
      </w:r>
      <w:r w:rsidRPr="00E41D2F">
        <w:rPr>
          <w:szCs w:val="20"/>
        </w:rPr>
        <w:t xml:space="preserve">serial correlation for the major Golden Perch populations: red lines </w:t>
      </w:r>
      <w:r>
        <w:rPr>
          <w:szCs w:val="20"/>
        </w:rPr>
        <w:t>represent</w:t>
      </w:r>
      <w:r w:rsidRPr="00E41D2F">
        <w:rPr>
          <w:szCs w:val="20"/>
        </w:rPr>
        <w:t xml:space="preserve"> population trajectory correlations</w:t>
      </w:r>
      <w:r>
        <w:rPr>
          <w:szCs w:val="20"/>
        </w:rPr>
        <w:t>,</w:t>
      </w:r>
      <w:r w:rsidRPr="00E41D2F">
        <w:rPr>
          <w:szCs w:val="20"/>
        </w:rPr>
        <w:t xml:space="preserve"> and blue lines spawning correlations. Pop1</w:t>
      </w:r>
      <w:r>
        <w:rPr>
          <w:szCs w:val="20"/>
        </w:rPr>
        <w:t>:</w:t>
      </w:r>
      <w:r w:rsidRPr="00E41D2F">
        <w:rPr>
          <w:szCs w:val="20"/>
        </w:rPr>
        <w:t xml:space="preserve"> Lower Murray below </w:t>
      </w:r>
      <w:r w:rsidRPr="00EA455D">
        <w:rPr>
          <w:szCs w:val="20"/>
        </w:rPr>
        <w:t>Wentworth</w:t>
      </w:r>
      <w:r>
        <w:rPr>
          <w:szCs w:val="20"/>
        </w:rPr>
        <w:t>;</w:t>
      </w:r>
      <w:r w:rsidRPr="00E41D2F">
        <w:rPr>
          <w:szCs w:val="20"/>
        </w:rPr>
        <w:t xml:space="preserve"> Pop2</w:t>
      </w:r>
      <w:r>
        <w:rPr>
          <w:szCs w:val="20"/>
        </w:rPr>
        <w:t>:</w:t>
      </w:r>
      <w:r w:rsidRPr="00E41D2F">
        <w:rPr>
          <w:szCs w:val="20"/>
        </w:rPr>
        <w:t xml:space="preserve"> Torrumbarry to </w:t>
      </w:r>
      <w:r w:rsidRPr="00EA455D">
        <w:rPr>
          <w:szCs w:val="20"/>
        </w:rPr>
        <w:t>Wentworth</w:t>
      </w:r>
      <w:r>
        <w:rPr>
          <w:szCs w:val="20"/>
        </w:rPr>
        <w:t>;</w:t>
      </w:r>
      <w:r w:rsidRPr="00E41D2F">
        <w:rPr>
          <w:szCs w:val="20"/>
        </w:rPr>
        <w:t xml:space="preserve"> Pop3</w:t>
      </w:r>
      <w:r>
        <w:rPr>
          <w:szCs w:val="20"/>
        </w:rPr>
        <w:t>:</w:t>
      </w:r>
      <w:r w:rsidRPr="00E41D2F">
        <w:rPr>
          <w:szCs w:val="20"/>
        </w:rPr>
        <w:t xml:space="preserve"> Yarrawonga to Torrumbarry</w:t>
      </w:r>
      <w:r>
        <w:rPr>
          <w:szCs w:val="20"/>
        </w:rPr>
        <w:t>;</w:t>
      </w:r>
      <w:r w:rsidRPr="00E41D2F">
        <w:rPr>
          <w:szCs w:val="20"/>
        </w:rPr>
        <w:t xml:space="preserve"> Pop4</w:t>
      </w:r>
      <w:r>
        <w:rPr>
          <w:szCs w:val="20"/>
        </w:rPr>
        <w:t>:</w:t>
      </w:r>
      <w:r w:rsidRPr="00E41D2F">
        <w:rPr>
          <w:szCs w:val="20"/>
        </w:rPr>
        <w:t xml:space="preserve"> Hume to Yarrawonga</w:t>
      </w:r>
      <w:r>
        <w:rPr>
          <w:szCs w:val="20"/>
        </w:rPr>
        <w:t>;</w:t>
      </w:r>
      <w:r w:rsidRPr="00E41D2F">
        <w:rPr>
          <w:szCs w:val="20"/>
        </w:rPr>
        <w:t xml:space="preserve"> Pop5</w:t>
      </w:r>
      <w:r>
        <w:rPr>
          <w:szCs w:val="20"/>
        </w:rPr>
        <w:t>:</w:t>
      </w:r>
      <w:r w:rsidRPr="00E41D2F">
        <w:rPr>
          <w:szCs w:val="20"/>
        </w:rPr>
        <w:t xml:space="preserve"> Lower Darling</w:t>
      </w:r>
      <w:r>
        <w:rPr>
          <w:szCs w:val="20"/>
        </w:rPr>
        <w:t>;</w:t>
      </w:r>
      <w:r w:rsidRPr="00E41D2F">
        <w:rPr>
          <w:szCs w:val="20"/>
        </w:rPr>
        <w:t xml:space="preserve"> Pop6</w:t>
      </w:r>
      <w:r>
        <w:rPr>
          <w:szCs w:val="20"/>
        </w:rPr>
        <w:t>:</w:t>
      </w:r>
      <w:r w:rsidRPr="00E41D2F">
        <w:rPr>
          <w:szCs w:val="20"/>
        </w:rPr>
        <w:t xml:space="preserve"> Hay to Balranald</w:t>
      </w:r>
      <w:r>
        <w:rPr>
          <w:szCs w:val="20"/>
        </w:rPr>
        <w:t>;</w:t>
      </w:r>
      <w:r w:rsidRPr="00E41D2F">
        <w:rPr>
          <w:szCs w:val="20"/>
        </w:rPr>
        <w:t xml:space="preserve"> Pop7</w:t>
      </w:r>
      <w:r>
        <w:rPr>
          <w:szCs w:val="20"/>
        </w:rPr>
        <w:t>:</w:t>
      </w:r>
      <w:r w:rsidRPr="00E41D2F">
        <w:rPr>
          <w:szCs w:val="20"/>
        </w:rPr>
        <w:t xml:space="preserve"> Edward</w:t>
      </w:r>
      <w:r>
        <w:rPr>
          <w:szCs w:val="20"/>
        </w:rPr>
        <w:t xml:space="preserve"> River;</w:t>
      </w:r>
      <w:r w:rsidRPr="00E41D2F">
        <w:rPr>
          <w:szCs w:val="20"/>
        </w:rPr>
        <w:t xml:space="preserve"> </w:t>
      </w:r>
      <w:r>
        <w:rPr>
          <w:szCs w:val="20"/>
        </w:rPr>
        <w:t xml:space="preserve">and </w:t>
      </w:r>
      <w:r w:rsidRPr="00E41D2F">
        <w:rPr>
          <w:szCs w:val="20"/>
        </w:rPr>
        <w:t>Pop8</w:t>
      </w:r>
      <w:r>
        <w:rPr>
          <w:szCs w:val="20"/>
        </w:rPr>
        <w:t>:</w:t>
      </w:r>
      <w:r w:rsidRPr="00E41D2F">
        <w:rPr>
          <w:szCs w:val="20"/>
        </w:rPr>
        <w:t xml:space="preserve"> Gundagai</w:t>
      </w:r>
      <w:r>
        <w:t xml:space="preserve"> to Hay.</w:t>
      </w:r>
    </w:p>
    <w:p w14:paraId="6FB0EF80" w14:textId="375E3F17" w:rsidR="00491210" w:rsidRDefault="00EE200C" w:rsidP="005F1F7F">
      <w:pPr>
        <w:pStyle w:val="Heading3"/>
      </w:pPr>
      <w:bookmarkStart w:id="457" w:name="_Toc116994954"/>
      <w:r>
        <w:rPr>
          <w:lang w:eastAsia="en-AU"/>
        </w:rPr>
        <w:t>Second investigation</w:t>
      </w:r>
      <w:bookmarkEnd w:id="457"/>
    </w:p>
    <w:p w14:paraId="71E0E467" w14:textId="09DB57C9" w:rsidR="00491210" w:rsidRDefault="00EE200C" w:rsidP="00745297">
      <w:pPr>
        <w:spacing w:line="259" w:lineRule="auto"/>
        <w:jc w:val="both"/>
        <w:rPr>
          <w:rFonts w:eastAsia="Arial"/>
          <w:color w:val="000000"/>
          <w:sz w:val="22"/>
          <w:szCs w:val="22"/>
        </w:rPr>
      </w:pPr>
      <w:r>
        <w:rPr>
          <w:rFonts w:eastAsia="Arial"/>
          <w:color w:val="000000"/>
          <w:sz w:val="22"/>
          <w:szCs w:val="22"/>
        </w:rPr>
        <w:t xml:space="preserve">The second method of examining population trajectory convergence was to repeat the input data time series in two ways: (1) simply add a repeat of the time series, i.e. run the model for 248 years; and (2) the </w:t>
      </w:r>
      <w:r w:rsidRPr="00F41FAA">
        <w:rPr>
          <w:rFonts w:eastAsia="Arial"/>
          <w:color w:val="000000"/>
          <w:sz w:val="22"/>
          <w:szCs w:val="22"/>
        </w:rPr>
        <w:t xml:space="preserve">section of input data that corresponded to the period of high correlation between scenarios (years </w:t>
      </w:r>
      <w:r>
        <w:rPr>
          <w:rFonts w:eastAsia="Arial"/>
          <w:color w:val="000000"/>
          <w:sz w:val="22"/>
          <w:szCs w:val="22"/>
        </w:rPr>
        <w:t>1963</w:t>
      </w:r>
      <w:r w:rsidRPr="00F41FAA">
        <w:rPr>
          <w:rFonts w:eastAsia="Arial"/>
          <w:color w:val="000000"/>
          <w:sz w:val="22"/>
          <w:szCs w:val="22"/>
        </w:rPr>
        <w:t xml:space="preserve"> to </w:t>
      </w:r>
      <w:r>
        <w:rPr>
          <w:rFonts w:eastAsia="Arial"/>
          <w:color w:val="000000"/>
          <w:sz w:val="22"/>
          <w:szCs w:val="22"/>
        </w:rPr>
        <w:t xml:space="preserve">2019: Pop1; </w:t>
      </w:r>
      <w:r w:rsidRPr="007119AB">
        <w:rPr>
          <w:rFonts w:eastAsia="Arial"/>
          <w:color w:val="000000"/>
          <w:sz w:val="22"/>
          <w:szCs w:val="22"/>
        </w:rPr>
        <w:fldChar w:fldCharType="begin"/>
      </w:r>
      <w:r w:rsidRPr="007119AB">
        <w:rPr>
          <w:rFonts w:eastAsia="Arial"/>
          <w:color w:val="000000"/>
          <w:sz w:val="22"/>
          <w:szCs w:val="22"/>
        </w:rPr>
        <w:instrText xml:space="preserve"> REF _Ref105687379 \h </w:instrText>
      </w:r>
      <w:r>
        <w:rPr>
          <w:rFonts w:eastAsia="Arial"/>
          <w:color w:val="000000"/>
          <w:sz w:val="22"/>
          <w:szCs w:val="22"/>
        </w:rPr>
        <w:instrText xml:space="preserve"> \* MERGEFORMAT </w:instrText>
      </w:r>
      <w:r w:rsidRPr="007119AB">
        <w:rPr>
          <w:rFonts w:eastAsia="Arial"/>
          <w:color w:val="000000"/>
          <w:sz w:val="22"/>
          <w:szCs w:val="22"/>
        </w:rPr>
      </w:r>
      <w:r w:rsidRPr="007119AB">
        <w:rPr>
          <w:rFonts w:eastAsia="Arial"/>
          <w:color w:val="000000"/>
          <w:sz w:val="22"/>
          <w:szCs w:val="22"/>
        </w:rPr>
        <w:fldChar w:fldCharType="separate"/>
      </w:r>
      <w:r w:rsidR="005B672A" w:rsidRPr="005B672A">
        <w:rPr>
          <w:sz w:val="22"/>
          <w:szCs w:val="22"/>
        </w:rPr>
        <w:t>Figure A5.1</w:t>
      </w:r>
      <w:r w:rsidRPr="007119AB">
        <w:rPr>
          <w:rFonts w:eastAsia="Arial"/>
          <w:color w:val="000000"/>
          <w:sz w:val="22"/>
          <w:szCs w:val="22"/>
        </w:rPr>
        <w:fldChar w:fldCharType="end"/>
      </w:r>
      <w:r>
        <w:rPr>
          <w:rFonts w:eastAsia="Arial"/>
          <w:color w:val="000000"/>
          <w:sz w:val="22"/>
          <w:szCs w:val="22"/>
        </w:rPr>
        <w:t xml:space="preserve">; </w:t>
      </w:r>
      <w:r w:rsidRPr="007119AB">
        <w:rPr>
          <w:rFonts w:eastAsia="Arial"/>
          <w:color w:val="000000"/>
          <w:sz w:val="22"/>
          <w:szCs w:val="22"/>
        </w:rPr>
        <w:fldChar w:fldCharType="begin"/>
      </w:r>
      <w:r w:rsidRPr="007119AB">
        <w:rPr>
          <w:rFonts w:eastAsia="Arial"/>
          <w:color w:val="000000"/>
          <w:sz w:val="22"/>
          <w:szCs w:val="22"/>
        </w:rPr>
        <w:instrText xml:space="preserve"> REF _Ref105687466 \h </w:instrText>
      </w:r>
      <w:r>
        <w:rPr>
          <w:rFonts w:eastAsia="Arial"/>
          <w:color w:val="000000"/>
          <w:sz w:val="22"/>
          <w:szCs w:val="22"/>
        </w:rPr>
        <w:instrText xml:space="preserve"> \* MERGEFORMAT </w:instrText>
      </w:r>
      <w:r w:rsidRPr="007119AB">
        <w:rPr>
          <w:rFonts w:eastAsia="Arial"/>
          <w:color w:val="000000"/>
          <w:sz w:val="22"/>
          <w:szCs w:val="22"/>
        </w:rPr>
      </w:r>
      <w:r w:rsidRPr="007119AB">
        <w:rPr>
          <w:rFonts w:eastAsia="Arial"/>
          <w:color w:val="000000"/>
          <w:sz w:val="22"/>
          <w:szCs w:val="22"/>
        </w:rPr>
        <w:fldChar w:fldCharType="separate"/>
      </w:r>
      <w:r w:rsidR="005B672A" w:rsidRPr="005B672A">
        <w:rPr>
          <w:sz w:val="22"/>
          <w:szCs w:val="22"/>
        </w:rPr>
        <w:t>Figure</w:t>
      </w:r>
      <w:r w:rsidR="005B672A">
        <w:t xml:space="preserve"> A5.2</w:t>
      </w:r>
      <w:r w:rsidRPr="007119AB">
        <w:rPr>
          <w:rFonts w:eastAsia="Arial"/>
          <w:color w:val="000000"/>
          <w:sz w:val="22"/>
          <w:szCs w:val="22"/>
        </w:rPr>
        <w:fldChar w:fldCharType="end"/>
      </w:r>
      <w:r w:rsidRPr="007F55C8">
        <w:rPr>
          <w:rFonts w:eastAsia="Arial"/>
          <w:color w:val="000000"/>
          <w:sz w:val="22"/>
          <w:szCs w:val="22"/>
        </w:rPr>
        <w:t xml:space="preserve"> </w:t>
      </w:r>
      <w:r>
        <w:rPr>
          <w:rFonts w:eastAsia="Arial"/>
          <w:color w:val="000000"/>
          <w:sz w:val="22"/>
          <w:szCs w:val="22"/>
        </w:rPr>
        <w:t xml:space="preserve">and </w:t>
      </w:r>
      <w:r w:rsidRPr="001F6248">
        <w:rPr>
          <w:rFonts w:eastAsia="Arial"/>
          <w:color w:val="000000"/>
          <w:sz w:val="22"/>
          <w:szCs w:val="22"/>
        </w:rPr>
        <w:fldChar w:fldCharType="begin"/>
      </w:r>
      <w:r w:rsidRPr="001F6248">
        <w:rPr>
          <w:rFonts w:eastAsia="Arial"/>
          <w:color w:val="000000"/>
          <w:sz w:val="22"/>
          <w:szCs w:val="22"/>
        </w:rPr>
        <w:instrText xml:space="preserve"> REF _Ref105687717 \h </w:instrText>
      </w:r>
      <w:r>
        <w:rPr>
          <w:rFonts w:eastAsia="Arial"/>
          <w:color w:val="000000"/>
          <w:sz w:val="22"/>
          <w:szCs w:val="22"/>
        </w:rPr>
        <w:instrText xml:space="preserve"> \* MERGEFORMAT </w:instrText>
      </w:r>
      <w:r w:rsidRPr="001F6248">
        <w:rPr>
          <w:rFonts w:eastAsia="Arial"/>
          <w:color w:val="000000"/>
          <w:sz w:val="22"/>
          <w:szCs w:val="22"/>
        </w:rPr>
      </w:r>
      <w:r w:rsidRPr="001F6248">
        <w:rPr>
          <w:rFonts w:eastAsia="Arial"/>
          <w:color w:val="000000"/>
          <w:sz w:val="22"/>
          <w:szCs w:val="22"/>
        </w:rPr>
        <w:fldChar w:fldCharType="separate"/>
      </w:r>
      <w:r w:rsidR="005B672A" w:rsidRPr="005B672A">
        <w:rPr>
          <w:sz w:val="22"/>
          <w:szCs w:val="22"/>
        </w:rPr>
        <w:t>Figure</w:t>
      </w:r>
      <w:r w:rsidR="005B672A">
        <w:t xml:space="preserve"> A5.5</w:t>
      </w:r>
      <w:r w:rsidRPr="001F6248">
        <w:rPr>
          <w:rFonts w:eastAsia="Arial"/>
          <w:color w:val="000000"/>
          <w:sz w:val="22"/>
          <w:szCs w:val="22"/>
        </w:rPr>
        <w:fldChar w:fldCharType="end"/>
      </w:r>
      <w:r w:rsidRPr="00F41FAA">
        <w:rPr>
          <w:rFonts w:eastAsia="Arial"/>
          <w:color w:val="000000"/>
          <w:sz w:val="22"/>
          <w:szCs w:val="22"/>
        </w:rPr>
        <w:t>) was copied and attached to the end of the original input data time</w:t>
      </w:r>
      <w:r>
        <w:rPr>
          <w:rFonts w:eastAsia="Arial"/>
          <w:color w:val="000000"/>
          <w:sz w:val="22"/>
          <w:szCs w:val="22"/>
        </w:rPr>
        <w:t xml:space="preserve"> </w:t>
      </w:r>
      <w:r w:rsidRPr="00F41FAA">
        <w:rPr>
          <w:rFonts w:eastAsia="Arial"/>
          <w:color w:val="000000"/>
          <w:sz w:val="22"/>
          <w:szCs w:val="22"/>
        </w:rPr>
        <w:t>series</w:t>
      </w:r>
      <w:r>
        <w:rPr>
          <w:rFonts w:eastAsia="Arial"/>
          <w:color w:val="000000"/>
          <w:sz w:val="22"/>
          <w:szCs w:val="22"/>
        </w:rPr>
        <w:t xml:space="preserve"> for both the Base case and Option 4 time series</w:t>
      </w:r>
      <w:r w:rsidRPr="00F41FAA">
        <w:rPr>
          <w:rFonts w:eastAsia="Arial"/>
          <w:color w:val="000000"/>
          <w:sz w:val="22"/>
          <w:szCs w:val="22"/>
        </w:rPr>
        <w:t>. This gave a total of 182</w:t>
      </w:r>
      <w:r>
        <w:rPr>
          <w:rFonts w:eastAsia="Arial"/>
          <w:color w:val="000000"/>
          <w:sz w:val="22"/>
          <w:szCs w:val="22"/>
        </w:rPr>
        <w:t> </w:t>
      </w:r>
      <w:r w:rsidRPr="00F41FAA">
        <w:rPr>
          <w:rFonts w:eastAsia="Arial"/>
          <w:color w:val="000000"/>
          <w:sz w:val="22"/>
          <w:szCs w:val="22"/>
        </w:rPr>
        <w:t>years of input data.</w:t>
      </w:r>
      <w:r>
        <w:rPr>
          <w:rFonts w:eastAsia="Arial"/>
          <w:color w:val="000000"/>
          <w:sz w:val="22"/>
          <w:szCs w:val="22"/>
        </w:rPr>
        <w:t xml:space="preserve"> These time series were then run through the population model as described in section 2 (except that each model contained 248 and 182 time steps, respectively).</w:t>
      </w:r>
    </w:p>
    <w:p w14:paraId="5BA73AA1" w14:textId="274974D9" w:rsidR="00491210" w:rsidRDefault="003E1401" w:rsidP="00745297">
      <w:pPr>
        <w:spacing w:after="0"/>
      </w:pPr>
      <w:r>
        <w:rPr>
          <w:noProof/>
          <w:lang w:eastAsia="en-AU"/>
        </w:rPr>
        <w:t xml:space="preserve"> </w:t>
      </w:r>
    </w:p>
    <w:p w14:paraId="39810C07" w14:textId="37EB6F1B" w:rsidR="00491210" w:rsidRDefault="003E1401" w:rsidP="00745297">
      <w:pPr>
        <w:spacing w:after="0"/>
      </w:pPr>
      <w:r>
        <w:rPr>
          <w:noProof/>
          <w:lang w:eastAsia="en-AU"/>
        </w:rPr>
        <w:t xml:space="preserve"> </w:t>
      </w:r>
    </w:p>
    <w:p w14:paraId="26B744B5" w14:textId="36A46401" w:rsidR="00491210" w:rsidRDefault="00EE200C" w:rsidP="00F602FE">
      <w:pPr>
        <w:pStyle w:val="AppendixFigureCaption"/>
      </w:pPr>
      <w:bookmarkStart w:id="458" w:name="_Ref105687789"/>
      <w:r>
        <w:t>Figure A5.</w:t>
      </w:r>
      <w:r>
        <w:rPr>
          <w:noProof/>
        </w:rPr>
        <w:fldChar w:fldCharType="begin"/>
      </w:r>
      <w:r>
        <w:rPr>
          <w:noProof/>
        </w:rPr>
        <w:instrText xml:space="preserve"> SEQ Figure_A5. \* ARABIC </w:instrText>
      </w:r>
      <w:r>
        <w:rPr>
          <w:noProof/>
        </w:rPr>
        <w:fldChar w:fldCharType="separate"/>
      </w:r>
      <w:r w:rsidR="005B672A">
        <w:rPr>
          <w:noProof/>
        </w:rPr>
        <w:t>6</w:t>
      </w:r>
      <w:r>
        <w:rPr>
          <w:noProof/>
        </w:rPr>
        <w:fldChar w:fldCharType="end"/>
      </w:r>
      <w:bookmarkEnd w:id="458"/>
      <w:r>
        <w:t>. Modelled Golden Perch population across all RRCP reaches reproduced for the model run of 248 years, for the RRCP flow scenarios Base case and Option 4. Top panel: mean adult population size over the 248-year time series. Bottom panel: mean adult population size over the first 124 years in the solid lines and the second 124 years in the dashed lines.</w:t>
      </w:r>
    </w:p>
    <w:p w14:paraId="319D49D9" w14:textId="50E9EFCA" w:rsidR="00491210" w:rsidRDefault="00EE200C" w:rsidP="00745297">
      <w:pPr>
        <w:spacing w:line="259" w:lineRule="auto"/>
        <w:jc w:val="both"/>
        <w:rPr>
          <w:rFonts w:eastAsia="Arial"/>
          <w:color w:val="000000"/>
          <w:sz w:val="22"/>
          <w:szCs w:val="22"/>
        </w:rPr>
      </w:pPr>
      <w:r w:rsidRPr="00C03A6F">
        <w:rPr>
          <w:rFonts w:eastAsia="Arial"/>
          <w:color w:val="000000"/>
          <w:sz w:val="22"/>
          <w:szCs w:val="22"/>
        </w:rPr>
        <w:t>In doubling of the time series, the pattern of initial divergence and then convergence repeats (</w:t>
      </w:r>
      <w:r w:rsidRPr="001F6248">
        <w:rPr>
          <w:rFonts w:eastAsia="Arial"/>
          <w:color w:val="000000"/>
          <w:sz w:val="22"/>
          <w:szCs w:val="22"/>
        </w:rPr>
        <w:fldChar w:fldCharType="begin"/>
      </w:r>
      <w:r w:rsidRPr="001F6248">
        <w:rPr>
          <w:rFonts w:eastAsia="Arial"/>
          <w:color w:val="000000"/>
          <w:sz w:val="22"/>
          <w:szCs w:val="22"/>
        </w:rPr>
        <w:instrText xml:space="preserve"> REF _Ref105687789 \h </w:instrText>
      </w:r>
      <w:r>
        <w:rPr>
          <w:rFonts w:eastAsia="Arial"/>
          <w:color w:val="000000"/>
          <w:sz w:val="22"/>
          <w:szCs w:val="22"/>
        </w:rPr>
        <w:instrText xml:space="preserve"> \* MERGEFORMAT </w:instrText>
      </w:r>
      <w:r w:rsidRPr="001F6248">
        <w:rPr>
          <w:rFonts w:eastAsia="Arial"/>
          <w:color w:val="000000"/>
          <w:sz w:val="22"/>
          <w:szCs w:val="22"/>
        </w:rPr>
      </w:r>
      <w:r w:rsidRPr="001F6248">
        <w:rPr>
          <w:rFonts w:eastAsia="Arial"/>
          <w:color w:val="000000"/>
          <w:sz w:val="22"/>
          <w:szCs w:val="22"/>
        </w:rPr>
        <w:fldChar w:fldCharType="separate"/>
      </w:r>
      <w:r w:rsidR="005B672A" w:rsidRPr="005B672A">
        <w:rPr>
          <w:sz w:val="22"/>
          <w:szCs w:val="22"/>
        </w:rPr>
        <w:t>Figure A5.6</w:t>
      </w:r>
      <w:r w:rsidRPr="001F6248">
        <w:rPr>
          <w:rFonts w:eastAsia="Arial"/>
          <w:color w:val="000000"/>
          <w:sz w:val="22"/>
          <w:szCs w:val="22"/>
        </w:rPr>
        <w:fldChar w:fldCharType="end"/>
      </w:r>
      <w:r>
        <w:rPr>
          <w:rFonts w:eastAsia="Arial"/>
          <w:color w:val="000000"/>
          <w:sz w:val="22"/>
          <w:szCs w:val="22"/>
        </w:rPr>
        <w:t>: compare top and bottom panels</w:t>
      </w:r>
      <w:r w:rsidRPr="00C03A6F">
        <w:rPr>
          <w:rFonts w:eastAsia="Arial"/>
          <w:color w:val="000000"/>
          <w:sz w:val="22"/>
          <w:szCs w:val="22"/>
        </w:rPr>
        <w:t xml:space="preserve">). </w:t>
      </w:r>
      <w:r>
        <w:rPr>
          <w:rFonts w:eastAsia="Arial"/>
          <w:color w:val="000000"/>
          <w:sz w:val="22"/>
          <w:szCs w:val="22"/>
        </w:rPr>
        <w:t xml:space="preserve">The bottom panel of </w:t>
      </w:r>
      <w:r w:rsidRPr="001F6248">
        <w:rPr>
          <w:rFonts w:eastAsia="Arial"/>
          <w:color w:val="000000"/>
          <w:sz w:val="22"/>
          <w:szCs w:val="22"/>
        </w:rPr>
        <w:fldChar w:fldCharType="begin"/>
      </w:r>
      <w:r w:rsidRPr="001F6248">
        <w:rPr>
          <w:rFonts w:eastAsia="Arial"/>
          <w:color w:val="000000"/>
          <w:sz w:val="22"/>
          <w:szCs w:val="22"/>
        </w:rPr>
        <w:instrText xml:space="preserve"> REF _Ref105687789 \h </w:instrText>
      </w:r>
      <w:r>
        <w:rPr>
          <w:rFonts w:eastAsia="Arial"/>
          <w:color w:val="000000"/>
          <w:sz w:val="22"/>
          <w:szCs w:val="22"/>
        </w:rPr>
        <w:instrText xml:space="preserve"> \* MERGEFORMAT </w:instrText>
      </w:r>
      <w:r w:rsidRPr="001F6248">
        <w:rPr>
          <w:rFonts w:eastAsia="Arial"/>
          <w:color w:val="000000"/>
          <w:sz w:val="22"/>
          <w:szCs w:val="22"/>
        </w:rPr>
      </w:r>
      <w:r w:rsidRPr="001F6248">
        <w:rPr>
          <w:rFonts w:eastAsia="Arial"/>
          <w:color w:val="000000"/>
          <w:sz w:val="22"/>
          <w:szCs w:val="22"/>
        </w:rPr>
        <w:fldChar w:fldCharType="separate"/>
      </w:r>
      <w:r w:rsidR="005B672A" w:rsidRPr="005B672A">
        <w:rPr>
          <w:sz w:val="22"/>
          <w:szCs w:val="22"/>
        </w:rPr>
        <w:t>Figure A5.6</w:t>
      </w:r>
      <w:r w:rsidRPr="001F6248">
        <w:rPr>
          <w:rFonts w:eastAsia="Arial"/>
          <w:color w:val="000000"/>
          <w:sz w:val="22"/>
          <w:szCs w:val="22"/>
        </w:rPr>
        <w:fldChar w:fldCharType="end"/>
      </w:r>
      <w:r>
        <w:rPr>
          <w:rFonts w:eastAsia="Arial"/>
          <w:color w:val="000000"/>
          <w:sz w:val="22"/>
          <w:szCs w:val="22"/>
        </w:rPr>
        <w:t xml:space="preserve"> clearly shows that doubling the time series produces an almost exact replica of the first 124-year time series.</w:t>
      </w:r>
    </w:p>
    <w:p w14:paraId="535ED86E" w14:textId="497E8831" w:rsidR="00491210" w:rsidRDefault="003E1401" w:rsidP="00745297">
      <w:pPr>
        <w:spacing w:after="0"/>
      </w:pPr>
      <w:r>
        <w:rPr>
          <w:noProof/>
          <w:lang w:eastAsia="en-AU"/>
        </w:rPr>
        <w:t xml:space="preserve"> </w:t>
      </w:r>
    </w:p>
    <w:p w14:paraId="78A1CDCC" w14:textId="64CECC93" w:rsidR="00491210" w:rsidRDefault="00EE200C" w:rsidP="00F602FE">
      <w:pPr>
        <w:pStyle w:val="AppendixFigureCaption"/>
        <w:rPr>
          <w:szCs w:val="20"/>
        </w:rPr>
      </w:pPr>
      <w:bookmarkStart w:id="459" w:name="_Ref105687846"/>
      <w:r>
        <w:t>Figure A5.</w:t>
      </w:r>
      <w:r>
        <w:fldChar w:fldCharType="begin"/>
      </w:r>
      <w:r>
        <w:instrText>SEQ Figure_A5. \* ARABIC</w:instrText>
      </w:r>
      <w:r>
        <w:fldChar w:fldCharType="separate"/>
      </w:r>
      <w:r w:rsidR="005B672A">
        <w:rPr>
          <w:noProof/>
        </w:rPr>
        <w:t>7</w:t>
      </w:r>
      <w:r>
        <w:fldChar w:fldCharType="end"/>
      </w:r>
      <w:bookmarkEnd w:id="459"/>
      <w:r>
        <w:t>. The</w:t>
      </w:r>
      <w:r w:rsidRPr="00DD7D8C">
        <w:t xml:space="preserve"> </w:t>
      </w:r>
      <w:r>
        <w:t>mean</w:t>
      </w:r>
      <w:r w:rsidRPr="00DD7D8C">
        <w:t xml:space="preserve"> adult population size</w:t>
      </w:r>
      <w:r>
        <w:t xml:space="preserve"> of </w:t>
      </w:r>
      <w:r w:rsidRPr="00DD7D8C">
        <w:t xml:space="preserve">Golden Perch </w:t>
      </w:r>
      <w:r>
        <w:t xml:space="preserve">over the 182-year time series </w:t>
      </w:r>
      <w:r w:rsidRPr="00DD7D8C">
        <w:t>across all</w:t>
      </w:r>
      <w:r>
        <w:t xml:space="preserve"> RRCP</w:t>
      </w:r>
      <w:r w:rsidRPr="00DD7D8C">
        <w:t xml:space="preserve"> reaches</w:t>
      </w:r>
      <w:r>
        <w:t xml:space="preserve">, </w:t>
      </w:r>
      <w:r w:rsidRPr="7ADEDDC3">
        <w:t xml:space="preserve">for the </w:t>
      </w:r>
      <w:r>
        <w:t>RRCP flow scenarios</w:t>
      </w:r>
      <w:r w:rsidRPr="7ADEDDC3">
        <w:t xml:space="preserve"> </w:t>
      </w:r>
      <w:r>
        <w:t>Base case</w:t>
      </w:r>
      <w:r w:rsidRPr="7ADEDDC3">
        <w:t xml:space="preserve"> </w:t>
      </w:r>
      <w:r>
        <w:t>and</w:t>
      </w:r>
      <w:r w:rsidRPr="7ADEDDC3">
        <w:t xml:space="preserve"> </w:t>
      </w:r>
      <w:r>
        <w:t>Option 4</w:t>
      </w:r>
      <w:r w:rsidRPr="00DD7D8C">
        <w:t>.</w:t>
      </w:r>
    </w:p>
    <w:p w14:paraId="7A26D0DC" w14:textId="2A7CD345" w:rsidR="00491210" w:rsidRDefault="00EE200C" w:rsidP="00745297">
      <w:pPr>
        <w:spacing w:line="259" w:lineRule="auto"/>
        <w:jc w:val="both"/>
        <w:rPr>
          <w:rFonts w:eastAsia="Arial"/>
          <w:color w:val="000000"/>
          <w:sz w:val="22"/>
          <w:szCs w:val="22"/>
        </w:rPr>
      </w:pPr>
      <w:r>
        <w:rPr>
          <w:rFonts w:eastAsia="Arial"/>
          <w:color w:val="000000"/>
          <w:sz w:val="22"/>
          <w:szCs w:val="22"/>
        </w:rPr>
        <w:t>In repeating the data time series that showed high spawning correlation, the pattern of convergence remained in the modelled output (</w:t>
      </w:r>
      <w:r w:rsidRPr="001F6248">
        <w:rPr>
          <w:rFonts w:eastAsia="Arial"/>
          <w:color w:val="000000"/>
          <w:sz w:val="22"/>
          <w:szCs w:val="22"/>
        </w:rPr>
        <w:fldChar w:fldCharType="begin"/>
      </w:r>
      <w:r w:rsidRPr="001F6248">
        <w:rPr>
          <w:rFonts w:eastAsia="Arial"/>
          <w:color w:val="000000"/>
          <w:sz w:val="22"/>
          <w:szCs w:val="22"/>
        </w:rPr>
        <w:instrText xml:space="preserve"> REF _Ref105687846 \h </w:instrText>
      </w:r>
      <w:r>
        <w:rPr>
          <w:rFonts w:eastAsia="Arial"/>
          <w:color w:val="000000"/>
          <w:sz w:val="22"/>
          <w:szCs w:val="22"/>
        </w:rPr>
        <w:instrText xml:space="preserve"> \* MERGEFORMAT </w:instrText>
      </w:r>
      <w:r w:rsidRPr="001F6248">
        <w:rPr>
          <w:rFonts w:eastAsia="Arial"/>
          <w:color w:val="000000"/>
          <w:sz w:val="22"/>
          <w:szCs w:val="22"/>
        </w:rPr>
      </w:r>
      <w:r w:rsidRPr="001F6248">
        <w:rPr>
          <w:rFonts w:eastAsia="Arial"/>
          <w:color w:val="000000"/>
          <w:sz w:val="22"/>
          <w:szCs w:val="22"/>
        </w:rPr>
        <w:fldChar w:fldCharType="separate"/>
      </w:r>
      <w:r w:rsidR="005B672A" w:rsidRPr="005B672A">
        <w:rPr>
          <w:sz w:val="22"/>
          <w:szCs w:val="22"/>
        </w:rPr>
        <w:t>Figure A5.7</w:t>
      </w:r>
      <w:r w:rsidRPr="001F6248">
        <w:rPr>
          <w:rFonts w:eastAsia="Arial"/>
          <w:color w:val="000000"/>
          <w:sz w:val="22"/>
          <w:szCs w:val="22"/>
        </w:rPr>
        <w:fldChar w:fldCharType="end"/>
      </w:r>
      <w:r>
        <w:rPr>
          <w:rFonts w:eastAsia="Arial"/>
          <w:color w:val="000000"/>
          <w:sz w:val="22"/>
          <w:szCs w:val="22"/>
        </w:rPr>
        <w:t>), extending beyond 2019 to the end of the modelled period.</w:t>
      </w:r>
    </w:p>
    <w:p w14:paraId="0EC27BFC" w14:textId="390A26B8" w:rsidR="00491210" w:rsidRPr="00235944" w:rsidRDefault="00EE200C" w:rsidP="00745297">
      <w:pPr>
        <w:spacing w:line="259" w:lineRule="auto"/>
        <w:jc w:val="both"/>
        <w:rPr>
          <w:rFonts w:eastAsia="Arial"/>
          <w:color w:val="000000"/>
          <w:sz w:val="22"/>
          <w:szCs w:val="22"/>
        </w:rPr>
      </w:pPr>
      <w:r w:rsidRPr="001F6248">
        <w:rPr>
          <w:rFonts w:eastAsia="Arial"/>
          <w:color w:val="000000"/>
          <w:sz w:val="22"/>
          <w:szCs w:val="22"/>
        </w:rPr>
        <w:fldChar w:fldCharType="begin"/>
      </w:r>
      <w:r w:rsidRPr="001F6248">
        <w:rPr>
          <w:rFonts w:eastAsia="Arial"/>
          <w:color w:val="000000"/>
          <w:sz w:val="22"/>
          <w:szCs w:val="22"/>
        </w:rPr>
        <w:instrText xml:space="preserve"> REF _Ref105687789 \h </w:instrText>
      </w:r>
      <w:r>
        <w:rPr>
          <w:rFonts w:eastAsia="Arial"/>
          <w:color w:val="000000"/>
          <w:sz w:val="22"/>
          <w:szCs w:val="22"/>
        </w:rPr>
        <w:instrText xml:space="preserve"> \* MERGEFORMAT </w:instrText>
      </w:r>
      <w:r w:rsidRPr="001F6248">
        <w:rPr>
          <w:rFonts w:eastAsia="Arial"/>
          <w:color w:val="000000"/>
          <w:sz w:val="22"/>
          <w:szCs w:val="22"/>
        </w:rPr>
      </w:r>
      <w:r w:rsidRPr="001F6248">
        <w:rPr>
          <w:rFonts w:eastAsia="Arial"/>
          <w:color w:val="000000"/>
          <w:sz w:val="22"/>
          <w:szCs w:val="22"/>
        </w:rPr>
        <w:fldChar w:fldCharType="separate"/>
      </w:r>
      <w:r w:rsidR="005B672A" w:rsidRPr="005B672A">
        <w:rPr>
          <w:sz w:val="22"/>
          <w:szCs w:val="22"/>
        </w:rPr>
        <w:t>Figure A5.6</w:t>
      </w:r>
      <w:r w:rsidRPr="001F6248">
        <w:rPr>
          <w:rFonts w:eastAsia="Arial"/>
          <w:color w:val="000000"/>
          <w:sz w:val="22"/>
          <w:szCs w:val="22"/>
        </w:rPr>
        <w:fldChar w:fldCharType="end"/>
      </w:r>
      <w:r>
        <w:rPr>
          <w:rFonts w:eastAsia="Arial"/>
          <w:color w:val="000000"/>
          <w:sz w:val="22"/>
          <w:szCs w:val="22"/>
        </w:rPr>
        <w:t xml:space="preserve"> and </w:t>
      </w:r>
      <w:r w:rsidRPr="00AC0F1F">
        <w:rPr>
          <w:rFonts w:eastAsia="Arial"/>
          <w:color w:val="000000"/>
          <w:sz w:val="22"/>
          <w:szCs w:val="22"/>
        </w:rPr>
        <w:fldChar w:fldCharType="begin"/>
      </w:r>
      <w:r w:rsidRPr="00AC0F1F">
        <w:rPr>
          <w:rFonts w:eastAsia="Arial"/>
          <w:color w:val="000000"/>
          <w:sz w:val="22"/>
          <w:szCs w:val="22"/>
        </w:rPr>
        <w:instrText xml:space="preserve"> REF _Ref105687846 \h </w:instrText>
      </w:r>
      <w:r>
        <w:rPr>
          <w:rFonts w:eastAsia="Arial"/>
          <w:color w:val="000000"/>
          <w:sz w:val="22"/>
          <w:szCs w:val="22"/>
        </w:rPr>
        <w:instrText xml:space="preserve"> \* MERGEFORMAT </w:instrText>
      </w:r>
      <w:r w:rsidRPr="00AC0F1F">
        <w:rPr>
          <w:rFonts w:eastAsia="Arial"/>
          <w:color w:val="000000"/>
          <w:sz w:val="22"/>
          <w:szCs w:val="22"/>
        </w:rPr>
      </w:r>
      <w:r w:rsidRPr="00AC0F1F">
        <w:rPr>
          <w:rFonts w:eastAsia="Arial"/>
          <w:color w:val="000000"/>
          <w:sz w:val="22"/>
          <w:szCs w:val="22"/>
        </w:rPr>
        <w:fldChar w:fldCharType="separate"/>
      </w:r>
      <w:r w:rsidR="005B672A" w:rsidRPr="005B672A">
        <w:rPr>
          <w:sz w:val="22"/>
          <w:szCs w:val="22"/>
        </w:rPr>
        <w:t>Figure A5.7</w:t>
      </w:r>
      <w:r w:rsidRPr="00AC0F1F">
        <w:rPr>
          <w:rFonts w:eastAsia="Arial"/>
          <w:color w:val="000000"/>
          <w:sz w:val="22"/>
          <w:szCs w:val="22"/>
        </w:rPr>
        <w:fldChar w:fldCharType="end"/>
      </w:r>
      <w:r>
        <w:rPr>
          <w:rFonts w:eastAsia="Arial"/>
          <w:color w:val="000000"/>
          <w:sz w:val="22"/>
          <w:szCs w:val="22"/>
        </w:rPr>
        <w:t xml:space="preserve"> demonstrate that model behaviour is not likely to be driven by the model construct, and that the observed convergence seen in the original model outputs (</w:t>
      </w:r>
      <w:r w:rsidRPr="00F41FAA">
        <w:rPr>
          <w:rFonts w:eastAsia="Arial"/>
          <w:color w:val="000000"/>
          <w:sz w:val="22"/>
          <w:szCs w:val="22"/>
        </w:rPr>
        <w:fldChar w:fldCharType="begin"/>
      </w:r>
      <w:r w:rsidRPr="00F41FAA">
        <w:rPr>
          <w:rFonts w:eastAsia="Arial"/>
          <w:color w:val="000000"/>
          <w:sz w:val="22"/>
          <w:szCs w:val="22"/>
        </w:rPr>
        <w:instrText xml:space="preserve"> REF _Ref104292857 \h </w:instrText>
      </w:r>
      <w:r>
        <w:rPr>
          <w:rFonts w:eastAsia="Arial"/>
          <w:color w:val="000000"/>
          <w:sz w:val="22"/>
          <w:szCs w:val="22"/>
        </w:rPr>
        <w:instrText xml:space="preserve"> \* MERGEFORMAT </w:instrText>
      </w:r>
      <w:r w:rsidRPr="00F41FAA">
        <w:rPr>
          <w:rFonts w:eastAsia="Arial"/>
          <w:color w:val="000000"/>
          <w:sz w:val="22"/>
          <w:szCs w:val="22"/>
        </w:rPr>
      </w:r>
      <w:r w:rsidRPr="00F41FAA">
        <w:rPr>
          <w:rFonts w:eastAsia="Arial"/>
          <w:color w:val="000000"/>
          <w:sz w:val="22"/>
          <w:szCs w:val="22"/>
        </w:rPr>
        <w:fldChar w:fldCharType="separate"/>
      </w:r>
      <w:r w:rsidR="005B672A" w:rsidRPr="005B672A">
        <w:rPr>
          <w:sz w:val="22"/>
          <w:szCs w:val="22"/>
        </w:rPr>
        <w:t xml:space="preserve">Figure </w:t>
      </w:r>
      <w:r w:rsidR="005B672A" w:rsidRPr="005B672A">
        <w:rPr>
          <w:noProof/>
          <w:sz w:val="22"/>
          <w:szCs w:val="22"/>
        </w:rPr>
        <w:t>18</w:t>
      </w:r>
      <w:r w:rsidRPr="00F41FAA">
        <w:rPr>
          <w:rFonts w:eastAsia="Arial"/>
          <w:color w:val="000000"/>
          <w:sz w:val="22"/>
          <w:szCs w:val="22"/>
        </w:rPr>
        <w:fldChar w:fldCharType="end"/>
      </w:r>
      <w:r>
        <w:rPr>
          <w:rFonts w:eastAsia="Arial"/>
          <w:color w:val="000000"/>
          <w:sz w:val="22"/>
          <w:szCs w:val="22"/>
        </w:rPr>
        <w:t>) is due to inherent drivers within the input data.</w:t>
      </w:r>
    </w:p>
    <w:p w14:paraId="51639965" w14:textId="3B0F8C26" w:rsidR="00491210" w:rsidRDefault="00EE200C" w:rsidP="3FC79A6E">
      <w:pPr>
        <w:pStyle w:val="Heading2"/>
        <w:rPr>
          <w:rFonts w:eastAsia="Arial"/>
          <w:bCs/>
          <w:szCs w:val="28"/>
        </w:rPr>
      </w:pPr>
      <w:bookmarkStart w:id="460" w:name="_Toc116994955"/>
      <w:bookmarkStart w:id="461" w:name="_Ref116997093"/>
      <w:r w:rsidRPr="3FC79A6E">
        <w:rPr>
          <w:rFonts w:eastAsia="Arial"/>
          <w:bCs/>
          <w:szCs w:val="28"/>
          <w:lang w:val="en-US"/>
        </w:rPr>
        <w:lastRenderedPageBreak/>
        <w:t>Appendix 6: Validation</w:t>
      </w:r>
      <w:bookmarkEnd w:id="460"/>
      <w:bookmarkEnd w:id="461"/>
    </w:p>
    <w:p w14:paraId="15823D14" w14:textId="699CC833" w:rsidR="00491210" w:rsidRDefault="00EE200C" w:rsidP="005F1F7F">
      <w:pPr>
        <w:pStyle w:val="Heading3"/>
      </w:pPr>
      <w:bookmarkStart w:id="462" w:name="_Toc116994956"/>
      <w:r w:rsidRPr="3FC79A6E">
        <w:t>Data preparation</w:t>
      </w:r>
      <w:bookmarkEnd w:id="462"/>
    </w:p>
    <w:p w14:paraId="397C8A30" w14:textId="4B5CF771" w:rsidR="00491210" w:rsidRDefault="00EE200C" w:rsidP="0015103C">
      <w:pPr>
        <w:pStyle w:val="Heading4"/>
      </w:pPr>
      <w:r w:rsidRPr="3FC79A6E">
        <w:t>Temporal alignment of datasets</w:t>
      </w:r>
    </w:p>
    <w:p w14:paraId="5B0A2D68" w14:textId="31ACC3EA" w:rsidR="00491210" w:rsidRPr="009E15CE" w:rsidRDefault="00EE200C" w:rsidP="009E15CE">
      <w:pPr>
        <w:spacing w:line="259" w:lineRule="auto"/>
        <w:jc w:val="both"/>
        <w:rPr>
          <w:rFonts w:eastAsia="Arial"/>
          <w:color w:val="000000"/>
          <w:sz w:val="22"/>
          <w:szCs w:val="22"/>
        </w:rPr>
      </w:pPr>
      <w:r w:rsidRPr="009E15CE">
        <w:rPr>
          <w:rFonts w:eastAsia="Arial"/>
          <w:color w:val="000000"/>
          <w:sz w:val="22"/>
          <w:szCs w:val="22"/>
        </w:rPr>
        <w:t xml:space="preserve">We needed to ensure that </w:t>
      </w:r>
      <w:r>
        <w:rPr>
          <w:rFonts w:eastAsia="Arial"/>
          <w:color w:val="000000"/>
          <w:sz w:val="22"/>
          <w:szCs w:val="22"/>
        </w:rPr>
        <w:t xml:space="preserve">the </w:t>
      </w:r>
      <w:r w:rsidRPr="009E15CE">
        <w:rPr>
          <w:rFonts w:eastAsia="Arial"/>
          <w:color w:val="000000"/>
          <w:sz w:val="22"/>
          <w:szCs w:val="22"/>
        </w:rPr>
        <w:t xml:space="preserve">MODEL, ARI, and NSW </w:t>
      </w:r>
      <w:r>
        <w:rPr>
          <w:rFonts w:eastAsia="Arial"/>
          <w:color w:val="000000"/>
          <w:sz w:val="22"/>
          <w:szCs w:val="22"/>
        </w:rPr>
        <w:t xml:space="preserve">datasets </w:t>
      </w:r>
      <w:r w:rsidRPr="009E15CE">
        <w:rPr>
          <w:rFonts w:eastAsia="Arial"/>
          <w:color w:val="000000"/>
          <w:sz w:val="22"/>
          <w:szCs w:val="22"/>
        </w:rPr>
        <w:t xml:space="preserve">had similar sampling periods. For </w:t>
      </w:r>
      <w:r>
        <w:rPr>
          <w:rFonts w:eastAsia="Arial"/>
          <w:color w:val="000000"/>
          <w:sz w:val="22"/>
          <w:szCs w:val="22"/>
        </w:rPr>
        <w:t xml:space="preserve">the </w:t>
      </w:r>
      <w:r w:rsidRPr="009E15CE">
        <w:rPr>
          <w:rFonts w:eastAsia="Arial"/>
          <w:color w:val="000000"/>
          <w:sz w:val="22"/>
          <w:szCs w:val="22"/>
        </w:rPr>
        <w:t>MODEL outputs, fish age was defined at the end of the fish year (June)</w:t>
      </w:r>
      <w:r>
        <w:rPr>
          <w:rFonts w:eastAsia="Arial"/>
          <w:color w:val="000000"/>
          <w:sz w:val="22"/>
          <w:szCs w:val="22"/>
        </w:rPr>
        <w:t>,</w:t>
      </w:r>
      <w:r w:rsidRPr="009E15CE">
        <w:rPr>
          <w:rFonts w:eastAsia="Arial"/>
          <w:color w:val="000000"/>
          <w:sz w:val="22"/>
          <w:szCs w:val="22"/>
        </w:rPr>
        <w:t xml:space="preserve"> at which point population numbers were tabulated. The ARI study </w:t>
      </w:r>
      <w:r>
        <w:rPr>
          <w:rFonts w:eastAsia="Arial"/>
          <w:color w:val="000000"/>
          <w:sz w:val="22"/>
          <w:szCs w:val="22"/>
        </w:rPr>
        <w:t>sampling occurred in</w:t>
      </w:r>
      <w:r w:rsidRPr="009E15CE">
        <w:rPr>
          <w:rFonts w:eastAsia="Arial"/>
          <w:color w:val="000000"/>
          <w:sz w:val="22"/>
          <w:szCs w:val="22"/>
        </w:rPr>
        <w:t xml:space="preserve"> late Autumn (May). </w:t>
      </w:r>
      <w:r>
        <w:rPr>
          <w:rFonts w:eastAsia="Arial"/>
          <w:color w:val="000000"/>
          <w:sz w:val="22"/>
          <w:szCs w:val="22"/>
        </w:rPr>
        <w:t xml:space="preserve">The </w:t>
      </w:r>
      <w:r w:rsidRPr="009E15CE">
        <w:rPr>
          <w:rFonts w:eastAsia="Arial"/>
          <w:color w:val="000000"/>
          <w:sz w:val="22"/>
          <w:szCs w:val="22"/>
        </w:rPr>
        <w:t xml:space="preserve">NSW data </w:t>
      </w:r>
      <w:r>
        <w:rPr>
          <w:rFonts w:eastAsia="Arial"/>
          <w:color w:val="000000"/>
          <w:sz w:val="22"/>
          <w:szCs w:val="22"/>
        </w:rPr>
        <w:t>sampling period spanned</w:t>
      </w:r>
      <w:r w:rsidRPr="009E15CE">
        <w:rPr>
          <w:rFonts w:eastAsia="Arial"/>
          <w:color w:val="000000"/>
          <w:sz w:val="22"/>
          <w:szCs w:val="22"/>
        </w:rPr>
        <w:t xml:space="preserve"> </w:t>
      </w:r>
      <w:r>
        <w:rPr>
          <w:rFonts w:eastAsia="Arial"/>
          <w:color w:val="000000"/>
          <w:sz w:val="22"/>
          <w:szCs w:val="22"/>
        </w:rPr>
        <w:t xml:space="preserve">a </w:t>
      </w:r>
      <w:r w:rsidRPr="009E15CE">
        <w:rPr>
          <w:rFonts w:eastAsia="Arial"/>
          <w:color w:val="000000"/>
          <w:sz w:val="22"/>
          <w:szCs w:val="22"/>
        </w:rPr>
        <w:t xml:space="preserve">wide range of months. To better align with </w:t>
      </w:r>
      <w:r>
        <w:rPr>
          <w:rFonts w:eastAsia="Arial"/>
          <w:color w:val="000000"/>
          <w:sz w:val="22"/>
          <w:szCs w:val="22"/>
        </w:rPr>
        <w:t xml:space="preserve">the </w:t>
      </w:r>
      <w:r w:rsidRPr="009E15CE">
        <w:rPr>
          <w:rFonts w:eastAsia="Arial"/>
          <w:color w:val="000000"/>
          <w:sz w:val="22"/>
          <w:szCs w:val="22"/>
        </w:rPr>
        <w:t xml:space="preserve">MODEL estimates, we </w:t>
      </w:r>
      <w:r>
        <w:rPr>
          <w:rFonts w:eastAsia="Arial"/>
          <w:color w:val="000000"/>
          <w:sz w:val="22"/>
          <w:szCs w:val="22"/>
        </w:rPr>
        <w:t>retained</w:t>
      </w:r>
      <w:r w:rsidRPr="009E15CE">
        <w:rPr>
          <w:rFonts w:eastAsia="Arial"/>
          <w:color w:val="000000"/>
          <w:sz w:val="22"/>
          <w:szCs w:val="22"/>
        </w:rPr>
        <w:t xml:space="preserve"> only </w:t>
      </w:r>
      <w:r>
        <w:rPr>
          <w:rFonts w:eastAsia="Arial"/>
          <w:color w:val="000000"/>
          <w:sz w:val="22"/>
          <w:szCs w:val="22"/>
        </w:rPr>
        <w:t xml:space="preserve">the </w:t>
      </w:r>
      <w:r w:rsidRPr="009E15CE">
        <w:rPr>
          <w:rFonts w:eastAsia="Arial"/>
          <w:color w:val="000000"/>
          <w:sz w:val="22"/>
          <w:szCs w:val="22"/>
        </w:rPr>
        <w:t xml:space="preserve">samples </w:t>
      </w:r>
      <w:r>
        <w:rPr>
          <w:rFonts w:eastAsia="Arial"/>
          <w:color w:val="000000"/>
          <w:sz w:val="22"/>
          <w:szCs w:val="22"/>
        </w:rPr>
        <w:t xml:space="preserve">obtained </w:t>
      </w:r>
      <w:r w:rsidRPr="009E15CE">
        <w:rPr>
          <w:rFonts w:eastAsia="Arial"/>
          <w:color w:val="000000"/>
          <w:sz w:val="22"/>
          <w:szCs w:val="22"/>
        </w:rPr>
        <w:t xml:space="preserve">between March </w:t>
      </w:r>
      <w:r>
        <w:rPr>
          <w:rFonts w:eastAsia="Arial"/>
          <w:color w:val="000000"/>
          <w:sz w:val="22"/>
          <w:szCs w:val="22"/>
        </w:rPr>
        <w:t>and</w:t>
      </w:r>
      <w:r w:rsidRPr="009E15CE">
        <w:rPr>
          <w:rFonts w:eastAsia="Arial"/>
          <w:color w:val="000000"/>
          <w:sz w:val="22"/>
          <w:szCs w:val="22"/>
        </w:rPr>
        <w:t xml:space="preserve"> August (</w:t>
      </w:r>
      <w:r>
        <w:rPr>
          <w:rFonts w:eastAsia="Arial"/>
          <w:color w:val="000000"/>
          <w:sz w:val="22"/>
          <w:szCs w:val="22"/>
        </w:rPr>
        <w:t>using this</w:t>
      </w:r>
      <w:r w:rsidRPr="009E15CE">
        <w:rPr>
          <w:rFonts w:eastAsia="Arial"/>
          <w:color w:val="000000"/>
          <w:sz w:val="22"/>
          <w:szCs w:val="22"/>
        </w:rPr>
        <w:t xml:space="preserve"> wide</w:t>
      </w:r>
      <w:r>
        <w:rPr>
          <w:rFonts w:eastAsia="Arial"/>
          <w:color w:val="000000"/>
          <w:sz w:val="22"/>
          <w:szCs w:val="22"/>
        </w:rPr>
        <w:t>r</w:t>
      </w:r>
      <w:r w:rsidRPr="009E15CE">
        <w:rPr>
          <w:rFonts w:eastAsia="Arial"/>
          <w:color w:val="000000"/>
          <w:sz w:val="22"/>
          <w:szCs w:val="22"/>
        </w:rPr>
        <w:t xml:space="preserve"> range to increase </w:t>
      </w:r>
      <w:r>
        <w:rPr>
          <w:rFonts w:eastAsia="Arial"/>
          <w:color w:val="000000"/>
          <w:sz w:val="22"/>
          <w:szCs w:val="22"/>
        </w:rPr>
        <w:t xml:space="preserve">the </w:t>
      </w:r>
      <w:r w:rsidRPr="009E15CE">
        <w:rPr>
          <w:rFonts w:eastAsia="Arial"/>
          <w:color w:val="000000"/>
          <w:sz w:val="22"/>
          <w:szCs w:val="22"/>
        </w:rPr>
        <w:t xml:space="preserve">sample size). Throughout this study, </w:t>
      </w:r>
      <w:r>
        <w:rPr>
          <w:rFonts w:eastAsia="Arial"/>
          <w:color w:val="000000"/>
          <w:sz w:val="22"/>
          <w:szCs w:val="22"/>
        </w:rPr>
        <w:t xml:space="preserve">a </w:t>
      </w:r>
      <w:r w:rsidRPr="009E15CE">
        <w:rPr>
          <w:rFonts w:eastAsia="Arial"/>
          <w:color w:val="000000"/>
          <w:sz w:val="22"/>
          <w:szCs w:val="22"/>
        </w:rPr>
        <w:t xml:space="preserve">year was defined by </w:t>
      </w:r>
      <w:r>
        <w:rPr>
          <w:rFonts w:eastAsia="Arial"/>
          <w:color w:val="000000"/>
          <w:sz w:val="22"/>
          <w:szCs w:val="22"/>
        </w:rPr>
        <w:t xml:space="preserve">the </w:t>
      </w:r>
      <w:r w:rsidRPr="009E15CE">
        <w:rPr>
          <w:rFonts w:eastAsia="Arial"/>
          <w:color w:val="000000"/>
          <w:sz w:val="22"/>
          <w:szCs w:val="22"/>
        </w:rPr>
        <w:t xml:space="preserve">sampling date (the </w:t>
      </w:r>
      <w:r>
        <w:rPr>
          <w:rFonts w:eastAsia="Arial"/>
          <w:color w:val="000000"/>
          <w:sz w:val="22"/>
          <w:szCs w:val="22"/>
        </w:rPr>
        <w:t>‘</w:t>
      </w:r>
      <w:r w:rsidRPr="009E15CE">
        <w:rPr>
          <w:rFonts w:eastAsia="Arial"/>
          <w:color w:val="000000"/>
          <w:sz w:val="22"/>
          <w:szCs w:val="22"/>
        </w:rPr>
        <w:t>end</w:t>
      </w:r>
      <w:r>
        <w:rPr>
          <w:rFonts w:eastAsia="Arial"/>
          <w:color w:val="000000"/>
          <w:sz w:val="22"/>
          <w:szCs w:val="22"/>
        </w:rPr>
        <w:t>’</w:t>
      </w:r>
      <w:r w:rsidRPr="009E15CE">
        <w:rPr>
          <w:rFonts w:eastAsia="Arial"/>
          <w:color w:val="000000"/>
          <w:sz w:val="22"/>
          <w:szCs w:val="22"/>
        </w:rPr>
        <w:t xml:space="preserve"> of a fish year)</w:t>
      </w:r>
      <w:r>
        <w:rPr>
          <w:rFonts w:eastAsia="Arial"/>
          <w:color w:val="000000"/>
          <w:sz w:val="22"/>
          <w:szCs w:val="22"/>
        </w:rPr>
        <w:t>.</w:t>
      </w:r>
    </w:p>
    <w:p w14:paraId="7762F4A8" w14:textId="2B6633B2" w:rsidR="00491210" w:rsidRDefault="00EE200C" w:rsidP="0015103C">
      <w:pPr>
        <w:pStyle w:val="Heading4"/>
      </w:pPr>
      <w:r w:rsidRPr="3FC79A6E">
        <w:t>Alignment of fish ages between MODEL and NSW/ARI outputs</w:t>
      </w:r>
    </w:p>
    <w:p w14:paraId="56B58EB1" w14:textId="18FED709" w:rsidR="00491210" w:rsidRPr="009E15CE" w:rsidRDefault="00EE200C" w:rsidP="009E15CE">
      <w:pPr>
        <w:spacing w:line="259" w:lineRule="auto"/>
        <w:jc w:val="both"/>
        <w:rPr>
          <w:rFonts w:eastAsia="Arial"/>
          <w:color w:val="000000"/>
          <w:sz w:val="22"/>
          <w:szCs w:val="22"/>
        </w:rPr>
      </w:pPr>
      <w:r w:rsidRPr="009E15CE">
        <w:rPr>
          <w:rFonts w:eastAsia="Arial"/>
          <w:color w:val="000000"/>
          <w:sz w:val="22"/>
          <w:szCs w:val="22"/>
        </w:rPr>
        <w:t xml:space="preserve">It was important to ensure that we were comparing </w:t>
      </w:r>
      <w:r>
        <w:rPr>
          <w:rFonts w:eastAsia="Arial"/>
          <w:color w:val="000000"/>
          <w:sz w:val="22"/>
          <w:szCs w:val="22"/>
        </w:rPr>
        <w:t xml:space="preserve">the </w:t>
      </w:r>
      <w:r w:rsidRPr="009E15CE">
        <w:rPr>
          <w:rFonts w:eastAsia="Arial"/>
          <w:color w:val="000000"/>
          <w:sz w:val="22"/>
          <w:szCs w:val="22"/>
        </w:rPr>
        <w:t xml:space="preserve">same age classes between </w:t>
      </w:r>
      <w:r>
        <w:rPr>
          <w:rFonts w:eastAsia="Arial"/>
          <w:color w:val="000000"/>
          <w:sz w:val="22"/>
          <w:szCs w:val="22"/>
        </w:rPr>
        <w:t xml:space="preserve">the </w:t>
      </w:r>
      <w:r w:rsidRPr="009E15CE">
        <w:rPr>
          <w:rFonts w:eastAsia="Arial"/>
          <w:color w:val="000000"/>
          <w:sz w:val="22"/>
          <w:szCs w:val="22"/>
        </w:rPr>
        <w:t>MODEL and NSW/ARI</w:t>
      </w:r>
      <w:r>
        <w:rPr>
          <w:rFonts w:eastAsia="Arial"/>
          <w:color w:val="000000"/>
          <w:sz w:val="22"/>
          <w:szCs w:val="22"/>
        </w:rPr>
        <w:t xml:space="preserve"> outputs</w:t>
      </w:r>
      <w:r w:rsidRPr="009E15CE">
        <w:rPr>
          <w:rFonts w:eastAsia="Arial"/>
          <w:color w:val="000000"/>
          <w:sz w:val="22"/>
          <w:szCs w:val="22"/>
        </w:rPr>
        <w:t xml:space="preserve">. Specifically, we needed to </w:t>
      </w:r>
      <w:r>
        <w:rPr>
          <w:rFonts w:eastAsia="Arial"/>
          <w:color w:val="000000"/>
          <w:sz w:val="22"/>
          <w:szCs w:val="22"/>
        </w:rPr>
        <w:t>ensure</w:t>
      </w:r>
      <w:r w:rsidRPr="009E15CE">
        <w:rPr>
          <w:rFonts w:eastAsia="Arial"/>
          <w:color w:val="000000"/>
          <w:sz w:val="22"/>
          <w:szCs w:val="22"/>
        </w:rPr>
        <w:t xml:space="preserve"> that we were comparing the same age classes comprising the population size estimates.</w:t>
      </w:r>
    </w:p>
    <w:p w14:paraId="30DDEC4C" w14:textId="1F98CF28" w:rsidR="00491210" w:rsidRDefault="00EE200C" w:rsidP="009E15CE">
      <w:pPr>
        <w:spacing w:line="259" w:lineRule="auto"/>
        <w:jc w:val="both"/>
        <w:rPr>
          <w:rFonts w:eastAsia="Arial"/>
          <w:color w:val="000000"/>
          <w:sz w:val="22"/>
          <w:szCs w:val="22"/>
        </w:rPr>
      </w:pPr>
      <w:r w:rsidRPr="3FC79A6E">
        <w:rPr>
          <w:rFonts w:eastAsia="Arial"/>
          <w:color w:val="000000"/>
          <w:sz w:val="22"/>
          <w:szCs w:val="22"/>
        </w:rPr>
        <w:t>For the ARI data, 220+</w:t>
      </w:r>
      <w:r>
        <w:rPr>
          <w:rFonts w:eastAsia="Arial"/>
          <w:color w:val="000000"/>
          <w:sz w:val="22"/>
          <w:szCs w:val="22"/>
        </w:rPr>
        <w:t>-</w:t>
      </w:r>
      <w:r w:rsidRPr="3FC79A6E">
        <w:rPr>
          <w:rFonts w:eastAsia="Arial"/>
          <w:color w:val="000000"/>
          <w:sz w:val="22"/>
          <w:szCs w:val="22"/>
        </w:rPr>
        <w:t xml:space="preserve">mm fish were tagged. For both Golden </w:t>
      </w:r>
      <w:r>
        <w:rPr>
          <w:rFonts w:eastAsia="Arial"/>
          <w:color w:val="000000"/>
          <w:sz w:val="22"/>
          <w:szCs w:val="22"/>
        </w:rPr>
        <w:t>P</w:t>
      </w:r>
      <w:r w:rsidRPr="3FC79A6E">
        <w:rPr>
          <w:rFonts w:eastAsia="Arial"/>
          <w:color w:val="000000"/>
          <w:sz w:val="22"/>
          <w:szCs w:val="22"/>
        </w:rPr>
        <w:t xml:space="preserve">erch and Murray </w:t>
      </w:r>
      <w:r>
        <w:rPr>
          <w:rFonts w:eastAsia="Arial"/>
          <w:color w:val="000000"/>
          <w:sz w:val="22"/>
          <w:szCs w:val="22"/>
        </w:rPr>
        <w:t>C</w:t>
      </w:r>
      <w:r w:rsidRPr="3FC79A6E">
        <w:rPr>
          <w:rFonts w:eastAsia="Arial"/>
          <w:color w:val="000000"/>
          <w:sz w:val="22"/>
          <w:szCs w:val="22"/>
        </w:rPr>
        <w:t>od, the 220</w:t>
      </w:r>
      <w:r>
        <w:rPr>
          <w:rFonts w:eastAsia="Arial"/>
          <w:color w:val="000000"/>
          <w:sz w:val="22"/>
          <w:szCs w:val="22"/>
        </w:rPr>
        <w:t>-</w:t>
      </w:r>
      <w:r w:rsidRPr="3FC79A6E">
        <w:rPr>
          <w:rFonts w:eastAsia="Arial"/>
          <w:color w:val="000000"/>
          <w:sz w:val="22"/>
          <w:szCs w:val="22"/>
        </w:rPr>
        <w:t>mm mark is coarsely the cut</w:t>
      </w:r>
      <w:r>
        <w:rPr>
          <w:rFonts w:eastAsia="Arial"/>
          <w:color w:val="000000"/>
          <w:sz w:val="22"/>
          <w:szCs w:val="22"/>
        </w:rPr>
        <w:t>-</w:t>
      </w:r>
      <w:r w:rsidRPr="3FC79A6E">
        <w:rPr>
          <w:rFonts w:eastAsia="Arial"/>
          <w:color w:val="000000"/>
          <w:sz w:val="22"/>
          <w:szCs w:val="22"/>
        </w:rPr>
        <w:t>off for 2+</w:t>
      </w:r>
      <w:r>
        <w:rPr>
          <w:rFonts w:eastAsia="Arial"/>
          <w:color w:val="000000"/>
          <w:sz w:val="22"/>
          <w:szCs w:val="22"/>
        </w:rPr>
        <w:t>-</w:t>
      </w:r>
      <w:r w:rsidRPr="3FC79A6E">
        <w:rPr>
          <w:rFonts w:eastAsia="Arial"/>
          <w:color w:val="000000"/>
          <w:sz w:val="22"/>
          <w:szCs w:val="22"/>
        </w:rPr>
        <w:t>year</w:t>
      </w:r>
      <w:r>
        <w:rPr>
          <w:rFonts w:eastAsia="Arial"/>
          <w:color w:val="000000"/>
          <w:sz w:val="22"/>
          <w:szCs w:val="22"/>
        </w:rPr>
        <w:t>-</w:t>
      </w:r>
      <w:r w:rsidRPr="3FC79A6E">
        <w:rPr>
          <w:rFonts w:eastAsia="Arial"/>
          <w:color w:val="000000"/>
          <w:sz w:val="22"/>
          <w:szCs w:val="22"/>
        </w:rPr>
        <w:t>old fish (Anderson et al. 1992</w:t>
      </w:r>
      <w:r>
        <w:rPr>
          <w:rFonts w:eastAsia="Arial"/>
          <w:color w:val="000000"/>
          <w:sz w:val="22"/>
          <w:szCs w:val="22"/>
        </w:rPr>
        <w:t>;</w:t>
      </w:r>
      <w:r w:rsidRPr="3FC79A6E">
        <w:rPr>
          <w:rFonts w:eastAsia="Arial"/>
          <w:color w:val="000000"/>
          <w:sz w:val="22"/>
          <w:szCs w:val="22"/>
        </w:rPr>
        <w:t xml:space="preserve"> Wright et al. 2020).</w:t>
      </w:r>
    </w:p>
    <w:p w14:paraId="07756755" w14:textId="6A4AE263" w:rsidR="00491210" w:rsidRDefault="00EE200C" w:rsidP="009E15CE">
      <w:pPr>
        <w:spacing w:line="259" w:lineRule="auto"/>
        <w:jc w:val="both"/>
        <w:rPr>
          <w:rFonts w:eastAsia="Arial"/>
          <w:color w:val="000000"/>
          <w:sz w:val="22"/>
          <w:szCs w:val="22"/>
        </w:rPr>
      </w:pPr>
      <w:r w:rsidRPr="3FC79A6E">
        <w:rPr>
          <w:rFonts w:eastAsia="Arial"/>
          <w:color w:val="000000"/>
          <w:sz w:val="22"/>
          <w:szCs w:val="22"/>
        </w:rPr>
        <w:t xml:space="preserve">For the NSW data, we examined </w:t>
      </w:r>
      <w:r>
        <w:rPr>
          <w:rFonts w:eastAsia="Arial"/>
          <w:color w:val="000000"/>
          <w:sz w:val="22"/>
          <w:szCs w:val="22"/>
        </w:rPr>
        <w:t xml:space="preserve">the </w:t>
      </w:r>
      <w:r w:rsidRPr="3FC79A6E">
        <w:rPr>
          <w:rFonts w:eastAsia="Arial"/>
          <w:color w:val="000000"/>
          <w:sz w:val="22"/>
          <w:szCs w:val="22"/>
        </w:rPr>
        <w:t>distribution of lengths for each species, coarsely grouped into age classes</w:t>
      </w:r>
      <w:r>
        <w:rPr>
          <w:rFonts w:eastAsia="Arial"/>
          <w:color w:val="000000"/>
          <w:sz w:val="22"/>
          <w:szCs w:val="22"/>
        </w:rPr>
        <w:t>:</w:t>
      </w:r>
      <w:r w:rsidRPr="3FC79A6E">
        <w:rPr>
          <w:rFonts w:eastAsia="Arial"/>
          <w:color w:val="000000"/>
          <w:sz w:val="22"/>
          <w:szCs w:val="22"/>
        </w:rPr>
        <w:t xml:space="preserve"> 0+ </w:t>
      </w:r>
      <w:r>
        <w:rPr>
          <w:rFonts w:eastAsia="Arial"/>
          <w:color w:val="000000"/>
          <w:sz w:val="22"/>
          <w:szCs w:val="22"/>
        </w:rPr>
        <w:t>(</w:t>
      </w:r>
      <w:r w:rsidRPr="3FC79A6E">
        <w:rPr>
          <w:rFonts w:eastAsia="Arial"/>
          <w:color w:val="000000"/>
          <w:sz w:val="22"/>
          <w:szCs w:val="22"/>
        </w:rPr>
        <w:t>&lt;100</w:t>
      </w:r>
      <w:r>
        <w:rPr>
          <w:rFonts w:eastAsia="Arial"/>
          <w:color w:val="000000"/>
          <w:sz w:val="22"/>
          <w:szCs w:val="22"/>
        </w:rPr>
        <w:t> </w:t>
      </w:r>
      <w:r w:rsidRPr="3FC79A6E">
        <w:rPr>
          <w:rFonts w:eastAsia="Arial"/>
          <w:color w:val="000000"/>
          <w:sz w:val="22"/>
          <w:szCs w:val="22"/>
        </w:rPr>
        <w:t>mm</w:t>
      </w:r>
      <w:r>
        <w:rPr>
          <w:rFonts w:eastAsia="Arial"/>
          <w:color w:val="000000"/>
          <w:sz w:val="22"/>
          <w:szCs w:val="22"/>
        </w:rPr>
        <w:t>)</w:t>
      </w:r>
      <w:r w:rsidRPr="3FC79A6E">
        <w:rPr>
          <w:rFonts w:eastAsia="Arial"/>
          <w:color w:val="000000"/>
          <w:sz w:val="22"/>
          <w:szCs w:val="22"/>
        </w:rPr>
        <w:t xml:space="preserve">, 1+ </w:t>
      </w:r>
      <w:r>
        <w:rPr>
          <w:rFonts w:eastAsia="Arial"/>
          <w:color w:val="000000"/>
          <w:sz w:val="22"/>
          <w:szCs w:val="22"/>
        </w:rPr>
        <w:t>(</w:t>
      </w:r>
      <w:r w:rsidRPr="3FC79A6E">
        <w:rPr>
          <w:rFonts w:eastAsia="Arial"/>
          <w:color w:val="000000"/>
          <w:sz w:val="22"/>
          <w:szCs w:val="22"/>
        </w:rPr>
        <w:t>100</w:t>
      </w:r>
      <w:r>
        <w:rPr>
          <w:rFonts w:eastAsia="Arial"/>
          <w:color w:val="000000"/>
          <w:sz w:val="22"/>
          <w:szCs w:val="22"/>
        </w:rPr>
        <w:t>–</w:t>
      </w:r>
      <w:r w:rsidRPr="3FC79A6E">
        <w:rPr>
          <w:rFonts w:eastAsia="Arial"/>
          <w:color w:val="000000"/>
          <w:sz w:val="22"/>
          <w:szCs w:val="22"/>
        </w:rPr>
        <w:t>220</w:t>
      </w:r>
      <w:r>
        <w:rPr>
          <w:rFonts w:eastAsia="Arial"/>
          <w:color w:val="000000"/>
          <w:sz w:val="22"/>
          <w:szCs w:val="22"/>
        </w:rPr>
        <w:t> </w:t>
      </w:r>
      <w:r w:rsidRPr="3FC79A6E">
        <w:rPr>
          <w:rFonts w:eastAsia="Arial"/>
          <w:color w:val="000000"/>
          <w:sz w:val="22"/>
          <w:szCs w:val="22"/>
        </w:rPr>
        <w:t>mm</w:t>
      </w:r>
      <w:r>
        <w:rPr>
          <w:rFonts w:eastAsia="Arial"/>
          <w:color w:val="000000"/>
          <w:sz w:val="22"/>
          <w:szCs w:val="22"/>
        </w:rPr>
        <w:t>)</w:t>
      </w:r>
      <w:r w:rsidRPr="3FC79A6E">
        <w:rPr>
          <w:rFonts w:eastAsia="Arial"/>
          <w:color w:val="000000"/>
          <w:sz w:val="22"/>
          <w:szCs w:val="22"/>
        </w:rPr>
        <w:t xml:space="preserve">, 2+ </w:t>
      </w:r>
      <w:r>
        <w:rPr>
          <w:rFonts w:eastAsia="Arial"/>
          <w:color w:val="000000"/>
          <w:sz w:val="22"/>
          <w:szCs w:val="22"/>
        </w:rPr>
        <w:t>(</w:t>
      </w:r>
      <w:r w:rsidRPr="3FC79A6E">
        <w:rPr>
          <w:rFonts w:eastAsia="Arial"/>
          <w:color w:val="000000"/>
          <w:sz w:val="22"/>
          <w:szCs w:val="22"/>
        </w:rPr>
        <w:t>&gt;220</w:t>
      </w:r>
      <w:r>
        <w:rPr>
          <w:rFonts w:eastAsia="Arial"/>
          <w:color w:val="000000"/>
          <w:sz w:val="22"/>
          <w:szCs w:val="22"/>
        </w:rPr>
        <w:t> </w:t>
      </w:r>
      <w:r w:rsidRPr="3FC79A6E">
        <w:rPr>
          <w:rFonts w:eastAsia="Arial"/>
          <w:color w:val="000000"/>
          <w:sz w:val="22"/>
          <w:szCs w:val="22"/>
        </w:rPr>
        <w:t>mm</w:t>
      </w:r>
      <w:r>
        <w:rPr>
          <w:rFonts w:eastAsia="Arial"/>
          <w:color w:val="000000"/>
          <w:sz w:val="22"/>
          <w:szCs w:val="22"/>
        </w:rPr>
        <w:t xml:space="preserve"> but ≤340 mm)</w:t>
      </w:r>
      <w:r w:rsidRPr="3FC79A6E">
        <w:rPr>
          <w:rFonts w:eastAsia="Arial"/>
          <w:color w:val="000000"/>
          <w:sz w:val="22"/>
          <w:szCs w:val="22"/>
        </w:rPr>
        <w:t xml:space="preserve">, 3+ </w:t>
      </w:r>
      <w:r>
        <w:rPr>
          <w:rFonts w:eastAsia="Arial"/>
          <w:color w:val="000000"/>
          <w:sz w:val="22"/>
          <w:szCs w:val="22"/>
        </w:rPr>
        <w:t>(</w:t>
      </w:r>
      <w:r w:rsidRPr="3FC79A6E">
        <w:rPr>
          <w:rFonts w:eastAsia="Arial"/>
          <w:color w:val="000000"/>
          <w:sz w:val="22"/>
          <w:szCs w:val="22"/>
        </w:rPr>
        <w:t>&gt;340</w:t>
      </w:r>
      <w:r>
        <w:rPr>
          <w:rFonts w:eastAsia="Arial"/>
          <w:color w:val="000000"/>
          <w:sz w:val="22"/>
          <w:szCs w:val="22"/>
        </w:rPr>
        <w:t> </w:t>
      </w:r>
      <w:r w:rsidRPr="3FC79A6E">
        <w:rPr>
          <w:rFonts w:eastAsia="Arial"/>
          <w:color w:val="000000"/>
          <w:sz w:val="22"/>
          <w:szCs w:val="22"/>
        </w:rPr>
        <w:t>mm</w:t>
      </w:r>
      <w:r>
        <w:rPr>
          <w:rFonts w:eastAsia="Arial"/>
          <w:color w:val="000000"/>
          <w:sz w:val="22"/>
          <w:szCs w:val="22"/>
        </w:rPr>
        <w:t>) (</w:t>
      </w:r>
      <w:r w:rsidRPr="00F84134">
        <w:rPr>
          <w:rFonts w:eastAsia="Arial"/>
          <w:color w:val="000000"/>
          <w:sz w:val="22"/>
          <w:szCs w:val="22"/>
        </w:rPr>
        <w:fldChar w:fldCharType="begin"/>
      </w:r>
      <w:r w:rsidRPr="00F84134">
        <w:rPr>
          <w:rFonts w:eastAsia="Arial"/>
          <w:color w:val="000000"/>
          <w:sz w:val="22"/>
          <w:szCs w:val="22"/>
        </w:rPr>
        <w:instrText xml:space="preserve"> REF _Ref107996486 \h </w:instrText>
      </w:r>
      <w:r>
        <w:rPr>
          <w:rFonts w:eastAsia="Arial"/>
          <w:color w:val="000000"/>
          <w:sz w:val="22"/>
          <w:szCs w:val="22"/>
        </w:rPr>
        <w:instrText xml:space="preserve"> \* MERGEFORMAT </w:instrText>
      </w:r>
      <w:r w:rsidRPr="00F84134">
        <w:rPr>
          <w:rFonts w:eastAsia="Arial"/>
          <w:color w:val="000000"/>
          <w:sz w:val="22"/>
          <w:szCs w:val="22"/>
        </w:rPr>
      </w:r>
      <w:r w:rsidRPr="00F84134">
        <w:rPr>
          <w:rFonts w:eastAsia="Arial"/>
          <w:color w:val="000000"/>
          <w:sz w:val="22"/>
          <w:szCs w:val="22"/>
        </w:rPr>
        <w:fldChar w:fldCharType="separate"/>
      </w:r>
      <w:r w:rsidR="005B672A" w:rsidRPr="005B672A">
        <w:rPr>
          <w:sz w:val="22"/>
          <w:szCs w:val="22"/>
        </w:rPr>
        <w:t>Figure A6.1</w:t>
      </w:r>
      <w:r w:rsidRPr="00F84134">
        <w:rPr>
          <w:rFonts w:eastAsia="Arial"/>
          <w:color w:val="000000"/>
          <w:sz w:val="22"/>
          <w:szCs w:val="22"/>
        </w:rPr>
        <w:fldChar w:fldCharType="end"/>
      </w:r>
      <w:r w:rsidRPr="00F84134">
        <w:rPr>
          <w:rFonts w:eastAsia="Arial"/>
          <w:color w:val="000000"/>
          <w:sz w:val="22"/>
          <w:szCs w:val="22"/>
        </w:rPr>
        <w:t>)</w:t>
      </w:r>
      <w:r w:rsidRPr="3FC79A6E">
        <w:rPr>
          <w:rFonts w:eastAsia="Arial"/>
          <w:color w:val="000000"/>
          <w:sz w:val="22"/>
          <w:szCs w:val="22"/>
        </w:rPr>
        <w:t xml:space="preserve">. For both species, </w:t>
      </w:r>
      <w:r>
        <w:rPr>
          <w:rFonts w:eastAsia="Arial"/>
          <w:color w:val="000000"/>
          <w:sz w:val="22"/>
          <w:szCs w:val="22"/>
        </w:rPr>
        <w:t xml:space="preserve">the </w:t>
      </w:r>
      <w:r w:rsidRPr="3FC79A6E">
        <w:rPr>
          <w:rFonts w:eastAsia="Arial"/>
          <w:color w:val="000000"/>
          <w:sz w:val="22"/>
          <w:szCs w:val="22"/>
        </w:rPr>
        <w:t xml:space="preserve">NSW electrofishing data included </w:t>
      </w:r>
      <w:r>
        <w:rPr>
          <w:rFonts w:eastAsia="Arial"/>
          <w:color w:val="000000"/>
          <w:sz w:val="22"/>
          <w:szCs w:val="22"/>
        </w:rPr>
        <w:t xml:space="preserve">a </w:t>
      </w:r>
      <w:r w:rsidRPr="3FC79A6E">
        <w:rPr>
          <w:rFonts w:eastAsia="Arial"/>
          <w:color w:val="000000"/>
          <w:sz w:val="22"/>
          <w:szCs w:val="22"/>
        </w:rPr>
        <w:t xml:space="preserve">substantial proportion of fish </w:t>
      </w:r>
      <w:r>
        <w:rPr>
          <w:rFonts w:eastAsia="Arial"/>
          <w:color w:val="000000"/>
          <w:sz w:val="22"/>
          <w:szCs w:val="22"/>
        </w:rPr>
        <w:t xml:space="preserve">of </w:t>
      </w:r>
      <w:r w:rsidRPr="3FC79A6E">
        <w:rPr>
          <w:rFonts w:eastAsia="Arial"/>
          <w:color w:val="000000"/>
          <w:sz w:val="22"/>
          <w:szCs w:val="22"/>
        </w:rPr>
        <w:t>&lt;220</w:t>
      </w:r>
      <w:r>
        <w:rPr>
          <w:rFonts w:eastAsia="Arial"/>
          <w:color w:val="000000"/>
          <w:sz w:val="22"/>
          <w:szCs w:val="22"/>
        </w:rPr>
        <w:t> </w:t>
      </w:r>
      <w:r w:rsidRPr="3FC79A6E">
        <w:rPr>
          <w:rFonts w:eastAsia="Arial"/>
          <w:color w:val="000000"/>
          <w:sz w:val="22"/>
          <w:szCs w:val="22"/>
        </w:rPr>
        <w:t>mm, down to ~40</w:t>
      </w:r>
      <w:r>
        <w:rPr>
          <w:rFonts w:eastAsia="Arial"/>
          <w:color w:val="000000"/>
          <w:sz w:val="22"/>
          <w:szCs w:val="22"/>
        </w:rPr>
        <w:t> </w:t>
      </w:r>
      <w:r w:rsidRPr="3FC79A6E">
        <w:rPr>
          <w:rFonts w:eastAsia="Arial"/>
          <w:color w:val="000000"/>
          <w:sz w:val="22"/>
          <w:szCs w:val="22"/>
        </w:rPr>
        <w:t xml:space="preserve">mm. For the NSW data, we </w:t>
      </w:r>
      <w:r>
        <w:rPr>
          <w:rFonts w:eastAsia="Arial"/>
          <w:color w:val="000000"/>
          <w:sz w:val="22"/>
          <w:szCs w:val="22"/>
        </w:rPr>
        <w:t>applied</w:t>
      </w:r>
      <w:r w:rsidRPr="3FC79A6E">
        <w:rPr>
          <w:rFonts w:eastAsia="Arial"/>
          <w:color w:val="000000"/>
          <w:sz w:val="22"/>
          <w:szCs w:val="22"/>
        </w:rPr>
        <w:t xml:space="preserve"> the 220</w:t>
      </w:r>
      <w:r>
        <w:rPr>
          <w:rFonts w:eastAsia="Arial"/>
          <w:color w:val="000000"/>
          <w:sz w:val="22"/>
          <w:szCs w:val="22"/>
        </w:rPr>
        <w:t>-</w:t>
      </w:r>
      <w:r w:rsidRPr="3FC79A6E">
        <w:rPr>
          <w:rFonts w:eastAsia="Arial"/>
          <w:color w:val="000000"/>
          <w:sz w:val="22"/>
          <w:szCs w:val="22"/>
        </w:rPr>
        <w:t>mm cut</w:t>
      </w:r>
      <w:r>
        <w:rPr>
          <w:rFonts w:eastAsia="Arial"/>
          <w:color w:val="000000"/>
          <w:sz w:val="22"/>
          <w:szCs w:val="22"/>
        </w:rPr>
        <w:t>-</w:t>
      </w:r>
      <w:r w:rsidRPr="3FC79A6E">
        <w:rPr>
          <w:rFonts w:eastAsia="Arial"/>
          <w:color w:val="000000"/>
          <w:sz w:val="22"/>
          <w:szCs w:val="22"/>
        </w:rPr>
        <w:t xml:space="preserve">off. To adjust </w:t>
      </w:r>
      <w:r>
        <w:rPr>
          <w:rFonts w:eastAsia="Arial"/>
          <w:color w:val="000000"/>
          <w:sz w:val="22"/>
          <w:szCs w:val="22"/>
        </w:rPr>
        <w:t xml:space="preserve">the </w:t>
      </w:r>
      <w:r w:rsidRPr="3FC79A6E">
        <w:rPr>
          <w:rFonts w:eastAsia="Arial"/>
          <w:color w:val="000000"/>
          <w:sz w:val="22"/>
          <w:szCs w:val="22"/>
        </w:rPr>
        <w:t xml:space="preserve">number of fish caught </w:t>
      </w:r>
      <w:r>
        <w:rPr>
          <w:rFonts w:eastAsia="Arial"/>
          <w:color w:val="000000"/>
          <w:sz w:val="22"/>
          <w:szCs w:val="22"/>
        </w:rPr>
        <w:t>so that it only represented the</w:t>
      </w:r>
      <w:r w:rsidRPr="3FC79A6E">
        <w:rPr>
          <w:rFonts w:eastAsia="Arial"/>
          <w:color w:val="000000"/>
          <w:sz w:val="22"/>
          <w:szCs w:val="22"/>
        </w:rPr>
        <w:t xml:space="preserve"> 2+ fish in the NSW samples, we calculated the percentage of fish caught that were &gt;220</w:t>
      </w:r>
      <w:r>
        <w:rPr>
          <w:rFonts w:eastAsia="Arial"/>
          <w:color w:val="000000"/>
          <w:sz w:val="22"/>
          <w:szCs w:val="22"/>
        </w:rPr>
        <w:t> </w:t>
      </w:r>
      <w:r w:rsidRPr="3FC79A6E">
        <w:rPr>
          <w:rFonts w:eastAsia="Arial"/>
          <w:color w:val="000000"/>
          <w:sz w:val="22"/>
          <w:szCs w:val="22"/>
        </w:rPr>
        <w:t>mm and then adjusted the number caught by this proportion. Adjustments were only necessary in large samples in which not all fish were measured.</w:t>
      </w:r>
    </w:p>
    <w:p w14:paraId="5782945F" w14:textId="23C8A779" w:rsidR="00491210" w:rsidRDefault="00EE200C" w:rsidP="009E15CE">
      <w:pPr>
        <w:spacing w:line="259" w:lineRule="auto"/>
        <w:jc w:val="both"/>
        <w:rPr>
          <w:rFonts w:eastAsia="Arial"/>
          <w:color w:val="000000"/>
          <w:sz w:val="22"/>
          <w:szCs w:val="22"/>
        </w:rPr>
      </w:pPr>
      <w:r w:rsidRPr="55140EE9">
        <w:rPr>
          <w:rFonts w:eastAsia="Arial"/>
          <w:color w:val="000000"/>
          <w:sz w:val="22"/>
          <w:szCs w:val="22"/>
        </w:rPr>
        <w:t>For the population models, the adult Golden Perch and Murray Cod population sizes were defined as including fish ≥4 </w:t>
      </w:r>
      <w:r w:rsidRPr="00695963">
        <w:rPr>
          <w:rFonts w:eastAsia="Arial"/>
          <w:color w:val="000000"/>
          <w:sz w:val="22"/>
          <w:szCs w:val="22"/>
        </w:rPr>
        <w:t xml:space="preserve">years old </w:t>
      </w:r>
      <w:r w:rsidRPr="00695963">
        <w:rPr>
          <w:sz w:val="22"/>
          <w:szCs w:val="22"/>
        </w:rPr>
        <w:t>(</w:t>
      </w:r>
      <m:oMath>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t</m:t>
            </m:r>
            <m:r>
              <m:rPr>
                <m:sty m:val="p"/>
              </m:rPr>
              <w:rPr>
                <w:rFonts w:ascii="Cambria Math" w:hAnsi="Cambria Math"/>
                <w:sz w:val="22"/>
                <w:szCs w:val="22"/>
              </w:rPr>
              <m:t>,</m:t>
            </m:r>
            <m:r>
              <w:rPr>
                <w:rFonts w:ascii="Cambria Math" w:hAnsi="Cambria Math"/>
                <w:sz w:val="22"/>
                <w:szCs w:val="22"/>
              </w:rPr>
              <m:t>adult</m:t>
            </m:r>
          </m:sub>
        </m:sSub>
        <m:r>
          <m:rPr>
            <m:sty m:val="p"/>
          </m:rPr>
          <w:rPr>
            <w:rFonts w:ascii="Cambria Math" w:hAnsi="Cambria Math"/>
            <w:sz w:val="22"/>
            <w:szCs w:val="22"/>
          </w:rPr>
          <m:t>=</m:t>
        </m:r>
        <m:nary>
          <m:naryPr>
            <m:chr m:val="∑"/>
            <m:limLoc m:val="undOvr"/>
            <m:ctrlPr>
              <w:rPr>
                <w:rFonts w:ascii="Cambria Math" w:hAnsi="Cambria Math"/>
                <w:sz w:val="22"/>
                <w:szCs w:val="22"/>
              </w:rPr>
            </m:ctrlPr>
          </m:naryPr>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4</m:t>
            </m:r>
          </m:sub>
          <m:sup>
            <m:r>
              <w:rPr>
                <w:rFonts w:ascii="Cambria Math" w:hAnsi="Cambria Math"/>
                <w:sz w:val="22"/>
                <w:szCs w:val="22"/>
              </w:rPr>
              <m:t>I</m:t>
            </m:r>
          </m:sup>
          <m:e>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t</m:t>
                </m:r>
                <m:r>
                  <m:rPr>
                    <m:sty m:val="p"/>
                  </m:rPr>
                  <w:rPr>
                    <w:rFonts w:ascii="Cambria Math" w:hAnsi="Cambria Math"/>
                    <w:sz w:val="22"/>
                    <w:szCs w:val="22"/>
                  </w:rPr>
                  <m:t>,</m:t>
                </m:r>
                <m:r>
                  <w:rPr>
                    <w:rFonts w:ascii="Cambria Math" w:hAnsi="Cambria Math"/>
                    <w:sz w:val="22"/>
                    <w:szCs w:val="22"/>
                  </w:rPr>
                  <m:t>i</m:t>
                </m:r>
              </m:sub>
            </m:sSub>
          </m:e>
        </m:nary>
      </m:oMath>
      <w:r w:rsidRPr="00695963">
        <w:rPr>
          <w:sz w:val="22"/>
          <w:szCs w:val="22"/>
        </w:rPr>
        <w:t xml:space="preserve">) </w:t>
      </w:r>
      <w:r w:rsidRPr="00695963">
        <w:rPr>
          <w:rFonts w:eastAsia="Arial"/>
          <w:color w:val="000000"/>
          <w:sz w:val="22"/>
          <w:szCs w:val="22"/>
        </w:rPr>
        <w:t xml:space="preserve">and ≥5 years old </w:t>
      </w:r>
      <w:r w:rsidRPr="00695963">
        <w:rPr>
          <w:sz w:val="22"/>
          <w:szCs w:val="22"/>
        </w:rPr>
        <w:t>(</w:t>
      </w:r>
      <m:oMath>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t</m:t>
            </m:r>
            <m:r>
              <m:rPr>
                <m:sty m:val="p"/>
              </m:rPr>
              <w:rPr>
                <w:rFonts w:ascii="Cambria Math" w:hAnsi="Cambria Math"/>
                <w:sz w:val="22"/>
                <w:szCs w:val="22"/>
              </w:rPr>
              <m:t>,</m:t>
            </m:r>
            <m:r>
              <w:rPr>
                <w:rFonts w:ascii="Cambria Math" w:hAnsi="Cambria Math"/>
                <w:sz w:val="22"/>
                <w:szCs w:val="22"/>
              </w:rPr>
              <m:t>adult</m:t>
            </m:r>
          </m:sub>
        </m:sSub>
        <m:r>
          <m:rPr>
            <m:sty m:val="p"/>
          </m:rPr>
          <w:rPr>
            <w:rFonts w:ascii="Cambria Math" w:hAnsi="Cambria Math"/>
            <w:sz w:val="22"/>
            <w:szCs w:val="22"/>
          </w:rPr>
          <m:t>=</m:t>
        </m:r>
        <m:nary>
          <m:naryPr>
            <m:chr m:val="∑"/>
            <m:limLoc m:val="undOvr"/>
            <m:ctrlPr>
              <w:rPr>
                <w:rFonts w:ascii="Cambria Math" w:hAnsi="Cambria Math"/>
                <w:sz w:val="22"/>
                <w:szCs w:val="22"/>
              </w:rPr>
            </m:ctrlPr>
          </m:naryPr>
          <m:sub>
            <m:r>
              <w:rPr>
                <w:rFonts w:ascii="Cambria Math" w:hAnsi="Cambria Math"/>
                <w:sz w:val="22"/>
                <w:szCs w:val="22"/>
              </w:rPr>
              <m:t>i</m:t>
            </m:r>
            <m:r>
              <m:rPr>
                <m:sty m:val="p"/>
              </m:rPr>
              <w:rPr>
                <w:rFonts w:ascii="Cambria Math" w:hAnsi="Cambria Math"/>
                <w:sz w:val="22"/>
                <w:szCs w:val="22"/>
              </w:rPr>
              <m:t>=</m:t>
            </m:r>
            <m:r>
              <w:rPr>
                <w:rFonts w:ascii="Cambria Math" w:hAnsi="Cambria Math"/>
                <w:sz w:val="22"/>
                <w:szCs w:val="22"/>
              </w:rPr>
              <m:t>5</m:t>
            </m:r>
          </m:sub>
          <m:sup>
            <m:r>
              <w:rPr>
                <w:rFonts w:ascii="Cambria Math" w:hAnsi="Cambria Math"/>
                <w:sz w:val="22"/>
                <w:szCs w:val="22"/>
              </w:rPr>
              <m:t>I</m:t>
            </m:r>
          </m:sup>
          <m:e>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t</m:t>
                </m:r>
                <m:r>
                  <m:rPr>
                    <m:sty m:val="p"/>
                  </m:rPr>
                  <w:rPr>
                    <w:rFonts w:ascii="Cambria Math" w:hAnsi="Cambria Math"/>
                    <w:sz w:val="22"/>
                    <w:szCs w:val="22"/>
                  </w:rPr>
                  <m:t>,</m:t>
                </m:r>
                <m:r>
                  <w:rPr>
                    <w:rFonts w:ascii="Cambria Math" w:hAnsi="Cambria Math"/>
                    <w:sz w:val="22"/>
                    <w:szCs w:val="22"/>
                  </w:rPr>
                  <m:t>i</m:t>
                </m:r>
              </m:sub>
            </m:sSub>
          </m:e>
        </m:nary>
      </m:oMath>
      <w:r w:rsidRPr="00695963">
        <w:rPr>
          <w:sz w:val="22"/>
          <w:szCs w:val="22"/>
        </w:rPr>
        <w:t>),</w:t>
      </w:r>
      <w:r w:rsidRPr="00695963">
        <w:rPr>
          <w:rFonts w:eastAsia="Arial"/>
          <w:color w:val="000000"/>
          <w:sz w:val="22"/>
          <w:szCs w:val="22"/>
        </w:rPr>
        <w:t xml:space="preserve"> respectively. However, as the ARI d</w:t>
      </w:r>
      <w:r w:rsidRPr="55140EE9">
        <w:rPr>
          <w:rFonts w:eastAsia="Arial"/>
          <w:color w:val="000000"/>
          <w:sz w:val="22"/>
          <w:szCs w:val="22"/>
        </w:rPr>
        <w:t xml:space="preserve">ata tagged fish down to 220 mm (2+) for both species, we needed to recalculate the adult population size in the MODEL for both species. As the sampling surveys for all datasets were aligned to late autumn/early winter, most 1+ fish would have been excluded from the fish counts used in the NSW and ARI datasets. Therefore, it </w:t>
      </w:r>
      <w:r>
        <w:rPr>
          <w:rFonts w:eastAsia="Arial"/>
          <w:color w:val="000000"/>
          <w:sz w:val="22"/>
          <w:szCs w:val="22"/>
        </w:rPr>
        <w:t xml:space="preserve">is </w:t>
      </w:r>
      <w:r w:rsidRPr="55140EE9">
        <w:rPr>
          <w:rFonts w:eastAsia="Arial"/>
          <w:color w:val="000000"/>
          <w:sz w:val="22"/>
          <w:szCs w:val="22"/>
        </w:rPr>
        <w:t xml:space="preserve">likely that the surveys </w:t>
      </w:r>
      <w:r w:rsidRPr="00695963">
        <w:rPr>
          <w:rFonts w:eastAsia="Arial"/>
          <w:color w:val="000000"/>
          <w:sz w:val="22"/>
          <w:szCs w:val="22"/>
        </w:rPr>
        <w:t>are</w:t>
      </w:r>
      <w:r>
        <w:rPr>
          <w:rFonts w:eastAsia="Arial"/>
          <w:color w:val="000000"/>
          <w:sz w:val="22"/>
          <w:szCs w:val="22"/>
        </w:rPr>
        <w:t xml:space="preserve"> </w:t>
      </w:r>
      <w:r w:rsidRPr="00B119E7">
        <w:rPr>
          <w:sz w:val="22"/>
          <w:szCs w:val="22"/>
        </w:rPr>
        <w:t>missing</w:t>
      </w:r>
      <w:r w:rsidRPr="008B28D6">
        <w:rPr>
          <w:sz w:val="22"/>
        </w:rPr>
        <w:t xml:space="preserve"> most of the </w:t>
      </w:r>
      <m:oMath>
        <m:sSub>
          <m:sSubPr>
            <m:ctrlPr>
              <w:rPr>
                <w:rFonts w:ascii="Cambria Math" w:hAnsi="Cambria Math"/>
                <w:sz w:val="22"/>
                <w:szCs w:val="22"/>
              </w:rPr>
            </m:ctrlPr>
          </m:sSubPr>
          <m:e>
            <m:r>
              <w:rPr>
                <w:rFonts w:ascii="Cambria Math" w:hAnsi="Cambria Math"/>
                <w:sz w:val="22"/>
              </w:rPr>
              <m:t>N</m:t>
            </m:r>
          </m:e>
          <m:sub>
            <m:r>
              <w:rPr>
                <w:rFonts w:ascii="Cambria Math" w:hAnsi="Cambria Math"/>
                <w:sz w:val="22"/>
              </w:rPr>
              <m:t>t</m:t>
            </m:r>
            <m:r>
              <m:rPr>
                <m:sty m:val="p"/>
              </m:rPr>
              <w:rPr>
                <w:rFonts w:ascii="Cambria Math" w:hAnsi="Cambria Math"/>
                <w:sz w:val="22"/>
              </w:rPr>
              <m:t>-</m:t>
            </m:r>
            <m:r>
              <w:rPr>
                <w:rFonts w:ascii="Cambria Math" w:hAnsi="Cambria Math"/>
                <w:sz w:val="22"/>
              </w:rPr>
              <m:t>1</m:t>
            </m:r>
            <m:r>
              <m:rPr>
                <m:sty m:val="p"/>
              </m:rPr>
              <w:rPr>
                <w:rFonts w:ascii="Cambria Math" w:hAnsi="Cambria Math"/>
                <w:sz w:val="22"/>
              </w:rPr>
              <m:t>,</m:t>
            </m:r>
            <m:r>
              <w:rPr>
                <w:rFonts w:ascii="Cambria Math" w:hAnsi="Cambria Math"/>
                <w:sz w:val="22"/>
              </w:rPr>
              <m:t>1</m:t>
            </m:r>
          </m:sub>
        </m:sSub>
      </m:oMath>
      <w:r w:rsidRPr="008B28D6">
        <w:rPr>
          <w:sz w:val="22"/>
        </w:rPr>
        <w:t xml:space="preserve"> class represented in the MODEL data (which later becomes the </w:t>
      </w:r>
      <m:oMath>
        <m:sSub>
          <m:sSubPr>
            <m:ctrlPr>
              <w:rPr>
                <w:rFonts w:ascii="Cambria Math" w:hAnsi="Cambria Math"/>
                <w:sz w:val="22"/>
                <w:szCs w:val="22"/>
              </w:rPr>
            </m:ctrlPr>
          </m:sSubPr>
          <m:e>
            <m:r>
              <w:rPr>
                <w:rFonts w:ascii="Cambria Math" w:hAnsi="Cambria Math"/>
                <w:sz w:val="22"/>
              </w:rPr>
              <m:t>N</m:t>
            </m:r>
          </m:e>
          <m:sub>
            <m:r>
              <w:rPr>
                <w:rFonts w:ascii="Cambria Math" w:hAnsi="Cambria Math"/>
                <w:sz w:val="22"/>
              </w:rPr>
              <m:t>t</m:t>
            </m:r>
            <m:r>
              <m:rPr>
                <m:sty m:val="p"/>
              </m:rPr>
              <w:rPr>
                <w:rFonts w:ascii="Cambria Math" w:hAnsi="Cambria Math"/>
                <w:sz w:val="22"/>
              </w:rPr>
              <m:t>,</m:t>
            </m:r>
            <m:r>
              <w:rPr>
                <w:rFonts w:ascii="Cambria Math" w:hAnsi="Cambria Math"/>
                <w:sz w:val="22"/>
              </w:rPr>
              <m:t>2</m:t>
            </m:r>
          </m:sub>
        </m:sSub>
      </m:oMath>
      <w:r w:rsidRPr="008B28D6">
        <w:rPr>
          <w:sz w:val="22"/>
        </w:rPr>
        <w:t xml:space="preserve">). Therefore for validation purposes, we re-defined MODEL the ‘adult’ population size as 3 year and older: </w:t>
      </w:r>
      <m:oMath>
        <m:sSub>
          <m:sSubPr>
            <m:ctrlPr>
              <w:rPr>
                <w:rFonts w:ascii="Cambria Math" w:hAnsi="Cambria Math"/>
                <w:sz w:val="22"/>
                <w:szCs w:val="22"/>
              </w:rPr>
            </m:ctrlPr>
          </m:sSubPr>
          <m:e>
            <m:r>
              <w:rPr>
                <w:rFonts w:ascii="Cambria Math" w:hAnsi="Cambria Math"/>
                <w:sz w:val="22"/>
              </w:rPr>
              <m:t>N</m:t>
            </m:r>
          </m:e>
          <m:sub>
            <m:r>
              <w:rPr>
                <w:rFonts w:ascii="Cambria Math" w:hAnsi="Cambria Math"/>
                <w:sz w:val="22"/>
              </w:rPr>
              <m:t>t</m:t>
            </m:r>
            <m:r>
              <m:rPr>
                <m:sty m:val="p"/>
              </m:rPr>
              <w:rPr>
                <w:rFonts w:ascii="Cambria Math" w:hAnsi="Cambria Math"/>
                <w:sz w:val="22"/>
              </w:rPr>
              <m:t>,</m:t>
            </m:r>
            <m:r>
              <w:rPr>
                <w:rFonts w:ascii="Cambria Math" w:hAnsi="Cambria Math"/>
                <w:sz w:val="22"/>
              </w:rPr>
              <m:t>adult</m:t>
            </m:r>
          </m:sub>
        </m:sSub>
        <m:r>
          <m:rPr>
            <m:sty m:val="p"/>
          </m:rPr>
          <w:rPr>
            <w:rFonts w:ascii="Cambria Math" w:hAnsi="Cambria Math"/>
            <w:sz w:val="22"/>
          </w:rPr>
          <m:t>=</m:t>
        </m:r>
        <m:nary>
          <m:naryPr>
            <m:chr m:val="∑"/>
            <m:limLoc m:val="undOvr"/>
            <m:ctrlPr>
              <w:rPr>
                <w:rFonts w:ascii="Cambria Math" w:hAnsi="Cambria Math"/>
                <w:sz w:val="22"/>
                <w:szCs w:val="22"/>
              </w:rPr>
            </m:ctrlPr>
          </m:naryPr>
          <m:sub>
            <m:r>
              <w:rPr>
                <w:rFonts w:ascii="Cambria Math" w:hAnsi="Cambria Math"/>
                <w:sz w:val="22"/>
              </w:rPr>
              <m:t>i</m:t>
            </m:r>
            <m:r>
              <m:rPr>
                <m:sty m:val="p"/>
              </m:rPr>
              <w:rPr>
                <w:rFonts w:ascii="Cambria Math" w:hAnsi="Cambria Math"/>
                <w:sz w:val="22"/>
              </w:rPr>
              <m:t>=</m:t>
            </m:r>
            <m:r>
              <w:rPr>
                <w:rFonts w:ascii="Cambria Math" w:hAnsi="Cambria Math"/>
                <w:sz w:val="22"/>
              </w:rPr>
              <m:t>3</m:t>
            </m:r>
          </m:sub>
          <m:sup>
            <m:r>
              <w:rPr>
                <w:rFonts w:ascii="Cambria Math" w:hAnsi="Cambria Math"/>
                <w:sz w:val="22"/>
              </w:rPr>
              <m:t>I</m:t>
            </m:r>
          </m:sup>
          <m:e>
            <m:sSub>
              <m:sSubPr>
                <m:ctrlPr>
                  <w:rPr>
                    <w:rFonts w:ascii="Cambria Math" w:hAnsi="Cambria Math"/>
                    <w:sz w:val="22"/>
                    <w:szCs w:val="22"/>
                  </w:rPr>
                </m:ctrlPr>
              </m:sSubPr>
              <m:e>
                <m:r>
                  <w:rPr>
                    <w:rFonts w:ascii="Cambria Math" w:hAnsi="Cambria Math"/>
                    <w:sz w:val="22"/>
                  </w:rPr>
                  <m:t>N</m:t>
                </m:r>
              </m:e>
              <m:sub>
                <m:r>
                  <w:rPr>
                    <w:rFonts w:ascii="Cambria Math" w:hAnsi="Cambria Math"/>
                    <w:sz w:val="22"/>
                  </w:rPr>
                  <m:t>t</m:t>
                </m:r>
                <m:r>
                  <m:rPr>
                    <m:sty m:val="p"/>
                  </m:rPr>
                  <w:rPr>
                    <w:rFonts w:ascii="Cambria Math" w:hAnsi="Cambria Math"/>
                    <w:sz w:val="22"/>
                  </w:rPr>
                  <m:t>,</m:t>
                </m:r>
                <m:r>
                  <w:rPr>
                    <w:rFonts w:ascii="Cambria Math" w:hAnsi="Cambria Math"/>
                    <w:sz w:val="22"/>
                  </w:rPr>
                  <m:t>i</m:t>
                </m:r>
              </m:sub>
            </m:sSub>
          </m:e>
        </m:nary>
      </m:oMath>
      <w:r w:rsidRPr="008B28D6">
        <w:rPr>
          <w:sz w:val="22"/>
        </w:rPr>
        <w:t>.</w:t>
      </w:r>
    </w:p>
    <w:p w14:paraId="1A7725A7" w14:textId="5BCBE151" w:rsidR="00491210" w:rsidRDefault="003E1401" w:rsidP="3FC79A6E">
      <w:r>
        <w:rPr>
          <w:noProof/>
          <w:lang w:eastAsia="en-AU"/>
        </w:rPr>
        <w:t xml:space="preserve"> </w:t>
      </w:r>
    </w:p>
    <w:p w14:paraId="17925804" w14:textId="79A75756" w:rsidR="00491210" w:rsidRDefault="00EE200C" w:rsidP="00F602FE">
      <w:pPr>
        <w:pStyle w:val="AppendixFigureCaption"/>
        <w:rPr>
          <w:rFonts w:eastAsia="Arial"/>
        </w:rPr>
      </w:pPr>
      <w:bookmarkStart w:id="463" w:name="_Ref107996486"/>
      <w:r>
        <w:t>Figure A6.</w:t>
      </w:r>
      <w:r w:rsidRPr="55140EE9">
        <w:rPr>
          <w:noProof/>
        </w:rPr>
        <w:fldChar w:fldCharType="begin"/>
      </w:r>
      <w:r w:rsidRPr="55140EE9">
        <w:rPr>
          <w:noProof/>
        </w:rPr>
        <w:instrText xml:space="preserve"> SEQ Figure_A6. \* ARABIC </w:instrText>
      </w:r>
      <w:r w:rsidRPr="55140EE9">
        <w:rPr>
          <w:noProof/>
        </w:rPr>
        <w:fldChar w:fldCharType="separate"/>
      </w:r>
      <w:r w:rsidR="005B672A">
        <w:rPr>
          <w:noProof/>
        </w:rPr>
        <w:t>1</w:t>
      </w:r>
      <w:r w:rsidRPr="55140EE9">
        <w:rPr>
          <w:noProof/>
        </w:rPr>
        <w:fldChar w:fldCharType="end"/>
      </w:r>
      <w:bookmarkEnd w:id="463"/>
      <w:r>
        <w:t xml:space="preserve">. </w:t>
      </w:r>
      <w:r w:rsidRPr="55140EE9">
        <w:rPr>
          <w:rFonts w:eastAsia="Arial"/>
        </w:rPr>
        <w:t>A) Fish length distributions for Golden Perch from the NSW electrofishing data. The vertical dotted line shows the 220-mm threshold used in the ARI data. Nominal age class categories based on length are provided. B) Age distribution (based on nominal age categories) for Golden Perch.</w:t>
      </w:r>
    </w:p>
    <w:p w14:paraId="5D8DAF49" w14:textId="0B907507" w:rsidR="00491210" w:rsidRDefault="00EE200C" w:rsidP="0015103C">
      <w:pPr>
        <w:pStyle w:val="Heading4"/>
      </w:pPr>
      <w:r>
        <w:t xml:space="preserve">Collection and preparation of the </w:t>
      </w:r>
      <w:r w:rsidRPr="3FC79A6E">
        <w:t>NSW datasets</w:t>
      </w:r>
    </w:p>
    <w:p w14:paraId="3E278F9E" w14:textId="59DE1C5A" w:rsidR="00491210" w:rsidRDefault="00EE200C" w:rsidP="009E15CE">
      <w:pPr>
        <w:spacing w:line="259" w:lineRule="auto"/>
        <w:jc w:val="both"/>
        <w:rPr>
          <w:rFonts w:eastAsia="Arial"/>
          <w:color w:val="000000"/>
          <w:sz w:val="22"/>
          <w:szCs w:val="22"/>
        </w:rPr>
      </w:pPr>
      <w:r w:rsidRPr="3FC79A6E">
        <w:rPr>
          <w:rFonts w:eastAsia="Arial"/>
          <w:color w:val="000000"/>
          <w:sz w:val="22"/>
          <w:szCs w:val="22"/>
        </w:rPr>
        <w:t xml:space="preserve">Datasets were provided by NSW Fisheries, and were collected as part of the </w:t>
      </w:r>
      <w:r>
        <w:rPr>
          <w:rFonts w:eastAsia="Arial"/>
          <w:color w:val="000000"/>
          <w:sz w:val="22"/>
          <w:szCs w:val="22"/>
        </w:rPr>
        <w:t xml:space="preserve">Murray–Darling Basin Commission </w:t>
      </w:r>
      <w:r w:rsidRPr="3FC79A6E">
        <w:rPr>
          <w:rFonts w:eastAsia="Arial"/>
          <w:color w:val="000000"/>
          <w:sz w:val="22"/>
          <w:szCs w:val="22"/>
        </w:rPr>
        <w:t xml:space="preserve">Sustainable Rivers Audit </w:t>
      </w:r>
      <w:r>
        <w:rPr>
          <w:rFonts w:eastAsia="Arial"/>
          <w:color w:val="000000"/>
          <w:sz w:val="22"/>
          <w:szCs w:val="22"/>
        </w:rPr>
        <w:t xml:space="preserve">program </w:t>
      </w:r>
      <w:r w:rsidRPr="3FC79A6E">
        <w:rPr>
          <w:rFonts w:eastAsia="Arial"/>
          <w:color w:val="000000"/>
          <w:sz w:val="22"/>
          <w:szCs w:val="22"/>
        </w:rPr>
        <w:t>(SRA) and Long</w:t>
      </w:r>
      <w:r>
        <w:rPr>
          <w:rFonts w:eastAsia="Arial"/>
          <w:color w:val="000000"/>
          <w:sz w:val="22"/>
          <w:szCs w:val="22"/>
        </w:rPr>
        <w:t>-</w:t>
      </w:r>
      <w:r w:rsidRPr="3FC79A6E">
        <w:rPr>
          <w:rFonts w:eastAsia="Arial"/>
          <w:color w:val="000000"/>
          <w:sz w:val="22"/>
          <w:szCs w:val="22"/>
        </w:rPr>
        <w:t xml:space="preserve">Term Intervention Monitoring </w:t>
      </w:r>
      <w:r>
        <w:rPr>
          <w:rFonts w:eastAsia="Arial"/>
          <w:color w:val="000000"/>
          <w:sz w:val="22"/>
          <w:szCs w:val="22"/>
        </w:rPr>
        <w:t>p</w:t>
      </w:r>
      <w:r w:rsidRPr="3FC79A6E">
        <w:rPr>
          <w:rFonts w:eastAsia="Arial"/>
          <w:color w:val="000000"/>
          <w:sz w:val="22"/>
          <w:szCs w:val="22"/>
        </w:rPr>
        <w:t>roject (LTIM). Sampling for the SRA project involved 12 replicate 90-s boat electrofishing operations (7.5</w:t>
      </w:r>
      <w:r>
        <w:rPr>
          <w:rFonts w:eastAsia="Arial"/>
          <w:color w:val="000000"/>
          <w:sz w:val="22"/>
          <w:szCs w:val="22"/>
        </w:rPr>
        <w:t> </w:t>
      </w:r>
      <w:r w:rsidRPr="3FC79A6E">
        <w:rPr>
          <w:rFonts w:eastAsia="Arial"/>
          <w:color w:val="000000"/>
          <w:sz w:val="22"/>
          <w:szCs w:val="22"/>
        </w:rPr>
        <w:t>kW Smith-Root model GPP 7.5</w:t>
      </w:r>
      <w:r>
        <w:rPr>
          <w:rFonts w:eastAsia="Arial"/>
          <w:color w:val="000000"/>
          <w:sz w:val="22"/>
          <w:szCs w:val="22"/>
        </w:rPr>
        <w:t> </w:t>
      </w:r>
      <w:r w:rsidRPr="3FC79A6E">
        <w:rPr>
          <w:rFonts w:eastAsia="Arial"/>
          <w:color w:val="000000"/>
          <w:sz w:val="22"/>
          <w:szCs w:val="22"/>
        </w:rPr>
        <w:t>H/L boat mounted</w:t>
      </w:r>
      <w:r>
        <w:rPr>
          <w:rFonts w:eastAsia="Arial"/>
          <w:color w:val="000000"/>
          <w:sz w:val="22"/>
          <w:szCs w:val="22"/>
        </w:rPr>
        <w:t>)</w:t>
      </w:r>
      <w:r w:rsidRPr="3FC79A6E">
        <w:rPr>
          <w:rFonts w:eastAsia="Arial"/>
          <w:color w:val="000000"/>
          <w:sz w:val="22"/>
          <w:szCs w:val="22"/>
        </w:rPr>
        <w:t>, and sampling for the LTIM project involved boat-electrofishing (</w:t>
      </w:r>
      <w:r w:rsidRPr="004B167E">
        <w:rPr>
          <w:rFonts w:eastAsia="Arial"/>
          <w:i/>
          <w:color w:val="000000"/>
          <w:sz w:val="22"/>
          <w:szCs w:val="22"/>
        </w:rPr>
        <w:t>n</w:t>
      </w:r>
      <w:r>
        <w:rPr>
          <w:rFonts w:eastAsia="Arial"/>
          <w:color w:val="000000"/>
          <w:sz w:val="22"/>
          <w:szCs w:val="22"/>
        </w:rPr>
        <w:t> </w:t>
      </w:r>
      <w:r w:rsidRPr="3FC79A6E">
        <w:rPr>
          <w:rFonts w:eastAsia="Arial"/>
          <w:color w:val="000000"/>
          <w:sz w:val="22"/>
          <w:szCs w:val="22"/>
        </w:rPr>
        <w:t>=</w:t>
      </w:r>
      <w:r>
        <w:rPr>
          <w:rFonts w:eastAsia="Arial"/>
          <w:color w:val="000000"/>
          <w:sz w:val="22"/>
          <w:szCs w:val="22"/>
        </w:rPr>
        <w:t> </w:t>
      </w:r>
      <w:r w:rsidRPr="3FC79A6E">
        <w:rPr>
          <w:rFonts w:eastAsia="Arial"/>
          <w:color w:val="000000"/>
          <w:sz w:val="22"/>
          <w:szCs w:val="22"/>
        </w:rPr>
        <w:t>32 operations, each consisting of 90</w:t>
      </w:r>
      <w:r>
        <w:rPr>
          <w:rFonts w:eastAsia="Arial"/>
          <w:color w:val="000000"/>
          <w:sz w:val="22"/>
          <w:szCs w:val="22"/>
        </w:rPr>
        <w:t> </w:t>
      </w:r>
      <w:r w:rsidRPr="3FC79A6E">
        <w:rPr>
          <w:rFonts w:eastAsia="Arial"/>
          <w:color w:val="000000"/>
          <w:sz w:val="22"/>
          <w:szCs w:val="22"/>
        </w:rPr>
        <w:t xml:space="preserve">seconds </w:t>
      </w:r>
      <w:r>
        <w:rPr>
          <w:rFonts w:eastAsia="Arial"/>
          <w:color w:val="000000"/>
          <w:sz w:val="22"/>
          <w:szCs w:val="22"/>
        </w:rPr>
        <w:t>‘</w:t>
      </w:r>
      <w:r w:rsidRPr="3FC79A6E">
        <w:rPr>
          <w:rFonts w:eastAsia="Arial"/>
          <w:color w:val="000000"/>
          <w:sz w:val="22"/>
          <w:szCs w:val="22"/>
        </w:rPr>
        <w:t>on-time</w:t>
      </w:r>
      <w:r>
        <w:rPr>
          <w:rFonts w:eastAsia="Arial"/>
          <w:color w:val="000000"/>
          <w:sz w:val="22"/>
          <w:szCs w:val="22"/>
        </w:rPr>
        <w:t>’</w:t>
      </w:r>
      <w:r w:rsidRPr="3FC79A6E">
        <w:rPr>
          <w:rFonts w:eastAsia="Arial"/>
          <w:color w:val="000000"/>
          <w:sz w:val="22"/>
          <w:szCs w:val="22"/>
        </w:rPr>
        <w:t>).</w:t>
      </w:r>
    </w:p>
    <w:p w14:paraId="3F939BFE" w14:textId="495432E2" w:rsidR="00491210" w:rsidRPr="00ED6E46" w:rsidRDefault="00EE200C" w:rsidP="009E15CE">
      <w:pPr>
        <w:spacing w:line="259" w:lineRule="auto"/>
        <w:jc w:val="both"/>
        <w:rPr>
          <w:rFonts w:eastAsia="Arial"/>
          <w:color w:val="000000"/>
          <w:sz w:val="22"/>
          <w:szCs w:val="22"/>
        </w:rPr>
      </w:pPr>
      <w:r w:rsidRPr="00ED6E46">
        <w:rPr>
          <w:rFonts w:eastAsia="Arial"/>
          <w:color w:val="000000"/>
          <w:sz w:val="22"/>
          <w:szCs w:val="22"/>
        </w:rPr>
        <w:t>Before analysis, we prepared the NSW data through a series of steps:</w:t>
      </w:r>
    </w:p>
    <w:p w14:paraId="32FB8536" w14:textId="1B08C39F" w:rsidR="00491210" w:rsidRPr="00ED6E46" w:rsidRDefault="00EE200C">
      <w:pPr>
        <w:pStyle w:val="ListParagraph"/>
        <w:numPr>
          <w:ilvl w:val="0"/>
          <w:numId w:val="1"/>
        </w:numPr>
        <w:spacing w:after="200"/>
        <w:rPr>
          <w:rFonts w:ascii="Arial" w:eastAsia="Arial" w:hAnsi="Arial"/>
          <w:color w:val="000000"/>
          <w:sz w:val="22"/>
          <w:szCs w:val="22"/>
        </w:rPr>
      </w:pPr>
      <w:r w:rsidRPr="00ED6E46">
        <w:rPr>
          <w:rFonts w:ascii="Arial" w:eastAsia="Arial" w:hAnsi="Arial"/>
          <w:color w:val="000000"/>
          <w:sz w:val="22"/>
          <w:szCs w:val="22"/>
        </w:rPr>
        <w:t>We assigned sampling sites to their population area and omitted any sites not within a population boundary.</w:t>
      </w:r>
    </w:p>
    <w:p w14:paraId="506A302E" w14:textId="4CA8BFE5" w:rsidR="00491210" w:rsidRPr="00ED6E46" w:rsidRDefault="00EE200C">
      <w:pPr>
        <w:pStyle w:val="ListParagraph"/>
        <w:numPr>
          <w:ilvl w:val="0"/>
          <w:numId w:val="1"/>
        </w:numPr>
        <w:spacing w:after="200"/>
        <w:rPr>
          <w:rFonts w:ascii="Arial" w:eastAsia="Arial" w:hAnsi="Arial"/>
          <w:color w:val="000000"/>
          <w:sz w:val="22"/>
          <w:szCs w:val="22"/>
        </w:rPr>
      </w:pPr>
      <w:r w:rsidRPr="00ED6E46">
        <w:rPr>
          <w:rFonts w:ascii="Arial" w:eastAsia="Arial" w:hAnsi="Arial"/>
          <w:color w:val="000000"/>
          <w:sz w:val="22"/>
          <w:szCs w:val="22"/>
        </w:rPr>
        <w:lastRenderedPageBreak/>
        <w:t>We only kept river sites, because these sites were the majority of the sites sampled and hence provided a more comparable dataset.</w:t>
      </w:r>
    </w:p>
    <w:p w14:paraId="528B2E13" w14:textId="049DF596" w:rsidR="00491210" w:rsidRPr="00ED6E46" w:rsidRDefault="00EE200C">
      <w:pPr>
        <w:pStyle w:val="ListParagraph"/>
        <w:numPr>
          <w:ilvl w:val="0"/>
          <w:numId w:val="1"/>
        </w:numPr>
        <w:spacing w:after="200"/>
        <w:rPr>
          <w:rFonts w:ascii="Arial" w:eastAsia="Arial" w:hAnsi="Arial"/>
          <w:color w:val="000000"/>
          <w:sz w:val="22"/>
          <w:szCs w:val="22"/>
        </w:rPr>
      </w:pPr>
      <w:r w:rsidRPr="00ED6E46">
        <w:rPr>
          <w:rFonts w:ascii="Arial" w:eastAsia="Arial" w:hAnsi="Arial"/>
          <w:color w:val="000000"/>
          <w:sz w:val="22"/>
          <w:szCs w:val="22"/>
        </w:rPr>
        <w:t>We only kept sampling dates between March and August, to better align the population dynami</w:t>
      </w:r>
      <w:r>
        <w:rPr>
          <w:rFonts w:ascii="Arial" w:eastAsia="Arial" w:hAnsi="Arial"/>
          <w:color w:val="000000"/>
          <w:sz w:val="22"/>
          <w:szCs w:val="22"/>
        </w:rPr>
        <w:t>cs</w:t>
      </w:r>
      <w:r w:rsidRPr="00ED6E46">
        <w:rPr>
          <w:rFonts w:ascii="Arial" w:eastAsia="Arial" w:hAnsi="Arial"/>
          <w:color w:val="000000"/>
          <w:sz w:val="22"/>
          <w:szCs w:val="22"/>
        </w:rPr>
        <w:t xml:space="preserve"> with those of the population model (see </w:t>
      </w:r>
      <w:r>
        <w:rPr>
          <w:rFonts w:ascii="Arial" w:eastAsia="Arial" w:hAnsi="Arial"/>
          <w:color w:val="000000"/>
          <w:sz w:val="22"/>
          <w:szCs w:val="22"/>
        </w:rPr>
        <w:t>section</w:t>
      </w:r>
      <w:r w:rsidRPr="00ED6E46">
        <w:rPr>
          <w:rFonts w:ascii="Arial" w:eastAsia="Arial" w:hAnsi="Arial"/>
          <w:color w:val="000000"/>
          <w:sz w:val="22"/>
          <w:szCs w:val="22"/>
        </w:rPr>
        <w:t xml:space="preserve"> </w:t>
      </w:r>
      <w:r>
        <w:rPr>
          <w:rFonts w:ascii="Arial" w:eastAsia="Arial" w:hAnsi="Arial"/>
          <w:color w:val="000000"/>
          <w:sz w:val="22"/>
          <w:szCs w:val="22"/>
        </w:rPr>
        <w:t>previous section</w:t>
      </w:r>
      <w:r w:rsidRPr="00ED6E46">
        <w:rPr>
          <w:rFonts w:ascii="Arial" w:eastAsia="Arial" w:hAnsi="Arial"/>
          <w:color w:val="000000"/>
          <w:sz w:val="22"/>
          <w:szCs w:val="22"/>
        </w:rPr>
        <w:t xml:space="preserve"> for more on sampling alignment).</w:t>
      </w:r>
    </w:p>
    <w:p w14:paraId="555C9E3E" w14:textId="07577055" w:rsidR="00491210" w:rsidRPr="00ED6E46" w:rsidRDefault="00EE200C">
      <w:pPr>
        <w:pStyle w:val="ListParagraph"/>
        <w:numPr>
          <w:ilvl w:val="0"/>
          <w:numId w:val="1"/>
        </w:numPr>
        <w:spacing w:after="200"/>
        <w:rPr>
          <w:rFonts w:ascii="Arial" w:eastAsia="Arial" w:hAnsi="Arial"/>
          <w:color w:val="000000"/>
          <w:sz w:val="22"/>
          <w:szCs w:val="22"/>
        </w:rPr>
      </w:pPr>
      <w:r w:rsidRPr="00ED6E46">
        <w:rPr>
          <w:rFonts w:ascii="Arial" w:eastAsia="Arial" w:hAnsi="Arial"/>
          <w:color w:val="000000"/>
          <w:sz w:val="22"/>
          <w:szCs w:val="22"/>
        </w:rPr>
        <w:t>We only kept sites for which there were ≥5 years of repeated sampling, to provide a population trajectory more comparable with that of the model.</w:t>
      </w:r>
    </w:p>
    <w:p w14:paraId="33B615D6" w14:textId="6EEC0341" w:rsidR="00491210" w:rsidRPr="00ED6E46" w:rsidRDefault="00EE200C">
      <w:pPr>
        <w:pStyle w:val="ListParagraph"/>
        <w:numPr>
          <w:ilvl w:val="0"/>
          <w:numId w:val="1"/>
        </w:numPr>
        <w:spacing w:after="200"/>
        <w:rPr>
          <w:rFonts w:ascii="Arial" w:eastAsia="Arial" w:hAnsi="Arial"/>
          <w:color w:val="000000"/>
          <w:sz w:val="22"/>
          <w:szCs w:val="22"/>
        </w:rPr>
      </w:pPr>
      <w:r w:rsidRPr="00ED6E46">
        <w:rPr>
          <w:rFonts w:ascii="Arial" w:eastAsia="Arial" w:hAnsi="Arial"/>
          <w:color w:val="000000"/>
          <w:sz w:val="22"/>
          <w:szCs w:val="22"/>
        </w:rPr>
        <w:t>We kept years in which we had ≥2 sites and ≥2 consecutive years (to allow estimation of the annual growth rate).</w:t>
      </w:r>
    </w:p>
    <w:p w14:paraId="3CA510FC" w14:textId="2A75F74E" w:rsidR="00491210" w:rsidRPr="00ED6E46" w:rsidRDefault="00EE200C">
      <w:pPr>
        <w:pStyle w:val="ListParagraph"/>
        <w:numPr>
          <w:ilvl w:val="0"/>
          <w:numId w:val="1"/>
        </w:numPr>
        <w:spacing w:after="200"/>
        <w:rPr>
          <w:rFonts w:ascii="Arial" w:eastAsia="Arial" w:hAnsi="Arial"/>
          <w:color w:val="000000"/>
          <w:sz w:val="22"/>
          <w:szCs w:val="22"/>
        </w:rPr>
      </w:pPr>
      <w:r w:rsidRPr="00ED6E46">
        <w:rPr>
          <w:rFonts w:ascii="Arial" w:eastAsia="Arial" w:hAnsi="Arial"/>
          <w:color w:val="000000"/>
          <w:sz w:val="22"/>
          <w:szCs w:val="22"/>
        </w:rPr>
        <w:t>We omitted any sites in which fewer than 10 fish were caught over the 5+ years.</w:t>
      </w:r>
    </w:p>
    <w:p w14:paraId="7ED56EB5" w14:textId="22E55B15" w:rsidR="00491210" w:rsidRPr="00ED6E46" w:rsidRDefault="00EE200C">
      <w:pPr>
        <w:pStyle w:val="ListParagraph"/>
        <w:numPr>
          <w:ilvl w:val="0"/>
          <w:numId w:val="1"/>
        </w:numPr>
        <w:spacing w:after="200"/>
        <w:rPr>
          <w:rFonts w:ascii="Arial" w:eastAsia="Arial" w:hAnsi="Arial"/>
          <w:color w:val="000000"/>
          <w:sz w:val="22"/>
          <w:szCs w:val="22"/>
        </w:rPr>
      </w:pPr>
      <w:r w:rsidRPr="00ED6E46">
        <w:rPr>
          <w:rFonts w:ascii="Arial" w:eastAsia="Arial" w:hAnsi="Arial"/>
          <w:color w:val="000000"/>
          <w:sz w:val="22"/>
          <w:szCs w:val="22"/>
        </w:rPr>
        <w:t>Finally, having identified the focal years, we added in any sites that had 3+ years of consecutive data in the focal years.</w:t>
      </w:r>
    </w:p>
    <w:p w14:paraId="7A4DD193" w14:textId="5A6EBE2A" w:rsidR="00491210" w:rsidRDefault="00EE200C" w:rsidP="009E15CE">
      <w:pPr>
        <w:spacing w:line="259" w:lineRule="auto"/>
        <w:jc w:val="both"/>
        <w:rPr>
          <w:rFonts w:eastAsia="Arial"/>
          <w:color w:val="000000"/>
          <w:sz w:val="22"/>
          <w:szCs w:val="22"/>
        </w:rPr>
      </w:pPr>
      <w:r w:rsidRPr="00ED6E46">
        <w:rPr>
          <w:rFonts w:eastAsia="Arial"/>
          <w:color w:val="000000"/>
          <w:sz w:val="22"/>
          <w:szCs w:val="22"/>
        </w:rPr>
        <w:t xml:space="preserve">The final dataset is summarized in </w:t>
      </w:r>
      <w:r w:rsidRPr="00E2785E">
        <w:rPr>
          <w:rFonts w:eastAsia="Arial"/>
          <w:color w:val="000000"/>
          <w:sz w:val="22"/>
          <w:szCs w:val="22"/>
        </w:rPr>
        <w:fldChar w:fldCharType="begin"/>
      </w:r>
      <w:r w:rsidRPr="00ED6E46">
        <w:rPr>
          <w:rFonts w:eastAsia="Arial"/>
          <w:color w:val="000000"/>
          <w:sz w:val="22"/>
          <w:szCs w:val="22"/>
        </w:rPr>
        <w:instrText xml:space="preserve"> REF _Ref107996297 \h  \* MERGEFORMAT </w:instrText>
      </w:r>
      <w:r w:rsidRPr="00E2785E">
        <w:rPr>
          <w:rFonts w:eastAsia="Arial"/>
          <w:color w:val="000000"/>
          <w:sz w:val="22"/>
          <w:szCs w:val="22"/>
        </w:rPr>
      </w:r>
      <w:r w:rsidRPr="00E2785E">
        <w:rPr>
          <w:rFonts w:eastAsia="Arial"/>
          <w:color w:val="000000"/>
          <w:sz w:val="22"/>
          <w:szCs w:val="22"/>
        </w:rPr>
        <w:fldChar w:fldCharType="separate"/>
      </w:r>
      <w:r w:rsidR="005B672A" w:rsidRPr="005B672A">
        <w:rPr>
          <w:rFonts w:eastAsia="Arial"/>
          <w:color w:val="000000"/>
          <w:sz w:val="22"/>
          <w:szCs w:val="22"/>
        </w:rPr>
        <w:t>Table A6.1</w:t>
      </w:r>
      <w:r w:rsidRPr="00E2785E">
        <w:rPr>
          <w:rFonts w:eastAsia="Arial"/>
          <w:color w:val="000000"/>
          <w:sz w:val="22"/>
          <w:szCs w:val="22"/>
        </w:rPr>
        <w:fldChar w:fldCharType="end"/>
      </w:r>
      <w:r w:rsidRPr="00ED6E46">
        <w:rPr>
          <w:rFonts w:eastAsia="Arial"/>
          <w:color w:val="000000"/>
          <w:sz w:val="22"/>
          <w:szCs w:val="22"/>
        </w:rPr>
        <w:t>.</w:t>
      </w:r>
    </w:p>
    <w:p w14:paraId="5D890782" w14:textId="77777777" w:rsidR="00491210" w:rsidRPr="009E15CE" w:rsidRDefault="00491210" w:rsidP="007D64CE">
      <w:pPr>
        <w:spacing w:line="259" w:lineRule="auto"/>
        <w:jc w:val="both"/>
        <w:rPr>
          <w:rFonts w:eastAsia="Arial"/>
          <w:color w:val="000000"/>
          <w:sz w:val="22"/>
          <w:szCs w:val="22"/>
        </w:rPr>
      </w:pPr>
    </w:p>
    <w:p w14:paraId="6CF1FB43" w14:textId="6F3CDFE2" w:rsidR="00491210" w:rsidRPr="00EA2CBF" w:rsidRDefault="00EE200C" w:rsidP="007D64CE">
      <w:pPr>
        <w:pStyle w:val="AppendixTableCaption"/>
        <w:rPr>
          <w:rFonts w:eastAsia="Arial"/>
        </w:rPr>
      </w:pPr>
      <w:bookmarkStart w:id="464" w:name="_Ref107996297"/>
      <w:r>
        <w:t>Table A6.</w:t>
      </w:r>
      <w:r>
        <w:rPr>
          <w:noProof/>
        </w:rPr>
        <w:fldChar w:fldCharType="begin"/>
      </w:r>
      <w:r>
        <w:rPr>
          <w:noProof/>
        </w:rPr>
        <w:instrText xml:space="preserve"> SEQ Table_A6. \* ARABIC </w:instrText>
      </w:r>
      <w:r>
        <w:rPr>
          <w:noProof/>
        </w:rPr>
        <w:fldChar w:fldCharType="separate"/>
      </w:r>
      <w:r w:rsidR="005B672A">
        <w:rPr>
          <w:noProof/>
        </w:rPr>
        <w:t>1</w:t>
      </w:r>
      <w:r>
        <w:rPr>
          <w:noProof/>
        </w:rPr>
        <w:fldChar w:fldCharType="end"/>
      </w:r>
      <w:bookmarkEnd w:id="464"/>
      <w:r>
        <w:t xml:space="preserve">. </w:t>
      </w:r>
      <w:r w:rsidRPr="3FC79A6E">
        <w:rPr>
          <w:rFonts w:eastAsia="Arial"/>
        </w:rPr>
        <w:t xml:space="preserve">Summary of NSW data kept for Golden </w:t>
      </w:r>
      <w:r>
        <w:rPr>
          <w:rFonts w:eastAsia="Arial"/>
        </w:rPr>
        <w:t>P</w:t>
      </w:r>
      <w:r w:rsidRPr="3FC79A6E">
        <w:rPr>
          <w:rFonts w:eastAsia="Arial"/>
        </w:rPr>
        <w:t xml:space="preserve">erch and Murray </w:t>
      </w:r>
      <w:r>
        <w:rPr>
          <w:rFonts w:eastAsia="Arial"/>
        </w:rPr>
        <w:t>C</w:t>
      </w:r>
      <w:r w:rsidRPr="3FC79A6E">
        <w:rPr>
          <w:rFonts w:eastAsia="Arial"/>
        </w:rPr>
        <w:t xml:space="preserve">od for the analyses. </w:t>
      </w:r>
      <w:r w:rsidRPr="00EA2CBF">
        <w:rPr>
          <w:rFonts w:eastAsia="Arial"/>
        </w:rPr>
        <w:t>Note, the number of sites and years can differ between species due to sites being dropped due to insufficient catches (e.g. at some sites Golden Perch were caught, but not Murray Cod).</w:t>
      </w:r>
    </w:p>
    <w:tbl>
      <w:tblPr>
        <w:tblStyle w:val="TableGrid"/>
        <w:tblW w:w="0" w:type="auto"/>
        <w:tblLayout w:type="fixed"/>
        <w:tblLook w:val="04A0" w:firstRow="1" w:lastRow="0" w:firstColumn="1" w:lastColumn="0" w:noHBand="0" w:noVBand="1"/>
      </w:tblPr>
      <w:tblGrid>
        <w:gridCol w:w="3822"/>
        <w:gridCol w:w="1441"/>
        <w:gridCol w:w="1319"/>
        <w:gridCol w:w="981"/>
        <w:gridCol w:w="1059"/>
        <w:gridCol w:w="1017"/>
      </w:tblGrid>
      <w:tr w:rsidR="007D64CE" w:rsidRPr="009033F6" w14:paraId="670D43CB" w14:textId="77777777" w:rsidTr="00237BBD">
        <w:trPr>
          <w:trHeight w:val="405"/>
        </w:trPr>
        <w:tc>
          <w:tcPr>
            <w:tcW w:w="3822" w:type="dxa"/>
            <w:tcBorders>
              <w:top w:val="single" w:sz="6" w:space="0" w:color="00B2A9" w:themeColor="accent1"/>
              <w:left w:val="nil"/>
              <w:bottom w:val="single" w:sz="6" w:space="0" w:color="00B2A9" w:themeColor="accent1"/>
              <w:right w:val="nil"/>
            </w:tcBorders>
            <w:shd w:val="clear" w:color="auto" w:fill="00B2A9" w:themeFill="accent1"/>
          </w:tcPr>
          <w:p w14:paraId="1A412EE8" w14:textId="77777777" w:rsidR="00491210" w:rsidRPr="00A20590" w:rsidRDefault="00EE200C" w:rsidP="00237BBD">
            <w:pPr>
              <w:pStyle w:val="Tableheadingtext"/>
              <w:rPr>
                <w:rFonts w:eastAsia="Arial"/>
                <w:bCs/>
                <w:szCs w:val="20"/>
              </w:rPr>
            </w:pPr>
            <w:r w:rsidRPr="00A20590">
              <w:rPr>
                <w:rFonts w:eastAsia="Arial"/>
                <w:bCs/>
                <w:szCs w:val="20"/>
              </w:rPr>
              <w:t>Population name</w:t>
            </w:r>
          </w:p>
        </w:tc>
        <w:tc>
          <w:tcPr>
            <w:tcW w:w="1441" w:type="dxa"/>
            <w:tcBorders>
              <w:top w:val="single" w:sz="6" w:space="0" w:color="00B2A9" w:themeColor="accent1"/>
              <w:left w:val="nil"/>
              <w:bottom w:val="single" w:sz="6" w:space="0" w:color="00B2A9" w:themeColor="accent1"/>
              <w:right w:val="nil"/>
            </w:tcBorders>
            <w:shd w:val="clear" w:color="auto" w:fill="00B2A9" w:themeFill="accent1"/>
          </w:tcPr>
          <w:p w14:paraId="51B12D9B" w14:textId="77777777" w:rsidR="00491210" w:rsidRPr="00A20590" w:rsidRDefault="00EE200C" w:rsidP="00237BBD">
            <w:pPr>
              <w:pStyle w:val="Tableheadingtext"/>
              <w:jc w:val="center"/>
              <w:rPr>
                <w:rFonts w:eastAsia="Arial"/>
                <w:bCs/>
                <w:szCs w:val="20"/>
              </w:rPr>
            </w:pPr>
            <w:r w:rsidRPr="00A20590">
              <w:rPr>
                <w:rFonts w:eastAsia="Arial"/>
                <w:bCs/>
                <w:szCs w:val="20"/>
              </w:rPr>
              <w:t>Species</w:t>
            </w:r>
          </w:p>
        </w:tc>
        <w:tc>
          <w:tcPr>
            <w:tcW w:w="1319" w:type="dxa"/>
            <w:tcBorders>
              <w:top w:val="single" w:sz="6" w:space="0" w:color="00B2A9" w:themeColor="accent1"/>
              <w:left w:val="nil"/>
              <w:bottom w:val="single" w:sz="6" w:space="0" w:color="00B2A9" w:themeColor="accent1"/>
              <w:right w:val="nil"/>
            </w:tcBorders>
            <w:shd w:val="clear" w:color="auto" w:fill="00B2A9" w:themeFill="accent1"/>
          </w:tcPr>
          <w:p w14:paraId="152F7D69" w14:textId="77777777" w:rsidR="00491210" w:rsidRPr="00A20590" w:rsidRDefault="00EE200C" w:rsidP="00237BBD">
            <w:pPr>
              <w:pStyle w:val="Tableheadingtext"/>
              <w:jc w:val="center"/>
              <w:rPr>
                <w:rFonts w:eastAsia="Arial"/>
                <w:bCs/>
                <w:szCs w:val="20"/>
              </w:rPr>
            </w:pPr>
            <w:r w:rsidRPr="00A20590">
              <w:rPr>
                <w:rFonts w:eastAsia="Arial"/>
                <w:bCs/>
                <w:szCs w:val="20"/>
              </w:rPr>
              <w:t>Year range</w:t>
            </w:r>
          </w:p>
        </w:tc>
        <w:tc>
          <w:tcPr>
            <w:tcW w:w="981" w:type="dxa"/>
            <w:tcBorders>
              <w:top w:val="single" w:sz="6" w:space="0" w:color="00B2A9" w:themeColor="accent1"/>
              <w:left w:val="nil"/>
              <w:bottom w:val="single" w:sz="6" w:space="0" w:color="00B2A9" w:themeColor="accent1"/>
              <w:right w:val="nil"/>
            </w:tcBorders>
            <w:shd w:val="clear" w:color="auto" w:fill="00B2A9" w:themeFill="accent1"/>
          </w:tcPr>
          <w:p w14:paraId="59EAE069" w14:textId="77777777" w:rsidR="00491210" w:rsidRPr="00A20590" w:rsidRDefault="00EE200C" w:rsidP="00237BBD">
            <w:pPr>
              <w:pStyle w:val="Tableheadingtext"/>
              <w:jc w:val="center"/>
              <w:rPr>
                <w:rFonts w:eastAsia="Arial"/>
                <w:bCs/>
                <w:szCs w:val="20"/>
              </w:rPr>
            </w:pPr>
            <w:r w:rsidRPr="00A20590">
              <w:rPr>
                <w:rFonts w:eastAsia="Arial"/>
                <w:bCs/>
                <w:szCs w:val="20"/>
              </w:rPr>
              <w:t>No. sites</w:t>
            </w:r>
          </w:p>
        </w:tc>
        <w:tc>
          <w:tcPr>
            <w:tcW w:w="1059" w:type="dxa"/>
            <w:tcBorders>
              <w:top w:val="single" w:sz="6" w:space="0" w:color="00B2A9" w:themeColor="accent1"/>
              <w:left w:val="nil"/>
              <w:bottom w:val="single" w:sz="6" w:space="0" w:color="00B2A9" w:themeColor="accent1"/>
              <w:right w:val="nil"/>
            </w:tcBorders>
            <w:shd w:val="clear" w:color="auto" w:fill="00B2A9" w:themeFill="accent1"/>
          </w:tcPr>
          <w:p w14:paraId="22B00FFC" w14:textId="77777777" w:rsidR="00491210" w:rsidRPr="00A20590" w:rsidRDefault="00EE200C" w:rsidP="00237BBD">
            <w:pPr>
              <w:pStyle w:val="Tableheadingtext"/>
              <w:jc w:val="center"/>
              <w:rPr>
                <w:rFonts w:eastAsia="Arial"/>
                <w:bCs/>
                <w:szCs w:val="20"/>
              </w:rPr>
            </w:pPr>
            <w:r w:rsidRPr="00A20590">
              <w:rPr>
                <w:rFonts w:eastAsia="Arial"/>
                <w:bCs/>
                <w:szCs w:val="20"/>
              </w:rPr>
              <w:t>No. years</w:t>
            </w:r>
          </w:p>
        </w:tc>
        <w:tc>
          <w:tcPr>
            <w:tcW w:w="1017" w:type="dxa"/>
            <w:tcBorders>
              <w:top w:val="single" w:sz="6" w:space="0" w:color="00B2A9" w:themeColor="accent1"/>
              <w:left w:val="nil"/>
              <w:bottom w:val="single" w:sz="6" w:space="0" w:color="00B2A9" w:themeColor="accent1"/>
              <w:right w:val="nil"/>
            </w:tcBorders>
            <w:shd w:val="clear" w:color="auto" w:fill="00B2A9" w:themeFill="accent1"/>
          </w:tcPr>
          <w:p w14:paraId="57620957" w14:textId="77777777" w:rsidR="00491210" w:rsidRPr="00A20590" w:rsidRDefault="00EE200C" w:rsidP="00237BBD">
            <w:pPr>
              <w:pStyle w:val="Tableheadingtext"/>
              <w:jc w:val="center"/>
              <w:rPr>
                <w:rFonts w:eastAsia="Arial"/>
                <w:bCs/>
                <w:szCs w:val="20"/>
              </w:rPr>
            </w:pPr>
            <w:r w:rsidRPr="00A20590">
              <w:rPr>
                <w:rFonts w:eastAsia="Arial"/>
                <w:bCs/>
                <w:szCs w:val="20"/>
              </w:rPr>
              <w:t>Total fish</w:t>
            </w:r>
          </w:p>
        </w:tc>
      </w:tr>
      <w:tr w:rsidR="007D64CE" w:rsidRPr="009033F6" w14:paraId="55D2C01B" w14:textId="77777777" w:rsidTr="00237BBD">
        <w:trPr>
          <w:trHeight w:val="405"/>
        </w:trPr>
        <w:tc>
          <w:tcPr>
            <w:tcW w:w="3822" w:type="dxa"/>
            <w:tcBorders>
              <w:top w:val="single" w:sz="6" w:space="0" w:color="00B2A9" w:themeColor="accent1"/>
              <w:left w:val="nil"/>
              <w:bottom w:val="single" w:sz="6" w:space="0" w:color="00B2A9" w:themeColor="accent1"/>
              <w:right w:val="nil"/>
            </w:tcBorders>
          </w:tcPr>
          <w:p w14:paraId="02EE9FE3" w14:textId="35C3A977" w:rsidR="00491210" w:rsidRPr="009033F6" w:rsidRDefault="00EE200C" w:rsidP="00237BBD">
            <w:pPr>
              <w:rPr>
                <w:rFonts w:eastAsia="Arial"/>
                <w:color w:val="000000"/>
                <w:szCs w:val="20"/>
              </w:rPr>
            </w:pPr>
            <w:r w:rsidRPr="009033F6">
              <w:rPr>
                <w:rFonts w:eastAsia="Arial"/>
                <w:color w:val="000000"/>
                <w:szCs w:val="20"/>
              </w:rPr>
              <w:t xml:space="preserve">Lower Murray below </w:t>
            </w:r>
            <w:r w:rsidRPr="009033F6">
              <w:rPr>
                <w:szCs w:val="20"/>
              </w:rPr>
              <w:t>Wentworth</w:t>
            </w:r>
          </w:p>
        </w:tc>
        <w:tc>
          <w:tcPr>
            <w:tcW w:w="1441" w:type="dxa"/>
            <w:tcBorders>
              <w:top w:val="single" w:sz="6" w:space="0" w:color="00B2A9" w:themeColor="accent1"/>
              <w:left w:val="nil"/>
              <w:bottom w:val="single" w:sz="6" w:space="0" w:color="00B2A9" w:themeColor="accent1"/>
              <w:right w:val="nil"/>
            </w:tcBorders>
          </w:tcPr>
          <w:p w14:paraId="1778727A" w14:textId="77777777" w:rsidR="00491210" w:rsidRPr="009033F6" w:rsidRDefault="00EE200C" w:rsidP="00237BBD">
            <w:pPr>
              <w:jc w:val="center"/>
              <w:rPr>
                <w:rFonts w:eastAsia="Arial"/>
                <w:color w:val="000000"/>
                <w:szCs w:val="20"/>
              </w:rPr>
            </w:pPr>
            <w:r w:rsidRPr="009033F6">
              <w:rPr>
                <w:rFonts w:eastAsia="Arial"/>
                <w:color w:val="000000"/>
                <w:szCs w:val="20"/>
              </w:rPr>
              <w:t>MACAMB</w:t>
            </w:r>
          </w:p>
        </w:tc>
        <w:tc>
          <w:tcPr>
            <w:tcW w:w="1319" w:type="dxa"/>
            <w:tcBorders>
              <w:top w:val="single" w:sz="6" w:space="0" w:color="00B2A9" w:themeColor="accent1"/>
              <w:left w:val="nil"/>
              <w:bottom w:val="single" w:sz="6" w:space="0" w:color="00B2A9" w:themeColor="accent1"/>
              <w:right w:val="nil"/>
            </w:tcBorders>
          </w:tcPr>
          <w:p w14:paraId="02CC6FD8" w14:textId="77777777" w:rsidR="00491210" w:rsidRPr="009033F6" w:rsidRDefault="00EE200C" w:rsidP="00237BBD">
            <w:pPr>
              <w:jc w:val="center"/>
              <w:rPr>
                <w:rFonts w:eastAsia="Arial"/>
                <w:color w:val="000000"/>
                <w:szCs w:val="20"/>
              </w:rPr>
            </w:pPr>
            <w:r w:rsidRPr="009033F6">
              <w:rPr>
                <w:rFonts w:eastAsia="Arial"/>
                <w:color w:val="000000"/>
                <w:szCs w:val="20"/>
              </w:rPr>
              <w:t>2006–2012</w:t>
            </w:r>
          </w:p>
        </w:tc>
        <w:tc>
          <w:tcPr>
            <w:tcW w:w="981" w:type="dxa"/>
            <w:tcBorders>
              <w:top w:val="single" w:sz="6" w:space="0" w:color="00B2A9" w:themeColor="accent1"/>
              <w:left w:val="nil"/>
              <w:bottom w:val="single" w:sz="6" w:space="0" w:color="00B2A9" w:themeColor="accent1"/>
              <w:right w:val="nil"/>
            </w:tcBorders>
          </w:tcPr>
          <w:p w14:paraId="77EB5A74" w14:textId="77777777" w:rsidR="00491210" w:rsidRPr="009033F6" w:rsidRDefault="00EE200C" w:rsidP="00237BBD">
            <w:pPr>
              <w:jc w:val="center"/>
              <w:rPr>
                <w:rFonts w:eastAsia="Arial"/>
                <w:color w:val="000000"/>
                <w:szCs w:val="20"/>
              </w:rPr>
            </w:pPr>
            <w:r w:rsidRPr="009033F6">
              <w:rPr>
                <w:rFonts w:eastAsia="Arial"/>
                <w:color w:val="000000"/>
                <w:szCs w:val="20"/>
              </w:rPr>
              <w:t>7</w:t>
            </w:r>
          </w:p>
        </w:tc>
        <w:tc>
          <w:tcPr>
            <w:tcW w:w="1059" w:type="dxa"/>
            <w:tcBorders>
              <w:top w:val="single" w:sz="6" w:space="0" w:color="00B2A9" w:themeColor="accent1"/>
              <w:left w:val="nil"/>
              <w:bottom w:val="single" w:sz="6" w:space="0" w:color="00B2A9" w:themeColor="accent1"/>
              <w:right w:val="nil"/>
            </w:tcBorders>
          </w:tcPr>
          <w:p w14:paraId="1AF9FBB2" w14:textId="77777777" w:rsidR="00491210" w:rsidRPr="009033F6" w:rsidRDefault="00EE200C" w:rsidP="00237BBD">
            <w:pPr>
              <w:jc w:val="center"/>
              <w:rPr>
                <w:rFonts w:eastAsia="Arial"/>
                <w:color w:val="000000"/>
                <w:szCs w:val="20"/>
              </w:rPr>
            </w:pPr>
            <w:r w:rsidRPr="009033F6">
              <w:rPr>
                <w:rFonts w:eastAsia="Arial"/>
                <w:color w:val="000000"/>
                <w:szCs w:val="20"/>
              </w:rPr>
              <w:t>6</w:t>
            </w:r>
          </w:p>
        </w:tc>
        <w:tc>
          <w:tcPr>
            <w:tcW w:w="1017" w:type="dxa"/>
            <w:tcBorders>
              <w:top w:val="single" w:sz="6" w:space="0" w:color="00B2A9" w:themeColor="accent1"/>
              <w:left w:val="nil"/>
              <w:bottom w:val="single" w:sz="6" w:space="0" w:color="00B2A9" w:themeColor="accent1"/>
              <w:right w:val="nil"/>
            </w:tcBorders>
          </w:tcPr>
          <w:p w14:paraId="0339A745" w14:textId="77777777" w:rsidR="00491210" w:rsidRPr="009033F6" w:rsidRDefault="00EE200C" w:rsidP="00237BBD">
            <w:pPr>
              <w:jc w:val="center"/>
              <w:rPr>
                <w:rFonts w:eastAsia="Arial"/>
                <w:color w:val="000000"/>
                <w:szCs w:val="20"/>
              </w:rPr>
            </w:pPr>
            <w:r w:rsidRPr="009033F6">
              <w:rPr>
                <w:rFonts w:eastAsia="Arial"/>
                <w:color w:val="000000"/>
                <w:szCs w:val="20"/>
              </w:rPr>
              <w:t>344</w:t>
            </w:r>
          </w:p>
        </w:tc>
      </w:tr>
      <w:tr w:rsidR="007D64CE" w:rsidRPr="009033F6" w14:paraId="1D03713F" w14:textId="77777777" w:rsidTr="00AD7801">
        <w:trPr>
          <w:trHeight w:val="405"/>
        </w:trPr>
        <w:tc>
          <w:tcPr>
            <w:tcW w:w="3822" w:type="dxa"/>
            <w:vMerge w:val="restart"/>
            <w:tcBorders>
              <w:top w:val="single" w:sz="6" w:space="0" w:color="00B2A9" w:themeColor="accent1"/>
              <w:left w:val="nil"/>
              <w:bottom w:val="single" w:sz="6" w:space="0" w:color="00B2A9" w:themeColor="accent1"/>
              <w:right w:val="nil"/>
            </w:tcBorders>
          </w:tcPr>
          <w:p w14:paraId="1120B4F0" w14:textId="39DE8056" w:rsidR="00491210" w:rsidRPr="0093092F" w:rsidRDefault="00EE200C" w:rsidP="00237BBD">
            <w:pPr>
              <w:rPr>
                <w:szCs w:val="20"/>
              </w:rPr>
            </w:pPr>
            <w:r w:rsidRPr="0093092F">
              <w:rPr>
                <w:szCs w:val="20"/>
              </w:rPr>
              <w:t xml:space="preserve">Torrumbarry to </w:t>
            </w:r>
            <w:r w:rsidRPr="009033F6">
              <w:rPr>
                <w:szCs w:val="20"/>
              </w:rPr>
              <w:t>Wentworth</w:t>
            </w:r>
          </w:p>
        </w:tc>
        <w:tc>
          <w:tcPr>
            <w:tcW w:w="1441" w:type="dxa"/>
            <w:tcBorders>
              <w:top w:val="single" w:sz="6" w:space="0" w:color="00B2A9" w:themeColor="accent1"/>
              <w:left w:val="nil"/>
              <w:bottom w:val="nil"/>
              <w:right w:val="nil"/>
            </w:tcBorders>
          </w:tcPr>
          <w:p w14:paraId="2ECA1F99" w14:textId="77777777" w:rsidR="00491210" w:rsidRPr="0093092F" w:rsidRDefault="00EE200C" w:rsidP="00237BBD">
            <w:pPr>
              <w:jc w:val="center"/>
              <w:rPr>
                <w:szCs w:val="20"/>
              </w:rPr>
            </w:pPr>
            <w:r w:rsidRPr="0093092F">
              <w:rPr>
                <w:szCs w:val="20"/>
              </w:rPr>
              <w:t>MACAMB</w:t>
            </w:r>
          </w:p>
        </w:tc>
        <w:tc>
          <w:tcPr>
            <w:tcW w:w="1319" w:type="dxa"/>
            <w:tcBorders>
              <w:top w:val="single" w:sz="6" w:space="0" w:color="00B2A9" w:themeColor="accent1"/>
              <w:left w:val="nil"/>
              <w:bottom w:val="nil"/>
              <w:right w:val="nil"/>
            </w:tcBorders>
          </w:tcPr>
          <w:p w14:paraId="1B2B0434" w14:textId="77777777" w:rsidR="00491210" w:rsidRPr="0093092F" w:rsidRDefault="00EE200C" w:rsidP="00237BBD">
            <w:pPr>
              <w:jc w:val="center"/>
              <w:rPr>
                <w:szCs w:val="20"/>
              </w:rPr>
            </w:pPr>
            <w:r w:rsidRPr="0093092F">
              <w:rPr>
                <w:szCs w:val="20"/>
              </w:rPr>
              <w:t>2004–2012</w:t>
            </w:r>
          </w:p>
        </w:tc>
        <w:tc>
          <w:tcPr>
            <w:tcW w:w="981" w:type="dxa"/>
            <w:tcBorders>
              <w:top w:val="single" w:sz="6" w:space="0" w:color="00B2A9" w:themeColor="accent1"/>
              <w:left w:val="nil"/>
              <w:bottom w:val="nil"/>
              <w:right w:val="nil"/>
            </w:tcBorders>
          </w:tcPr>
          <w:p w14:paraId="5C4D0DA4" w14:textId="77777777" w:rsidR="00491210" w:rsidRPr="0093092F" w:rsidRDefault="00EE200C" w:rsidP="00237BBD">
            <w:pPr>
              <w:jc w:val="center"/>
              <w:rPr>
                <w:szCs w:val="20"/>
              </w:rPr>
            </w:pPr>
            <w:r w:rsidRPr="0093092F">
              <w:rPr>
                <w:szCs w:val="20"/>
              </w:rPr>
              <w:t>8</w:t>
            </w:r>
          </w:p>
        </w:tc>
        <w:tc>
          <w:tcPr>
            <w:tcW w:w="1059" w:type="dxa"/>
            <w:tcBorders>
              <w:top w:val="single" w:sz="6" w:space="0" w:color="00B2A9" w:themeColor="accent1"/>
              <w:left w:val="nil"/>
              <w:bottom w:val="nil"/>
              <w:right w:val="nil"/>
            </w:tcBorders>
          </w:tcPr>
          <w:p w14:paraId="131122C0" w14:textId="77777777" w:rsidR="00491210" w:rsidRPr="0093092F" w:rsidRDefault="00EE200C" w:rsidP="00237BBD">
            <w:pPr>
              <w:jc w:val="center"/>
              <w:rPr>
                <w:szCs w:val="20"/>
              </w:rPr>
            </w:pPr>
            <w:r w:rsidRPr="0093092F">
              <w:rPr>
                <w:szCs w:val="20"/>
              </w:rPr>
              <w:t>7</w:t>
            </w:r>
          </w:p>
        </w:tc>
        <w:tc>
          <w:tcPr>
            <w:tcW w:w="1017" w:type="dxa"/>
            <w:tcBorders>
              <w:top w:val="single" w:sz="6" w:space="0" w:color="00B2A9" w:themeColor="accent1"/>
              <w:left w:val="nil"/>
              <w:bottom w:val="nil"/>
              <w:right w:val="nil"/>
            </w:tcBorders>
          </w:tcPr>
          <w:p w14:paraId="136ECEE2" w14:textId="77777777" w:rsidR="00491210" w:rsidRPr="0093092F" w:rsidRDefault="00EE200C" w:rsidP="00237BBD">
            <w:pPr>
              <w:jc w:val="center"/>
              <w:rPr>
                <w:szCs w:val="20"/>
              </w:rPr>
            </w:pPr>
            <w:r w:rsidRPr="0093092F">
              <w:rPr>
                <w:szCs w:val="20"/>
              </w:rPr>
              <w:t>320</w:t>
            </w:r>
          </w:p>
        </w:tc>
      </w:tr>
      <w:tr w:rsidR="007D64CE" w:rsidRPr="009033F6" w14:paraId="19147BA1" w14:textId="77777777" w:rsidTr="00AD7801">
        <w:trPr>
          <w:trHeight w:val="240"/>
        </w:trPr>
        <w:tc>
          <w:tcPr>
            <w:tcW w:w="3822" w:type="dxa"/>
            <w:vMerge/>
            <w:tcBorders>
              <w:left w:val="nil"/>
              <w:bottom w:val="single" w:sz="0" w:space="0" w:color="00B2A9" w:themeColor="accent1"/>
              <w:right w:val="nil"/>
            </w:tcBorders>
            <w:vAlign w:val="center"/>
          </w:tcPr>
          <w:p w14:paraId="281C39C2" w14:textId="77777777" w:rsidR="00491210" w:rsidRPr="0093092F" w:rsidRDefault="00491210" w:rsidP="00237BBD">
            <w:pPr>
              <w:rPr>
                <w:szCs w:val="20"/>
              </w:rPr>
            </w:pPr>
          </w:p>
        </w:tc>
        <w:tc>
          <w:tcPr>
            <w:tcW w:w="1441" w:type="dxa"/>
            <w:tcBorders>
              <w:top w:val="nil"/>
              <w:left w:val="nil"/>
              <w:bottom w:val="single" w:sz="6" w:space="0" w:color="00B2A9" w:themeColor="accent1"/>
              <w:right w:val="nil"/>
            </w:tcBorders>
          </w:tcPr>
          <w:p w14:paraId="5DE07FF9" w14:textId="77777777" w:rsidR="00491210" w:rsidRPr="0093092F" w:rsidRDefault="00EE200C" w:rsidP="00237BBD">
            <w:pPr>
              <w:jc w:val="center"/>
              <w:rPr>
                <w:szCs w:val="20"/>
              </w:rPr>
            </w:pPr>
            <w:r w:rsidRPr="0093092F">
              <w:rPr>
                <w:szCs w:val="20"/>
              </w:rPr>
              <w:t>MACPEE</w:t>
            </w:r>
          </w:p>
        </w:tc>
        <w:tc>
          <w:tcPr>
            <w:tcW w:w="1319" w:type="dxa"/>
            <w:tcBorders>
              <w:top w:val="nil"/>
              <w:left w:val="nil"/>
              <w:bottom w:val="single" w:sz="6" w:space="0" w:color="00B2A9" w:themeColor="accent1"/>
              <w:right w:val="nil"/>
            </w:tcBorders>
          </w:tcPr>
          <w:p w14:paraId="089A4BA7" w14:textId="77777777" w:rsidR="00491210" w:rsidRPr="0093092F" w:rsidRDefault="00EE200C" w:rsidP="00237BBD">
            <w:pPr>
              <w:jc w:val="center"/>
              <w:rPr>
                <w:szCs w:val="20"/>
              </w:rPr>
            </w:pPr>
            <w:r w:rsidRPr="0093092F">
              <w:rPr>
                <w:szCs w:val="20"/>
              </w:rPr>
              <w:t>2006–2012</w:t>
            </w:r>
          </w:p>
        </w:tc>
        <w:tc>
          <w:tcPr>
            <w:tcW w:w="981" w:type="dxa"/>
            <w:tcBorders>
              <w:top w:val="nil"/>
              <w:left w:val="nil"/>
              <w:bottom w:val="single" w:sz="6" w:space="0" w:color="00B2A9" w:themeColor="accent1"/>
              <w:right w:val="nil"/>
            </w:tcBorders>
          </w:tcPr>
          <w:p w14:paraId="2254F121" w14:textId="77777777" w:rsidR="00491210" w:rsidRPr="0093092F" w:rsidRDefault="00EE200C" w:rsidP="00237BBD">
            <w:pPr>
              <w:jc w:val="center"/>
              <w:rPr>
                <w:szCs w:val="20"/>
              </w:rPr>
            </w:pPr>
            <w:r w:rsidRPr="0093092F">
              <w:rPr>
                <w:szCs w:val="20"/>
              </w:rPr>
              <w:t>7</w:t>
            </w:r>
          </w:p>
        </w:tc>
        <w:tc>
          <w:tcPr>
            <w:tcW w:w="1059" w:type="dxa"/>
            <w:tcBorders>
              <w:top w:val="nil"/>
              <w:left w:val="nil"/>
              <w:bottom w:val="single" w:sz="6" w:space="0" w:color="00B2A9" w:themeColor="accent1"/>
              <w:right w:val="nil"/>
            </w:tcBorders>
          </w:tcPr>
          <w:p w14:paraId="2FB33FF4" w14:textId="77777777" w:rsidR="00491210" w:rsidRPr="0093092F" w:rsidRDefault="00EE200C" w:rsidP="00237BBD">
            <w:pPr>
              <w:jc w:val="center"/>
              <w:rPr>
                <w:szCs w:val="20"/>
              </w:rPr>
            </w:pPr>
            <w:r w:rsidRPr="0093092F">
              <w:rPr>
                <w:szCs w:val="20"/>
              </w:rPr>
              <w:t>6</w:t>
            </w:r>
          </w:p>
        </w:tc>
        <w:tc>
          <w:tcPr>
            <w:tcW w:w="1017" w:type="dxa"/>
            <w:tcBorders>
              <w:top w:val="nil"/>
              <w:left w:val="nil"/>
              <w:bottom w:val="single" w:sz="6" w:space="0" w:color="00B2A9" w:themeColor="accent1"/>
              <w:right w:val="nil"/>
            </w:tcBorders>
          </w:tcPr>
          <w:p w14:paraId="0AA939A1" w14:textId="77777777" w:rsidR="00491210" w:rsidRPr="0093092F" w:rsidRDefault="00EE200C" w:rsidP="00237BBD">
            <w:pPr>
              <w:jc w:val="center"/>
              <w:rPr>
                <w:szCs w:val="20"/>
              </w:rPr>
            </w:pPr>
            <w:r w:rsidRPr="0093092F">
              <w:rPr>
                <w:szCs w:val="20"/>
              </w:rPr>
              <w:t>78</w:t>
            </w:r>
          </w:p>
        </w:tc>
      </w:tr>
      <w:tr w:rsidR="007D64CE" w:rsidRPr="009033F6" w14:paraId="187D665C" w14:textId="77777777" w:rsidTr="00AD7801">
        <w:trPr>
          <w:trHeight w:val="405"/>
        </w:trPr>
        <w:tc>
          <w:tcPr>
            <w:tcW w:w="3822" w:type="dxa"/>
            <w:vMerge w:val="restart"/>
            <w:tcBorders>
              <w:top w:val="single" w:sz="6" w:space="0" w:color="00B2A9" w:themeColor="accent1"/>
              <w:left w:val="nil"/>
              <w:bottom w:val="single" w:sz="6" w:space="0" w:color="00B2A9" w:themeColor="accent1"/>
              <w:right w:val="nil"/>
            </w:tcBorders>
          </w:tcPr>
          <w:p w14:paraId="41D7946C" w14:textId="77777777" w:rsidR="00491210" w:rsidRPr="009033F6" w:rsidRDefault="00EE200C" w:rsidP="00237BBD">
            <w:pPr>
              <w:rPr>
                <w:rFonts w:eastAsia="Arial"/>
                <w:color w:val="000000"/>
                <w:szCs w:val="20"/>
              </w:rPr>
            </w:pPr>
            <w:r w:rsidRPr="009033F6">
              <w:rPr>
                <w:rFonts w:eastAsia="Arial"/>
                <w:color w:val="000000"/>
                <w:szCs w:val="20"/>
              </w:rPr>
              <w:t>Yarrawonga to Torrumbarry</w:t>
            </w:r>
          </w:p>
        </w:tc>
        <w:tc>
          <w:tcPr>
            <w:tcW w:w="1441" w:type="dxa"/>
            <w:tcBorders>
              <w:top w:val="single" w:sz="6" w:space="0" w:color="00B2A9" w:themeColor="accent1"/>
              <w:left w:val="nil"/>
              <w:bottom w:val="nil"/>
              <w:right w:val="nil"/>
            </w:tcBorders>
          </w:tcPr>
          <w:p w14:paraId="0665D146" w14:textId="77777777" w:rsidR="00491210" w:rsidRPr="009033F6" w:rsidRDefault="00EE200C" w:rsidP="00237BBD">
            <w:pPr>
              <w:jc w:val="center"/>
              <w:rPr>
                <w:rFonts w:eastAsia="Arial"/>
                <w:color w:val="000000"/>
                <w:szCs w:val="20"/>
              </w:rPr>
            </w:pPr>
            <w:r w:rsidRPr="009033F6">
              <w:rPr>
                <w:rFonts w:eastAsia="Arial"/>
                <w:color w:val="000000"/>
                <w:szCs w:val="20"/>
              </w:rPr>
              <w:t>MACAMB</w:t>
            </w:r>
          </w:p>
        </w:tc>
        <w:tc>
          <w:tcPr>
            <w:tcW w:w="1319" w:type="dxa"/>
            <w:tcBorders>
              <w:top w:val="single" w:sz="6" w:space="0" w:color="00B2A9" w:themeColor="accent1"/>
              <w:left w:val="nil"/>
              <w:bottom w:val="nil"/>
              <w:right w:val="nil"/>
            </w:tcBorders>
          </w:tcPr>
          <w:p w14:paraId="0B1A1C56" w14:textId="77777777" w:rsidR="00491210" w:rsidRPr="009033F6" w:rsidRDefault="00EE200C" w:rsidP="00237BBD">
            <w:pPr>
              <w:jc w:val="center"/>
              <w:rPr>
                <w:rFonts w:eastAsia="Arial"/>
                <w:color w:val="000000"/>
                <w:szCs w:val="20"/>
              </w:rPr>
            </w:pPr>
            <w:r w:rsidRPr="009033F6">
              <w:rPr>
                <w:rFonts w:eastAsia="Arial"/>
                <w:color w:val="000000"/>
                <w:szCs w:val="20"/>
              </w:rPr>
              <w:t>2011–2018</w:t>
            </w:r>
          </w:p>
        </w:tc>
        <w:tc>
          <w:tcPr>
            <w:tcW w:w="981" w:type="dxa"/>
            <w:tcBorders>
              <w:top w:val="single" w:sz="6" w:space="0" w:color="00B2A9" w:themeColor="accent1"/>
              <w:left w:val="nil"/>
              <w:bottom w:val="nil"/>
              <w:right w:val="nil"/>
            </w:tcBorders>
          </w:tcPr>
          <w:p w14:paraId="03BDC1AC" w14:textId="77777777" w:rsidR="00491210" w:rsidRPr="009033F6" w:rsidRDefault="00EE200C" w:rsidP="00237BBD">
            <w:pPr>
              <w:jc w:val="center"/>
              <w:rPr>
                <w:rFonts w:eastAsia="Arial"/>
                <w:color w:val="000000"/>
                <w:szCs w:val="20"/>
              </w:rPr>
            </w:pPr>
            <w:r w:rsidRPr="009033F6">
              <w:rPr>
                <w:rFonts w:eastAsia="Arial"/>
                <w:color w:val="000000"/>
                <w:szCs w:val="20"/>
              </w:rPr>
              <w:t>3</w:t>
            </w:r>
          </w:p>
        </w:tc>
        <w:tc>
          <w:tcPr>
            <w:tcW w:w="1059" w:type="dxa"/>
            <w:tcBorders>
              <w:top w:val="single" w:sz="6" w:space="0" w:color="00B2A9" w:themeColor="accent1"/>
              <w:left w:val="nil"/>
              <w:bottom w:val="nil"/>
              <w:right w:val="nil"/>
            </w:tcBorders>
          </w:tcPr>
          <w:p w14:paraId="21BBA054" w14:textId="77777777" w:rsidR="00491210" w:rsidRPr="009033F6" w:rsidRDefault="00EE200C" w:rsidP="00237BBD">
            <w:pPr>
              <w:jc w:val="center"/>
              <w:rPr>
                <w:rFonts w:eastAsia="Arial"/>
                <w:color w:val="000000"/>
                <w:szCs w:val="20"/>
              </w:rPr>
            </w:pPr>
            <w:r w:rsidRPr="009033F6">
              <w:rPr>
                <w:rFonts w:eastAsia="Arial"/>
                <w:color w:val="000000"/>
                <w:szCs w:val="20"/>
              </w:rPr>
              <w:t>6</w:t>
            </w:r>
          </w:p>
        </w:tc>
        <w:tc>
          <w:tcPr>
            <w:tcW w:w="1017" w:type="dxa"/>
            <w:tcBorders>
              <w:top w:val="single" w:sz="6" w:space="0" w:color="00B2A9" w:themeColor="accent1"/>
              <w:left w:val="nil"/>
              <w:bottom w:val="nil"/>
              <w:right w:val="nil"/>
            </w:tcBorders>
          </w:tcPr>
          <w:p w14:paraId="36027CE0" w14:textId="77777777" w:rsidR="00491210" w:rsidRPr="009033F6" w:rsidRDefault="00EE200C" w:rsidP="00237BBD">
            <w:pPr>
              <w:jc w:val="center"/>
              <w:rPr>
                <w:rFonts w:eastAsia="Arial"/>
                <w:color w:val="000000"/>
                <w:szCs w:val="20"/>
              </w:rPr>
            </w:pPr>
            <w:r w:rsidRPr="009033F6">
              <w:rPr>
                <w:rFonts w:eastAsia="Arial"/>
                <w:color w:val="000000"/>
                <w:szCs w:val="20"/>
              </w:rPr>
              <w:t>65</w:t>
            </w:r>
          </w:p>
        </w:tc>
      </w:tr>
      <w:tr w:rsidR="007D64CE" w:rsidRPr="009033F6" w14:paraId="05C0D218" w14:textId="77777777" w:rsidTr="00AD7801">
        <w:trPr>
          <w:trHeight w:val="240"/>
        </w:trPr>
        <w:tc>
          <w:tcPr>
            <w:tcW w:w="3822" w:type="dxa"/>
            <w:vMerge/>
            <w:tcBorders>
              <w:left w:val="nil"/>
              <w:bottom w:val="single" w:sz="0" w:space="0" w:color="00B2A9" w:themeColor="accent1"/>
              <w:right w:val="nil"/>
            </w:tcBorders>
            <w:vAlign w:val="center"/>
          </w:tcPr>
          <w:p w14:paraId="1DCC87C1" w14:textId="77777777" w:rsidR="00491210" w:rsidRPr="009033F6" w:rsidRDefault="00491210" w:rsidP="00237BBD"/>
        </w:tc>
        <w:tc>
          <w:tcPr>
            <w:tcW w:w="1441" w:type="dxa"/>
            <w:tcBorders>
              <w:top w:val="nil"/>
              <w:left w:val="nil"/>
              <w:bottom w:val="single" w:sz="6" w:space="0" w:color="00B2A9" w:themeColor="accent1"/>
              <w:right w:val="nil"/>
            </w:tcBorders>
          </w:tcPr>
          <w:p w14:paraId="4A80B0A8" w14:textId="77777777" w:rsidR="00491210" w:rsidRPr="009033F6" w:rsidRDefault="00EE200C" w:rsidP="00237BBD">
            <w:pPr>
              <w:jc w:val="center"/>
              <w:rPr>
                <w:rFonts w:eastAsia="Arial"/>
                <w:color w:val="000000"/>
                <w:szCs w:val="20"/>
              </w:rPr>
            </w:pPr>
            <w:r w:rsidRPr="009033F6">
              <w:rPr>
                <w:rFonts w:eastAsia="Arial"/>
                <w:color w:val="000000"/>
                <w:szCs w:val="20"/>
              </w:rPr>
              <w:t>MACPEE</w:t>
            </w:r>
          </w:p>
        </w:tc>
        <w:tc>
          <w:tcPr>
            <w:tcW w:w="1319" w:type="dxa"/>
            <w:tcBorders>
              <w:top w:val="nil"/>
              <w:left w:val="nil"/>
              <w:bottom w:val="single" w:sz="6" w:space="0" w:color="00B2A9" w:themeColor="accent1"/>
              <w:right w:val="nil"/>
            </w:tcBorders>
          </w:tcPr>
          <w:p w14:paraId="46060A0D" w14:textId="77777777" w:rsidR="00491210" w:rsidRPr="009033F6" w:rsidRDefault="00EE200C" w:rsidP="00237BBD">
            <w:pPr>
              <w:jc w:val="center"/>
              <w:rPr>
                <w:rFonts w:eastAsia="Arial"/>
                <w:color w:val="000000"/>
                <w:szCs w:val="20"/>
              </w:rPr>
            </w:pPr>
            <w:r w:rsidRPr="009033F6">
              <w:rPr>
                <w:rFonts w:eastAsia="Arial"/>
                <w:color w:val="000000"/>
                <w:szCs w:val="20"/>
              </w:rPr>
              <w:t>2011–2018</w:t>
            </w:r>
          </w:p>
        </w:tc>
        <w:tc>
          <w:tcPr>
            <w:tcW w:w="981" w:type="dxa"/>
            <w:tcBorders>
              <w:top w:val="nil"/>
              <w:left w:val="nil"/>
              <w:bottom w:val="single" w:sz="6" w:space="0" w:color="00B2A9" w:themeColor="accent1"/>
              <w:right w:val="nil"/>
            </w:tcBorders>
          </w:tcPr>
          <w:p w14:paraId="70BC7993" w14:textId="77777777" w:rsidR="00491210" w:rsidRPr="009033F6" w:rsidRDefault="00EE200C" w:rsidP="00237BBD">
            <w:pPr>
              <w:jc w:val="center"/>
              <w:rPr>
                <w:rFonts w:eastAsia="Arial"/>
                <w:color w:val="000000"/>
                <w:szCs w:val="20"/>
              </w:rPr>
            </w:pPr>
            <w:r w:rsidRPr="009033F6">
              <w:rPr>
                <w:rFonts w:eastAsia="Arial"/>
                <w:color w:val="000000"/>
                <w:szCs w:val="20"/>
              </w:rPr>
              <w:t>3</w:t>
            </w:r>
          </w:p>
        </w:tc>
        <w:tc>
          <w:tcPr>
            <w:tcW w:w="1059" w:type="dxa"/>
            <w:tcBorders>
              <w:top w:val="nil"/>
              <w:left w:val="nil"/>
              <w:bottom w:val="single" w:sz="6" w:space="0" w:color="00B2A9" w:themeColor="accent1"/>
              <w:right w:val="nil"/>
            </w:tcBorders>
          </w:tcPr>
          <w:p w14:paraId="0990E8FA" w14:textId="77777777" w:rsidR="00491210" w:rsidRPr="009033F6" w:rsidRDefault="00EE200C" w:rsidP="00237BBD">
            <w:pPr>
              <w:jc w:val="center"/>
              <w:rPr>
                <w:rFonts w:eastAsia="Arial"/>
                <w:color w:val="000000"/>
                <w:szCs w:val="20"/>
              </w:rPr>
            </w:pPr>
            <w:r w:rsidRPr="009033F6">
              <w:rPr>
                <w:rFonts w:eastAsia="Arial"/>
                <w:color w:val="000000"/>
                <w:szCs w:val="20"/>
              </w:rPr>
              <w:t>6</w:t>
            </w:r>
          </w:p>
        </w:tc>
        <w:tc>
          <w:tcPr>
            <w:tcW w:w="1017" w:type="dxa"/>
            <w:tcBorders>
              <w:top w:val="nil"/>
              <w:left w:val="nil"/>
              <w:bottom w:val="single" w:sz="6" w:space="0" w:color="00B2A9" w:themeColor="accent1"/>
              <w:right w:val="nil"/>
            </w:tcBorders>
          </w:tcPr>
          <w:p w14:paraId="174679F1" w14:textId="77777777" w:rsidR="00491210" w:rsidRPr="009033F6" w:rsidRDefault="00EE200C" w:rsidP="00237BBD">
            <w:pPr>
              <w:jc w:val="center"/>
              <w:rPr>
                <w:rFonts w:eastAsia="Arial"/>
                <w:color w:val="000000"/>
                <w:szCs w:val="20"/>
              </w:rPr>
            </w:pPr>
            <w:r w:rsidRPr="009033F6">
              <w:rPr>
                <w:rFonts w:eastAsia="Arial"/>
                <w:color w:val="000000"/>
                <w:szCs w:val="20"/>
              </w:rPr>
              <w:t>93</w:t>
            </w:r>
          </w:p>
        </w:tc>
      </w:tr>
      <w:tr w:rsidR="007D64CE" w:rsidRPr="009033F6" w14:paraId="273B3579" w14:textId="77777777" w:rsidTr="00237BBD">
        <w:trPr>
          <w:trHeight w:val="240"/>
        </w:trPr>
        <w:tc>
          <w:tcPr>
            <w:tcW w:w="3822" w:type="dxa"/>
            <w:tcBorders>
              <w:top w:val="single" w:sz="6" w:space="0" w:color="00B2A9" w:themeColor="accent1"/>
              <w:left w:val="nil"/>
              <w:bottom w:val="single" w:sz="6" w:space="0" w:color="00B2A9" w:themeColor="accent1"/>
              <w:right w:val="nil"/>
            </w:tcBorders>
          </w:tcPr>
          <w:p w14:paraId="51489765" w14:textId="77777777" w:rsidR="00491210" w:rsidRPr="009033F6" w:rsidRDefault="00EE200C" w:rsidP="00237BBD">
            <w:pPr>
              <w:rPr>
                <w:rFonts w:eastAsia="Arial"/>
                <w:color w:val="000000"/>
                <w:szCs w:val="20"/>
              </w:rPr>
            </w:pPr>
            <w:r w:rsidRPr="009033F6">
              <w:rPr>
                <w:rFonts w:eastAsia="Arial"/>
                <w:color w:val="000000"/>
                <w:szCs w:val="20"/>
              </w:rPr>
              <w:t>Lower Darling</w:t>
            </w:r>
          </w:p>
        </w:tc>
        <w:tc>
          <w:tcPr>
            <w:tcW w:w="1441" w:type="dxa"/>
            <w:tcBorders>
              <w:top w:val="single" w:sz="6" w:space="0" w:color="00B2A9" w:themeColor="accent1"/>
              <w:left w:val="nil"/>
              <w:bottom w:val="single" w:sz="6" w:space="0" w:color="00B2A9" w:themeColor="accent1"/>
              <w:right w:val="nil"/>
            </w:tcBorders>
          </w:tcPr>
          <w:p w14:paraId="68E4CBC4" w14:textId="77777777" w:rsidR="00491210" w:rsidRPr="009033F6" w:rsidRDefault="00EE200C" w:rsidP="00237BBD">
            <w:pPr>
              <w:jc w:val="center"/>
              <w:rPr>
                <w:rFonts w:eastAsia="Arial"/>
                <w:color w:val="000000"/>
                <w:szCs w:val="20"/>
              </w:rPr>
            </w:pPr>
            <w:r w:rsidRPr="009033F6">
              <w:rPr>
                <w:rFonts w:eastAsia="Arial"/>
                <w:color w:val="000000"/>
                <w:szCs w:val="20"/>
              </w:rPr>
              <w:t>MACAMB</w:t>
            </w:r>
          </w:p>
        </w:tc>
        <w:tc>
          <w:tcPr>
            <w:tcW w:w="1319" w:type="dxa"/>
            <w:tcBorders>
              <w:top w:val="single" w:sz="6" w:space="0" w:color="00B2A9" w:themeColor="accent1"/>
              <w:left w:val="nil"/>
              <w:bottom w:val="single" w:sz="6" w:space="0" w:color="00B2A9" w:themeColor="accent1"/>
              <w:right w:val="nil"/>
            </w:tcBorders>
          </w:tcPr>
          <w:p w14:paraId="2C6A0262" w14:textId="77777777" w:rsidR="00491210" w:rsidRPr="009033F6" w:rsidRDefault="00EE200C" w:rsidP="00237BBD">
            <w:pPr>
              <w:jc w:val="center"/>
              <w:rPr>
                <w:rFonts w:eastAsia="Arial"/>
                <w:color w:val="000000"/>
                <w:szCs w:val="20"/>
              </w:rPr>
            </w:pPr>
            <w:r w:rsidRPr="009033F6">
              <w:rPr>
                <w:rFonts w:eastAsia="Arial"/>
                <w:color w:val="000000"/>
                <w:szCs w:val="20"/>
              </w:rPr>
              <w:t>2006–2012</w:t>
            </w:r>
          </w:p>
        </w:tc>
        <w:tc>
          <w:tcPr>
            <w:tcW w:w="981" w:type="dxa"/>
            <w:tcBorders>
              <w:top w:val="single" w:sz="6" w:space="0" w:color="00B2A9" w:themeColor="accent1"/>
              <w:left w:val="nil"/>
              <w:bottom w:val="single" w:sz="6" w:space="0" w:color="00B2A9" w:themeColor="accent1"/>
              <w:right w:val="nil"/>
            </w:tcBorders>
          </w:tcPr>
          <w:p w14:paraId="79EA3DD1" w14:textId="77777777" w:rsidR="00491210" w:rsidRPr="009033F6" w:rsidRDefault="00EE200C" w:rsidP="00237BBD">
            <w:pPr>
              <w:jc w:val="center"/>
              <w:rPr>
                <w:rFonts w:eastAsia="Arial"/>
                <w:color w:val="000000"/>
                <w:szCs w:val="20"/>
              </w:rPr>
            </w:pPr>
            <w:r w:rsidRPr="009033F6">
              <w:rPr>
                <w:rFonts w:eastAsia="Arial"/>
                <w:color w:val="000000"/>
                <w:szCs w:val="20"/>
              </w:rPr>
              <w:t>7</w:t>
            </w:r>
          </w:p>
        </w:tc>
        <w:tc>
          <w:tcPr>
            <w:tcW w:w="1059" w:type="dxa"/>
            <w:tcBorders>
              <w:top w:val="single" w:sz="6" w:space="0" w:color="00B2A9" w:themeColor="accent1"/>
              <w:left w:val="nil"/>
              <w:bottom w:val="single" w:sz="6" w:space="0" w:color="00B2A9" w:themeColor="accent1"/>
              <w:right w:val="nil"/>
            </w:tcBorders>
          </w:tcPr>
          <w:p w14:paraId="2A52816C" w14:textId="77777777" w:rsidR="00491210" w:rsidRPr="009033F6" w:rsidRDefault="00EE200C" w:rsidP="00237BBD">
            <w:pPr>
              <w:jc w:val="center"/>
              <w:rPr>
                <w:rFonts w:eastAsia="Arial"/>
                <w:color w:val="000000"/>
                <w:szCs w:val="20"/>
              </w:rPr>
            </w:pPr>
            <w:r w:rsidRPr="009033F6">
              <w:rPr>
                <w:rFonts w:eastAsia="Arial"/>
                <w:color w:val="000000"/>
                <w:szCs w:val="20"/>
              </w:rPr>
              <w:t>7</w:t>
            </w:r>
          </w:p>
        </w:tc>
        <w:tc>
          <w:tcPr>
            <w:tcW w:w="1017" w:type="dxa"/>
            <w:tcBorders>
              <w:top w:val="single" w:sz="6" w:space="0" w:color="00B2A9" w:themeColor="accent1"/>
              <w:left w:val="nil"/>
              <w:bottom w:val="single" w:sz="6" w:space="0" w:color="00B2A9" w:themeColor="accent1"/>
              <w:right w:val="nil"/>
            </w:tcBorders>
          </w:tcPr>
          <w:p w14:paraId="3A3BE7DF" w14:textId="77777777" w:rsidR="00491210" w:rsidRPr="009033F6" w:rsidRDefault="00EE200C" w:rsidP="00237BBD">
            <w:pPr>
              <w:jc w:val="center"/>
              <w:rPr>
                <w:rFonts w:eastAsia="Arial"/>
                <w:color w:val="000000"/>
                <w:szCs w:val="20"/>
              </w:rPr>
            </w:pPr>
            <w:r w:rsidRPr="009033F6">
              <w:rPr>
                <w:rFonts w:eastAsia="Arial"/>
                <w:color w:val="000000"/>
                <w:szCs w:val="20"/>
              </w:rPr>
              <w:t>1,377</w:t>
            </w:r>
          </w:p>
        </w:tc>
      </w:tr>
      <w:tr w:rsidR="007D64CE" w:rsidRPr="009033F6" w14:paraId="06B3DD4E" w14:textId="77777777" w:rsidTr="00AD7801">
        <w:trPr>
          <w:trHeight w:val="225"/>
        </w:trPr>
        <w:tc>
          <w:tcPr>
            <w:tcW w:w="3822" w:type="dxa"/>
            <w:vMerge w:val="restart"/>
            <w:tcBorders>
              <w:top w:val="single" w:sz="6" w:space="0" w:color="00B2A9" w:themeColor="accent1"/>
              <w:left w:val="nil"/>
              <w:bottom w:val="single" w:sz="6" w:space="0" w:color="00B2A9" w:themeColor="accent1"/>
              <w:right w:val="nil"/>
            </w:tcBorders>
          </w:tcPr>
          <w:p w14:paraId="257F262B" w14:textId="77777777" w:rsidR="00491210" w:rsidRPr="009033F6" w:rsidRDefault="00EE200C" w:rsidP="00237BBD">
            <w:pPr>
              <w:rPr>
                <w:rFonts w:eastAsia="Arial"/>
                <w:color w:val="000000"/>
                <w:szCs w:val="20"/>
              </w:rPr>
            </w:pPr>
            <w:r w:rsidRPr="009033F6">
              <w:rPr>
                <w:rFonts w:eastAsia="Arial"/>
                <w:color w:val="000000"/>
                <w:szCs w:val="20"/>
              </w:rPr>
              <w:t>Edward</w:t>
            </w:r>
          </w:p>
        </w:tc>
        <w:tc>
          <w:tcPr>
            <w:tcW w:w="1441" w:type="dxa"/>
            <w:tcBorders>
              <w:top w:val="single" w:sz="6" w:space="0" w:color="00B2A9" w:themeColor="accent1"/>
              <w:left w:val="nil"/>
              <w:bottom w:val="nil"/>
              <w:right w:val="nil"/>
            </w:tcBorders>
          </w:tcPr>
          <w:p w14:paraId="19E816D7" w14:textId="77777777" w:rsidR="00491210" w:rsidRPr="009033F6" w:rsidRDefault="00EE200C" w:rsidP="00237BBD">
            <w:pPr>
              <w:jc w:val="center"/>
              <w:rPr>
                <w:rFonts w:eastAsia="Arial"/>
                <w:color w:val="000000"/>
                <w:szCs w:val="20"/>
              </w:rPr>
            </w:pPr>
            <w:r w:rsidRPr="009033F6">
              <w:rPr>
                <w:rFonts w:eastAsia="Arial"/>
                <w:color w:val="000000"/>
                <w:szCs w:val="20"/>
              </w:rPr>
              <w:t>MACAMB</w:t>
            </w:r>
          </w:p>
        </w:tc>
        <w:tc>
          <w:tcPr>
            <w:tcW w:w="1319" w:type="dxa"/>
            <w:tcBorders>
              <w:top w:val="single" w:sz="6" w:space="0" w:color="00B2A9" w:themeColor="accent1"/>
              <w:left w:val="nil"/>
              <w:bottom w:val="nil"/>
              <w:right w:val="nil"/>
            </w:tcBorders>
          </w:tcPr>
          <w:p w14:paraId="77C0FA10" w14:textId="77777777" w:rsidR="00491210" w:rsidRPr="009033F6" w:rsidRDefault="00EE200C" w:rsidP="00237BBD">
            <w:pPr>
              <w:jc w:val="center"/>
              <w:rPr>
                <w:rFonts w:eastAsia="Arial"/>
                <w:color w:val="000000"/>
                <w:szCs w:val="20"/>
              </w:rPr>
            </w:pPr>
            <w:r w:rsidRPr="009033F6">
              <w:rPr>
                <w:rFonts w:eastAsia="Arial"/>
                <w:color w:val="000000"/>
                <w:szCs w:val="20"/>
              </w:rPr>
              <w:t>2010–2019</w:t>
            </w:r>
          </w:p>
        </w:tc>
        <w:tc>
          <w:tcPr>
            <w:tcW w:w="981" w:type="dxa"/>
            <w:tcBorders>
              <w:top w:val="single" w:sz="6" w:space="0" w:color="00B2A9" w:themeColor="accent1"/>
              <w:left w:val="nil"/>
              <w:bottom w:val="nil"/>
              <w:right w:val="nil"/>
            </w:tcBorders>
          </w:tcPr>
          <w:p w14:paraId="41462E59" w14:textId="77777777" w:rsidR="00491210" w:rsidRPr="009033F6" w:rsidRDefault="00EE200C" w:rsidP="00237BBD">
            <w:pPr>
              <w:jc w:val="center"/>
              <w:rPr>
                <w:rFonts w:eastAsia="Arial"/>
                <w:color w:val="000000"/>
                <w:szCs w:val="20"/>
              </w:rPr>
            </w:pPr>
            <w:r w:rsidRPr="009033F6">
              <w:rPr>
                <w:rFonts w:eastAsia="Arial"/>
                <w:color w:val="000000"/>
                <w:szCs w:val="20"/>
              </w:rPr>
              <w:t>30</w:t>
            </w:r>
          </w:p>
        </w:tc>
        <w:tc>
          <w:tcPr>
            <w:tcW w:w="1059" w:type="dxa"/>
            <w:tcBorders>
              <w:top w:val="single" w:sz="6" w:space="0" w:color="00B2A9" w:themeColor="accent1"/>
              <w:left w:val="nil"/>
              <w:bottom w:val="nil"/>
              <w:right w:val="nil"/>
            </w:tcBorders>
          </w:tcPr>
          <w:p w14:paraId="3C6CF3F5" w14:textId="77777777" w:rsidR="00491210" w:rsidRPr="009033F6" w:rsidRDefault="00EE200C" w:rsidP="00237BBD">
            <w:pPr>
              <w:jc w:val="center"/>
              <w:rPr>
                <w:rFonts w:eastAsia="Arial"/>
                <w:color w:val="000000"/>
                <w:szCs w:val="20"/>
              </w:rPr>
            </w:pPr>
            <w:r w:rsidRPr="009033F6">
              <w:rPr>
                <w:rFonts w:eastAsia="Arial"/>
                <w:color w:val="000000"/>
                <w:szCs w:val="20"/>
              </w:rPr>
              <w:t>10</w:t>
            </w:r>
          </w:p>
        </w:tc>
        <w:tc>
          <w:tcPr>
            <w:tcW w:w="1017" w:type="dxa"/>
            <w:tcBorders>
              <w:top w:val="single" w:sz="6" w:space="0" w:color="00B2A9" w:themeColor="accent1"/>
              <w:left w:val="nil"/>
              <w:bottom w:val="nil"/>
              <w:right w:val="nil"/>
            </w:tcBorders>
          </w:tcPr>
          <w:p w14:paraId="3AD7DFDC" w14:textId="77777777" w:rsidR="00491210" w:rsidRPr="009033F6" w:rsidRDefault="00EE200C" w:rsidP="00237BBD">
            <w:pPr>
              <w:jc w:val="center"/>
              <w:rPr>
                <w:rFonts w:eastAsia="Arial"/>
                <w:color w:val="000000"/>
                <w:szCs w:val="20"/>
              </w:rPr>
            </w:pPr>
            <w:r w:rsidRPr="009033F6">
              <w:rPr>
                <w:rFonts w:eastAsia="Arial"/>
                <w:color w:val="000000"/>
                <w:szCs w:val="20"/>
              </w:rPr>
              <w:t>305</w:t>
            </w:r>
          </w:p>
        </w:tc>
      </w:tr>
      <w:tr w:rsidR="007D64CE" w:rsidRPr="009033F6" w14:paraId="5D1A3986" w14:textId="77777777" w:rsidTr="00AD7801">
        <w:trPr>
          <w:trHeight w:val="240"/>
        </w:trPr>
        <w:tc>
          <w:tcPr>
            <w:tcW w:w="3822" w:type="dxa"/>
            <w:vMerge/>
            <w:tcBorders>
              <w:left w:val="nil"/>
              <w:bottom w:val="single" w:sz="0" w:space="0" w:color="00B2A9" w:themeColor="accent1"/>
              <w:right w:val="nil"/>
            </w:tcBorders>
            <w:vAlign w:val="center"/>
          </w:tcPr>
          <w:p w14:paraId="3D3DBFC5" w14:textId="77777777" w:rsidR="00491210" w:rsidRPr="009033F6" w:rsidRDefault="00491210" w:rsidP="00237BBD"/>
        </w:tc>
        <w:tc>
          <w:tcPr>
            <w:tcW w:w="1441" w:type="dxa"/>
            <w:tcBorders>
              <w:top w:val="nil"/>
              <w:left w:val="nil"/>
              <w:bottom w:val="single" w:sz="6" w:space="0" w:color="00B2A9" w:themeColor="accent1"/>
              <w:right w:val="nil"/>
            </w:tcBorders>
          </w:tcPr>
          <w:p w14:paraId="04F2B885" w14:textId="77777777" w:rsidR="00491210" w:rsidRPr="009033F6" w:rsidRDefault="00EE200C" w:rsidP="00237BBD">
            <w:pPr>
              <w:jc w:val="center"/>
              <w:rPr>
                <w:rFonts w:eastAsia="Arial"/>
                <w:color w:val="000000"/>
                <w:szCs w:val="20"/>
              </w:rPr>
            </w:pPr>
            <w:r w:rsidRPr="009033F6">
              <w:rPr>
                <w:rFonts w:eastAsia="Arial"/>
                <w:color w:val="000000"/>
                <w:szCs w:val="20"/>
              </w:rPr>
              <w:t>MACPEE</w:t>
            </w:r>
          </w:p>
        </w:tc>
        <w:tc>
          <w:tcPr>
            <w:tcW w:w="1319" w:type="dxa"/>
            <w:tcBorders>
              <w:top w:val="nil"/>
              <w:left w:val="nil"/>
              <w:bottom w:val="single" w:sz="6" w:space="0" w:color="00B2A9" w:themeColor="accent1"/>
              <w:right w:val="nil"/>
            </w:tcBorders>
          </w:tcPr>
          <w:p w14:paraId="6E9D7286" w14:textId="77777777" w:rsidR="00491210" w:rsidRPr="009033F6" w:rsidRDefault="00EE200C" w:rsidP="00237BBD">
            <w:pPr>
              <w:jc w:val="center"/>
              <w:rPr>
                <w:rFonts w:eastAsia="Arial"/>
                <w:color w:val="000000"/>
                <w:szCs w:val="20"/>
              </w:rPr>
            </w:pPr>
            <w:r w:rsidRPr="009033F6">
              <w:rPr>
                <w:rFonts w:eastAsia="Arial"/>
                <w:color w:val="000000"/>
                <w:szCs w:val="20"/>
              </w:rPr>
              <w:t>2010–2019</w:t>
            </w:r>
          </w:p>
        </w:tc>
        <w:tc>
          <w:tcPr>
            <w:tcW w:w="981" w:type="dxa"/>
            <w:tcBorders>
              <w:top w:val="nil"/>
              <w:left w:val="nil"/>
              <w:bottom w:val="single" w:sz="6" w:space="0" w:color="00B2A9" w:themeColor="accent1"/>
              <w:right w:val="nil"/>
            </w:tcBorders>
          </w:tcPr>
          <w:p w14:paraId="293F5EF7" w14:textId="77777777" w:rsidR="00491210" w:rsidRPr="009033F6" w:rsidRDefault="00EE200C" w:rsidP="00237BBD">
            <w:pPr>
              <w:jc w:val="center"/>
              <w:rPr>
                <w:rFonts w:eastAsia="Arial"/>
                <w:color w:val="000000"/>
                <w:szCs w:val="20"/>
              </w:rPr>
            </w:pPr>
            <w:r w:rsidRPr="009033F6">
              <w:rPr>
                <w:rFonts w:eastAsia="Arial"/>
                <w:color w:val="000000"/>
                <w:szCs w:val="20"/>
              </w:rPr>
              <w:t>19</w:t>
            </w:r>
          </w:p>
        </w:tc>
        <w:tc>
          <w:tcPr>
            <w:tcW w:w="1059" w:type="dxa"/>
            <w:tcBorders>
              <w:top w:val="nil"/>
              <w:left w:val="nil"/>
              <w:bottom w:val="single" w:sz="6" w:space="0" w:color="00B2A9" w:themeColor="accent1"/>
              <w:right w:val="nil"/>
            </w:tcBorders>
          </w:tcPr>
          <w:p w14:paraId="7F2AECF0" w14:textId="77777777" w:rsidR="00491210" w:rsidRPr="009033F6" w:rsidRDefault="00EE200C" w:rsidP="00237BBD">
            <w:pPr>
              <w:jc w:val="center"/>
              <w:rPr>
                <w:rFonts w:eastAsia="Arial"/>
                <w:color w:val="000000"/>
                <w:szCs w:val="20"/>
              </w:rPr>
            </w:pPr>
            <w:r w:rsidRPr="009033F6">
              <w:rPr>
                <w:rFonts w:eastAsia="Arial"/>
                <w:color w:val="000000"/>
                <w:szCs w:val="20"/>
              </w:rPr>
              <w:t>10</w:t>
            </w:r>
          </w:p>
        </w:tc>
        <w:tc>
          <w:tcPr>
            <w:tcW w:w="1017" w:type="dxa"/>
            <w:tcBorders>
              <w:top w:val="nil"/>
              <w:left w:val="nil"/>
              <w:bottom w:val="single" w:sz="6" w:space="0" w:color="00B2A9" w:themeColor="accent1"/>
              <w:right w:val="nil"/>
            </w:tcBorders>
          </w:tcPr>
          <w:p w14:paraId="2CD0B0C5" w14:textId="77777777" w:rsidR="00491210" w:rsidRPr="009033F6" w:rsidRDefault="00EE200C" w:rsidP="00237BBD">
            <w:pPr>
              <w:jc w:val="center"/>
              <w:rPr>
                <w:rFonts w:eastAsia="Arial"/>
                <w:color w:val="000000"/>
                <w:szCs w:val="20"/>
              </w:rPr>
            </w:pPr>
            <w:r w:rsidRPr="009033F6">
              <w:rPr>
                <w:rFonts w:eastAsia="Arial"/>
                <w:color w:val="000000"/>
                <w:szCs w:val="20"/>
              </w:rPr>
              <w:t>503</w:t>
            </w:r>
          </w:p>
        </w:tc>
      </w:tr>
      <w:tr w:rsidR="007D64CE" w:rsidRPr="009033F6" w14:paraId="59B88B64" w14:textId="77777777" w:rsidTr="00237BBD">
        <w:trPr>
          <w:trHeight w:val="405"/>
        </w:trPr>
        <w:tc>
          <w:tcPr>
            <w:tcW w:w="3822" w:type="dxa"/>
            <w:tcBorders>
              <w:top w:val="single" w:sz="6" w:space="0" w:color="00B2A9" w:themeColor="accent1"/>
              <w:left w:val="nil"/>
              <w:bottom w:val="single" w:sz="6" w:space="0" w:color="00B2A9" w:themeColor="accent1"/>
              <w:right w:val="nil"/>
            </w:tcBorders>
          </w:tcPr>
          <w:p w14:paraId="521DC037" w14:textId="77777777" w:rsidR="00491210" w:rsidRPr="009033F6" w:rsidRDefault="00EE200C" w:rsidP="00237BBD">
            <w:pPr>
              <w:rPr>
                <w:rFonts w:eastAsia="Arial"/>
                <w:color w:val="000000"/>
                <w:szCs w:val="20"/>
              </w:rPr>
            </w:pPr>
            <w:r w:rsidRPr="009033F6">
              <w:rPr>
                <w:rFonts w:eastAsia="Arial"/>
                <w:color w:val="000000"/>
                <w:szCs w:val="20"/>
              </w:rPr>
              <w:t>Gundagai to Hay</w:t>
            </w:r>
          </w:p>
        </w:tc>
        <w:tc>
          <w:tcPr>
            <w:tcW w:w="1441" w:type="dxa"/>
            <w:tcBorders>
              <w:top w:val="single" w:sz="6" w:space="0" w:color="00B2A9" w:themeColor="accent1"/>
              <w:left w:val="nil"/>
              <w:bottom w:val="single" w:sz="6" w:space="0" w:color="00B2A9" w:themeColor="accent1"/>
              <w:right w:val="nil"/>
            </w:tcBorders>
          </w:tcPr>
          <w:p w14:paraId="5A63E575" w14:textId="77777777" w:rsidR="00491210" w:rsidRPr="009033F6" w:rsidRDefault="00EE200C" w:rsidP="00237BBD">
            <w:pPr>
              <w:jc w:val="center"/>
              <w:rPr>
                <w:rFonts w:eastAsia="Arial"/>
                <w:color w:val="000000"/>
                <w:szCs w:val="20"/>
              </w:rPr>
            </w:pPr>
            <w:r w:rsidRPr="009033F6">
              <w:rPr>
                <w:rFonts w:eastAsia="Arial"/>
                <w:color w:val="000000"/>
                <w:szCs w:val="20"/>
              </w:rPr>
              <w:t>MACAMB</w:t>
            </w:r>
          </w:p>
        </w:tc>
        <w:tc>
          <w:tcPr>
            <w:tcW w:w="1319" w:type="dxa"/>
            <w:tcBorders>
              <w:top w:val="single" w:sz="6" w:space="0" w:color="00B2A9" w:themeColor="accent1"/>
              <w:left w:val="nil"/>
              <w:bottom w:val="single" w:sz="6" w:space="0" w:color="00B2A9" w:themeColor="accent1"/>
              <w:right w:val="nil"/>
            </w:tcBorders>
          </w:tcPr>
          <w:p w14:paraId="45668D6C" w14:textId="77777777" w:rsidR="00491210" w:rsidRPr="009033F6" w:rsidRDefault="00EE200C" w:rsidP="00237BBD">
            <w:pPr>
              <w:jc w:val="center"/>
              <w:rPr>
                <w:rFonts w:eastAsia="Arial"/>
                <w:color w:val="000000"/>
                <w:szCs w:val="20"/>
              </w:rPr>
            </w:pPr>
            <w:r w:rsidRPr="009033F6">
              <w:rPr>
                <w:rFonts w:eastAsia="Arial"/>
                <w:color w:val="000000"/>
                <w:szCs w:val="20"/>
              </w:rPr>
              <w:t>2006–2019</w:t>
            </w:r>
          </w:p>
        </w:tc>
        <w:tc>
          <w:tcPr>
            <w:tcW w:w="981" w:type="dxa"/>
            <w:tcBorders>
              <w:top w:val="single" w:sz="6" w:space="0" w:color="00B2A9" w:themeColor="accent1"/>
              <w:left w:val="nil"/>
              <w:bottom w:val="single" w:sz="6" w:space="0" w:color="00B2A9" w:themeColor="accent1"/>
              <w:right w:val="nil"/>
            </w:tcBorders>
          </w:tcPr>
          <w:p w14:paraId="0A4C52DC" w14:textId="77777777" w:rsidR="00491210" w:rsidRPr="009033F6" w:rsidRDefault="00EE200C" w:rsidP="00237BBD">
            <w:pPr>
              <w:jc w:val="center"/>
              <w:rPr>
                <w:rFonts w:eastAsia="Arial"/>
                <w:color w:val="000000"/>
                <w:szCs w:val="20"/>
              </w:rPr>
            </w:pPr>
            <w:r w:rsidRPr="009033F6">
              <w:rPr>
                <w:rFonts w:eastAsia="Arial"/>
                <w:color w:val="000000"/>
                <w:szCs w:val="20"/>
              </w:rPr>
              <w:t>9</w:t>
            </w:r>
          </w:p>
        </w:tc>
        <w:tc>
          <w:tcPr>
            <w:tcW w:w="1059" w:type="dxa"/>
            <w:tcBorders>
              <w:top w:val="single" w:sz="6" w:space="0" w:color="00B2A9" w:themeColor="accent1"/>
              <w:left w:val="nil"/>
              <w:bottom w:val="single" w:sz="6" w:space="0" w:color="00B2A9" w:themeColor="accent1"/>
              <w:right w:val="nil"/>
            </w:tcBorders>
          </w:tcPr>
          <w:p w14:paraId="2D13879B" w14:textId="77777777" w:rsidR="00491210" w:rsidRPr="009033F6" w:rsidRDefault="00EE200C" w:rsidP="00237BBD">
            <w:pPr>
              <w:jc w:val="center"/>
              <w:rPr>
                <w:rFonts w:eastAsia="Arial"/>
                <w:color w:val="000000"/>
                <w:szCs w:val="20"/>
              </w:rPr>
            </w:pPr>
            <w:r w:rsidRPr="009033F6">
              <w:rPr>
                <w:rFonts w:eastAsia="Arial"/>
                <w:color w:val="000000"/>
                <w:szCs w:val="20"/>
              </w:rPr>
              <w:t>13</w:t>
            </w:r>
          </w:p>
        </w:tc>
        <w:tc>
          <w:tcPr>
            <w:tcW w:w="1017" w:type="dxa"/>
            <w:tcBorders>
              <w:top w:val="single" w:sz="6" w:space="0" w:color="00B2A9" w:themeColor="accent1"/>
              <w:left w:val="nil"/>
              <w:bottom w:val="single" w:sz="6" w:space="0" w:color="00B2A9" w:themeColor="accent1"/>
              <w:right w:val="nil"/>
            </w:tcBorders>
          </w:tcPr>
          <w:p w14:paraId="61461C4C" w14:textId="77777777" w:rsidR="00491210" w:rsidRPr="009033F6" w:rsidRDefault="00EE200C" w:rsidP="00237BBD">
            <w:pPr>
              <w:jc w:val="center"/>
              <w:rPr>
                <w:rFonts w:eastAsia="Arial"/>
                <w:color w:val="000000"/>
                <w:szCs w:val="20"/>
              </w:rPr>
            </w:pPr>
            <w:r w:rsidRPr="009033F6">
              <w:rPr>
                <w:rFonts w:eastAsia="Arial"/>
                <w:color w:val="000000"/>
                <w:szCs w:val="20"/>
              </w:rPr>
              <w:t>120</w:t>
            </w:r>
          </w:p>
        </w:tc>
      </w:tr>
    </w:tbl>
    <w:p w14:paraId="30945FAD" w14:textId="0259CFFA" w:rsidR="00491210" w:rsidRDefault="00EE200C" w:rsidP="009E15CE">
      <w:pPr>
        <w:spacing w:line="259" w:lineRule="auto"/>
        <w:jc w:val="both"/>
        <w:rPr>
          <w:rFonts w:eastAsia="Arial"/>
          <w:color w:val="000000"/>
          <w:sz w:val="22"/>
          <w:szCs w:val="22"/>
        </w:rPr>
      </w:pPr>
      <w:r>
        <w:rPr>
          <w:rFonts w:eastAsia="Arial"/>
          <w:color w:val="000000"/>
          <w:sz w:val="22"/>
          <w:szCs w:val="22"/>
        </w:rPr>
        <w:t xml:space="preserve">MACAMB – </w:t>
      </w:r>
      <w:r>
        <w:rPr>
          <w:color w:val="000000"/>
          <w:sz w:val="22"/>
          <w:szCs w:val="22"/>
          <w:lang w:eastAsia="en-AU"/>
        </w:rPr>
        <w:t>G</w:t>
      </w:r>
      <w:r w:rsidRPr="2D74987C">
        <w:rPr>
          <w:color w:val="000000"/>
          <w:sz w:val="22"/>
          <w:szCs w:val="22"/>
          <w:lang w:eastAsia="en-AU"/>
        </w:rPr>
        <w:t xml:space="preserve">olden </w:t>
      </w:r>
      <w:r>
        <w:rPr>
          <w:color w:val="000000"/>
          <w:sz w:val="22"/>
          <w:szCs w:val="22"/>
          <w:lang w:eastAsia="en-AU"/>
        </w:rPr>
        <w:t>P</w:t>
      </w:r>
      <w:r w:rsidRPr="2D74987C">
        <w:rPr>
          <w:color w:val="000000"/>
          <w:sz w:val="22"/>
          <w:szCs w:val="22"/>
          <w:lang w:eastAsia="en-AU"/>
        </w:rPr>
        <w:t>erch (</w:t>
      </w:r>
      <w:r w:rsidRPr="2D74987C">
        <w:rPr>
          <w:i/>
          <w:iCs/>
          <w:color w:val="000000"/>
          <w:sz w:val="22"/>
          <w:szCs w:val="22"/>
          <w:lang w:eastAsia="en-AU"/>
        </w:rPr>
        <w:t>Macquaria ambigua</w:t>
      </w:r>
      <w:r w:rsidRPr="2D74987C">
        <w:rPr>
          <w:color w:val="000000"/>
          <w:sz w:val="22"/>
          <w:szCs w:val="22"/>
          <w:lang w:eastAsia="en-AU"/>
        </w:rPr>
        <w:t>).</w:t>
      </w:r>
    </w:p>
    <w:p w14:paraId="03615625" w14:textId="5C5F90BE" w:rsidR="00491210" w:rsidRDefault="00EE200C" w:rsidP="009E15CE">
      <w:pPr>
        <w:spacing w:line="259" w:lineRule="auto"/>
        <w:jc w:val="both"/>
        <w:rPr>
          <w:rFonts w:eastAsia="Arial"/>
          <w:color w:val="000000"/>
          <w:sz w:val="22"/>
          <w:szCs w:val="22"/>
        </w:rPr>
      </w:pPr>
      <w:r>
        <w:rPr>
          <w:rFonts w:eastAsia="Arial"/>
          <w:color w:val="000000"/>
          <w:sz w:val="22"/>
          <w:szCs w:val="22"/>
        </w:rPr>
        <w:t>MACPEE – Murray Cod (</w:t>
      </w:r>
      <w:r w:rsidRPr="00AC3820">
        <w:rPr>
          <w:i/>
          <w:iCs/>
          <w:color w:val="000000"/>
          <w:sz w:val="22"/>
          <w:szCs w:val="22"/>
          <w:lang w:eastAsia="en-AU"/>
        </w:rPr>
        <w:t>Maccullochella peelii</w:t>
      </w:r>
      <w:r>
        <w:rPr>
          <w:rFonts w:eastAsia="Arial"/>
          <w:color w:val="000000"/>
          <w:sz w:val="22"/>
          <w:szCs w:val="22"/>
        </w:rPr>
        <w:t>)</w:t>
      </w:r>
    </w:p>
    <w:p w14:paraId="2D499526" w14:textId="77777777" w:rsidR="00491210" w:rsidRPr="009E15CE" w:rsidRDefault="00491210" w:rsidP="009E15CE">
      <w:pPr>
        <w:spacing w:line="259" w:lineRule="auto"/>
        <w:jc w:val="both"/>
        <w:rPr>
          <w:rFonts w:eastAsia="Arial"/>
          <w:color w:val="000000"/>
          <w:sz w:val="22"/>
          <w:szCs w:val="22"/>
        </w:rPr>
      </w:pPr>
    </w:p>
    <w:p w14:paraId="005E72D9" w14:textId="08424C62" w:rsidR="00491210" w:rsidRPr="00F84134" w:rsidRDefault="00EE200C" w:rsidP="005F1F7F">
      <w:pPr>
        <w:pStyle w:val="Heading3"/>
      </w:pPr>
      <w:bookmarkStart w:id="465" w:name="_Toc116994957"/>
      <w:r w:rsidRPr="00F84134">
        <w:t>Data analysis</w:t>
      </w:r>
      <w:bookmarkEnd w:id="465"/>
    </w:p>
    <w:p w14:paraId="1F9DFA4E" w14:textId="543A929C" w:rsidR="00491210" w:rsidRDefault="003E1401" w:rsidP="3FC79A6E">
      <w:pPr>
        <w:spacing w:before="180" w:after="180"/>
        <w:rPr>
          <w:rFonts w:ascii="Calibri" w:eastAsia="Calibri" w:hAnsi="Calibri" w:cs="Calibri"/>
          <w:color w:val="363534" w:themeColor="text1"/>
          <w:sz w:val="22"/>
          <w:szCs w:val="22"/>
        </w:rPr>
      </w:pPr>
      <w:r>
        <w:rPr>
          <w:rFonts w:ascii="Calibri" w:eastAsia="Calibri" w:hAnsi="Calibri" w:cs="Calibri"/>
          <w:noProof/>
          <w:color w:val="363534" w:themeColor="text1"/>
          <w:sz w:val="22"/>
          <w:szCs w:val="22"/>
        </w:rPr>
        <w:t xml:space="preserve"> </w:t>
      </w:r>
    </w:p>
    <w:p w14:paraId="085D6607" w14:textId="4B124566" w:rsidR="00491210" w:rsidRDefault="00EE200C" w:rsidP="00F602FE">
      <w:pPr>
        <w:pStyle w:val="AppendixFigureCaption"/>
        <w:rPr>
          <w:rFonts w:eastAsia="Arial"/>
        </w:rPr>
      </w:pPr>
      <w:bookmarkStart w:id="466" w:name="_Ref111233089"/>
      <w:r>
        <w:t>Figure A6.</w:t>
      </w:r>
      <w:r>
        <w:rPr>
          <w:noProof/>
        </w:rPr>
        <w:fldChar w:fldCharType="begin"/>
      </w:r>
      <w:r>
        <w:rPr>
          <w:noProof/>
        </w:rPr>
        <w:instrText xml:space="preserve"> SEQ Figure_A6. \* ARABIC </w:instrText>
      </w:r>
      <w:r>
        <w:rPr>
          <w:noProof/>
        </w:rPr>
        <w:fldChar w:fldCharType="separate"/>
      </w:r>
      <w:r w:rsidR="005B672A">
        <w:rPr>
          <w:noProof/>
        </w:rPr>
        <w:t>2</w:t>
      </w:r>
      <w:r>
        <w:rPr>
          <w:noProof/>
        </w:rPr>
        <w:fldChar w:fldCharType="end"/>
      </w:r>
      <w:bookmarkEnd w:id="466"/>
      <w:r>
        <w:t xml:space="preserve">. </w:t>
      </w:r>
      <w:r w:rsidRPr="3FC79A6E">
        <w:rPr>
          <w:rFonts w:eastAsia="Arial"/>
        </w:rPr>
        <w:t>Plot of predicted abundance vs average CPUE</w:t>
      </w:r>
      <w:r>
        <w:rPr>
          <w:rFonts w:eastAsia="Arial"/>
        </w:rPr>
        <w:t xml:space="preserve"> with 95%CI error bars</w:t>
      </w:r>
      <w:r w:rsidRPr="3FC79A6E">
        <w:rPr>
          <w:rFonts w:eastAsia="Arial"/>
        </w:rPr>
        <w:t xml:space="preserve">. Every model had high </w:t>
      </w:r>
      <w:r w:rsidRPr="007D64CE">
        <w:rPr>
          <w:rFonts w:eastAsia="Arial"/>
          <w:iCs/>
        </w:rPr>
        <w:t>r</w:t>
      </w:r>
      <w:r w:rsidRPr="3FC79A6E">
        <w:rPr>
          <w:rFonts w:eastAsia="Arial"/>
        </w:rPr>
        <w:t xml:space="preserve"> values</w:t>
      </w:r>
      <w:r>
        <w:rPr>
          <w:rFonts w:eastAsia="Arial"/>
        </w:rPr>
        <w:t>,</w:t>
      </w:r>
      <w:r w:rsidRPr="3FC79A6E">
        <w:rPr>
          <w:rFonts w:eastAsia="Arial"/>
        </w:rPr>
        <w:t xml:space="preserve"> indicating a good fit. The bias in the model estimates underpredicting is twofold: </w:t>
      </w:r>
      <w:r>
        <w:rPr>
          <w:rFonts w:eastAsia="Arial"/>
        </w:rPr>
        <w:t>(</w:t>
      </w:r>
      <w:r w:rsidRPr="3FC79A6E">
        <w:rPr>
          <w:rFonts w:eastAsia="Arial"/>
        </w:rPr>
        <w:t>1) the CPUE is partly an art</w:t>
      </w:r>
      <w:r>
        <w:rPr>
          <w:rFonts w:eastAsia="Arial"/>
        </w:rPr>
        <w:t>e</w:t>
      </w:r>
      <w:r w:rsidRPr="3FC79A6E">
        <w:rPr>
          <w:rFonts w:eastAsia="Arial"/>
        </w:rPr>
        <w:t xml:space="preserve">fact of averaging </w:t>
      </w:r>
      <w:r>
        <w:rPr>
          <w:rFonts w:eastAsia="Arial"/>
        </w:rPr>
        <w:t xml:space="preserve">the </w:t>
      </w:r>
      <w:r w:rsidRPr="3FC79A6E">
        <w:rPr>
          <w:rFonts w:eastAsia="Arial"/>
        </w:rPr>
        <w:t xml:space="preserve">CPUE on </w:t>
      </w:r>
      <w:r>
        <w:rPr>
          <w:rFonts w:eastAsia="Arial"/>
        </w:rPr>
        <w:t xml:space="preserve">a </w:t>
      </w:r>
      <w:r w:rsidRPr="3FC79A6E">
        <w:rPr>
          <w:rFonts w:eastAsia="Arial"/>
        </w:rPr>
        <w:t xml:space="preserve">raw scale rather than </w:t>
      </w:r>
      <w:r>
        <w:rPr>
          <w:rFonts w:eastAsia="Arial"/>
        </w:rPr>
        <w:t xml:space="preserve">a </w:t>
      </w:r>
      <w:r w:rsidRPr="3FC79A6E">
        <w:rPr>
          <w:rFonts w:eastAsia="Arial"/>
        </w:rPr>
        <w:t>log scale (due to zero catches)</w:t>
      </w:r>
      <w:r>
        <w:rPr>
          <w:rFonts w:eastAsia="Arial"/>
        </w:rPr>
        <w:t>,</w:t>
      </w:r>
      <w:r w:rsidRPr="3FC79A6E">
        <w:rPr>
          <w:rFonts w:eastAsia="Arial"/>
        </w:rPr>
        <w:t xml:space="preserve"> and </w:t>
      </w:r>
      <w:r>
        <w:rPr>
          <w:rFonts w:eastAsia="Arial"/>
        </w:rPr>
        <w:t>(</w:t>
      </w:r>
      <w:r w:rsidRPr="3FC79A6E">
        <w:rPr>
          <w:rFonts w:eastAsia="Arial"/>
        </w:rPr>
        <w:t>2) the random</w:t>
      </w:r>
      <w:r>
        <w:rPr>
          <w:rFonts w:eastAsia="Arial"/>
        </w:rPr>
        <w:t>-</w:t>
      </w:r>
      <w:r w:rsidRPr="3FC79A6E">
        <w:rPr>
          <w:rFonts w:eastAsia="Arial"/>
        </w:rPr>
        <w:t>effects component of the model restricts higher growth rates.</w:t>
      </w:r>
      <w:r w:rsidRPr="00EA2CBF">
        <w:rPr>
          <w:rFonts w:eastAsia="Arial"/>
        </w:rPr>
        <w:t xml:space="preserve"> CPUE: catch-per-unit-effort.</w:t>
      </w:r>
      <w:r>
        <w:rPr>
          <w:rFonts w:eastAsia="Arial"/>
        </w:rPr>
        <w:t xml:space="preserve"> Solid black line shows 1:1 relationship.</w:t>
      </w:r>
    </w:p>
    <w:p w14:paraId="6AE99EC7" w14:textId="4D9159FF" w:rsidR="00491210" w:rsidRDefault="003E1401" w:rsidP="3FC79A6E">
      <w:r>
        <w:rPr>
          <w:noProof/>
        </w:rPr>
        <w:t xml:space="preserve"> </w:t>
      </w:r>
    </w:p>
    <w:p w14:paraId="1535CB2D" w14:textId="0049A181" w:rsidR="00491210" w:rsidRDefault="00EE200C" w:rsidP="0014725F">
      <w:pPr>
        <w:pStyle w:val="AppendixFigureCaption"/>
        <w:rPr>
          <w:rFonts w:eastAsia="Arial"/>
        </w:rPr>
      </w:pPr>
      <w:bookmarkStart w:id="467" w:name="_Ref108004463"/>
      <w:r>
        <w:t>Figure A6.</w:t>
      </w:r>
      <w:fldSimple w:instr=" SEQ Figure_A6. \* ARABIC ">
        <w:r w:rsidR="005B672A">
          <w:rPr>
            <w:noProof/>
          </w:rPr>
          <w:t>3</w:t>
        </w:r>
      </w:fldSimple>
      <w:bookmarkEnd w:id="467"/>
      <w:r w:rsidRPr="0011681D">
        <w:t>.</w:t>
      </w:r>
      <w:r>
        <w:t xml:space="preserve"> </w:t>
      </w:r>
      <w:r w:rsidRPr="3FC79A6E">
        <w:rPr>
          <w:rFonts w:eastAsia="Arial"/>
        </w:rPr>
        <w:t>Length distributions of selected data for each population area for Golden Perch.</w:t>
      </w:r>
    </w:p>
    <w:p w14:paraId="1FAE3EFE" w14:textId="4ABB69A9" w:rsidR="00491210" w:rsidRDefault="00EE200C" w:rsidP="3FC79A6E">
      <w:pPr>
        <w:rPr>
          <w:rFonts w:eastAsia="Arial"/>
          <w:color w:val="363534" w:themeColor="text1"/>
          <w:sz w:val="22"/>
          <w:szCs w:val="22"/>
        </w:rPr>
      </w:pPr>
      <w:r>
        <w:br w:type="page"/>
      </w:r>
    </w:p>
    <w:p w14:paraId="2468BBA5" w14:textId="2C1EA51C" w:rsidR="00491210" w:rsidRDefault="003E1401" w:rsidP="3FC79A6E">
      <w:r>
        <w:rPr>
          <w:noProof/>
        </w:rPr>
        <w:lastRenderedPageBreak/>
        <w:t xml:space="preserve"> </w:t>
      </w:r>
    </w:p>
    <w:p w14:paraId="4492E967" w14:textId="209481F7" w:rsidR="00491210" w:rsidRDefault="00EE200C" w:rsidP="00F602FE">
      <w:pPr>
        <w:pStyle w:val="AppendixFigureCaption"/>
        <w:rPr>
          <w:rFonts w:eastAsia="Arial"/>
        </w:rPr>
      </w:pPr>
      <w:r>
        <w:t>Figure A6.</w:t>
      </w:r>
      <w:r>
        <w:rPr>
          <w:noProof/>
        </w:rPr>
        <w:fldChar w:fldCharType="begin"/>
      </w:r>
      <w:r>
        <w:rPr>
          <w:noProof/>
        </w:rPr>
        <w:instrText xml:space="preserve"> SEQ Figure_A6. \* ARABIC </w:instrText>
      </w:r>
      <w:r>
        <w:rPr>
          <w:noProof/>
        </w:rPr>
        <w:fldChar w:fldCharType="separate"/>
      </w:r>
      <w:r w:rsidR="005B672A">
        <w:rPr>
          <w:noProof/>
        </w:rPr>
        <w:t>4</w:t>
      </w:r>
      <w:r>
        <w:rPr>
          <w:noProof/>
        </w:rPr>
        <w:fldChar w:fldCharType="end"/>
      </w:r>
      <w:r>
        <w:t xml:space="preserve">. </w:t>
      </w:r>
      <w:r w:rsidRPr="3FC79A6E">
        <w:rPr>
          <w:rFonts w:eastAsia="Arial"/>
        </w:rPr>
        <w:t xml:space="preserve">Length distributions of selected data for each population area for </w:t>
      </w:r>
      <w:r>
        <w:rPr>
          <w:rFonts w:eastAsia="Arial"/>
        </w:rPr>
        <w:t>Murray Cod</w:t>
      </w:r>
      <w:r w:rsidRPr="3FC79A6E">
        <w:rPr>
          <w:rFonts w:eastAsia="Arial"/>
        </w:rPr>
        <w:t>.</w:t>
      </w:r>
    </w:p>
    <w:p w14:paraId="575DFE05" w14:textId="72790E83" w:rsidR="00491210" w:rsidRDefault="00EE200C">
      <w:pPr>
        <w:spacing w:after="0"/>
        <w:rPr>
          <w:rFonts w:eastAsia="Arial"/>
          <w:szCs w:val="20"/>
        </w:rPr>
      </w:pPr>
      <w:r>
        <w:rPr>
          <w:rFonts w:eastAsia="Arial"/>
          <w:szCs w:val="20"/>
        </w:rPr>
        <w:br w:type="page"/>
      </w:r>
    </w:p>
    <w:p w14:paraId="292E994C" w14:textId="308097CB" w:rsidR="00491210" w:rsidRDefault="00EE200C" w:rsidP="005F1F7F">
      <w:pPr>
        <w:pStyle w:val="Heading3"/>
      </w:pPr>
      <w:bookmarkStart w:id="468" w:name="_Toc116994958"/>
      <w:r>
        <w:lastRenderedPageBreak/>
        <w:t>Summary of validation results</w:t>
      </w:r>
      <w:bookmarkEnd w:id="468"/>
    </w:p>
    <w:p w14:paraId="6164A5C6" w14:textId="25CF2FF5" w:rsidR="00491210" w:rsidRDefault="00EE200C" w:rsidP="00F602FE">
      <w:pPr>
        <w:pStyle w:val="AppendixTableCaption"/>
        <w:rPr>
          <w:rFonts w:eastAsia="Arial"/>
        </w:rPr>
      </w:pPr>
      <w:bookmarkStart w:id="469" w:name="_Ref107996988"/>
      <w:r>
        <w:t>Table A6.</w:t>
      </w:r>
      <w:r>
        <w:rPr>
          <w:noProof/>
        </w:rPr>
        <w:fldChar w:fldCharType="begin"/>
      </w:r>
      <w:r>
        <w:rPr>
          <w:noProof/>
        </w:rPr>
        <w:instrText xml:space="preserve"> SEQ Table_A6. \* ARABIC </w:instrText>
      </w:r>
      <w:r>
        <w:rPr>
          <w:noProof/>
        </w:rPr>
        <w:fldChar w:fldCharType="separate"/>
      </w:r>
      <w:r w:rsidR="005B672A">
        <w:rPr>
          <w:noProof/>
        </w:rPr>
        <w:t>2</w:t>
      </w:r>
      <w:r>
        <w:rPr>
          <w:noProof/>
        </w:rPr>
        <w:fldChar w:fldCharType="end"/>
      </w:r>
      <w:bookmarkEnd w:id="469"/>
      <w:r>
        <w:t xml:space="preserve">. </w:t>
      </w:r>
      <w:r w:rsidRPr="3FC79A6E">
        <w:rPr>
          <w:rFonts w:eastAsia="Arial"/>
        </w:rPr>
        <w:t xml:space="preserve">Summary of </w:t>
      </w:r>
      <w:r>
        <w:rPr>
          <w:rFonts w:eastAsia="Arial"/>
        </w:rPr>
        <w:t xml:space="preserve">the </w:t>
      </w:r>
      <w:r w:rsidRPr="3FC79A6E">
        <w:rPr>
          <w:rFonts w:eastAsia="Arial"/>
        </w:rPr>
        <w:t xml:space="preserve">validation results, </w:t>
      </w:r>
      <w:r>
        <w:rPr>
          <w:rFonts w:eastAsia="Arial"/>
        </w:rPr>
        <w:t xml:space="preserve">possible </w:t>
      </w:r>
      <w:r w:rsidRPr="3FC79A6E">
        <w:rPr>
          <w:rFonts w:eastAsia="Arial"/>
        </w:rPr>
        <w:t xml:space="preserve">explanations for mismatches, future work to improve MODEL/DATA correlation, and implications of </w:t>
      </w:r>
      <w:r>
        <w:rPr>
          <w:rFonts w:eastAsia="Arial"/>
        </w:rPr>
        <w:t xml:space="preserve">the </w:t>
      </w:r>
      <w:r w:rsidRPr="3FC79A6E">
        <w:rPr>
          <w:rFonts w:eastAsia="Arial"/>
        </w:rPr>
        <w:t xml:space="preserve">validation work for confidence in using </w:t>
      </w:r>
      <w:r>
        <w:rPr>
          <w:rFonts w:eastAsia="Arial"/>
        </w:rPr>
        <w:t xml:space="preserve">the </w:t>
      </w:r>
      <w:r w:rsidRPr="3FC79A6E">
        <w:rPr>
          <w:rFonts w:eastAsia="Arial"/>
        </w:rPr>
        <w:t>MODEL predictions.</w:t>
      </w:r>
    </w:p>
    <w:tbl>
      <w:tblPr>
        <w:tblStyle w:val="TableGrid"/>
        <w:tblW w:w="0" w:type="auto"/>
        <w:tblLayout w:type="fixed"/>
        <w:tblLook w:val="04A0" w:firstRow="1" w:lastRow="0" w:firstColumn="1" w:lastColumn="0" w:noHBand="0" w:noVBand="1"/>
      </w:tblPr>
      <w:tblGrid>
        <w:gridCol w:w="1333"/>
        <w:gridCol w:w="1843"/>
        <w:gridCol w:w="2293"/>
        <w:gridCol w:w="1866"/>
        <w:gridCol w:w="2304"/>
      </w:tblGrid>
      <w:tr w:rsidR="006F763D" w:rsidRPr="00C02F64" w14:paraId="4A514A81" w14:textId="77777777" w:rsidTr="00A20590">
        <w:trPr>
          <w:cantSplit/>
          <w:trHeight w:val="1035"/>
          <w:tblHeader/>
        </w:trPr>
        <w:tc>
          <w:tcPr>
            <w:tcW w:w="1333" w:type="dxa"/>
            <w:tcBorders>
              <w:top w:val="nil"/>
              <w:left w:val="nil"/>
              <w:bottom w:val="nil"/>
              <w:right w:val="nil"/>
            </w:tcBorders>
            <w:shd w:val="clear" w:color="auto" w:fill="00B2A9" w:themeFill="accent1"/>
          </w:tcPr>
          <w:p w14:paraId="6D3882E8" w14:textId="77777777" w:rsidR="00491210" w:rsidRPr="00C02F64" w:rsidRDefault="00491210" w:rsidP="00162EF1">
            <w:pPr>
              <w:rPr>
                <w:rFonts w:eastAsia="Arial"/>
                <w:color w:val="FFFFFF" w:themeColor="background1"/>
                <w:szCs w:val="20"/>
              </w:rPr>
            </w:pPr>
          </w:p>
        </w:tc>
        <w:tc>
          <w:tcPr>
            <w:tcW w:w="1843" w:type="dxa"/>
            <w:tcBorders>
              <w:top w:val="nil"/>
              <w:left w:val="nil"/>
              <w:bottom w:val="nil"/>
              <w:right w:val="nil"/>
            </w:tcBorders>
            <w:shd w:val="clear" w:color="auto" w:fill="00B2A9" w:themeFill="accent1"/>
          </w:tcPr>
          <w:p w14:paraId="056340D7" w14:textId="201F4700" w:rsidR="00491210" w:rsidRPr="00C02F64" w:rsidRDefault="00EE200C" w:rsidP="00162EF1">
            <w:pPr>
              <w:rPr>
                <w:rFonts w:eastAsia="Arial"/>
                <w:color w:val="FFFFFF" w:themeColor="background1"/>
                <w:szCs w:val="20"/>
              </w:rPr>
            </w:pPr>
            <w:r w:rsidRPr="00A20590">
              <w:rPr>
                <w:rFonts w:eastAsia="Arial"/>
                <w:b/>
                <w:bCs/>
                <w:color w:val="FFFFFF" w:themeColor="background1"/>
                <w:szCs w:val="20"/>
              </w:rPr>
              <w:t>Summary of comparison of population model predictions (MODEL) and empirical data (DATA)</w:t>
            </w:r>
          </w:p>
        </w:tc>
        <w:tc>
          <w:tcPr>
            <w:tcW w:w="2293" w:type="dxa"/>
            <w:tcBorders>
              <w:top w:val="nil"/>
              <w:left w:val="nil"/>
              <w:bottom w:val="nil"/>
              <w:right w:val="nil"/>
            </w:tcBorders>
            <w:shd w:val="clear" w:color="auto" w:fill="00B2A9" w:themeFill="accent1"/>
          </w:tcPr>
          <w:p w14:paraId="4BBB364C" w14:textId="77777777" w:rsidR="00491210" w:rsidRPr="00C02F64" w:rsidRDefault="00EE200C" w:rsidP="00162EF1">
            <w:pPr>
              <w:rPr>
                <w:rFonts w:eastAsia="Arial"/>
                <w:color w:val="FFFFFF" w:themeColor="background1"/>
                <w:szCs w:val="20"/>
              </w:rPr>
            </w:pPr>
            <w:r w:rsidRPr="00A20590">
              <w:rPr>
                <w:rFonts w:eastAsia="Arial"/>
                <w:b/>
                <w:bCs/>
                <w:color w:val="FFFFFF" w:themeColor="background1"/>
                <w:szCs w:val="20"/>
              </w:rPr>
              <w:t>Possible explanations for mismatches</w:t>
            </w:r>
          </w:p>
        </w:tc>
        <w:tc>
          <w:tcPr>
            <w:tcW w:w="1866" w:type="dxa"/>
            <w:tcBorders>
              <w:top w:val="nil"/>
              <w:left w:val="nil"/>
              <w:bottom w:val="nil"/>
              <w:right w:val="nil"/>
            </w:tcBorders>
            <w:shd w:val="clear" w:color="auto" w:fill="00B2A9" w:themeFill="accent1"/>
          </w:tcPr>
          <w:p w14:paraId="681ED24E" w14:textId="2141B160" w:rsidR="00491210" w:rsidRPr="00C02F64" w:rsidRDefault="00EE200C" w:rsidP="00162EF1">
            <w:pPr>
              <w:rPr>
                <w:rFonts w:eastAsia="Arial"/>
                <w:color w:val="FFFFFF" w:themeColor="background1"/>
                <w:szCs w:val="20"/>
              </w:rPr>
            </w:pPr>
            <w:r w:rsidRPr="00A20590">
              <w:rPr>
                <w:rFonts w:eastAsia="Arial"/>
                <w:b/>
                <w:bCs/>
                <w:color w:val="FFFFFF" w:themeColor="background1"/>
                <w:szCs w:val="20"/>
              </w:rPr>
              <w:t>Future work to improve MODEL/DATA correlation</w:t>
            </w:r>
          </w:p>
        </w:tc>
        <w:tc>
          <w:tcPr>
            <w:tcW w:w="2304" w:type="dxa"/>
            <w:tcBorders>
              <w:top w:val="nil"/>
              <w:left w:val="nil"/>
              <w:bottom w:val="nil"/>
              <w:right w:val="nil"/>
            </w:tcBorders>
            <w:shd w:val="clear" w:color="auto" w:fill="00B2A9" w:themeFill="accent1"/>
          </w:tcPr>
          <w:p w14:paraId="0176EC3B" w14:textId="77777777" w:rsidR="00491210" w:rsidRPr="00C02F64" w:rsidRDefault="00EE200C" w:rsidP="00162EF1">
            <w:pPr>
              <w:rPr>
                <w:rFonts w:eastAsia="Arial"/>
                <w:color w:val="FFFFFF" w:themeColor="background1"/>
                <w:szCs w:val="20"/>
              </w:rPr>
            </w:pPr>
            <w:r w:rsidRPr="00A20590">
              <w:rPr>
                <w:rFonts w:eastAsia="Arial"/>
                <w:b/>
                <w:bCs/>
                <w:color w:val="FFFFFF" w:themeColor="background1"/>
                <w:szCs w:val="20"/>
              </w:rPr>
              <w:t>Relative confidence for using MODEL predictions in RRCP project</w:t>
            </w:r>
          </w:p>
        </w:tc>
      </w:tr>
      <w:tr w:rsidR="006F763D" w14:paraId="047203E0" w14:textId="77777777" w:rsidTr="00A20590">
        <w:trPr>
          <w:cantSplit/>
          <w:trHeight w:val="195"/>
        </w:trPr>
        <w:tc>
          <w:tcPr>
            <w:tcW w:w="1333" w:type="dxa"/>
            <w:tcBorders>
              <w:top w:val="nil"/>
              <w:left w:val="nil"/>
              <w:bottom w:val="single" w:sz="6" w:space="0" w:color="00B2A9" w:themeColor="accent1"/>
              <w:right w:val="nil"/>
            </w:tcBorders>
          </w:tcPr>
          <w:p w14:paraId="2BA4241D" w14:textId="77777777" w:rsidR="00491210" w:rsidRDefault="00EE200C" w:rsidP="00162EF1">
            <w:pPr>
              <w:rPr>
                <w:rFonts w:eastAsia="Arial"/>
                <w:szCs w:val="20"/>
              </w:rPr>
            </w:pPr>
            <w:r w:rsidRPr="3FC79A6E">
              <w:rPr>
                <w:rFonts w:eastAsia="Arial"/>
                <w:b/>
                <w:bCs/>
                <w:i/>
                <w:iCs/>
                <w:szCs w:val="20"/>
              </w:rPr>
              <w:t>Golden Perch</w:t>
            </w:r>
          </w:p>
        </w:tc>
        <w:tc>
          <w:tcPr>
            <w:tcW w:w="1843" w:type="dxa"/>
            <w:tcBorders>
              <w:top w:val="nil"/>
              <w:left w:val="nil"/>
              <w:bottom w:val="single" w:sz="6" w:space="0" w:color="00B2A9" w:themeColor="accent1"/>
              <w:right w:val="nil"/>
            </w:tcBorders>
          </w:tcPr>
          <w:p w14:paraId="530A2508" w14:textId="77777777" w:rsidR="00491210" w:rsidRDefault="00491210" w:rsidP="00162EF1">
            <w:pPr>
              <w:rPr>
                <w:rFonts w:eastAsia="Arial"/>
                <w:szCs w:val="20"/>
              </w:rPr>
            </w:pPr>
          </w:p>
        </w:tc>
        <w:tc>
          <w:tcPr>
            <w:tcW w:w="2293" w:type="dxa"/>
            <w:tcBorders>
              <w:top w:val="nil"/>
              <w:left w:val="nil"/>
              <w:bottom w:val="single" w:sz="6" w:space="0" w:color="00B2A9" w:themeColor="accent1"/>
              <w:right w:val="nil"/>
            </w:tcBorders>
          </w:tcPr>
          <w:p w14:paraId="473B7C19" w14:textId="77777777" w:rsidR="00491210" w:rsidRDefault="00491210" w:rsidP="00162EF1">
            <w:pPr>
              <w:rPr>
                <w:rFonts w:eastAsia="Arial"/>
                <w:szCs w:val="20"/>
              </w:rPr>
            </w:pPr>
          </w:p>
        </w:tc>
        <w:tc>
          <w:tcPr>
            <w:tcW w:w="1866" w:type="dxa"/>
            <w:tcBorders>
              <w:top w:val="nil"/>
              <w:left w:val="nil"/>
              <w:bottom w:val="single" w:sz="6" w:space="0" w:color="00B2A9" w:themeColor="accent1"/>
              <w:right w:val="nil"/>
            </w:tcBorders>
          </w:tcPr>
          <w:p w14:paraId="50149CE7" w14:textId="77777777" w:rsidR="00491210" w:rsidRDefault="00491210" w:rsidP="00162EF1">
            <w:pPr>
              <w:rPr>
                <w:rFonts w:eastAsia="Arial"/>
                <w:szCs w:val="20"/>
              </w:rPr>
            </w:pPr>
          </w:p>
        </w:tc>
        <w:tc>
          <w:tcPr>
            <w:tcW w:w="2304" w:type="dxa"/>
            <w:tcBorders>
              <w:top w:val="nil"/>
              <w:left w:val="nil"/>
              <w:bottom w:val="single" w:sz="6" w:space="0" w:color="00B2A9" w:themeColor="accent1"/>
              <w:right w:val="nil"/>
            </w:tcBorders>
          </w:tcPr>
          <w:p w14:paraId="41D4313F" w14:textId="77777777" w:rsidR="00491210" w:rsidRDefault="00491210" w:rsidP="00162EF1">
            <w:pPr>
              <w:rPr>
                <w:rFonts w:eastAsia="Arial"/>
                <w:szCs w:val="20"/>
              </w:rPr>
            </w:pPr>
          </w:p>
        </w:tc>
      </w:tr>
      <w:tr w:rsidR="006F763D" w14:paraId="7E91C67E" w14:textId="77777777" w:rsidTr="00A20590">
        <w:trPr>
          <w:cantSplit/>
          <w:trHeight w:val="2745"/>
        </w:trPr>
        <w:tc>
          <w:tcPr>
            <w:tcW w:w="1333" w:type="dxa"/>
            <w:tcBorders>
              <w:top w:val="single" w:sz="6" w:space="0" w:color="00B2A9" w:themeColor="accent1"/>
              <w:left w:val="nil"/>
              <w:bottom w:val="single" w:sz="6" w:space="0" w:color="00B2A9" w:themeColor="accent1"/>
              <w:right w:val="nil"/>
            </w:tcBorders>
          </w:tcPr>
          <w:p w14:paraId="250B4E84" w14:textId="77777777" w:rsidR="00491210" w:rsidRDefault="00EE200C" w:rsidP="00162EF1">
            <w:pPr>
              <w:rPr>
                <w:rFonts w:eastAsia="Arial"/>
                <w:szCs w:val="20"/>
              </w:rPr>
            </w:pPr>
            <w:r w:rsidRPr="3FC79A6E">
              <w:rPr>
                <w:rFonts w:eastAsia="Arial"/>
                <w:szCs w:val="20"/>
              </w:rPr>
              <w:t>Yarrawonga to Torrumbarry</w:t>
            </w:r>
          </w:p>
        </w:tc>
        <w:tc>
          <w:tcPr>
            <w:tcW w:w="1843" w:type="dxa"/>
            <w:tcBorders>
              <w:top w:val="single" w:sz="6" w:space="0" w:color="00B2A9" w:themeColor="accent1"/>
              <w:left w:val="nil"/>
              <w:bottom w:val="single" w:sz="6" w:space="0" w:color="00B2A9" w:themeColor="accent1"/>
              <w:right w:val="nil"/>
            </w:tcBorders>
          </w:tcPr>
          <w:p w14:paraId="3DCFE2E3" w14:textId="77777777" w:rsidR="00491210" w:rsidRDefault="00EE200C" w:rsidP="00162EF1">
            <w:pPr>
              <w:pStyle w:val="ListParagraph"/>
              <w:numPr>
                <w:ilvl w:val="0"/>
                <w:numId w:val="8"/>
              </w:numPr>
              <w:spacing w:after="0" w:line="240" w:lineRule="auto"/>
              <w:rPr>
                <w:rFonts w:ascii="Arial" w:eastAsia="Arial" w:hAnsi="Arial"/>
                <w:szCs w:val="20"/>
              </w:rPr>
            </w:pPr>
            <w:r w:rsidRPr="3FC79A6E">
              <w:rPr>
                <w:rFonts w:ascii="Arial" w:eastAsia="Arial" w:hAnsi="Arial"/>
                <w:szCs w:val="20"/>
              </w:rPr>
              <w:t>Similar trends in MODEL and DATA</w:t>
            </w:r>
          </w:p>
          <w:p w14:paraId="0EBD7871" w14:textId="2493313D" w:rsidR="00491210" w:rsidRDefault="00EE200C" w:rsidP="00162EF1">
            <w:pPr>
              <w:pStyle w:val="ListParagraph"/>
              <w:numPr>
                <w:ilvl w:val="0"/>
                <w:numId w:val="8"/>
              </w:numPr>
              <w:spacing w:after="0" w:line="240" w:lineRule="auto"/>
              <w:rPr>
                <w:rFonts w:ascii="Arial" w:eastAsia="Arial" w:hAnsi="Arial"/>
                <w:szCs w:val="20"/>
              </w:rPr>
            </w:pPr>
            <w:r w:rsidRPr="3FC79A6E">
              <w:rPr>
                <w:rFonts w:ascii="Arial" w:eastAsia="Arial" w:hAnsi="Arial"/>
                <w:szCs w:val="20"/>
              </w:rPr>
              <w:t>Some temporal misalignment (MODEL lagged cf. DATA)</w:t>
            </w:r>
          </w:p>
          <w:p w14:paraId="10C692C5" w14:textId="77777777" w:rsidR="00491210" w:rsidRDefault="00EE200C" w:rsidP="00162EF1">
            <w:pPr>
              <w:pStyle w:val="ListParagraph"/>
              <w:numPr>
                <w:ilvl w:val="0"/>
                <w:numId w:val="8"/>
              </w:numPr>
              <w:spacing w:after="0" w:line="240" w:lineRule="auto"/>
              <w:rPr>
                <w:rFonts w:ascii="Arial" w:eastAsia="Arial" w:hAnsi="Arial"/>
                <w:szCs w:val="20"/>
              </w:rPr>
            </w:pPr>
            <w:r w:rsidRPr="3FC79A6E">
              <w:rPr>
                <w:rFonts w:ascii="Arial" w:eastAsia="Arial" w:hAnsi="Arial"/>
                <w:szCs w:val="20"/>
              </w:rPr>
              <w:t>Weaker correlation between MODEL and DATA at extremes of observed hydrology</w:t>
            </w:r>
          </w:p>
          <w:p w14:paraId="716B5038" w14:textId="6AB8E6DF" w:rsidR="00491210" w:rsidRPr="00E2785E" w:rsidRDefault="00EE200C" w:rsidP="008620AA">
            <w:pPr>
              <w:pStyle w:val="ListParagraph"/>
              <w:numPr>
                <w:ilvl w:val="0"/>
                <w:numId w:val="8"/>
              </w:numPr>
              <w:spacing w:after="0" w:line="240" w:lineRule="auto"/>
              <w:rPr>
                <w:rFonts w:eastAsia="Arial"/>
                <w:szCs w:val="20"/>
              </w:rPr>
            </w:pPr>
            <w:r w:rsidRPr="3FC79A6E">
              <w:rPr>
                <w:rFonts w:ascii="Arial" w:eastAsia="Arial" w:hAnsi="Arial"/>
                <w:szCs w:val="20"/>
              </w:rPr>
              <w:t>Excellent alignment in MODEL and DATA estimates of immigration</w:t>
            </w:r>
          </w:p>
        </w:tc>
        <w:tc>
          <w:tcPr>
            <w:tcW w:w="2293" w:type="dxa"/>
            <w:tcBorders>
              <w:top w:val="single" w:sz="6" w:space="0" w:color="00B2A9" w:themeColor="accent1"/>
              <w:left w:val="nil"/>
              <w:bottom w:val="single" w:sz="6" w:space="0" w:color="00B2A9" w:themeColor="accent1"/>
              <w:right w:val="nil"/>
            </w:tcBorders>
          </w:tcPr>
          <w:p w14:paraId="3CF158D3" w14:textId="656BF6D1" w:rsidR="00491210" w:rsidRDefault="00EE200C" w:rsidP="00162EF1">
            <w:pPr>
              <w:pStyle w:val="ListParagraph"/>
              <w:numPr>
                <w:ilvl w:val="0"/>
                <w:numId w:val="8"/>
              </w:numPr>
              <w:spacing w:after="0" w:line="240" w:lineRule="auto"/>
              <w:rPr>
                <w:rFonts w:ascii="Arial" w:eastAsia="Arial" w:hAnsi="Arial"/>
                <w:szCs w:val="20"/>
              </w:rPr>
            </w:pPr>
            <w:r w:rsidRPr="3FC79A6E">
              <w:rPr>
                <w:rFonts w:ascii="Arial" w:eastAsia="Arial" w:hAnsi="Arial"/>
                <w:szCs w:val="20"/>
              </w:rPr>
              <w:t>Lagged MODEL prediction to 2010</w:t>
            </w:r>
            <w:r>
              <w:rPr>
                <w:rFonts w:ascii="Arial" w:eastAsia="Arial" w:hAnsi="Arial"/>
                <w:szCs w:val="20"/>
              </w:rPr>
              <w:t>–</w:t>
            </w:r>
            <w:r w:rsidRPr="3FC79A6E">
              <w:rPr>
                <w:rFonts w:ascii="Arial" w:eastAsia="Arial" w:hAnsi="Arial"/>
                <w:szCs w:val="20"/>
              </w:rPr>
              <w:t>2010 floods could be due to size of flooding leading to a redistribution of fish throughout the system</w:t>
            </w:r>
          </w:p>
          <w:p w14:paraId="11E96076" w14:textId="58A2A74F" w:rsidR="00491210" w:rsidRDefault="00EE200C" w:rsidP="00162EF1">
            <w:pPr>
              <w:pStyle w:val="ListParagraph"/>
              <w:numPr>
                <w:ilvl w:val="0"/>
                <w:numId w:val="8"/>
              </w:numPr>
              <w:spacing w:after="0" w:line="240" w:lineRule="auto"/>
              <w:rPr>
                <w:rFonts w:ascii="Arial" w:eastAsia="Arial" w:hAnsi="Arial"/>
                <w:szCs w:val="20"/>
              </w:rPr>
            </w:pPr>
            <w:r w:rsidRPr="3FC79A6E">
              <w:rPr>
                <w:rFonts w:ascii="Arial" w:eastAsia="Arial" w:hAnsi="Arial"/>
                <w:szCs w:val="20"/>
              </w:rPr>
              <w:t>MODEL only allows fish to move between adjoining populations in each year</w:t>
            </w:r>
            <w:r>
              <w:rPr>
                <w:rFonts w:ascii="Arial" w:eastAsia="Arial" w:hAnsi="Arial"/>
                <w:szCs w:val="20"/>
              </w:rPr>
              <w:t>,</w:t>
            </w:r>
            <w:r w:rsidRPr="3FC79A6E">
              <w:rPr>
                <w:rFonts w:ascii="Arial" w:eastAsia="Arial" w:hAnsi="Arial"/>
                <w:szCs w:val="20"/>
              </w:rPr>
              <w:t xml:space="preserve"> but flood may have led to more extensive movement</w:t>
            </w:r>
          </w:p>
          <w:p w14:paraId="41263F1F" w14:textId="3EA053B2" w:rsidR="00491210" w:rsidRDefault="00EE200C" w:rsidP="00162EF1">
            <w:pPr>
              <w:pStyle w:val="ListParagraph"/>
              <w:numPr>
                <w:ilvl w:val="0"/>
                <w:numId w:val="8"/>
              </w:numPr>
              <w:spacing w:after="0" w:line="240" w:lineRule="auto"/>
              <w:rPr>
                <w:rFonts w:ascii="Arial" w:eastAsia="Arial" w:hAnsi="Arial"/>
                <w:szCs w:val="20"/>
              </w:rPr>
            </w:pPr>
            <w:r w:rsidRPr="3FC79A6E">
              <w:rPr>
                <w:rFonts w:ascii="Arial" w:eastAsia="Arial" w:hAnsi="Arial"/>
                <w:szCs w:val="20"/>
              </w:rPr>
              <w:t>ARI Jolly</w:t>
            </w:r>
            <w:r>
              <w:rPr>
                <w:rFonts w:ascii="Arial" w:eastAsia="Arial" w:hAnsi="Arial"/>
                <w:szCs w:val="20"/>
              </w:rPr>
              <w:t>–</w:t>
            </w:r>
            <w:r w:rsidRPr="3FC79A6E">
              <w:rPr>
                <w:rFonts w:ascii="Arial" w:eastAsia="Arial" w:hAnsi="Arial"/>
                <w:szCs w:val="20"/>
              </w:rPr>
              <w:t>Seber modelling used for DATA may be overcompensating for changes in detection during flood</w:t>
            </w:r>
          </w:p>
          <w:p w14:paraId="6DADD2AB" w14:textId="1F1C7CBE" w:rsidR="00491210" w:rsidRPr="00DE53BC" w:rsidRDefault="00EE200C" w:rsidP="00DE53BC">
            <w:pPr>
              <w:pStyle w:val="ListParagraph"/>
              <w:numPr>
                <w:ilvl w:val="0"/>
                <w:numId w:val="8"/>
              </w:numPr>
              <w:spacing w:after="0" w:line="240" w:lineRule="auto"/>
              <w:rPr>
                <w:rFonts w:ascii="Arial" w:eastAsia="Arial" w:hAnsi="Arial"/>
                <w:szCs w:val="20"/>
              </w:rPr>
            </w:pPr>
            <w:r w:rsidRPr="3FC79A6E">
              <w:rPr>
                <w:rFonts w:ascii="Arial" w:eastAsia="Arial" w:hAnsi="Arial"/>
                <w:szCs w:val="20"/>
              </w:rPr>
              <w:t>Possibility of overestimated movement from upstream</w:t>
            </w:r>
          </w:p>
        </w:tc>
        <w:tc>
          <w:tcPr>
            <w:tcW w:w="1866" w:type="dxa"/>
            <w:tcBorders>
              <w:top w:val="single" w:sz="6" w:space="0" w:color="00B2A9" w:themeColor="accent1"/>
              <w:left w:val="nil"/>
              <w:bottom w:val="single" w:sz="6" w:space="0" w:color="00B2A9" w:themeColor="accent1"/>
              <w:right w:val="nil"/>
            </w:tcBorders>
          </w:tcPr>
          <w:p w14:paraId="4077CEC0" w14:textId="2D05B58D" w:rsidR="00491210" w:rsidRDefault="00EE200C" w:rsidP="00162EF1">
            <w:pPr>
              <w:pStyle w:val="ListParagraph"/>
              <w:numPr>
                <w:ilvl w:val="0"/>
                <w:numId w:val="8"/>
              </w:numPr>
              <w:spacing w:after="0" w:line="240" w:lineRule="auto"/>
              <w:rPr>
                <w:rFonts w:ascii="Arial" w:eastAsia="Arial" w:hAnsi="Arial"/>
                <w:szCs w:val="20"/>
              </w:rPr>
            </w:pPr>
            <w:r w:rsidRPr="3FC79A6E">
              <w:rPr>
                <w:rFonts w:ascii="Arial" w:eastAsia="Arial" w:hAnsi="Arial"/>
                <w:szCs w:val="20"/>
              </w:rPr>
              <w:t xml:space="preserve">MODEL has a </w:t>
            </w:r>
            <w:r>
              <w:rPr>
                <w:rFonts w:ascii="Arial" w:eastAsia="Arial" w:hAnsi="Arial"/>
                <w:szCs w:val="20"/>
              </w:rPr>
              <w:t>‘</w:t>
            </w:r>
            <w:r w:rsidRPr="3FC79A6E">
              <w:rPr>
                <w:rFonts w:ascii="Arial" w:eastAsia="Arial" w:hAnsi="Arial"/>
                <w:szCs w:val="20"/>
              </w:rPr>
              <w:t>reset</w:t>
            </w:r>
            <w:r>
              <w:rPr>
                <w:rFonts w:ascii="Arial" w:eastAsia="Arial" w:hAnsi="Arial"/>
                <w:szCs w:val="20"/>
              </w:rPr>
              <w:t>’</w:t>
            </w:r>
            <w:r w:rsidRPr="3FC79A6E">
              <w:rPr>
                <w:rFonts w:ascii="Arial" w:eastAsia="Arial" w:hAnsi="Arial"/>
                <w:szCs w:val="20"/>
              </w:rPr>
              <w:t xml:space="preserve"> rule for after large floods</w:t>
            </w:r>
            <w:r>
              <w:rPr>
                <w:rFonts w:ascii="Arial" w:eastAsia="Arial" w:hAnsi="Arial"/>
                <w:szCs w:val="20"/>
              </w:rPr>
              <w:t>—</w:t>
            </w:r>
            <w:r w:rsidRPr="3FC79A6E">
              <w:rPr>
                <w:rFonts w:ascii="Arial" w:eastAsia="Arial" w:hAnsi="Arial"/>
                <w:szCs w:val="20"/>
              </w:rPr>
              <w:t>consider if this needs to be larger</w:t>
            </w:r>
          </w:p>
          <w:p w14:paraId="4F43737E" w14:textId="77777777" w:rsidR="00491210" w:rsidRDefault="00EE200C" w:rsidP="00162EF1">
            <w:pPr>
              <w:pStyle w:val="ListParagraph"/>
              <w:numPr>
                <w:ilvl w:val="0"/>
                <w:numId w:val="8"/>
              </w:numPr>
              <w:spacing w:after="0" w:line="240" w:lineRule="auto"/>
              <w:rPr>
                <w:rFonts w:ascii="Arial" w:eastAsia="Arial" w:hAnsi="Arial"/>
                <w:szCs w:val="20"/>
              </w:rPr>
            </w:pPr>
            <w:r w:rsidRPr="3FC79A6E">
              <w:rPr>
                <w:rFonts w:ascii="Arial" w:eastAsia="Arial" w:hAnsi="Arial"/>
                <w:szCs w:val="20"/>
              </w:rPr>
              <w:t>Explore movement into reach from upstream (Hume to Yarrawonga), and revisit movement rules</w:t>
            </w:r>
          </w:p>
        </w:tc>
        <w:tc>
          <w:tcPr>
            <w:tcW w:w="2304" w:type="dxa"/>
            <w:tcBorders>
              <w:top w:val="single" w:sz="6" w:space="0" w:color="00B2A9" w:themeColor="accent1"/>
              <w:left w:val="nil"/>
              <w:bottom w:val="single" w:sz="6" w:space="0" w:color="00B2A9" w:themeColor="accent1"/>
              <w:right w:val="nil"/>
            </w:tcBorders>
          </w:tcPr>
          <w:p w14:paraId="69B27725" w14:textId="77777777" w:rsidR="00491210" w:rsidRDefault="00EE200C" w:rsidP="00162EF1">
            <w:pPr>
              <w:pStyle w:val="ListParagraph"/>
              <w:numPr>
                <w:ilvl w:val="0"/>
                <w:numId w:val="8"/>
              </w:numPr>
              <w:spacing w:after="0" w:line="240" w:lineRule="auto"/>
              <w:rPr>
                <w:rFonts w:ascii="Arial" w:eastAsia="Arial" w:hAnsi="Arial"/>
                <w:szCs w:val="20"/>
              </w:rPr>
            </w:pPr>
            <w:r w:rsidRPr="3FC79A6E">
              <w:rPr>
                <w:rFonts w:ascii="Arial" w:eastAsia="Arial" w:hAnsi="Arial"/>
                <w:szCs w:val="20"/>
              </w:rPr>
              <w:t>Very high</w:t>
            </w:r>
          </w:p>
        </w:tc>
      </w:tr>
      <w:tr w:rsidR="006F763D" w14:paraId="60F9FE78" w14:textId="77777777" w:rsidTr="00A20590">
        <w:trPr>
          <w:cantSplit/>
          <w:trHeight w:val="1260"/>
        </w:trPr>
        <w:tc>
          <w:tcPr>
            <w:tcW w:w="1333" w:type="dxa"/>
            <w:tcBorders>
              <w:top w:val="single" w:sz="6" w:space="0" w:color="00B2A9" w:themeColor="accent1"/>
              <w:left w:val="nil"/>
              <w:bottom w:val="single" w:sz="6" w:space="0" w:color="00B2A9" w:themeColor="accent1"/>
              <w:right w:val="nil"/>
            </w:tcBorders>
          </w:tcPr>
          <w:p w14:paraId="3978B9DF" w14:textId="77777777" w:rsidR="00491210" w:rsidRDefault="00EE200C" w:rsidP="00162EF1">
            <w:pPr>
              <w:rPr>
                <w:rFonts w:eastAsia="Arial"/>
                <w:szCs w:val="20"/>
              </w:rPr>
            </w:pPr>
            <w:r w:rsidRPr="3FC79A6E">
              <w:rPr>
                <w:rFonts w:eastAsia="Arial"/>
                <w:szCs w:val="20"/>
              </w:rPr>
              <w:t>Lower Darling</w:t>
            </w:r>
          </w:p>
        </w:tc>
        <w:tc>
          <w:tcPr>
            <w:tcW w:w="1843" w:type="dxa"/>
            <w:tcBorders>
              <w:top w:val="single" w:sz="6" w:space="0" w:color="00B2A9" w:themeColor="accent1"/>
              <w:left w:val="nil"/>
              <w:bottom w:val="single" w:sz="6" w:space="0" w:color="00B2A9" w:themeColor="accent1"/>
              <w:right w:val="nil"/>
            </w:tcBorders>
          </w:tcPr>
          <w:p w14:paraId="677F81A4" w14:textId="77777777" w:rsidR="00491210" w:rsidRDefault="00EE200C" w:rsidP="00162EF1">
            <w:pPr>
              <w:pStyle w:val="ListParagraph"/>
              <w:numPr>
                <w:ilvl w:val="0"/>
                <w:numId w:val="8"/>
              </w:numPr>
              <w:spacing w:after="0" w:line="240" w:lineRule="auto"/>
              <w:rPr>
                <w:rFonts w:ascii="Arial" w:eastAsia="Arial" w:hAnsi="Arial"/>
                <w:szCs w:val="20"/>
              </w:rPr>
            </w:pPr>
            <w:r w:rsidRPr="3FC79A6E">
              <w:rPr>
                <w:rFonts w:ascii="Arial" w:eastAsia="Arial" w:hAnsi="Arial"/>
                <w:szCs w:val="20"/>
              </w:rPr>
              <w:t>Similar trends in MODEL and DATA</w:t>
            </w:r>
          </w:p>
          <w:p w14:paraId="2E222FAB" w14:textId="5587F118" w:rsidR="00491210" w:rsidRPr="00DE53BC" w:rsidRDefault="00EE200C" w:rsidP="00162EF1">
            <w:pPr>
              <w:pStyle w:val="ListParagraph"/>
              <w:numPr>
                <w:ilvl w:val="0"/>
                <w:numId w:val="8"/>
              </w:numPr>
              <w:spacing w:after="0" w:line="240" w:lineRule="auto"/>
              <w:rPr>
                <w:rFonts w:ascii="Arial" w:eastAsia="Arial" w:hAnsi="Arial"/>
                <w:szCs w:val="20"/>
              </w:rPr>
            </w:pPr>
            <w:r w:rsidRPr="3FC79A6E">
              <w:rPr>
                <w:rFonts w:ascii="Arial" w:eastAsia="Arial" w:hAnsi="Arial"/>
                <w:szCs w:val="20"/>
              </w:rPr>
              <w:t>Some temporal misalignment (MODEL lagged cf. DATA)</w:t>
            </w:r>
          </w:p>
        </w:tc>
        <w:tc>
          <w:tcPr>
            <w:tcW w:w="2293" w:type="dxa"/>
            <w:tcBorders>
              <w:top w:val="single" w:sz="6" w:space="0" w:color="00B2A9" w:themeColor="accent1"/>
              <w:left w:val="nil"/>
              <w:bottom w:val="single" w:sz="6" w:space="0" w:color="00B2A9" w:themeColor="accent1"/>
              <w:right w:val="nil"/>
            </w:tcBorders>
          </w:tcPr>
          <w:p w14:paraId="708B81F1" w14:textId="77777777" w:rsidR="00491210" w:rsidRDefault="00EE200C" w:rsidP="00162EF1">
            <w:pPr>
              <w:rPr>
                <w:rFonts w:eastAsia="Arial"/>
                <w:szCs w:val="20"/>
              </w:rPr>
            </w:pPr>
            <w:r w:rsidRPr="3FC79A6E">
              <w:rPr>
                <w:rFonts w:eastAsia="Arial"/>
                <w:szCs w:val="20"/>
              </w:rPr>
              <w:t>N/A</w:t>
            </w:r>
          </w:p>
        </w:tc>
        <w:tc>
          <w:tcPr>
            <w:tcW w:w="1866" w:type="dxa"/>
            <w:tcBorders>
              <w:top w:val="single" w:sz="6" w:space="0" w:color="00B2A9" w:themeColor="accent1"/>
              <w:left w:val="nil"/>
              <w:bottom w:val="single" w:sz="6" w:space="0" w:color="00B2A9" w:themeColor="accent1"/>
              <w:right w:val="nil"/>
            </w:tcBorders>
          </w:tcPr>
          <w:p w14:paraId="3304FE0D" w14:textId="77777777" w:rsidR="00491210" w:rsidRDefault="00EE200C" w:rsidP="00162EF1">
            <w:pPr>
              <w:rPr>
                <w:rFonts w:eastAsia="Arial"/>
                <w:szCs w:val="20"/>
              </w:rPr>
            </w:pPr>
            <w:r w:rsidRPr="3FC79A6E">
              <w:rPr>
                <w:rFonts w:eastAsia="Arial"/>
                <w:szCs w:val="20"/>
              </w:rPr>
              <w:t>N/A</w:t>
            </w:r>
          </w:p>
        </w:tc>
        <w:tc>
          <w:tcPr>
            <w:tcW w:w="2304" w:type="dxa"/>
            <w:tcBorders>
              <w:top w:val="single" w:sz="6" w:space="0" w:color="00B2A9" w:themeColor="accent1"/>
              <w:left w:val="nil"/>
              <w:bottom w:val="single" w:sz="6" w:space="0" w:color="00B2A9" w:themeColor="accent1"/>
              <w:right w:val="nil"/>
            </w:tcBorders>
          </w:tcPr>
          <w:p w14:paraId="61930A2B" w14:textId="261EA0F2" w:rsidR="00491210" w:rsidRDefault="00EE200C">
            <w:pPr>
              <w:pStyle w:val="ListParagraph"/>
              <w:numPr>
                <w:ilvl w:val="0"/>
                <w:numId w:val="8"/>
              </w:numPr>
              <w:spacing w:after="0" w:line="240" w:lineRule="auto"/>
              <w:rPr>
                <w:rFonts w:ascii="Arial" w:eastAsia="Arial" w:hAnsi="Arial"/>
                <w:szCs w:val="20"/>
              </w:rPr>
            </w:pPr>
            <w:r w:rsidRPr="3FC79A6E">
              <w:rPr>
                <w:rFonts w:ascii="Arial" w:eastAsia="Arial" w:hAnsi="Arial"/>
                <w:szCs w:val="20"/>
              </w:rPr>
              <w:t xml:space="preserve">Very </w:t>
            </w:r>
            <w:r>
              <w:rPr>
                <w:rFonts w:ascii="Arial" w:eastAsia="Arial" w:hAnsi="Arial"/>
                <w:szCs w:val="20"/>
              </w:rPr>
              <w:t>h</w:t>
            </w:r>
            <w:r w:rsidRPr="3FC79A6E">
              <w:rPr>
                <w:rFonts w:ascii="Arial" w:eastAsia="Arial" w:hAnsi="Arial"/>
                <w:szCs w:val="20"/>
              </w:rPr>
              <w:t>igh</w:t>
            </w:r>
          </w:p>
        </w:tc>
      </w:tr>
      <w:tr w:rsidR="006F763D" w14:paraId="1E9E67A2" w14:textId="77777777" w:rsidTr="00A20590">
        <w:trPr>
          <w:cantSplit/>
          <w:trHeight w:val="840"/>
        </w:trPr>
        <w:tc>
          <w:tcPr>
            <w:tcW w:w="1333" w:type="dxa"/>
            <w:tcBorders>
              <w:top w:val="single" w:sz="6" w:space="0" w:color="00B2A9" w:themeColor="accent1"/>
              <w:left w:val="nil"/>
              <w:bottom w:val="single" w:sz="6" w:space="0" w:color="00B2A9" w:themeColor="accent1"/>
              <w:right w:val="nil"/>
            </w:tcBorders>
          </w:tcPr>
          <w:p w14:paraId="71A41C2E" w14:textId="0CE0B040" w:rsidR="00491210" w:rsidRDefault="00EE200C" w:rsidP="00162EF1">
            <w:pPr>
              <w:rPr>
                <w:rFonts w:eastAsia="Arial"/>
                <w:szCs w:val="20"/>
              </w:rPr>
            </w:pPr>
            <w:r w:rsidRPr="3FC79A6E">
              <w:rPr>
                <w:rFonts w:eastAsia="Arial"/>
                <w:szCs w:val="20"/>
              </w:rPr>
              <w:t>Yarrawonga to Torrumbarry</w:t>
            </w:r>
          </w:p>
        </w:tc>
        <w:tc>
          <w:tcPr>
            <w:tcW w:w="1843" w:type="dxa"/>
            <w:tcBorders>
              <w:top w:val="single" w:sz="6" w:space="0" w:color="00B2A9" w:themeColor="accent1"/>
              <w:left w:val="nil"/>
              <w:bottom w:val="single" w:sz="6" w:space="0" w:color="00B2A9" w:themeColor="accent1"/>
              <w:right w:val="nil"/>
            </w:tcBorders>
          </w:tcPr>
          <w:p w14:paraId="3FDA01B4" w14:textId="77777777" w:rsidR="00491210" w:rsidRDefault="00EE200C" w:rsidP="00162EF1">
            <w:pPr>
              <w:pStyle w:val="ListParagraph"/>
              <w:numPr>
                <w:ilvl w:val="0"/>
                <w:numId w:val="7"/>
              </w:numPr>
              <w:spacing w:after="0" w:line="240" w:lineRule="auto"/>
              <w:rPr>
                <w:rFonts w:ascii="Arial" w:eastAsia="Arial" w:hAnsi="Arial"/>
                <w:szCs w:val="20"/>
              </w:rPr>
            </w:pPr>
            <w:r w:rsidRPr="3FC79A6E">
              <w:rPr>
                <w:rFonts w:ascii="Arial" w:eastAsia="Arial" w:hAnsi="Arial"/>
                <w:szCs w:val="20"/>
              </w:rPr>
              <w:t>MODEL and DATA broadly consistent</w:t>
            </w:r>
          </w:p>
          <w:p w14:paraId="29802CEF" w14:textId="0D90B92A" w:rsidR="00491210" w:rsidRDefault="00EE200C">
            <w:pPr>
              <w:pStyle w:val="ListParagraph"/>
              <w:numPr>
                <w:ilvl w:val="0"/>
                <w:numId w:val="7"/>
              </w:numPr>
              <w:spacing w:after="0" w:line="240" w:lineRule="auto"/>
              <w:rPr>
                <w:rFonts w:ascii="Arial" w:eastAsia="Arial" w:hAnsi="Arial"/>
                <w:szCs w:val="20"/>
              </w:rPr>
            </w:pPr>
            <w:r w:rsidRPr="3FC79A6E">
              <w:rPr>
                <w:rFonts w:ascii="Arial" w:eastAsia="Arial" w:hAnsi="Arial"/>
                <w:szCs w:val="20"/>
              </w:rPr>
              <w:t>DATA temporally limited (2005</w:t>
            </w:r>
            <w:r>
              <w:rPr>
                <w:rFonts w:ascii="Arial" w:eastAsia="Arial" w:hAnsi="Arial"/>
                <w:szCs w:val="20"/>
              </w:rPr>
              <w:t>–</w:t>
            </w:r>
            <w:r w:rsidRPr="3FC79A6E">
              <w:rPr>
                <w:rFonts w:ascii="Arial" w:eastAsia="Arial" w:hAnsi="Arial"/>
                <w:szCs w:val="20"/>
              </w:rPr>
              <w:t>2010)</w:t>
            </w:r>
          </w:p>
        </w:tc>
        <w:tc>
          <w:tcPr>
            <w:tcW w:w="2293" w:type="dxa"/>
            <w:tcBorders>
              <w:top w:val="single" w:sz="6" w:space="0" w:color="00B2A9" w:themeColor="accent1"/>
              <w:left w:val="nil"/>
              <w:bottom w:val="single" w:sz="6" w:space="0" w:color="00B2A9" w:themeColor="accent1"/>
              <w:right w:val="nil"/>
            </w:tcBorders>
          </w:tcPr>
          <w:p w14:paraId="35489ECC" w14:textId="77777777" w:rsidR="00491210" w:rsidRDefault="00EE200C" w:rsidP="00162EF1">
            <w:pPr>
              <w:rPr>
                <w:rFonts w:eastAsia="Arial"/>
                <w:szCs w:val="20"/>
              </w:rPr>
            </w:pPr>
            <w:r w:rsidRPr="3FC79A6E">
              <w:rPr>
                <w:rFonts w:eastAsia="Arial"/>
                <w:szCs w:val="20"/>
              </w:rPr>
              <w:t>No mismatches</w:t>
            </w:r>
          </w:p>
        </w:tc>
        <w:tc>
          <w:tcPr>
            <w:tcW w:w="1866" w:type="dxa"/>
            <w:tcBorders>
              <w:top w:val="single" w:sz="6" w:space="0" w:color="00B2A9" w:themeColor="accent1"/>
              <w:left w:val="nil"/>
              <w:bottom w:val="single" w:sz="6" w:space="0" w:color="00B2A9" w:themeColor="accent1"/>
              <w:right w:val="nil"/>
            </w:tcBorders>
          </w:tcPr>
          <w:p w14:paraId="3E00C702" w14:textId="77777777" w:rsidR="00491210" w:rsidRDefault="00EE200C" w:rsidP="00162EF1">
            <w:pPr>
              <w:pStyle w:val="ListParagraph"/>
              <w:numPr>
                <w:ilvl w:val="0"/>
                <w:numId w:val="6"/>
              </w:numPr>
              <w:spacing w:after="0" w:line="240" w:lineRule="auto"/>
              <w:rPr>
                <w:rFonts w:ascii="Arial" w:eastAsia="Arial" w:hAnsi="Arial"/>
                <w:szCs w:val="20"/>
              </w:rPr>
            </w:pPr>
            <w:r w:rsidRPr="3FC79A6E">
              <w:rPr>
                <w:rFonts w:ascii="Arial" w:eastAsia="Arial" w:hAnsi="Arial"/>
                <w:szCs w:val="20"/>
              </w:rPr>
              <w:t>Confidence of alignment between MODEL and DATA would be stronger with more extensive empirical datasets</w:t>
            </w:r>
          </w:p>
        </w:tc>
        <w:tc>
          <w:tcPr>
            <w:tcW w:w="2304" w:type="dxa"/>
            <w:tcBorders>
              <w:top w:val="single" w:sz="6" w:space="0" w:color="00B2A9" w:themeColor="accent1"/>
              <w:left w:val="nil"/>
              <w:bottom w:val="single" w:sz="6" w:space="0" w:color="00B2A9" w:themeColor="accent1"/>
              <w:right w:val="nil"/>
            </w:tcBorders>
          </w:tcPr>
          <w:p w14:paraId="3EDF7BD5" w14:textId="77777777" w:rsidR="00491210" w:rsidRDefault="00EE200C" w:rsidP="00162EF1">
            <w:pPr>
              <w:pStyle w:val="ListParagraph"/>
              <w:numPr>
                <w:ilvl w:val="0"/>
                <w:numId w:val="6"/>
              </w:numPr>
              <w:spacing w:after="0" w:line="240" w:lineRule="auto"/>
              <w:rPr>
                <w:rFonts w:ascii="Arial" w:eastAsia="Arial" w:hAnsi="Arial"/>
                <w:szCs w:val="20"/>
              </w:rPr>
            </w:pPr>
            <w:r w:rsidRPr="3FC79A6E">
              <w:rPr>
                <w:rFonts w:ascii="Arial" w:eastAsia="Arial" w:hAnsi="Arial"/>
                <w:szCs w:val="20"/>
              </w:rPr>
              <w:t>Medium</w:t>
            </w:r>
          </w:p>
        </w:tc>
      </w:tr>
      <w:tr w:rsidR="006F763D" w14:paraId="02C9ECD0" w14:textId="77777777" w:rsidTr="00A20590">
        <w:trPr>
          <w:cantSplit/>
          <w:trHeight w:val="195"/>
        </w:trPr>
        <w:tc>
          <w:tcPr>
            <w:tcW w:w="1333" w:type="dxa"/>
            <w:tcBorders>
              <w:top w:val="single" w:sz="6" w:space="0" w:color="00B2A9" w:themeColor="accent1"/>
              <w:left w:val="nil"/>
              <w:bottom w:val="single" w:sz="6" w:space="0" w:color="00B2A9" w:themeColor="accent1"/>
              <w:right w:val="nil"/>
            </w:tcBorders>
          </w:tcPr>
          <w:p w14:paraId="3DFA6FBE" w14:textId="77777777" w:rsidR="00491210" w:rsidRDefault="00EE200C" w:rsidP="00162EF1">
            <w:pPr>
              <w:rPr>
                <w:rFonts w:eastAsia="Arial"/>
                <w:szCs w:val="20"/>
              </w:rPr>
            </w:pPr>
            <w:r w:rsidRPr="3FC79A6E">
              <w:rPr>
                <w:rFonts w:eastAsia="Arial"/>
                <w:szCs w:val="20"/>
              </w:rPr>
              <w:lastRenderedPageBreak/>
              <w:t>Edward River</w:t>
            </w:r>
          </w:p>
        </w:tc>
        <w:tc>
          <w:tcPr>
            <w:tcW w:w="1843" w:type="dxa"/>
            <w:tcBorders>
              <w:top w:val="single" w:sz="6" w:space="0" w:color="00B2A9" w:themeColor="accent1"/>
              <w:left w:val="nil"/>
              <w:bottom w:val="single" w:sz="6" w:space="0" w:color="00B2A9" w:themeColor="accent1"/>
              <w:right w:val="nil"/>
            </w:tcBorders>
          </w:tcPr>
          <w:p w14:paraId="4B9DA736" w14:textId="0DC24B8A" w:rsidR="00491210" w:rsidRDefault="00EE200C">
            <w:pPr>
              <w:pStyle w:val="ListParagraph"/>
              <w:numPr>
                <w:ilvl w:val="0"/>
                <w:numId w:val="5"/>
              </w:numPr>
              <w:spacing w:after="0" w:line="240" w:lineRule="auto"/>
              <w:rPr>
                <w:rFonts w:ascii="Arial" w:eastAsia="Arial" w:hAnsi="Arial"/>
                <w:szCs w:val="20"/>
              </w:rPr>
            </w:pPr>
            <w:r w:rsidRPr="3FC79A6E">
              <w:rPr>
                <w:rFonts w:ascii="Arial" w:eastAsia="Arial" w:hAnsi="Arial"/>
                <w:szCs w:val="20"/>
              </w:rPr>
              <w:t xml:space="preserve">Low correlation. DATA shows decrease </w:t>
            </w:r>
            <w:r>
              <w:rPr>
                <w:rFonts w:ascii="Arial" w:eastAsia="Arial" w:hAnsi="Arial"/>
                <w:szCs w:val="20"/>
              </w:rPr>
              <w:t xml:space="preserve">in </w:t>
            </w:r>
            <w:r w:rsidRPr="3FC79A6E">
              <w:rPr>
                <w:rFonts w:ascii="Arial" w:eastAsia="Arial" w:hAnsi="Arial"/>
                <w:szCs w:val="20"/>
              </w:rPr>
              <w:t>2015</w:t>
            </w:r>
            <w:r>
              <w:rPr>
                <w:rFonts w:ascii="Arial" w:eastAsia="Arial" w:hAnsi="Arial"/>
                <w:szCs w:val="20"/>
              </w:rPr>
              <w:t>–</w:t>
            </w:r>
            <w:r w:rsidRPr="3FC79A6E">
              <w:rPr>
                <w:rFonts w:ascii="Arial" w:eastAsia="Arial" w:hAnsi="Arial"/>
                <w:szCs w:val="20"/>
              </w:rPr>
              <w:t>2016 and small populations thereafter</w:t>
            </w:r>
          </w:p>
        </w:tc>
        <w:tc>
          <w:tcPr>
            <w:tcW w:w="2293" w:type="dxa"/>
            <w:tcBorders>
              <w:top w:val="single" w:sz="6" w:space="0" w:color="00B2A9" w:themeColor="accent1"/>
              <w:left w:val="nil"/>
              <w:bottom w:val="single" w:sz="6" w:space="0" w:color="00B2A9" w:themeColor="accent1"/>
              <w:right w:val="nil"/>
            </w:tcBorders>
          </w:tcPr>
          <w:p w14:paraId="69E6626C" w14:textId="710700B9" w:rsidR="00491210" w:rsidRPr="00DE53BC" w:rsidRDefault="00EE200C" w:rsidP="00DE53BC">
            <w:pPr>
              <w:pStyle w:val="ListParagraph"/>
              <w:numPr>
                <w:ilvl w:val="0"/>
                <w:numId w:val="5"/>
              </w:numPr>
              <w:spacing w:after="0" w:line="240" w:lineRule="auto"/>
              <w:rPr>
                <w:rFonts w:ascii="Arial" w:eastAsia="Arial" w:hAnsi="Arial"/>
                <w:szCs w:val="20"/>
              </w:rPr>
            </w:pPr>
            <w:r w:rsidRPr="3FC79A6E">
              <w:rPr>
                <w:rFonts w:ascii="Arial" w:eastAsia="Arial" w:hAnsi="Arial"/>
                <w:szCs w:val="20"/>
              </w:rPr>
              <w:t xml:space="preserve">Blackwater events occurred in 2015/2016 and blackwater </w:t>
            </w:r>
            <w:r>
              <w:rPr>
                <w:rFonts w:ascii="Arial" w:eastAsia="Arial" w:hAnsi="Arial"/>
                <w:szCs w:val="20"/>
              </w:rPr>
              <w:t xml:space="preserve">was </w:t>
            </w:r>
            <w:r w:rsidRPr="3FC79A6E">
              <w:rPr>
                <w:rFonts w:ascii="Arial" w:eastAsia="Arial" w:hAnsi="Arial"/>
                <w:szCs w:val="20"/>
              </w:rPr>
              <w:t>not included in MODEL</w:t>
            </w:r>
          </w:p>
        </w:tc>
        <w:tc>
          <w:tcPr>
            <w:tcW w:w="1866" w:type="dxa"/>
            <w:tcBorders>
              <w:top w:val="single" w:sz="6" w:space="0" w:color="00B2A9" w:themeColor="accent1"/>
              <w:left w:val="nil"/>
              <w:bottom w:val="single" w:sz="6" w:space="0" w:color="00B2A9" w:themeColor="accent1"/>
              <w:right w:val="nil"/>
            </w:tcBorders>
          </w:tcPr>
          <w:p w14:paraId="465AC4A4" w14:textId="77777777" w:rsidR="00491210" w:rsidRDefault="00EE200C" w:rsidP="00162EF1">
            <w:pPr>
              <w:pStyle w:val="ListParagraph"/>
              <w:numPr>
                <w:ilvl w:val="0"/>
                <w:numId w:val="5"/>
              </w:numPr>
              <w:spacing w:after="0" w:line="240" w:lineRule="auto"/>
              <w:rPr>
                <w:rFonts w:ascii="Arial" w:eastAsia="Arial" w:hAnsi="Arial"/>
                <w:szCs w:val="20"/>
              </w:rPr>
            </w:pPr>
            <w:r w:rsidRPr="3FC79A6E">
              <w:rPr>
                <w:rFonts w:ascii="Arial" w:eastAsia="Arial" w:hAnsi="Arial"/>
                <w:szCs w:val="20"/>
              </w:rPr>
              <w:t>Include blackwater impacts in MODEL</w:t>
            </w:r>
          </w:p>
        </w:tc>
        <w:tc>
          <w:tcPr>
            <w:tcW w:w="2304" w:type="dxa"/>
            <w:tcBorders>
              <w:top w:val="single" w:sz="6" w:space="0" w:color="00B2A9" w:themeColor="accent1"/>
              <w:left w:val="nil"/>
              <w:bottom w:val="single" w:sz="6" w:space="0" w:color="00B2A9" w:themeColor="accent1"/>
              <w:right w:val="nil"/>
            </w:tcBorders>
          </w:tcPr>
          <w:p w14:paraId="2336A7A3" w14:textId="77777777" w:rsidR="00491210" w:rsidRDefault="00EE200C" w:rsidP="00162EF1">
            <w:pPr>
              <w:pStyle w:val="ListParagraph"/>
              <w:numPr>
                <w:ilvl w:val="0"/>
                <w:numId w:val="5"/>
              </w:numPr>
              <w:spacing w:after="0" w:line="240" w:lineRule="auto"/>
              <w:rPr>
                <w:rFonts w:ascii="Arial" w:eastAsia="Arial" w:hAnsi="Arial"/>
                <w:szCs w:val="20"/>
              </w:rPr>
            </w:pPr>
            <w:r w:rsidRPr="3FC79A6E">
              <w:rPr>
                <w:rFonts w:ascii="Arial" w:eastAsia="Arial" w:hAnsi="Arial"/>
                <w:szCs w:val="20"/>
              </w:rPr>
              <w:t>Low</w:t>
            </w:r>
          </w:p>
        </w:tc>
      </w:tr>
      <w:tr w:rsidR="006F763D" w14:paraId="03A79F8E" w14:textId="77777777" w:rsidTr="00A20590">
        <w:trPr>
          <w:cantSplit/>
          <w:trHeight w:val="195"/>
        </w:trPr>
        <w:tc>
          <w:tcPr>
            <w:tcW w:w="1333" w:type="dxa"/>
            <w:tcBorders>
              <w:top w:val="single" w:sz="6" w:space="0" w:color="00B2A9" w:themeColor="accent1"/>
              <w:left w:val="nil"/>
              <w:bottom w:val="single" w:sz="6" w:space="0" w:color="00B2A9" w:themeColor="accent1"/>
              <w:right w:val="nil"/>
            </w:tcBorders>
          </w:tcPr>
          <w:p w14:paraId="178E9DD0" w14:textId="77777777" w:rsidR="00491210" w:rsidRDefault="00EE200C" w:rsidP="00162EF1">
            <w:pPr>
              <w:rPr>
                <w:rFonts w:eastAsia="Arial"/>
                <w:szCs w:val="20"/>
              </w:rPr>
            </w:pPr>
            <w:r w:rsidRPr="3FC79A6E">
              <w:rPr>
                <w:rFonts w:eastAsia="Arial"/>
                <w:szCs w:val="20"/>
              </w:rPr>
              <w:t>Gundagai to Hay</w:t>
            </w:r>
          </w:p>
        </w:tc>
        <w:tc>
          <w:tcPr>
            <w:tcW w:w="1843" w:type="dxa"/>
            <w:tcBorders>
              <w:top w:val="single" w:sz="6" w:space="0" w:color="00B2A9" w:themeColor="accent1"/>
              <w:left w:val="nil"/>
              <w:bottom w:val="single" w:sz="6" w:space="0" w:color="00B2A9" w:themeColor="accent1"/>
              <w:right w:val="nil"/>
            </w:tcBorders>
          </w:tcPr>
          <w:p w14:paraId="5548FB85" w14:textId="1D1A95F9" w:rsidR="00491210" w:rsidRDefault="00EE200C">
            <w:pPr>
              <w:pStyle w:val="ListParagraph"/>
              <w:numPr>
                <w:ilvl w:val="0"/>
                <w:numId w:val="4"/>
              </w:numPr>
              <w:spacing w:after="0" w:line="240" w:lineRule="auto"/>
              <w:rPr>
                <w:rFonts w:ascii="Arial" w:eastAsia="Arial" w:hAnsi="Arial"/>
                <w:szCs w:val="20"/>
              </w:rPr>
            </w:pPr>
            <w:r w:rsidRPr="3FC79A6E">
              <w:rPr>
                <w:rFonts w:ascii="Arial" w:eastAsia="Arial" w:hAnsi="Arial"/>
                <w:szCs w:val="20"/>
              </w:rPr>
              <w:t>Low correlation. DATA shows gradual increase</w:t>
            </w:r>
            <w:r>
              <w:rPr>
                <w:rFonts w:ascii="Arial" w:eastAsia="Arial" w:hAnsi="Arial"/>
                <w:szCs w:val="20"/>
              </w:rPr>
              <w:t>.</w:t>
            </w:r>
            <w:r w:rsidRPr="3FC79A6E">
              <w:rPr>
                <w:rFonts w:ascii="Arial" w:eastAsia="Arial" w:hAnsi="Arial"/>
                <w:szCs w:val="20"/>
              </w:rPr>
              <w:t xml:space="preserve"> MODEL shows decrease </w:t>
            </w:r>
            <w:r>
              <w:rPr>
                <w:rFonts w:ascii="Arial" w:eastAsia="Arial" w:hAnsi="Arial"/>
                <w:szCs w:val="20"/>
              </w:rPr>
              <w:t xml:space="preserve">in </w:t>
            </w:r>
            <w:r w:rsidRPr="3FC79A6E">
              <w:rPr>
                <w:rFonts w:ascii="Arial" w:eastAsia="Arial" w:hAnsi="Arial"/>
                <w:szCs w:val="20"/>
              </w:rPr>
              <w:t>2000</w:t>
            </w:r>
            <w:r>
              <w:rPr>
                <w:rFonts w:ascii="Arial" w:eastAsia="Arial" w:hAnsi="Arial"/>
                <w:szCs w:val="20"/>
              </w:rPr>
              <w:t>–</w:t>
            </w:r>
            <w:r w:rsidRPr="3FC79A6E">
              <w:rPr>
                <w:rFonts w:ascii="Arial" w:eastAsia="Arial" w:hAnsi="Arial"/>
                <w:szCs w:val="20"/>
              </w:rPr>
              <w:t xml:space="preserve">2010, </w:t>
            </w:r>
            <w:r>
              <w:rPr>
                <w:rFonts w:ascii="Arial" w:eastAsia="Arial" w:hAnsi="Arial"/>
                <w:szCs w:val="20"/>
              </w:rPr>
              <w:t xml:space="preserve">than an increase </w:t>
            </w:r>
            <w:r w:rsidRPr="3FC79A6E">
              <w:rPr>
                <w:rFonts w:ascii="Arial" w:eastAsia="Arial" w:hAnsi="Arial"/>
                <w:szCs w:val="20"/>
              </w:rPr>
              <w:t>post 2010</w:t>
            </w:r>
          </w:p>
        </w:tc>
        <w:tc>
          <w:tcPr>
            <w:tcW w:w="2293" w:type="dxa"/>
            <w:tcBorders>
              <w:top w:val="single" w:sz="6" w:space="0" w:color="00B2A9" w:themeColor="accent1"/>
              <w:left w:val="nil"/>
              <w:bottom w:val="single" w:sz="6" w:space="0" w:color="00B2A9" w:themeColor="accent1"/>
              <w:right w:val="nil"/>
            </w:tcBorders>
          </w:tcPr>
          <w:p w14:paraId="6BE60EAE" w14:textId="77777777" w:rsidR="00491210" w:rsidRDefault="00EE200C" w:rsidP="00162EF1">
            <w:pPr>
              <w:pStyle w:val="ListParagraph"/>
              <w:numPr>
                <w:ilvl w:val="0"/>
                <w:numId w:val="4"/>
              </w:numPr>
              <w:spacing w:after="0" w:line="240" w:lineRule="auto"/>
              <w:rPr>
                <w:rFonts w:ascii="Arial" w:eastAsia="Arial" w:hAnsi="Arial"/>
                <w:szCs w:val="20"/>
              </w:rPr>
            </w:pPr>
            <w:r w:rsidRPr="3FC79A6E">
              <w:rPr>
                <w:rFonts w:ascii="Arial" w:eastAsia="Arial" w:hAnsi="Arial"/>
                <w:szCs w:val="20"/>
              </w:rPr>
              <w:t>DATA likely reflects maintenance of this population from stocking</w:t>
            </w:r>
          </w:p>
          <w:p w14:paraId="73CE2298" w14:textId="1D6C59D8" w:rsidR="00491210" w:rsidRDefault="00EE200C">
            <w:pPr>
              <w:pStyle w:val="ListParagraph"/>
              <w:numPr>
                <w:ilvl w:val="0"/>
                <w:numId w:val="4"/>
              </w:numPr>
              <w:spacing w:after="0" w:line="240" w:lineRule="auto"/>
              <w:rPr>
                <w:rFonts w:ascii="Arial" w:eastAsia="Arial" w:hAnsi="Arial"/>
                <w:szCs w:val="20"/>
              </w:rPr>
            </w:pPr>
            <w:r w:rsidRPr="3FC79A6E">
              <w:rPr>
                <w:rFonts w:ascii="Arial" w:eastAsia="Arial" w:hAnsi="Arial"/>
                <w:szCs w:val="20"/>
              </w:rPr>
              <w:t xml:space="preserve">MODEL </w:t>
            </w:r>
            <w:r>
              <w:rPr>
                <w:rFonts w:ascii="Arial" w:eastAsia="Arial" w:hAnsi="Arial"/>
                <w:szCs w:val="20"/>
              </w:rPr>
              <w:t xml:space="preserve">shows increase </w:t>
            </w:r>
            <w:r w:rsidRPr="3FC79A6E">
              <w:rPr>
                <w:rFonts w:ascii="Arial" w:eastAsia="Arial" w:hAnsi="Arial"/>
                <w:szCs w:val="20"/>
              </w:rPr>
              <w:t>in 2010 due to movement from downstream population due to flow</w:t>
            </w:r>
            <w:r>
              <w:rPr>
                <w:rFonts w:ascii="Arial" w:eastAsia="Arial" w:hAnsi="Arial"/>
                <w:szCs w:val="20"/>
              </w:rPr>
              <w:t>. This is</w:t>
            </w:r>
            <w:r w:rsidRPr="3FC79A6E">
              <w:rPr>
                <w:rFonts w:ascii="Arial" w:eastAsia="Arial" w:hAnsi="Arial"/>
                <w:szCs w:val="20"/>
              </w:rPr>
              <w:t xml:space="preserve"> likely unrealistic given </w:t>
            </w:r>
            <w:r>
              <w:rPr>
                <w:rFonts w:ascii="Arial" w:eastAsia="Arial" w:hAnsi="Arial"/>
                <w:szCs w:val="20"/>
              </w:rPr>
              <w:t xml:space="preserve">the </w:t>
            </w:r>
            <w:r w:rsidRPr="3FC79A6E">
              <w:rPr>
                <w:rFonts w:ascii="Arial" w:eastAsia="Arial" w:hAnsi="Arial"/>
                <w:szCs w:val="20"/>
              </w:rPr>
              <w:t>barriers</w:t>
            </w:r>
          </w:p>
        </w:tc>
        <w:tc>
          <w:tcPr>
            <w:tcW w:w="1866" w:type="dxa"/>
            <w:tcBorders>
              <w:top w:val="single" w:sz="6" w:space="0" w:color="00B2A9" w:themeColor="accent1"/>
              <w:left w:val="nil"/>
              <w:bottom w:val="single" w:sz="6" w:space="0" w:color="00B2A9" w:themeColor="accent1"/>
              <w:right w:val="nil"/>
            </w:tcBorders>
          </w:tcPr>
          <w:p w14:paraId="461204F3" w14:textId="77777777" w:rsidR="00491210" w:rsidRDefault="00EE200C" w:rsidP="00162EF1">
            <w:pPr>
              <w:pStyle w:val="ListParagraph"/>
              <w:numPr>
                <w:ilvl w:val="0"/>
                <w:numId w:val="4"/>
              </w:numPr>
              <w:spacing w:after="0" w:line="240" w:lineRule="auto"/>
              <w:rPr>
                <w:rFonts w:ascii="Arial" w:eastAsia="Arial" w:hAnsi="Arial"/>
                <w:szCs w:val="20"/>
              </w:rPr>
            </w:pPr>
            <w:r w:rsidRPr="3FC79A6E">
              <w:rPr>
                <w:rFonts w:ascii="Arial" w:eastAsia="Arial" w:hAnsi="Arial"/>
                <w:szCs w:val="20"/>
              </w:rPr>
              <w:t>Include stocking in model</w:t>
            </w:r>
          </w:p>
          <w:p w14:paraId="3C54AF20" w14:textId="77777777" w:rsidR="00491210" w:rsidRDefault="00EE200C" w:rsidP="00162EF1">
            <w:pPr>
              <w:pStyle w:val="ListParagraph"/>
              <w:numPr>
                <w:ilvl w:val="0"/>
                <w:numId w:val="4"/>
              </w:numPr>
              <w:spacing w:after="0" w:line="240" w:lineRule="auto"/>
              <w:rPr>
                <w:rFonts w:ascii="Arial" w:eastAsia="Arial" w:hAnsi="Arial"/>
                <w:szCs w:val="20"/>
              </w:rPr>
            </w:pPr>
            <w:r w:rsidRPr="3FC79A6E">
              <w:rPr>
                <w:rFonts w:ascii="Arial" w:eastAsia="Arial" w:hAnsi="Arial"/>
                <w:szCs w:val="20"/>
              </w:rPr>
              <w:t>Revisit movement rules to more accurately model movement past barriers</w:t>
            </w:r>
          </w:p>
        </w:tc>
        <w:tc>
          <w:tcPr>
            <w:tcW w:w="2304" w:type="dxa"/>
            <w:tcBorders>
              <w:top w:val="single" w:sz="6" w:space="0" w:color="00B2A9" w:themeColor="accent1"/>
              <w:left w:val="nil"/>
              <w:bottom w:val="single" w:sz="6" w:space="0" w:color="00B2A9" w:themeColor="accent1"/>
              <w:right w:val="nil"/>
            </w:tcBorders>
          </w:tcPr>
          <w:p w14:paraId="17CF3818" w14:textId="77777777" w:rsidR="00491210" w:rsidRDefault="00EE200C" w:rsidP="00162EF1">
            <w:pPr>
              <w:pStyle w:val="ListParagraph"/>
              <w:numPr>
                <w:ilvl w:val="0"/>
                <w:numId w:val="4"/>
              </w:numPr>
              <w:spacing w:after="0" w:line="240" w:lineRule="auto"/>
              <w:rPr>
                <w:rFonts w:ascii="Arial" w:eastAsia="Arial" w:hAnsi="Arial"/>
                <w:szCs w:val="20"/>
              </w:rPr>
            </w:pPr>
            <w:r w:rsidRPr="3FC79A6E">
              <w:rPr>
                <w:rFonts w:ascii="Arial" w:eastAsia="Arial" w:hAnsi="Arial"/>
                <w:szCs w:val="20"/>
              </w:rPr>
              <w:t>Low</w:t>
            </w:r>
          </w:p>
        </w:tc>
      </w:tr>
      <w:tr w:rsidR="006F763D" w14:paraId="69E59067" w14:textId="77777777" w:rsidTr="00A20590">
        <w:trPr>
          <w:cantSplit/>
          <w:trHeight w:val="210"/>
        </w:trPr>
        <w:tc>
          <w:tcPr>
            <w:tcW w:w="1333" w:type="dxa"/>
            <w:tcBorders>
              <w:top w:val="single" w:sz="6" w:space="0" w:color="00B2A9" w:themeColor="accent1"/>
              <w:left w:val="nil"/>
              <w:bottom w:val="single" w:sz="6" w:space="0" w:color="00B2A9" w:themeColor="accent1"/>
              <w:right w:val="nil"/>
            </w:tcBorders>
          </w:tcPr>
          <w:p w14:paraId="50A0ABDA" w14:textId="77777777" w:rsidR="00491210" w:rsidRDefault="00EE200C" w:rsidP="00162EF1">
            <w:pPr>
              <w:rPr>
                <w:rFonts w:eastAsia="Arial"/>
                <w:szCs w:val="20"/>
              </w:rPr>
            </w:pPr>
            <w:r w:rsidRPr="3FC79A6E">
              <w:rPr>
                <w:rFonts w:eastAsia="Arial"/>
                <w:szCs w:val="20"/>
              </w:rPr>
              <w:t>Lower Murray</w:t>
            </w:r>
          </w:p>
        </w:tc>
        <w:tc>
          <w:tcPr>
            <w:tcW w:w="1843" w:type="dxa"/>
            <w:tcBorders>
              <w:top w:val="single" w:sz="6" w:space="0" w:color="00B2A9" w:themeColor="accent1"/>
              <w:left w:val="nil"/>
              <w:bottom w:val="single" w:sz="6" w:space="0" w:color="00B2A9" w:themeColor="accent1"/>
              <w:right w:val="nil"/>
            </w:tcBorders>
          </w:tcPr>
          <w:p w14:paraId="3EEDBCE9" w14:textId="77777777" w:rsidR="00491210" w:rsidRDefault="00EE200C" w:rsidP="00162EF1">
            <w:pPr>
              <w:pStyle w:val="ListParagraph"/>
              <w:numPr>
                <w:ilvl w:val="0"/>
                <w:numId w:val="3"/>
              </w:numPr>
              <w:spacing w:after="0" w:line="240" w:lineRule="auto"/>
              <w:rPr>
                <w:rFonts w:ascii="Arial" w:eastAsia="Arial" w:hAnsi="Arial"/>
                <w:szCs w:val="20"/>
              </w:rPr>
            </w:pPr>
            <w:r w:rsidRPr="3FC79A6E">
              <w:rPr>
                <w:rFonts w:ascii="Arial" w:eastAsia="Arial" w:hAnsi="Arial"/>
                <w:szCs w:val="20"/>
              </w:rPr>
              <w:t>Low correlation but DATA limited</w:t>
            </w:r>
          </w:p>
          <w:p w14:paraId="41751401" w14:textId="6E05773A" w:rsidR="00491210" w:rsidRDefault="00EE200C" w:rsidP="00162EF1">
            <w:pPr>
              <w:pStyle w:val="ListParagraph"/>
              <w:numPr>
                <w:ilvl w:val="0"/>
                <w:numId w:val="3"/>
              </w:numPr>
              <w:spacing w:after="0" w:line="240" w:lineRule="auto"/>
              <w:rPr>
                <w:rFonts w:ascii="Arial" w:eastAsia="Arial" w:hAnsi="Arial"/>
                <w:szCs w:val="20"/>
              </w:rPr>
            </w:pPr>
            <w:r w:rsidRPr="3FC79A6E">
              <w:rPr>
                <w:rFonts w:ascii="Arial" w:eastAsia="Arial" w:hAnsi="Arial"/>
                <w:szCs w:val="20"/>
              </w:rPr>
              <w:t>DATA also only from NSW</w:t>
            </w:r>
            <w:r>
              <w:rPr>
                <w:rFonts w:ascii="Arial" w:eastAsia="Arial" w:hAnsi="Arial"/>
                <w:szCs w:val="20"/>
              </w:rPr>
              <w:t>,</w:t>
            </w:r>
            <w:r w:rsidRPr="3FC79A6E">
              <w:rPr>
                <w:rFonts w:ascii="Arial" w:eastAsia="Arial" w:hAnsi="Arial"/>
                <w:szCs w:val="20"/>
              </w:rPr>
              <w:t xml:space="preserve"> but population for MODEL extends to Lower Murray in South Australia</w:t>
            </w:r>
          </w:p>
        </w:tc>
        <w:tc>
          <w:tcPr>
            <w:tcW w:w="2293" w:type="dxa"/>
            <w:tcBorders>
              <w:top w:val="single" w:sz="6" w:space="0" w:color="00B2A9" w:themeColor="accent1"/>
              <w:left w:val="nil"/>
              <w:bottom w:val="single" w:sz="6" w:space="0" w:color="00B2A9" w:themeColor="accent1"/>
              <w:right w:val="nil"/>
            </w:tcBorders>
          </w:tcPr>
          <w:p w14:paraId="438D50A4" w14:textId="77777777" w:rsidR="00491210" w:rsidRDefault="00EE200C" w:rsidP="00162EF1">
            <w:pPr>
              <w:rPr>
                <w:rFonts w:eastAsia="Arial"/>
                <w:szCs w:val="20"/>
              </w:rPr>
            </w:pPr>
            <w:r w:rsidRPr="3FC79A6E">
              <w:rPr>
                <w:rFonts w:eastAsia="Arial"/>
                <w:szCs w:val="20"/>
              </w:rPr>
              <w:t>N/A</w:t>
            </w:r>
          </w:p>
        </w:tc>
        <w:tc>
          <w:tcPr>
            <w:tcW w:w="1866" w:type="dxa"/>
            <w:tcBorders>
              <w:top w:val="single" w:sz="6" w:space="0" w:color="00B2A9" w:themeColor="accent1"/>
              <w:left w:val="nil"/>
              <w:bottom w:val="single" w:sz="6" w:space="0" w:color="00B2A9" w:themeColor="accent1"/>
              <w:right w:val="nil"/>
            </w:tcBorders>
          </w:tcPr>
          <w:p w14:paraId="1F5B7B19" w14:textId="3DD86158" w:rsidR="00491210" w:rsidRDefault="00EE200C" w:rsidP="00162EF1">
            <w:pPr>
              <w:pStyle w:val="ListParagraph"/>
              <w:numPr>
                <w:ilvl w:val="0"/>
                <w:numId w:val="2"/>
              </w:numPr>
              <w:spacing w:after="0" w:line="240" w:lineRule="auto"/>
              <w:rPr>
                <w:rFonts w:ascii="Arial" w:eastAsia="Arial" w:hAnsi="Arial"/>
                <w:szCs w:val="20"/>
              </w:rPr>
            </w:pPr>
            <w:r w:rsidRPr="3FC79A6E">
              <w:rPr>
                <w:rFonts w:ascii="Arial" w:eastAsia="Arial" w:hAnsi="Arial"/>
                <w:szCs w:val="20"/>
              </w:rPr>
              <w:t>Extend validation</w:t>
            </w:r>
            <w:r>
              <w:rPr>
                <w:rFonts w:ascii="Arial" w:eastAsia="Arial" w:hAnsi="Arial"/>
                <w:szCs w:val="20"/>
              </w:rPr>
              <w:t>,</w:t>
            </w:r>
            <w:r w:rsidRPr="3FC79A6E">
              <w:rPr>
                <w:rFonts w:ascii="Arial" w:eastAsia="Arial" w:hAnsi="Arial"/>
                <w:szCs w:val="20"/>
              </w:rPr>
              <w:t xml:space="preserve"> if possible using datasets from South Australia</w:t>
            </w:r>
          </w:p>
        </w:tc>
        <w:tc>
          <w:tcPr>
            <w:tcW w:w="2304" w:type="dxa"/>
            <w:tcBorders>
              <w:top w:val="single" w:sz="6" w:space="0" w:color="00B2A9" w:themeColor="accent1"/>
              <w:left w:val="nil"/>
              <w:bottom w:val="single" w:sz="6" w:space="0" w:color="00B2A9" w:themeColor="accent1"/>
              <w:right w:val="nil"/>
            </w:tcBorders>
          </w:tcPr>
          <w:p w14:paraId="4F903246" w14:textId="6C386ED4" w:rsidR="00491210" w:rsidRPr="00E2785E" w:rsidRDefault="00EE200C" w:rsidP="008620AA">
            <w:pPr>
              <w:pStyle w:val="ListParagraph"/>
              <w:numPr>
                <w:ilvl w:val="0"/>
                <w:numId w:val="3"/>
              </w:numPr>
              <w:spacing w:after="0" w:line="240" w:lineRule="auto"/>
              <w:rPr>
                <w:rFonts w:eastAsia="Arial"/>
                <w:szCs w:val="20"/>
              </w:rPr>
            </w:pPr>
            <w:r w:rsidRPr="3FC79A6E">
              <w:rPr>
                <w:rFonts w:ascii="Arial" w:eastAsia="Arial" w:hAnsi="Arial"/>
                <w:szCs w:val="20"/>
              </w:rPr>
              <w:t>DATA too spatially/temporally limited to say</w:t>
            </w:r>
          </w:p>
        </w:tc>
      </w:tr>
      <w:tr w:rsidR="006F763D" w14:paraId="3F7D572F" w14:textId="77777777" w:rsidTr="00A20590">
        <w:trPr>
          <w:cantSplit/>
          <w:trHeight w:val="210"/>
        </w:trPr>
        <w:tc>
          <w:tcPr>
            <w:tcW w:w="1333" w:type="dxa"/>
            <w:tcBorders>
              <w:top w:val="single" w:sz="6" w:space="0" w:color="00B2A9" w:themeColor="accent1"/>
              <w:left w:val="nil"/>
              <w:bottom w:val="single" w:sz="6" w:space="0" w:color="00B2A9" w:themeColor="accent1"/>
              <w:right w:val="nil"/>
            </w:tcBorders>
          </w:tcPr>
          <w:p w14:paraId="26E1AB9E" w14:textId="77777777" w:rsidR="00491210" w:rsidRDefault="00EE200C" w:rsidP="00162EF1">
            <w:pPr>
              <w:rPr>
                <w:rFonts w:eastAsia="Arial"/>
                <w:szCs w:val="20"/>
              </w:rPr>
            </w:pPr>
            <w:r w:rsidRPr="3FC79A6E">
              <w:rPr>
                <w:rFonts w:eastAsia="Arial"/>
                <w:b/>
                <w:bCs/>
                <w:i/>
                <w:iCs/>
                <w:szCs w:val="20"/>
              </w:rPr>
              <w:t>Murray Cod</w:t>
            </w:r>
          </w:p>
        </w:tc>
        <w:tc>
          <w:tcPr>
            <w:tcW w:w="1843" w:type="dxa"/>
            <w:tcBorders>
              <w:top w:val="single" w:sz="6" w:space="0" w:color="00B2A9" w:themeColor="accent1"/>
              <w:left w:val="nil"/>
              <w:bottom w:val="single" w:sz="6" w:space="0" w:color="00B2A9" w:themeColor="accent1"/>
              <w:right w:val="nil"/>
            </w:tcBorders>
          </w:tcPr>
          <w:p w14:paraId="3A818AF7" w14:textId="77777777" w:rsidR="00491210" w:rsidRDefault="00491210" w:rsidP="00162EF1">
            <w:pPr>
              <w:spacing w:line="270" w:lineRule="exact"/>
              <w:ind w:left="360"/>
              <w:rPr>
                <w:rFonts w:eastAsia="Arial"/>
                <w:szCs w:val="20"/>
              </w:rPr>
            </w:pPr>
          </w:p>
        </w:tc>
        <w:tc>
          <w:tcPr>
            <w:tcW w:w="2293" w:type="dxa"/>
            <w:tcBorders>
              <w:top w:val="single" w:sz="6" w:space="0" w:color="00B2A9" w:themeColor="accent1"/>
              <w:left w:val="nil"/>
              <w:bottom w:val="single" w:sz="6" w:space="0" w:color="00B2A9" w:themeColor="accent1"/>
              <w:right w:val="nil"/>
            </w:tcBorders>
          </w:tcPr>
          <w:p w14:paraId="16BCF2E9" w14:textId="77777777" w:rsidR="00491210" w:rsidRDefault="00491210" w:rsidP="00162EF1">
            <w:pPr>
              <w:rPr>
                <w:rFonts w:eastAsia="Arial"/>
                <w:szCs w:val="20"/>
              </w:rPr>
            </w:pPr>
          </w:p>
        </w:tc>
        <w:tc>
          <w:tcPr>
            <w:tcW w:w="1866" w:type="dxa"/>
            <w:tcBorders>
              <w:top w:val="single" w:sz="6" w:space="0" w:color="00B2A9" w:themeColor="accent1"/>
              <w:left w:val="nil"/>
              <w:bottom w:val="single" w:sz="6" w:space="0" w:color="00B2A9" w:themeColor="accent1"/>
              <w:right w:val="nil"/>
            </w:tcBorders>
          </w:tcPr>
          <w:p w14:paraId="69BF8B91" w14:textId="77777777" w:rsidR="00491210" w:rsidRDefault="00491210" w:rsidP="00162EF1">
            <w:pPr>
              <w:spacing w:line="270" w:lineRule="exact"/>
              <w:ind w:left="360"/>
              <w:rPr>
                <w:rFonts w:eastAsia="Arial"/>
                <w:szCs w:val="20"/>
              </w:rPr>
            </w:pPr>
          </w:p>
        </w:tc>
        <w:tc>
          <w:tcPr>
            <w:tcW w:w="2304" w:type="dxa"/>
            <w:tcBorders>
              <w:top w:val="single" w:sz="6" w:space="0" w:color="00B2A9" w:themeColor="accent1"/>
              <w:left w:val="nil"/>
              <w:bottom w:val="single" w:sz="6" w:space="0" w:color="00B2A9" w:themeColor="accent1"/>
              <w:right w:val="nil"/>
            </w:tcBorders>
          </w:tcPr>
          <w:p w14:paraId="745A18FB" w14:textId="77777777" w:rsidR="00491210" w:rsidRDefault="00491210" w:rsidP="00162EF1">
            <w:pPr>
              <w:spacing w:line="270" w:lineRule="exact"/>
              <w:ind w:left="360"/>
              <w:rPr>
                <w:rFonts w:eastAsia="Arial"/>
                <w:szCs w:val="20"/>
              </w:rPr>
            </w:pPr>
          </w:p>
        </w:tc>
      </w:tr>
      <w:tr w:rsidR="006F763D" w14:paraId="278C6E11" w14:textId="77777777" w:rsidTr="00A20590">
        <w:trPr>
          <w:cantSplit/>
          <w:trHeight w:val="210"/>
        </w:trPr>
        <w:tc>
          <w:tcPr>
            <w:tcW w:w="1333" w:type="dxa"/>
            <w:tcBorders>
              <w:top w:val="single" w:sz="6" w:space="0" w:color="00B2A9" w:themeColor="accent1"/>
              <w:left w:val="nil"/>
              <w:bottom w:val="single" w:sz="6" w:space="0" w:color="00B2A9" w:themeColor="accent1"/>
              <w:right w:val="nil"/>
            </w:tcBorders>
          </w:tcPr>
          <w:p w14:paraId="4686859C" w14:textId="77777777" w:rsidR="00491210" w:rsidRDefault="00EE200C" w:rsidP="00162EF1">
            <w:pPr>
              <w:rPr>
                <w:rFonts w:eastAsia="Arial"/>
                <w:szCs w:val="20"/>
              </w:rPr>
            </w:pPr>
            <w:r w:rsidRPr="3FC79A6E">
              <w:rPr>
                <w:rFonts w:eastAsia="Arial"/>
                <w:szCs w:val="20"/>
              </w:rPr>
              <w:lastRenderedPageBreak/>
              <w:t>Yarrawonga to Torrumbarry</w:t>
            </w:r>
          </w:p>
        </w:tc>
        <w:tc>
          <w:tcPr>
            <w:tcW w:w="1843" w:type="dxa"/>
            <w:tcBorders>
              <w:top w:val="single" w:sz="6" w:space="0" w:color="00B2A9" w:themeColor="accent1"/>
              <w:left w:val="nil"/>
              <w:bottom w:val="single" w:sz="6" w:space="0" w:color="00B2A9" w:themeColor="accent1"/>
              <w:right w:val="nil"/>
            </w:tcBorders>
          </w:tcPr>
          <w:p w14:paraId="31C07BDA" w14:textId="0CD00830" w:rsidR="00491210" w:rsidRDefault="00EE200C" w:rsidP="00162EF1">
            <w:pPr>
              <w:pStyle w:val="ListParagraph"/>
              <w:numPr>
                <w:ilvl w:val="0"/>
                <w:numId w:val="3"/>
              </w:numPr>
              <w:spacing w:after="0" w:line="240" w:lineRule="auto"/>
              <w:rPr>
                <w:rFonts w:ascii="Arial" w:eastAsia="Arial" w:hAnsi="Arial"/>
                <w:szCs w:val="20"/>
              </w:rPr>
            </w:pPr>
            <w:r w:rsidRPr="3FC79A6E">
              <w:rPr>
                <w:rFonts w:ascii="Arial" w:eastAsia="Arial" w:hAnsi="Arial"/>
                <w:szCs w:val="20"/>
              </w:rPr>
              <w:t>MODEL predicts relatively stable population</w:t>
            </w:r>
            <w:r>
              <w:rPr>
                <w:rFonts w:ascii="Arial" w:eastAsia="Arial" w:hAnsi="Arial"/>
                <w:szCs w:val="20"/>
              </w:rPr>
              <w:t>,</w:t>
            </w:r>
            <w:r w:rsidRPr="3FC79A6E">
              <w:rPr>
                <w:rFonts w:ascii="Arial" w:eastAsia="Arial" w:hAnsi="Arial"/>
                <w:szCs w:val="20"/>
              </w:rPr>
              <w:t xml:space="preserve"> whereas ARI DATA shows decrease until 2010, large increase </w:t>
            </w:r>
            <w:r>
              <w:rPr>
                <w:rFonts w:ascii="Arial" w:eastAsia="Arial" w:hAnsi="Arial"/>
                <w:szCs w:val="20"/>
              </w:rPr>
              <w:t xml:space="preserve">in </w:t>
            </w:r>
            <w:r w:rsidRPr="3FC79A6E">
              <w:rPr>
                <w:rFonts w:ascii="Arial" w:eastAsia="Arial" w:hAnsi="Arial"/>
                <w:szCs w:val="20"/>
              </w:rPr>
              <w:t xml:space="preserve">2015. NSW data shows increase </w:t>
            </w:r>
            <w:r>
              <w:rPr>
                <w:rFonts w:ascii="Arial" w:eastAsia="Arial" w:hAnsi="Arial"/>
                <w:szCs w:val="20"/>
              </w:rPr>
              <w:t xml:space="preserve">in </w:t>
            </w:r>
            <w:r w:rsidRPr="3FC79A6E">
              <w:rPr>
                <w:rFonts w:ascii="Arial" w:eastAsia="Arial" w:hAnsi="Arial"/>
                <w:szCs w:val="20"/>
              </w:rPr>
              <w:t>2015</w:t>
            </w:r>
          </w:p>
        </w:tc>
        <w:tc>
          <w:tcPr>
            <w:tcW w:w="2293" w:type="dxa"/>
            <w:tcBorders>
              <w:top w:val="single" w:sz="6" w:space="0" w:color="00B2A9" w:themeColor="accent1"/>
              <w:left w:val="nil"/>
              <w:bottom w:val="single" w:sz="6" w:space="0" w:color="00B2A9" w:themeColor="accent1"/>
              <w:right w:val="nil"/>
            </w:tcBorders>
          </w:tcPr>
          <w:p w14:paraId="2B425A95" w14:textId="497F96C4" w:rsidR="00491210" w:rsidRPr="00E2785E" w:rsidRDefault="00EE200C" w:rsidP="008620AA">
            <w:pPr>
              <w:pStyle w:val="ListParagraph"/>
              <w:numPr>
                <w:ilvl w:val="0"/>
                <w:numId w:val="3"/>
              </w:numPr>
              <w:spacing w:after="0" w:line="240" w:lineRule="auto"/>
              <w:rPr>
                <w:rFonts w:eastAsia="Arial"/>
                <w:szCs w:val="20"/>
              </w:rPr>
            </w:pPr>
            <w:r w:rsidRPr="3FC79A6E">
              <w:rPr>
                <w:rFonts w:ascii="Arial" w:eastAsia="Arial" w:hAnsi="Arial"/>
                <w:szCs w:val="20"/>
              </w:rPr>
              <w:t>Possible that decrease in size until 2010 is a negative response to drought, and increase 2014</w:t>
            </w:r>
            <w:r>
              <w:rPr>
                <w:rFonts w:ascii="Arial" w:eastAsia="Arial" w:hAnsi="Arial"/>
                <w:szCs w:val="20"/>
              </w:rPr>
              <w:t>–</w:t>
            </w:r>
            <w:r w:rsidRPr="3FC79A6E">
              <w:rPr>
                <w:rFonts w:ascii="Arial" w:eastAsia="Arial" w:hAnsi="Arial"/>
                <w:szCs w:val="20"/>
              </w:rPr>
              <w:t>2015 is a delayed response to 2010</w:t>
            </w:r>
            <w:r>
              <w:rPr>
                <w:rFonts w:ascii="Arial" w:eastAsia="Arial" w:hAnsi="Arial"/>
                <w:szCs w:val="20"/>
              </w:rPr>
              <w:t>–</w:t>
            </w:r>
            <w:r w:rsidRPr="3FC79A6E">
              <w:rPr>
                <w:rFonts w:ascii="Arial" w:eastAsia="Arial" w:hAnsi="Arial"/>
                <w:szCs w:val="20"/>
              </w:rPr>
              <w:t>2011 floods</w:t>
            </w:r>
          </w:p>
        </w:tc>
        <w:tc>
          <w:tcPr>
            <w:tcW w:w="1866" w:type="dxa"/>
            <w:tcBorders>
              <w:top w:val="single" w:sz="6" w:space="0" w:color="00B2A9" w:themeColor="accent1"/>
              <w:left w:val="nil"/>
              <w:bottom w:val="single" w:sz="6" w:space="0" w:color="00B2A9" w:themeColor="accent1"/>
              <w:right w:val="nil"/>
            </w:tcBorders>
            <w:shd w:val="clear" w:color="auto" w:fill="FFFFFF" w:themeFill="background1"/>
          </w:tcPr>
          <w:p w14:paraId="2B99D2C8" w14:textId="1F08FC6F" w:rsidR="00491210" w:rsidRDefault="00EE200C" w:rsidP="00162EF1">
            <w:pPr>
              <w:pStyle w:val="ListParagraph"/>
              <w:numPr>
                <w:ilvl w:val="0"/>
                <w:numId w:val="3"/>
              </w:numPr>
              <w:spacing w:after="0" w:line="240" w:lineRule="auto"/>
              <w:rPr>
                <w:rFonts w:ascii="Arial" w:eastAsia="Arial" w:hAnsi="Arial"/>
                <w:szCs w:val="20"/>
              </w:rPr>
            </w:pPr>
            <w:r w:rsidRPr="3FC79A6E">
              <w:rPr>
                <w:rFonts w:ascii="Arial" w:eastAsia="Arial" w:hAnsi="Arial"/>
                <w:szCs w:val="20"/>
              </w:rPr>
              <w:t>Additional empirical studies under high</w:t>
            </w:r>
            <w:r>
              <w:rPr>
                <w:rFonts w:ascii="Arial" w:eastAsia="Arial" w:hAnsi="Arial"/>
                <w:szCs w:val="20"/>
              </w:rPr>
              <w:t>-</w:t>
            </w:r>
            <w:r w:rsidRPr="3FC79A6E">
              <w:rPr>
                <w:rFonts w:ascii="Arial" w:eastAsia="Arial" w:hAnsi="Arial"/>
                <w:szCs w:val="20"/>
              </w:rPr>
              <w:t xml:space="preserve"> and low</w:t>
            </w:r>
            <w:r>
              <w:rPr>
                <w:rFonts w:ascii="Arial" w:eastAsia="Arial" w:hAnsi="Arial"/>
                <w:szCs w:val="20"/>
              </w:rPr>
              <w:t>-</w:t>
            </w:r>
            <w:r w:rsidRPr="3FC79A6E">
              <w:rPr>
                <w:rFonts w:ascii="Arial" w:eastAsia="Arial" w:hAnsi="Arial"/>
                <w:szCs w:val="20"/>
              </w:rPr>
              <w:t>flow conditions to determine effects of detectability on population abundances estimated from DATA.</w:t>
            </w:r>
          </w:p>
          <w:p w14:paraId="4D9EB1D6" w14:textId="4CD39E08" w:rsidR="00491210" w:rsidRPr="00DE53BC" w:rsidRDefault="00EE200C" w:rsidP="00DE53BC">
            <w:pPr>
              <w:pStyle w:val="ListParagraph"/>
              <w:numPr>
                <w:ilvl w:val="0"/>
                <w:numId w:val="3"/>
              </w:numPr>
              <w:spacing w:after="0" w:line="240" w:lineRule="auto"/>
              <w:rPr>
                <w:rFonts w:ascii="Arial" w:eastAsia="Arial" w:hAnsi="Arial"/>
                <w:szCs w:val="20"/>
              </w:rPr>
            </w:pPr>
            <w:r w:rsidRPr="3FC79A6E">
              <w:rPr>
                <w:rFonts w:ascii="Arial" w:eastAsia="Arial" w:hAnsi="Arial"/>
                <w:szCs w:val="20"/>
              </w:rPr>
              <w:t>Revisit effects of temperature</w:t>
            </w:r>
            <w:r>
              <w:rPr>
                <w:rFonts w:ascii="Arial" w:eastAsia="Arial" w:hAnsi="Arial"/>
                <w:szCs w:val="20"/>
              </w:rPr>
              <w:t xml:space="preserve">, </w:t>
            </w:r>
            <w:r w:rsidRPr="3FC79A6E">
              <w:rPr>
                <w:rFonts w:ascii="Arial" w:eastAsia="Arial" w:hAnsi="Arial"/>
                <w:szCs w:val="20"/>
              </w:rPr>
              <w:t>dissolved oxygen</w:t>
            </w:r>
            <w:r>
              <w:rPr>
                <w:rFonts w:ascii="Arial" w:eastAsia="Arial" w:hAnsi="Arial"/>
                <w:szCs w:val="20"/>
              </w:rPr>
              <w:t>,</w:t>
            </w:r>
            <w:r w:rsidRPr="3FC79A6E">
              <w:rPr>
                <w:rFonts w:ascii="Arial" w:eastAsia="Arial" w:hAnsi="Arial"/>
                <w:szCs w:val="20"/>
              </w:rPr>
              <w:t xml:space="preserve"> and productivity in MODEL, particularly under low</w:t>
            </w:r>
            <w:r>
              <w:rPr>
                <w:rFonts w:ascii="Arial" w:eastAsia="Arial" w:hAnsi="Arial"/>
                <w:szCs w:val="20"/>
              </w:rPr>
              <w:t>-</w:t>
            </w:r>
            <w:r w:rsidRPr="3FC79A6E">
              <w:rPr>
                <w:rFonts w:ascii="Arial" w:eastAsia="Arial" w:hAnsi="Arial"/>
                <w:szCs w:val="20"/>
              </w:rPr>
              <w:t>flow conditions</w:t>
            </w:r>
          </w:p>
        </w:tc>
        <w:tc>
          <w:tcPr>
            <w:tcW w:w="2304" w:type="dxa"/>
            <w:tcBorders>
              <w:top w:val="single" w:sz="6" w:space="0" w:color="00B2A9" w:themeColor="accent1"/>
              <w:left w:val="nil"/>
              <w:bottom w:val="single" w:sz="6" w:space="0" w:color="00B2A9" w:themeColor="accent1"/>
              <w:right w:val="nil"/>
            </w:tcBorders>
          </w:tcPr>
          <w:p w14:paraId="4E7CDF39" w14:textId="0A5A2DC0" w:rsidR="00491210" w:rsidRPr="00E2785E" w:rsidRDefault="00EE200C" w:rsidP="008620AA">
            <w:pPr>
              <w:pStyle w:val="ListParagraph"/>
              <w:numPr>
                <w:ilvl w:val="0"/>
                <w:numId w:val="3"/>
              </w:numPr>
              <w:spacing w:after="0" w:line="240" w:lineRule="auto"/>
              <w:rPr>
                <w:rFonts w:eastAsia="Arial"/>
                <w:szCs w:val="20"/>
              </w:rPr>
            </w:pPr>
            <w:r w:rsidRPr="00DE53BC">
              <w:rPr>
                <w:rFonts w:ascii="Arial" w:eastAsia="Arial" w:hAnsi="Arial"/>
                <w:szCs w:val="20"/>
              </w:rPr>
              <w:t>Low</w:t>
            </w:r>
          </w:p>
        </w:tc>
      </w:tr>
      <w:tr w:rsidR="006F763D" w14:paraId="4FE6AAA7" w14:textId="77777777" w:rsidTr="00A20590">
        <w:trPr>
          <w:cantSplit/>
          <w:trHeight w:val="210"/>
        </w:trPr>
        <w:tc>
          <w:tcPr>
            <w:tcW w:w="1333" w:type="dxa"/>
            <w:tcBorders>
              <w:top w:val="single" w:sz="6" w:space="0" w:color="00B2A9" w:themeColor="accent1"/>
              <w:left w:val="nil"/>
              <w:bottom w:val="single" w:sz="6" w:space="0" w:color="00B2A9" w:themeColor="accent1"/>
              <w:right w:val="nil"/>
            </w:tcBorders>
          </w:tcPr>
          <w:p w14:paraId="51674C47" w14:textId="6892A3AA" w:rsidR="00491210" w:rsidRPr="00E41D2F" w:rsidRDefault="00EE200C" w:rsidP="00162EF1">
            <w:pPr>
              <w:rPr>
                <w:rFonts w:eastAsia="Arial"/>
                <w:szCs w:val="20"/>
              </w:rPr>
            </w:pPr>
            <w:r w:rsidRPr="00E41D2F">
              <w:rPr>
                <w:rFonts w:eastAsia="Arial"/>
                <w:szCs w:val="20"/>
              </w:rPr>
              <w:t xml:space="preserve">Torrumbarry to </w:t>
            </w:r>
            <w:r w:rsidRPr="00EA455D">
              <w:rPr>
                <w:szCs w:val="20"/>
              </w:rPr>
              <w:t>Wentworth</w:t>
            </w:r>
          </w:p>
        </w:tc>
        <w:tc>
          <w:tcPr>
            <w:tcW w:w="1843" w:type="dxa"/>
            <w:tcBorders>
              <w:top w:val="single" w:sz="6" w:space="0" w:color="00B2A9" w:themeColor="accent1"/>
              <w:left w:val="nil"/>
              <w:bottom w:val="single" w:sz="6" w:space="0" w:color="00B2A9" w:themeColor="accent1"/>
              <w:right w:val="nil"/>
            </w:tcBorders>
          </w:tcPr>
          <w:p w14:paraId="02E6324A" w14:textId="2EF766E0" w:rsidR="00491210" w:rsidRDefault="00EE200C" w:rsidP="00162EF1">
            <w:pPr>
              <w:pStyle w:val="ListParagraph"/>
              <w:numPr>
                <w:ilvl w:val="0"/>
                <w:numId w:val="3"/>
              </w:numPr>
              <w:spacing w:after="0" w:line="240" w:lineRule="auto"/>
              <w:rPr>
                <w:rFonts w:ascii="Arial" w:eastAsia="Arial" w:hAnsi="Arial"/>
                <w:szCs w:val="20"/>
              </w:rPr>
            </w:pPr>
            <w:r w:rsidRPr="3FC79A6E">
              <w:rPr>
                <w:rFonts w:ascii="Arial" w:eastAsia="Arial" w:hAnsi="Arial"/>
                <w:szCs w:val="20"/>
              </w:rPr>
              <w:t>MODEL predicts and DATA shows decrease in 2010</w:t>
            </w:r>
          </w:p>
        </w:tc>
        <w:tc>
          <w:tcPr>
            <w:tcW w:w="2293" w:type="dxa"/>
            <w:tcBorders>
              <w:top w:val="single" w:sz="6" w:space="0" w:color="00B2A9" w:themeColor="accent1"/>
              <w:left w:val="nil"/>
              <w:bottom w:val="single" w:sz="6" w:space="0" w:color="00B2A9" w:themeColor="accent1"/>
              <w:right w:val="nil"/>
            </w:tcBorders>
          </w:tcPr>
          <w:p w14:paraId="5423E2F9" w14:textId="05CFBE72" w:rsidR="00491210" w:rsidRDefault="00EE200C" w:rsidP="00162EF1">
            <w:pPr>
              <w:pStyle w:val="ListParagraph"/>
              <w:numPr>
                <w:ilvl w:val="0"/>
                <w:numId w:val="3"/>
              </w:numPr>
              <w:spacing w:after="0" w:line="240" w:lineRule="auto"/>
              <w:rPr>
                <w:rFonts w:ascii="Arial" w:eastAsia="Arial" w:hAnsi="Arial"/>
                <w:szCs w:val="20"/>
              </w:rPr>
            </w:pPr>
            <w:r w:rsidRPr="3FC79A6E">
              <w:rPr>
                <w:rFonts w:ascii="Arial" w:eastAsia="Arial" w:hAnsi="Arial"/>
                <w:szCs w:val="20"/>
              </w:rPr>
              <w:t>Decreases in MODEL and DATA likely due to blackwater</w:t>
            </w:r>
            <w:r>
              <w:rPr>
                <w:rFonts w:ascii="Arial" w:eastAsia="Arial" w:hAnsi="Arial"/>
                <w:szCs w:val="20"/>
              </w:rPr>
              <w:t>,</w:t>
            </w:r>
            <w:r w:rsidRPr="3FC79A6E">
              <w:rPr>
                <w:rFonts w:ascii="Arial" w:eastAsia="Arial" w:hAnsi="Arial"/>
                <w:szCs w:val="20"/>
              </w:rPr>
              <w:t xml:space="preserve"> but MODEL may be underestimating magnitude of response</w:t>
            </w:r>
          </w:p>
        </w:tc>
        <w:tc>
          <w:tcPr>
            <w:tcW w:w="1866" w:type="dxa"/>
            <w:tcBorders>
              <w:top w:val="single" w:sz="6" w:space="0" w:color="00B2A9" w:themeColor="accent1"/>
              <w:left w:val="nil"/>
              <w:bottom w:val="single" w:sz="6" w:space="0" w:color="00B2A9" w:themeColor="accent1"/>
              <w:right w:val="nil"/>
            </w:tcBorders>
          </w:tcPr>
          <w:p w14:paraId="7FC75D19" w14:textId="77777777" w:rsidR="00491210" w:rsidRDefault="00EE200C" w:rsidP="00162EF1">
            <w:pPr>
              <w:pStyle w:val="ListParagraph"/>
              <w:numPr>
                <w:ilvl w:val="0"/>
                <w:numId w:val="2"/>
              </w:numPr>
              <w:spacing w:after="0" w:line="240" w:lineRule="auto"/>
              <w:rPr>
                <w:rFonts w:ascii="Arial" w:eastAsia="Arial" w:hAnsi="Arial"/>
                <w:szCs w:val="20"/>
              </w:rPr>
            </w:pPr>
            <w:r w:rsidRPr="3FC79A6E">
              <w:rPr>
                <w:rFonts w:ascii="Arial" w:eastAsia="Arial" w:hAnsi="Arial"/>
                <w:szCs w:val="20"/>
              </w:rPr>
              <w:t>Revisit blackwater inputs for MODEL</w:t>
            </w:r>
          </w:p>
        </w:tc>
        <w:tc>
          <w:tcPr>
            <w:tcW w:w="2304" w:type="dxa"/>
            <w:tcBorders>
              <w:top w:val="single" w:sz="6" w:space="0" w:color="00B2A9" w:themeColor="accent1"/>
              <w:left w:val="nil"/>
              <w:bottom w:val="single" w:sz="6" w:space="0" w:color="00B2A9" w:themeColor="accent1"/>
              <w:right w:val="nil"/>
            </w:tcBorders>
          </w:tcPr>
          <w:p w14:paraId="1E4B757B" w14:textId="6AE2297E" w:rsidR="00491210" w:rsidRDefault="00EE200C" w:rsidP="00162EF1">
            <w:pPr>
              <w:pStyle w:val="ListParagraph"/>
              <w:numPr>
                <w:ilvl w:val="0"/>
                <w:numId w:val="3"/>
              </w:numPr>
              <w:spacing w:after="0" w:line="240" w:lineRule="auto"/>
              <w:rPr>
                <w:rFonts w:ascii="Arial" w:eastAsia="Arial" w:hAnsi="Arial"/>
                <w:szCs w:val="20"/>
              </w:rPr>
            </w:pPr>
            <w:r w:rsidRPr="00DE53BC">
              <w:rPr>
                <w:rFonts w:ascii="Arial" w:eastAsia="Arial" w:hAnsi="Arial"/>
                <w:szCs w:val="20"/>
              </w:rPr>
              <w:t>Medium/</w:t>
            </w:r>
            <w:r w:rsidRPr="3FC79A6E">
              <w:rPr>
                <w:rFonts w:ascii="Arial" w:eastAsia="Arial" w:hAnsi="Arial"/>
                <w:szCs w:val="20"/>
              </w:rPr>
              <w:t>Low</w:t>
            </w:r>
          </w:p>
        </w:tc>
      </w:tr>
      <w:tr w:rsidR="006F763D" w14:paraId="7C4CBCFD" w14:textId="77777777" w:rsidTr="00A20590">
        <w:trPr>
          <w:cantSplit/>
          <w:trHeight w:val="210"/>
        </w:trPr>
        <w:tc>
          <w:tcPr>
            <w:tcW w:w="1333" w:type="dxa"/>
            <w:tcBorders>
              <w:top w:val="single" w:sz="6" w:space="0" w:color="00B2A9" w:themeColor="accent1"/>
              <w:left w:val="nil"/>
              <w:bottom w:val="single" w:sz="6" w:space="0" w:color="00B2A9" w:themeColor="accent1"/>
              <w:right w:val="nil"/>
            </w:tcBorders>
          </w:tcPr>
          <w:p w14:paraId="5F2DA0A2" w14:textId="77777777" w:rsidR="00491210" w:rsidRDefault="00EE200C" w:rsidP="00162EF1">
            <w:pPr>
              <w:rPr>
                <w:rFonts w:eastAsia="Arial"/>
                <w:szCs w:val="20"/>
              </w:rPr>
            </w:pPr>
            <w:r w:rsidRPr="3FC79A6E">
              <w:rPr>
                <w:rFonts w:eastAsia="Arial"/>
                <w:szCs w:val="20"/>
              </w:rPr>
              <w:t>Edward River</w:t>
            </w:r>
          </w:p>
        </w:tc>
        <w:tc>
          <w:tcPr>
            <w:tcW w:w="1843" w:type="dxa"/>
            <w:tcBorders>
              <w:top w:val="single" w:sz="6" w:space="0" w:color="00B2A9" w:themeColor="accent1"/>
              <w:left w:val="nil"/>
              <w:bottom w:val="single" w:sz="6" w:space="0" w:color="00B2A9" w:themeColor="accent1"/>
              <w:right w:val="nil"/>
            </w:tcBorders>
          </w:tcPr>
          <w:p w14:paraId="74784A21" w14:textId="77777777" w:rsidR="00491210" w:rsidRDefault="00EE200C" w:rsidP="00162EF1">
            <w:pPr>
              <w:pStyle w:val="ListParagraph"/>
              <w:numPr>
                <w:ilvl w:val="0"/>
                <w:numId w:val="3"/>
              </w:numPr>
              <w:spacing w:after="0" w:line="240" w:lineRule="auto"/>
              <w:rPr>
                <w:rFonts w:ascii="Arial" w:eastAsia="Arial" w:hAnsi="Arial"/>
                <w:szCs w:val="20"/>
              </w:rPr>
            </w:pPr>
            <w:r w:rsidRPr="3FC79A6E">
              <w:rPr>
                <w:rFonts w:ascii="Arial" w:eastAsia="Arial" w:hAnsi="Arial"/>
                <w:szCs w:val="20"/>
              </w:rPr>
              <w:t>MODEL and DATA both show decrease in 2010</w:t>
            </w:r>
          </w:p>
          <w:p w14:paraId="45C0C7AD" w14:textId="77777777" w:rsidR="00491210" w:rsidRDefault="00EE200C" w:rsidP="00162EF1">
            <w:pPr>
              <w:pStyle w:val="ListParagraph"/>
              <w:numPr>
                <w:ilvl w:val="0"/>
                <w:numId w:val="3"/>
              </w:numPr>
              <w:spacing w:after="0" w:line="240" w:lineRule="auto"/>
              <w:rPr>
                <w:rFonts w:ascii="Arial" w:eastAsia="Arial" w:hAnsi="Arial"/>
                <w:szCs w:val="20"/>
              </w:rPr>
            </w:pPr>
            <w:r w:rsidRPr="3FC79A6E">
              <w:rPr>
                <w:rFonts w:ascii="Arial" w:eastAsia="Arial" w:hAnsi="Arial"/>
                <w:szCs w:val="20"/>
              </w:rPr>
              <w:t>MODEL low variability 2011 onwards</w:t>
            </w:r>
          </w:p>
          <w:p w14:paraId="0FB92313" w14:textId="77777777" w:rsidR="00491210" w:rsidRDefault="00EE200C" w:rsidP="00162EF1">
            <w:pPr>
              <w:pStyle w:val="ListParagraph"/>
              <w:numPr>
                <w:ilvl w:val="0"/>
                <w:numId w:val="3"/>
              </w:numPr>
              <w:spacing w:after="0" w:line="240" w:lineRule="auto"/>
              <w:rPr>
                <w:rFonts w:ascii="Arial" w:eastAsia="Arial" w:hAnsi="Arial"/>
                <w:szCs w:val="20"/>
              </w:rPr>
            </w:pPr>
            <w:r w:rsidRPr="3FC79A6E">
              <w:rPr>
                <w:rFonts w:ascii="Arial" w:eastAsia="Arial" w:hAnsi="Arial"/>
                <w:szCs w:val="20"/>
              </w:rPr>
              <w:t>DATA shows increase until 2015, then decrease</w:t>
            </w:r>
          </w:p>
        </w:tc>
        <w:tc>
          <w:tcPr>
            <w:tcW w:w="2293" w:type="dxa"/>
            <w:tcBorders>
              <w:top w:val="single" w:sz="6" w:space="0" w:color="00B2A9" w:themeColor="accent1"/>
              <w:left w:val="nil"/>
              <w:bottom w:val="single" w:sz="6" w:space="0" w:color="00B2A9" w:themeColor="accent1"/>
              <w:right w:val="nil"/>
            </w:tcBorders>
          </w:tcPr>
          <w:p w14:paraId="4C83409B" w14:textId="1EFA3CF2" w:rsidR="00491210" w:rsidRDefault="00EE200C">
            <w:pPr>
              <w:pStyle w:val="ListParagraph"/>
              <w:numPr>
                <w:ilvl w:val="0"/>
                <w:numId w:val="3"/>
              </w:numPr>
              <w:spacing w:after="0" w:line="240" w:lineRule="auto"/>
              <w:rPr>
                <w:rFonts w:ascii="Arial" w:eastAsia="Arial" w:hAnsi="Arial"/>
                <w:szCs w:val="20"/>
              </w:rPr>
            </w:pPr>
            <w:r w:rsidRPr="3FC79A6E">
              <w:rPr>
                <w:rFonts w:ascii="Arial" w:eastAsia="Arial" w:hAnsi="Arial"/>
                <w:szCs w:val="20"/>
              </w:rPr>
              <w:t>MODEL not capturing 2015</w:t>
            </w:r>
            <w:r>
              <w:rPr>
                <w:rFonts w:ascii="Arial" w:eastAsia="Arial" w:hAnsi="Arial"/>
                <w:szCs w:val="20"/>
              </w:rPr>
              <w:t>–</w:t>
            </w:r>
            <w:r w:rsidRPr="3FC79A6E">
              <w:rPr>
                <w:rFonts w:ascii="Arial" w:eastAsia="Arial" w:hAnsi="Arial"/>
                <w:szCs w:val="20"/>
              </w:rPr>
              <w:t>2016 blackwater events</w:t>
            </w:r>
          </w:p>
        </w:tc>
        <w:tc>
          <w:tcPr>
            <w:tcW w:w="1866" w:type="dxa"/>
            <w:tcBorders>
              <w:top w:val="single" w:sz="6" w:space="0" w:color="00B2A9" w:themeColor="accent1"/>
              <w:left w:val="nil"/>
              <w:bottom w:val="single" w:sz="6" w:space="0" w:color="00B2A9" w:themeColor="accent1"/>
              <w:right w:val="nil"/>
            </w:tcBorders>
          </w:tcPr>
          <w:p w14:paraId="625256B2" w14:textId="77777777" w:rsidR="00491210" w:rsidRDefault="00EE200C" w:rsidP="00162EF1">
            <w:pPr>
              <w:pStyle w:val="ListParagraph"/>
              <w:numPr>
                <w:ilvl w:val="0"/>
                <w:numId w:val="2"/>
              </w:numPr>
              <w:spacing w:after="0" w:line="240" w:lineRule="auto"/>
              <w:rPr>
                <w:rFonts w:ascii="Arial" w:eastAsia="Arial" w:hAnsi="Arial"/>
                <w:szCs w:val="20"/>
              </w:rPr>
            </w:pPr>
            <w:r w:rsidRPr="3FC79A6E">
              <w:rPr>
                <w:rFonts w:ascii="Arial" w:eastAsia="Arial" w:hAnsi="Arial"/>
                <w:szCs w:val="20"/>
              </w:rPr>
              <w:t>Revisit blackwater inputs for MODEL</w:t>
            </w:r>
          </w:p>
        </w:tc>
        <w:tc>
          <w:tcPr>
            <w:tcW w:w="2304" w:type="dxa"/>
            <w:tcBorders>
              <w:top w:val="single" w:sz="6" w:space="0" w:color="00B2A9" w:themeColor="accent1"/>
              <w:left w:val="nil"/>
              <w:bottom w:val="single" w:sz="6" w:space="0" w:color="00B2A9" w:themeColor="accent1"/>
              <w:right w:val="nil"/>
            </w:tcBorders>
          </w:tcPr>
          <w:p w14:paraId="0BD4C315" w14:textId="77777777" w:rsidR="00491210" w:rsidRDefault="00EE200C" w:rsidP="00162EF1">
            <w:pPr>
              <w:pStyle w:val="ListParagraph"/>
              <w:numPr>
                <w:ilvl w:val="0"/>
                <w:numId w:val="3"/>
              </w:numPr>
              <w:spacing w:after="0" w:line="240" w:lineRule="auto"/>
              <w:rPr>
                <w:rFonts w:ascii="Arial" w:eastAsia="Arial" w:hAnsi="Arial"/>
                <w:szCs w:val="20"/>
              </w:rPr>
            </w:pPr>
            <w:r w:rsidRPr="3FC79A6E">
              <w:rPr>
                <w:rFonts w:ascii="Arial" w:eastAsia="Arial" w:hAnsi="Arial"/>
                <w:szCs w:val="20"/>
              </w:rPr>
              <w:t>Low</w:t>
            </w:r>
          </w:p>
        </w:tc>
      </w:tr>
    </w:tbl>
    <w:p w14:paraId="6C66853E" w14:textId="651DC994" w:rsidR="00491210" w:rsidRDefault="00EE200C">
      <w:pPr>
        <w:spacing w:after="0"/>
      </w:pPr>
      <w:r>
        <w:t>N/A: not applicable.</w:t>
      </w:r>
      <w:r>
        <w:br w:type="page"/>
      </w:r>
    </w:p>
    <w:p w14:paraId="07B51A9D" w14:textId="73D15D2D" w:rsidR="00491210" w:rsidRPr="00243764" w:rsidRDefault="00EE200C" w:rsidP="00DC3852">
      <w:pPr>
        <w:sectPr w:rsidR="00491210" w:rsidRPr="00243764" w:rsidSect="00A66144">
          <w:headerReference w:type="even" r:id="rId62"/>
          <w:headerReference w:type="default" r:id="rId63"/>
          <w:headerReference w:type="first" r:id="rId64"/>
          <w:footerReference w:type="first" r:id="rId65"/>
          <w:pgSz w:w="11907" w:h="16840" w:code="9"/>
          <w:pgMar w:top="1134" w:right="1134" w:bottom="1134" w:left="1134" w:header="709" w:footer="567" w:gutter="0"/>
          <w:cols w:space="708"/>
          <w:formProt w:val="0"/>
          <w:titlePg/>
          <w:docGrid w:linePitch="360"/>
        </w:sectPr>
      </w:pPr>
      <w:r>
        <w:rPr>
          <w:noProof/>
          <w:lang w:eastAsia="en-AU"/>
        </w:rPr>
        <w:lastRenderedPageBreak/>
        <mc:AlternateContent>
          <mc:Choice Requires="wps">
            <w:drawing>
              <wp:anchor distT="0" distB="0" distL="114300" distR="114300" simplePos="0" relativeHeight="251658244" behindDoc="1" locked="0" layoutInCell="1" allowOverlap="1" wp14:anchorId="109E6A9E" wp14:editId="1803D5B6">
                <wp:simplePos x="0" y="0"/>
                <wp:positionH relativeFrom="page">
                  <wp:posOffset>351790</wp:posOffset>
                </wp:positionH>
                <wp:positionV relativeFrom="paragraph">
                  <wp:posOffset>-320675</wp:posOffset>
                </wp:positionV>
                <wp:extent cx="6839585" cy="9971405"/>
                <wp:effectExtent l="0" t="0" r="0" b="0"/>
                <wp:wrapNone/>
                <wp:docPr id="777550138" name="Rectangle 777550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9585" cy="9971405"/>
                        </a:xfrm>
                        <a:prstGeom prst="rect">
                          <a:avLst/>
                        </a:prstGeom>
                        <a:solidFill>
                          <a:srgbClr val="00B2A9">
                            <a:alpha val="54902"/>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453FE9" id="Rectangle 777550138" o:spid="_x0000_s1026" style="position:absolute;margin-left:27.7pt;margin-top:-25.25pt;width:538.55pt;height:785.1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" fillcolor="#00b2a9" stroked="f" strokeweight="2pt">
                <v:fill opacity="35980f"/>
                <w10:wrap anchorx="page"/>
              </v:rect>
            </w:pict>
          </mc:Fallback>
        </mc:AlternateContent>
      </w:r>
    </w:p>
    <w:p w14:paraId="0026454F" w14:textId="61CD0E4E" w:rsidR="00491210" w:rsidRPr="00243764" w:rsidRDefault="00EE200C" w:rsidP="05D19AF3">
      <w:r>
        <w:rPr>
          <w:noProof/>
          <w:lang w:eastAsia="en-AU"/>
        </w:rPr>
        <mc:AlternateContent>
          <mc:Choice Requires="wps">
            <w:drawing>
              <wp:anchor distT="0" distB="0" distL="114300" distR="114300" simplePos="0" relativeHeight="251658242" behindDoc="0" locked="0" layoutInCell="1" allowOverlap="1" wp14:anchorId="7174B6B7" wp14:editId="6F3866CF">
                <wp:simplePos x="0" y="0"/>
                <wp:positionH relativeFrom="page">
                  <wp:posOffset>872490</wp:posOffset>
                </wp:positionH>
                <wp:positionV relativeFrom="paragraph">
                  <wp:posOffset>7541895</wp:posOffset>
                </wp:positionV>
                <wp:extent cx="2343785" cy="1472565"/>
                <wp:effectExtent l="0" t="0" r="0" b="0"/>
                <wp:wrapNone/>
                <wp:docPr id="777550136" name="Text Box 777550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785" cy="1472565"/>
                        </a:xfrm>
                        <a:prstGeom prst="rect">
                          <a:avLst/>
                        </a:prstGeom>
                        <a:noFill/>
                        <a:ln>
                          <a:noFill/>
                        </a:ln>
                      </wps:spPr>
                      <wps:txbx>
                        <w:txbxContent>
                          <w:p w14:paraId="59E57518" w14:textId="77777777" w:rsidR="00491210" w:rsidRPr="00D422B5" w:rsidRDefault="00EE200C" w:rsidP="00DC3852">
                            <w:pPr>
                              <w:pStyle w:val="Backpagewebaddress"/>
                            </w:pPr>
                            <w:hyperlink r:id="rId66" w:history="1">
                              <w:r w:rsidRPr="00D422B5">
                                <w:t>www.delwp.vic.gov.au</w:t>
                              </w:r>
                            </w:hyperlink>
                          </w:p>
                          <w:p w14:paraId="52CA07CA" w14:textId="77777777" w:rsidR="00491210" w:rsidRPr="00A32CF2" w:rsidRDefault="00EE200C" w:rsidP="00DC3852">
                            <w:pPr>
                              <w:pStyle w:val="Backpagewebaddress"/>
                            </w:pPr>
                            <w:r w:rsidRPr="00A32CF2">
                              <w:t>www.ari.vic.gov.au</w:t>
                            </w:r>
                          </w:p>
                        </w:txbxContent>
                      </wps:txbx>
                      <wps:bodyPr rot="0" vert="horz" wrap="square" lIns="91440" tIns="91440" rIns="91440" bIns="9144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7174B6B7" id="Text Box 777550136" o:spid="_x0000_s1035" type="#_x0000_t202" style="position:absolute;margin-left:68.7pt;margin-top:593.85pt;width:184.55pt;height:115.9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" filled="f" stroked="f">
                <v:textbox inset=",7.2pt,,7.2pt">
                  <w:txbxContent>
                    <w:p w14:paraId="59E57518" w14:textId="77777777" w:rsidR="00491210" w:rsidRPr="00D422B5" w:rsidRDefault="00EE200C" w:rsidP="00DC3852">
                      <w:pPr>
                        <w:pStyle w:val="Backpagewebaddress"/>
                      </w:pPr>
                      <w:hyperlink r:id="rId67" w:history="1">
                        <w:r w:rsidRPr="00D422B5">
                          <w:t>www.delwp.vic.gov.au</w:t>
                        </w:r>
                      </w:hyperlink>
                    </w:p>
                    <w:p w14:paraId="52CA07CA" w14:textId="77777777" w:rsidR="00491210" w:rsidRPr="00A32CF2" w:rsidRDefault="00EE200C" w:rsidP="00DC3852">
                      <w:pPr>
                        <w:pStyle w:val="Backpagewebaddress"/>
                      </w:pPr>
                      <w:r w:rsidRPr="00A32CF2">
                        <w:t>www.ari.vic.gov.au</w:t>
                      </w:r>
                    </w:p>
                  </w:txbxContent>
                </v:textbox>
                <w10:wrap anchorx="page"/>
              </v:shape>
            </w:pict>
          </mc:Fallback>
        </mc:AlternateContent>
      </w:r>
    </w:p>
    <w:sectPr w:rsidR="00491210" w:rsidRPr="00243764" w:rsidSect="006C2C00">
      <w:headerReference w:type="even" r:id="rId68"/>
      <w:headerReference w:type="default" r:id="rId69"/>
      <w:footerReference w:type="default" r:id="rId70"/>
      <w:headerReference w:type="first" r:id="rId71"/>
      <w:type w:val="continuous"/>
      <w:pgSz w:w="11907" w:h="16840" w:code="9"/>
      <w:pgMar w:top="1134" w:right="1134" w:bottom="1134" w:left="1134" w:header="709" w:footer="567"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8B11D" w14:textId="77777777" w:rsidR="003F1205" w:rsidRDefault="003F1205">
      <w:pPr>
        <w:spacing w:after="0"/>
      </w:pPr>
      <w:r>
        <w:separator/>
      </w:r>
    </w:p>
  </w:endnote>
  <w:endnote w:type="continuationSeparator" w:id="0">
    <w:p w14:paraId="01925851" w14:textId="77777777" w:rsidR="003F1205" w:rsidRDefault="003F120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athJax_Math-italic">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82618" w14:textId="613B405C" w:rsidR="00491210" w:rsidRPr="00230BFF" w:rsidRDefault="00491210" w:rsidP="00AF60D5">
    <w:pPr>
      <w:pStyle w:val="Footer"/>
      <w:tabs>
        <w:tab w:val="clear" w:pos="4320"/>
        <w:tab w:val="center" w:pos="1985"/>
        <w:tab w:val="center" w:pos="48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487E" w14:textId="50E86B52" w:rsidR="00491210" w:rsidRDefault="00EE200C" w:rsidP="00DC3852">
    <w:pPr>
      <w:pStyle w:val="Footer"/>
    </w:pPr>
    <w:r>
      <w:rPr>
        <w:noProof/>
      </w:rPr>
      <mc:AlternateContent>
        <mc:Choice Requires="wps">
          <w:drawing>
            <wp:anchor distT="0" distB="0" distL="114300" distR="114300" simplePos="0" relativeHeight="251679621" behindDoc="0" locked="0" layoutInCell="0" allowOverlap="1" wp14:anchorId="7F6A161B" wp14:editId="20804117">
              <wp:simplePos x="0" y="0"/>
              <wp:positionH relativeFrom="page">
                <wp:align>center</wp:align>
              </wp:positionH>
              <wp:positionV relativeFrom="page">
                <wp:align>bottom</wp:align>
              </wp:positionV>
              <wp:extent cx="7772400" cy="463550"/>
              <wp:effectExtent l="0" t="0" r="0" b="12700"/>
              <wp:wrapNone/>
              <wp:docPr id="777550086" name="MSIPCM079143afb8af1d3b94a0e6c6"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A40602" w14:textId="1A597C7B" w:rsidR="00491210" w:rsidRPr="00EE200C" w:rsidRDefault="00EE200C" w:rsidP="00EE200C">
                          <w:pPr>
                            <w:spacing w:after="0"/>
                            <w:jc w:val="center"/>
                            <w:rPr>
                              <w:rFonts w:ascii="Calibri" w:hAnsi="Calibri" w:cs="Calibri"/>
                              <w:color w:val="000000"/>
                              <w:sz w:val="24"/>
                            </w:rPr>
                          </w:pPr>
                          <w:r w:rsidRPr="00EE200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F6A161B" id="_x0000_t202" coordsize="21600,21600" o:spt="202" path="m,l,21600r21600,l21600,xe">
              <v:stroke joinstyle="miter"/>
              <v:path gradientshapeok="t" o:connecttype="rect"/>
            </v:shapetype>
            <v:shape id="MSIPCM079143afb8af1d3b94a0e6c6" o:spid="_x0000_s1036" type="#_x0000_t202" alt="{&quot;HashCode&quot;:-1264680268,&quot;Height&quot;:9999999.0,&quot;Width&quot;:9999999.0,&quot;Placement&quot;:&quot;Footer&quot;,&quot;Index&quot;:&quot;Primary&quot;,&quot;Section&quot;:1,&quot;Top&quot;:0.0,&quot;Left&quot;:0.0}" style="position:absolute;margin-left:0;margin-top:0;width:612pt;height:36.5pt;z-index:25167962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3EA40602" w14:textId="1A597C7B" w:rsidR="00491210" w:rsidRPr="00EE200C" w:rsidRDefault="00EE200C" w:rsidP="00EE200C">
                    <w:pPr>
                      <w:spacing w:after="0"/>
                      <w:jc w:val="center"/>
                      <w:rPr>
                        <w:rFonts w:ascii="Calibri" w:hAnsi="Calibri" w:cs="Calibri"/>
                        <w:color w:val="000000"/>
                        <w:sz w:val="24"/>
                      </w:rPr>
                    </w:pPr>
                    <w:r w:rsidRPr="00EE200C">
                      <w:rPr>
                        <w:rFonts w:ascii="Calibri" w:hAnsi="Calibri" w:cs="Calibri"/>
                        <w:color w:val="000000"/>
                        <w:sz w:val="24"/>
                      </w:rPr>
                      <w:t>OFFICIAL</w:t>
                    </w:r>
                  </w:p>
                </w:txbxContent>
              </v:textbox>
              <w10:wrap anchorx="page" anchory="page"/>
            </v:shape>
          </w:pict>
        </mc:Fallback>
      </mc:AlternateContent>
    </w:r>
  </w:p>
  <w:p w14:paraId="16C32054" w14:textId="710562F4" w:rsidR="00491210" w:rsidRDefault="00491210" w:rsidP="00DC38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4B070" w14:textId="391D68BC" w:rsidR="00491210" w:rsidRDefault="00EE200C">
    <w:pPr>
      <w:pStyle w:val="Footer"/>
    </w:pPr>
    <w:r>
      <w:rPr>
        <w:noProof/>
        <w:lang w:eastAsia="en-AU"/>
      </w:rPr>
      <mc:AlternateContent>
        <mc:Choice Requires="wps">
          <w:drawing>
            <wp:anchor distT="0" distB="0" distL="114300" distR="114300" simplePos="0" relativeHeight="251678202" behindDoc="0" locked="0" layoutInCell="0" allowOverlap="1" wp14:anchorId="5B37DD5F" wp14:editId="39E4A006">
              <wp:simplePos x="0" y="9403953"/>
              <wp:positionH relativeFrom="page">
                <wp:align>center</wp:align>
              </wp:positionH>
              <wp:positionV relativeFrom="page">
                <wp:align>bottom</wp:align>
              </wp:positionV>
              <wp:extent cx="7772400" cy="463550"/>
              <wp:effectExtent l="0" t="0" r="0" b="12700"/>
              <wp:wrapNone/>
              <wp:docPr id="1381410443" name="MSIPCM7974450a9b472602cd168f4b"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E3D6A1" w14:textId="1B0792C7" w:rsidR="00491210" w:rsidRPr="00EE200C" w:rsidRDefault="00EE200C" w:rsidP="00EE200C">
                          <w:pPr>
                            <w:spacing w:after="0"/>
                            <w:jc w:val="center"/>
                            <w:rPr>
                              <w:rFonts w:ascii="Calibri" w:hAnsi="Calibri" w:cs="Calibri"/>
                              <w:color w:val="000000"/>
                              <w:sz w:val="24"/>
                            </w:rPr>
                          </w:pPr>
                          <w:r w:rsidRPr="00EE200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B37DD5F" id="_x0000_t202" coordsize="21600,21600" o:spt="202" path="m,l,21600r21600,l21600,xe">
              <v:stroke joinstyle="miter"/>
              <v:path gradientshapeok="t" o:connecttype="rect"/>
            </v:shapetype>
            <v:shape id="MSIPCM7974450a9b472602cd168f4b" o:spid="_x0000_s1037" type="#_x0000_t202" alt="{&quot;HashCode&quot;:-1264680268,&quot;Height&quot;:9999999.0,&quot;Width&quot;:9999999.0,&quot;Placement&quot;:&quot;Footer&quot;,&quot;Index&quot;:&quot;FirstPage&quot;,&quot;Section&quot;:1,&quot;Top&quot;:0.0,&quot;Left&quot;:0.0}" style="position:absolute;margin-left:0;margin-top:0;width:612pt;height:36.5pt;z-index:25167820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5AE3D6A1" w14:textId="1B0792C7" w:rsidR="00491210" w:rsidRPr="00EE200C" w:rsidRDefault="00EE200C" w:rsidP="00EE200C">
                    <w:pPr>
                      <w:spacing w:after="0"/>
                      <w:jc w:val="center"/>
                      <w:rPr>
                        <w:rFonts w:ascii="Calibri" w:hAnsi="Calibri" w:cs="Calibri"/>
                        <w:color w:val="000000"/>
                        <w:sz w:val="24"/>
                      </w:rPr>
                    </w:pPr>
                    <w:r w:rsidRPr="00EE200C">
                      <w:rPr>
                        <w:rFonts w:ascii="Calibri" w:hAnsi="Calibri" w:cs="Calibri"/>
                        <w:color w:val="000000"/>
                        <w:sz w:val="24"/>
                      </w:rPr>
                      <w:t>OFFICIAL</w:t>
                    </w:r>
                  </w:p>
                </w:txbxContent>
              </v:textbox>
              <w10:wrap anchorx="page" anchory="page"/>
            </v:shape>
          </w:pict>
        </mc:Fallback>
      </mc:AlternateContent>
    </w:r>
    <w:r>
      <w:rPr>
        <w:noProof/>
        <w:lang w:eastAsia="en-AU"/>
      </w:rPr>
      <mc:AlternateContent>
        <mc:Choice Requires="wps">
          <w:drawing>
            <wp:anchor distT="0" distB="0" distL="114300" distR="114300" simplePos="0" relativeHeight="251658244" behindDoc="0" locked="0" layoutInCell="0" allowOverlap="1" wp14:anchorId="358ACF1D" wp14:editId="08DD20D1">
              <wp:simplePos x="0" y="0"/>
              <wp:positionH relativeFrom="page">
                <wp:align>center</wp:align>
              </wp:positionH>
              <wp:positionV relativeFrom="page">
                <wp:align>bottom</wp:align>
              </wp:positionV>
              <wp:extent cx="7772400" cy="463550"/>
              <wp:effectExtent l="0" t="0" r="0" b="0"/>
              <wp:wrapNone/>
              <wp:docPr id="777550122" name="Text Box 777550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463550"/>
                      </a:xfrm>
                      <a:prstGeom prst="rect">
                        <a:avLst/>
                      </a:prstGeom>
                      <a:noFill/>
                      <a:ln w="6350">
                        <a:noFill/>
                      </a:ln>
                    </wps:spPr>
                    <wps:txbx>
                      <w:txbxContent>
                        <w:p w14:paraId="6F72C67B" w14:textId="386F9B8A" w:rsidR="00491210" w:rsidRPr="00844636" w:rsidRDefault="00EE200C" w:rsidP="00844636">
                          <w:pPr>
                            <w:spacing w:after="0"/>
                            <w:jc w:val="center"/>
                            <w:rPr>
                              <w:rFonts w:ascii="Calibri" w:hAnsi="Calibri" w:cs="Calibri"/>
                              <w:color w:val="000000"/>
                              <w:sz w:val="24"/>
                            </w:rPr>
                          </w:pPr>
                          <w:r w:rsidRPr="00844636">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8ACF1D" id="Text Box 777550122" o:spid="_x0000_s1038" type="#_x0000_t202" style="position:absolute;margin-left:0;margin-top:0;width:612pt;height:36.5pt;z-index:251658244;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" o:allowincell="f" filled="f" stroked="f" strokeweight=".5pt">
              <v:textbox inset=",0,,0">
                <w:txbxContent>
                  <w:p w14:paraId="6F72C67B" w14:textId="386F9B8A" w:rsidR="00491210" w:rsidRPr="00844636" w:rsidRDefault="00EE200C" w:rsidP="00844636">
                    <w:pPr>
                      <w:spacing w:after="0"/>
                      <w:jc w:val="center"/>
                      <w:rPr>
                        <w:rFonts w:ascii="Calibri" w:hAnsi="Calibri" w:cs="Calibri"/>
                        <w:color w:val="000000"/>
                        <w:sz w:val="24"/>
                      </w:rPr>
                    </w:pPr>
                    <w:r w:rsidRPr="00844636">
                      <w:rPr>
                        <w:rFonts w:ascii="Calibri" w:hAnsi="Calibri" w:cs="Calibri"/>
                        <w:color w:val="000000"/>
                        <w:sz w:val="24"/>
                      </w:rPr>
                      <w:t>OFFICIAL</w:t>
                    </w:r>
                  </w:p>
                </w:txbxContent>
              </v:textbox>
              <w10:wrap anchorx="page" anchory="page"/>
            </v:shape>
          </w:pict>
        </mc:Fallback>
      </mc:AlternateContent>
    </w:r>
    <w:r>
      <w:rPr>
        <w:noProof/>
        <w:lang w:eastAsia="en-AU"/>
      </w:rPr>
      <mc:AlternateContent>
        <mc:Choice Requires="wps">
          <w:drawing>
            <wp:anchor distT="0" distB="0" distL="114300" distR="114300" simplePos="0" relativeHeight="251658240" behindDoc="0" locked="0" layoutInCell="0" allowOverlap="1" wp14:anchorId="6C2D024B" wp14:editId="12F98F12">
              <wp:simplePos x="0" y="0"/>
              <wp:positionH relativeFrom="page">
                <wp:align>center</wp:align>
              </wp:positionH>
              <wp:positionV relativeFrom="page">
                <wp:align>bottom</wp:align>
              </wp:positionV>
              <wp:extent cx="7772400" cy="463550"/>
              <wp:effectExtent l="0" t="0" r="0" b="0"/>
              <wp:wrapNone/>
              <wp:docPr id="777550121" name="Text Box 777550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463550"/>
                      </a:xfrm>
                      <a:prstGeom prst="rect">
                        <a:avLst/>
                      </a:prstGeom>
                      <a:noFill/>
                      <a:ln w="6350">
                        <a:noFill/>
                      </a:ln>
                    </wps:spPr>
                    <wps:txbx>
                      <w:txbxContent>
                        <w:p w14:paraId="2150C043" w14:textId="4D26B897" w:rsidR="00491210" w:rsidRPr="00E93C5B" w:rsidRDefault="00EE200C" w:rsidP="00E93C5B">
                          <w:pPr>
                            <w:spacing w:after="0"/>
                            <w:jc w:val="center"/>
                            <w:rPr>
                              <w:rFonts w:ascii="Calibri" w:hAnsi="Calibri" w:cs="Calibri"/>
                              <w:color w:val="000000"/>
                              <w:sz w:val="24"/>
                            </w:rPr>
                          </w:pPr>
                          <w:r w:rsidRPr="00E93C5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C2D024B" id="Text Box 777550121" o:spid="_x0000_s1039" type="#_x0000_t202" style="position:absolute;margin-left:0;margin-top:0;width:612pt;height:36.5pt;z-index:251658240;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" o:allowincell="f" filled="f" stroked="f" strokeweight=".5pt">
              <v:textbox inset=",0,,0">
                <w:txbxContent>
                  <w:p w14:paraId="2150C043" w14:textId="4D26B897" w:rsidR="00491210" w:rsidRPr="00E93C5B" w:rsidRDefault="00EE200C" w:rsidP="00E93C5B">
                    <w:pPr>
                      <w:spacing w:after="0"/>
                      <w:jc w:val="center"/>
                      <w:rPr>
                        <w:rFonts w:ascii="Calibri" w:hAnsi="Calibri" w:cs="Calibri"/>
                        <w:color w:val="000000"/>
                        <w:sz w:val="24"/>
                      </w:rPr>
                    </w:pPr>
                    <w:r w:rsidRPr="00E93C5B">
                      <w:rPr>
                        <w:rFonts w:ascii="Calibri" w:hAnsi="Calibri" w:cs="Calibri"/>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FFCC1" w14:textId="418D4B59" w:rsidR="00491210" w:rsidRDefault="00EE200C" w:rsidP="00DC3852">
    <w:pPr>
      <w:pStyle w:val="Footer"/>
      <w:rPr>
        <w:rStyle w:val="PageNumber"/>
      </w:rPr>
    </w:pPr>
    <w:r>
      <w:rPr>
        <w:noProof/>
        <w:lang w:eastAsia="en-AU"/>
      </w:rPr>
      <mc:AlternateContent>
        <mc:Choice Requires="wps">
          <w:drawing>
            <wp:anchor distT="0" distB="0" distL="114300" distR="114300" simplePos="0" relativeHeight="251679877" behindDoc="0" locked="0" layoutInCell="0" allowOverlap="1" wp14:anchorId="649064AE" wp14:editId="56DE6658">
              <wp:simplePos x="0" y="9403953"/>
              <wp:positionH relativeFrom="page">
                <wp:align>center</wp:align>
              </wp:positionH>
              <wp:positionV relativeFrom="page">
                <wp:align>bottom</wp:align>
              </wp:positionV>
              <wp:extent cx="7772400" cy="463550"/>
              <wp:effectExtent l="0" t="0" r="0" b="12700"/>
              <wp:wrapNone/>
              <wp:docPr id="659976453" name="MSIPCM477641f0a4f524806060c01d" descr="{&quot;HashCode&quot;:-1264680268,&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61EB13" w14:textId="656B8F41" w:rsidR="00491210" w:rsidRPr="00EE200C" w:rsidRDefault="00EE200C" w:rsidP="00EE200C">
                          <w:pPr>
                            <w:spacing w:after="0"/>
                            <w:jc w:val="center"/>
                            <w:rPr>
                              <w:rFonts w:ascii="Calibri" w:hAnsi="Calibri" w:cs="Calibri"/>
                              <w:color w:val="000000"/>
                              <w:sz w:val="24"/>
                            </w:rPr>
                          </w:pPr>
                          <w:r w:rsidRPr="00EE200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49064AE" id="_x0000_t202" coordsize="21600,21600" o:spt="202" path="m,l,21600r21600,l21600,xe">
              <v:stroke joinstyle="miter"/>
              <v:path gradientshapeok="t" o:connecttype="rect"/>
            </v:shapetype>
            <v:shape id="MSIPCM477641f0a4f524806060c01d" o:spid="_x0000_s1040" type="#_x0000_t202" alt="{&quot;HashCode&quot;:-1264680268,&quot;Height&quot;:9999999.0,&quot;Width&quot;:9999999.0,&quot;Placement&quot;:&quot;Footer&quot;,&quot;Index&quot;:&quot;Primary&quot;,&quot;Section&quot;:2,&quot;Top&quot;:0.0,&quot;Left&quot;:0.0}" style="position:absolute;margin-left:0;margin-top:0;width:612pt;height:36.5pt;z-index:25167987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JRcGA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0xWmPDVQHWg9hYN47uWxohpXw&#10;4VkgUU1jk3zDEx3aAPWCo8VZDfjrb/6YTwxQlLOOpFNy/3MnUHFmvlvi5st4Oo1aSxcy8K13c/La&#10;XXsPpMox/SBOJjPmBnMyNUL7SupexG4UElZSz5LLgKfLfRikTP+HVItFSiNdORFWdu1kLB7xjNi+&#10;9K8C3ZGAQNQ9wkleonjHw5A7MLHYBdBNIikiPOB5BJ40mbg7/j9R9G/vKevyl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VoSUXBgCAAAtBAAADgAAAAAAAAAAAAAAAAAuAgAAZHJzL2Uyb0RvYy54bWxQSwECLQAUAAYACAAA&#10;ACEAvh8Kt9oAAAAFAQAADwAAAAAAAAAAAAAAAAByBAAAZHJzL2Rvd25yZXYueG1sUEsFBgAAAAAE&#10;AAQA8wAAAHkFAAAAAA==&#10;" o:allowincell="f" filled="f" stroked="f" strokeweight=".5pt">
              <v:textbox inset=",0,,0">
                <w:txbxContent>
                  <w:p w14:paraId="0761EB13" w14:textId="656B8F41" w:rsidR="00491210" w:rsidRPr="00EE200C" w:rsidRDefault="00EE200C" w:rsidP="00EE200C">
                    <w:pPr>
                      <w:spacing w:after="0"/>
                      <w:jc w:val="center"/>
                      <w:rPr>
                        <w:rFonts w:ascii="Calibri" w:hAnsi="Calibri" w:cs="Calibri"/>
                        <w:color w:val="000000"/>
                        <w:sz w:val="24"/>
                      </w:rPr>
                    </w:pPr>
                    <w:r w:rsidRPr="00EE200C">
                      <w:rPr>
                        <w:rFonts w:ascii="Calibri" w:hAnsi="Calibri" w:cs="Calibri"/>
                        <w:color w:val="000000"/>
                        <w:sz w:val="24"/>
                      </w:rPr>
                      <w:t>OFFICIAL</w:t>
                    </w:r>
                  </w:p>
                </w:txbxContent>
              </v:textbox>
              <w10:wrap anchorx="page" anchory="page"/>
            </v:shape>
          </w:pict>
        </mc:Fallback>
      </mc:AlternateContent>
    </w:r>
    <w:r>
      <w:rPr>
        <w:noProof/>
        <w:lang w:eastAsia="en-AU"/>
      </w:rPr>
      <mc:AlternateContent>
        <mc:Choice Requires="wps">
          <w:drawing>
            <wp:anchor distT="0" distB="0" distL="114300" distR="114300" simplePos="0" relativeHeight="251658245" behindDoc="0" locked="0" layoutInCell="0" allowOverlap="1" wp14:anchorId="6041226C" wp14:editId="5D7D74F7">
              <wp:simplePos x="0" y="0"/>
              <wp:positionH relativeFrom="page">
                <wp:align>center</wp:align>
              </wp:positionH>
              <wp:positionV relativeFrom="page">
                <wp:align>bottom</wp:align>
              </wp:positionV>
              <wp:extent cx="7772400" cy="463550"/>
              <wp:effectExtent l="0" t="0" r="0" b="0"/>
              <wp:wrapNone/>
              <wp:docPr id="777550120" name="Text Box 777550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463550"/>
                      </a:xfrm>
                      <a:prstGeom prst="rect">
                        <a:avLst/>
                      </a:prstGeom>
                      <a:noFill/>
                      <a:ln w="6350">
                        <a:noFill/>
                      </a:ln>
                    </wps:spPr>
                    <wps:txbx>
                      <w:txbxContent>
                        <w:p w14:paraId="3F65053D" w14:textId="539A3285" w:rsidR="00491210" w:rsidRPr="00844636" w:rsidRDefault="00EE200C" w:rsidP="00844636">
                          <w:pPr>
                            <w:spacing w:after="0"/>
                            <w:jc w:val="center"/>
                            <w:rPr>
                              <w:rFonts w:ascii="Calibri" w:hAnsi="Calibri" w:cs="Calibri"/>
                              <w:color w:val="000000"/>
                              <w:sz w:val="24"/>
                            </w:rPr>
                          </w:pPr>
                          <w:r w:rsidRPr="00844636">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41226C" id="Text Box 777550120" o:spid="_x0000_s1041" type="#_x0000_t202" style="position:absolute;margin-left:0;margin-top:0;width:612pt;height:36.5pt;z-index:251658245;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" o:allowincell="f" filled="f" stroked="f" strokeweight=".5pt">
              <v:textbox inset=",0,,0">
                <w:txbxContent>
                  <w:p w14:paraId="3F65053D" w14:textId="539A3285" w:rsidR="00491210" w:rsidRPr="00844636" w:rsidRDefault="00EE200C" w:rsidP="00844636">
                    <w:pPr>
                      <w:spacing w:after="0"/>
                      <w:jc w:val="center"/>
                      <w:rPr>
                        <w:rFonts w:ascii="Calibri" w:hAnsi="Calibri" w:cs="Calibri"/>
                        <w:color w:val="000000"/>
                        <w:sz w:val="24"/>
                      </w:rPr>
                    </w:pPr>
                    <w:r w:rsidRPr="00844636">
                      <w:rPr>
                        <w:rFonts w:ascii="Calibri" w:hAnsi="Calibri" w:cs="Calibri"/>
                        <w:color w:val="000000"/>
                        <w:sz w:val="24"/>
                      </w:rPr>
                      <w:t>OFFICIAL</w:t>
                    </w:r>
                  </w:p>
                </w:txbxContent>
              </v:textbox>
              <w10:wrap anchorx="page" anchory="page"/>
            </v:shape>
          </w:pict>
        </mc:Fallback>
      </mc:AlternateContent>
    </w:r>
    <w:r>
      <w:rPr>
        <w:noProof/>
        <w:lang w:eastAsia="en-AU"/>
      </w:rPr>
      <mc:AlternateContent>
        <mc:Choice Requires="wps">
          <w:drawing>
            <wp:anchor distT="0" distB="0" distL="114300" distR="114300" simplePos="0" relativeHeight="251658242" behindDoc="0" locked="0" layoutInCell="0" allowOverlap="1" wp14:anchorId="464065F5" wp14:editId="7F2B1D53">
              <wp:simplePos x="0" y="0"/>
              <wp:positionH relativeFrom="page">
                <wp:align>center</wp:align>
              </wp:positionH>
              <wp:positionV relativeFrom="page">
                <wp:align>bottom</wp:align>
              </wp:positionV>
              <wp:extent cx="7772400" cy="463550"/>
              <wp:effectExtent l="0" t="0" r="0" b="0"/>
              <wp:wrapNone/>
              <wp:docPr id="777550119" name="Text Box 777550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463550"/>
                      </a:xfrm>
                      <a:prstGeom prst="rect">
                        <a:avLst/>
                      </a:prstGeom>
                      <a:noFill/>
                      <a:ln w="6350">
                        <a:noFill/>
                      </a:ln>
                    </wps:spPr>
                    <wps:txbx>
                      <w:txbxContent>
                        <w:p w14:paraId="5B052C43" w14:textId="0473A55F" w:rsidR="00491210" w:rsidRPr="00E93C5B" w:rsidRDefault="00EE200C" w:rsidP="00E93C5B">
                          <w:pPr>
                            <w:spacing w:after="0"/>
                            <w:jc w:val="center"/>
                            <w:rPr>
                              <w:rFonts w:ascii="Calibri" w:hAnsi="Calibri" w:cs="Calibri"/>
                              <w:color w:val="000000"/>
                              <w:sz w:val="24"/>
                            </w:rPr>
                          </w:pPr>
                          <w:r w:rsidRPr="00E93C5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4065F5" id="Text Box 777550119" o:spid="_x0000_s1042" type="#_x0000_t202" style="position:absolute;margin-left:0;margin-top:0;width:612pt;height:36.5pt;z-index:251658242;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" o:allowincell="f" filled="f" stroked="f" strokeweight=".5pt">
              <v:textbox inset=",0,,0">
                <w:txbxContent>
                  <w:p w14:paraId="5B052C43" w14:textId="0473A55F" w:rsidR="00491210" w:rsidRPr="00E93C5B" w:rsidRDefault="00EE200C" w:rsidP="00E93C5B">
                    <w:pPr>
                      <w:spacing w:after="0"/>
                      <w:jc w:val="center"/>
                      <w:rPr>
                        <w:rFonts w:ascii="Calibri" w:hAnsi="Calibri" w:cs="Calibri"/>
                        <w:color w:val="000000"/>
                        <w:sz w:val="24"/>
                      </w:rPr>
                    </w:pPr>
                    <w:r w:rsidRPr="00E93C5B">
                      <w:rPr>
                        <w:rFonts w:ascii="Calibri" w:hAnsi="Calibri" w:cs="Calibri"/>
                        <w:color w:val="000000"/>
                        <w:sz w:val="24"/>
                      </w:rPr>
                      <w:t>OFFICIAL</w:t>
                    </w:r>
                  </w:p>
                </w:txbxContent>
              </v:textbox>
              <w10:wrap anchorx="page" anchory="page"/>
            </v:shape>
          </w:pict>
        </mc:Fallback>
      </mc:AlternateContent>
    </w:r>
  </w:p>
  <w:p w14:paraId="7F2042AA" w14:textId="77777777" w:rsidR="00491210" w:rsidRDefault="00491210" w:rsidP="00DC385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A5376" w14:textId="4F1F6829" w:rsidR="00491210" w:rsidRPr="00260A6B" w:rsidRDefault="00EE200C" w:rsidP="00DC3852">
    <w:pPr>
      <w:pStyle w:val="Footer"/>
    </w:pPr>
    <w:r>
      <w:rPr>
        <w:noProof/>
      </w:rPr>
      <mc:AlternateContent>
        <mc:Choice Requires="wps">
          <w:drawing>
            <wp:anchor distT="0" distB="0" distL="114300" distR="114300" simplePos="0" relativeHeight="251678911" behindDoc="0" locked="0" layoutInCell="0" allowOverlap="1" wp14:anchorId="02EBDF50" wp14:editId="2F790617">
              <wp:simplePos x="0" y="9403953"/>
              <wp:positionH relativeFrom="page">
                <wp:align>center</wp:align>
              </wp:positionH>
              <wp:positionV relativeFrom="page">
                <wp:align>bottom</wp:align>
              </wp:positionV>
              <wp:extent cx="7772400" cy="463550"/>
              <wp:effectExtent l="0" t="0" r="0" b="12700"/>
              <wp:wrapNone/>
              <wp:docPr id="8" name="MSIPCM54884f448b8cf1ff0037f9af"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C5D6C8" w14:textId="090E8803" w:rsidR="00491210" w:rsidRPr="00EE200C" w:rsidRDefault="00EE200C" w:rsidP="00EE200C">
                          <w:pPr>
                            <w:spacing w:after="0"/>
                            <w:jc w:val="center"/>
                            <w:rPr>
                              <w:rFonts w:ascii="Calibri" w:hAnsi="Calibri" w:cs="Calibri"/>
                              <w:color w:val="000000"/>
                              <w:sz w:val="24"/>
                            </w:rPr>
                          </w:pPr>
                          <w:r w:rsidRPr="00EE200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2EBDF50" id="_x0000_t202" coordsize="21600,21600" o:spt="202" path="m,l,21600r21600,l21600,xe">
              <v:stroke joinstyle="miter"/>
              <v:path gradientshapeok="t" o:connecttype="rect"/>
            </v:shapetype>
            <v:shape id="MSIPCM54884f448b8cf1ff0037f9af" o:spid="_x0000_s1043" type="#_x0000_t202" alt="{&quot;HashCode&quot;:-1264680268,&quot;Height&quot;:9999999.0,&quot;Width&quot;:9999999.0,&quot;Placement&quot;:&quot;Footer&quot;,&quot;Index&quot;:&quot;Primary&quot;,&quot;Section&quot;:3,&quot;Top&quot;:0.0,&quot;Left&quot;:0.0}" style="position:absolute;margin-left:0;margin-top:0;width:612pt;height:36.5pt;z-index:25167891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FjmGA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00mmPDVQHWg9hYN47uWxohpXw&#10;4VkgUU1jk3zDEx3aAPWCo8VZDfjrb/6YTwxQlLOOpFNy/3MnUHFmvlvi5st4Oo1aSxcy8K13c/La&#10;XXsPpMox/SBOJjPmBnMyNUL7SupexG4UElZSz5LLgKfLfRikTP+HVItFSiNdORFWdu1kLB7xjNi+&#10;9K8C3ZGAQNQ9wkleonjHw5A7MLHYBdBNIikiPOB5BJ40mbg7/j9R9G/vKevyl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wZxY5hgCAAAtBAAADgAAAAAAAAAAAAAAAAAuAgAAZHJzL2Uyb0RvYy54bWxQSwECLQAUAAYACAAA&#10;ACEAvh8Kt9oAAAAFAQAADwAAAAAAAAAAAAAAAAByBAAAZHJzL2Rvd25yZXYueG1sUEsFBgAAAAAE&#10;AAQA8wAAAHkFAAAAAA==&#10;" o:allowincell="f" filled="f" stroked="f" strokeweight=".5pt">
              <v:textbox inset=",0,,0">
                <w:txbxContent>
                  <w:p w14:paraId="6EC5D6C8" w14:textId="090E8803" w:rsidR="00491210" w:rsidRPr="00EE200C" w:rsidRDefault="00EE200C" w:rsidP="00EE200C">
                    <w:pPr>
                      <w:spacing w:after="0"/>
                      <w:jc w:val="center"/>
                      <w:rPr>
                        <w:rFonts w:ascii="Calibri" w:hAnsi="Calibri" w:cs="Calibri"/>
                        <w:color w:val="000000"/>
                        <w:sz w:val="24"/>
                      </w:rPr>
                    </w:pPr>
                    <w:r w:rsidRPr="00EE200C">
                      <w:rPr>
                        <w:rFonts w:ascii="Calibri" w:hAnsi="Calibri" w:cs="Calibri"/>
                        <w:color w:val="000000"/>
                        <w:sz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7933" w14:textId="2551D21D" w:rsidR="00491210" w:rsidRPr="00E3679A" w:rsidRDefault="00EE200C" w:rsidP="00DC3852">
    <w:pPr>
      <w:pStyle w:val="Footer"/>
    </w:pPr>
    <w:r>
      <w:rPr>
        <w:noProof/>
      </w:rPr>
      <mc:AlternateContent>
        <mc:Choice Requires="wps">
          <w:drawing>
            <wp:anchor distT="0" distB="0" distL="114300" distR="114300" simplePos="0" relativeHeight="251682182" behindDoc="0" locked="0" layoutInCell="0" allowOverlap="1" wp14:anchorId="4EF676D4" wp14:editId="4527A51F">
              <wp:simplePos x="0" y="0"/>
              <wp:positionH relativeFrom="page">
                <wp:align>center</wp:align>
              </wp:positionH>
              <wp:positionV relativeFrom="page">
                <wp:align>bottom</wp:align>
              </wp:positionV>
              <wp:extent cx="7772400" cy="463550"/>
              <wp:effectExtent l="0" t="0" r="0" b="12700"/>
              <wp:wrapNone/>
              <wp:docPr id="1381410444" name="MSIPCM676a4cb5aac0caab7e195655" descr="{&quot;HashCode&quot;:-1264680268,&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397A79" w14:textId="717873D6" w:rsidR="00EE200C" w:rsidRPr="00EE200C" w:rsidRDefault="00EE200C" w:rsidP="00EE200C">
                          <w:pPr>
                            <w:spacing w:after="0"/>
                            <w:jc w:val="center"/>
                            <w:rPr>
                              <w:rFonts w:ascii="Calibri" w:hAnsi="Calibri" w:cs="Calibri"/>
                              <w:color w:val="000000"/>
                              <w:sz w:val="24"/>
                            </w:rPr>
                          </w:pPr>
                          <w:r w:rsidRPr="00EE200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EF676D4" id="_x0000_t202" coordsize="21600,21600" o:spt="202" path="m,l,21600r21600,l21600,xe">
              <v:stroke joinstyle="miter"/>
              <v:path gradientshapeok="t" o:connecttype="rect"/>
            </v:shapetype>
            <v:shape id="MSIPCM676a4cb5aac0caab7e195655" o:spid="_x0000_s1044" type="#_x0000_t202" alt="{&quot;HashCode&quot;:-1264680268,&quot;Height&quot;:9999999.0,&quot;Width&quot;:9999999.0,&quot;Placement&quot;:&quot;Footer&quot;,&quot;Index&quot;:&quot;FirstPage&quot;,&quot;Section&quot;:3,&quot;Top&quot;:0.0,&quot;Left&quot;:0.0}" style="position:absolute;margin-left:0;margin-top:0;width:612pt;height:36.5pt;z-index:25168218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Dfa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vz3tsYHqQOshDMx7J5cNzbAS&#10;PjwLJKppbJJveKJDG6BecLQ4qwF//c0f84kBinLWkXRK7n/uBCrOzHdL3HwZT6dRa+lCBr71bk5e&#10;u2vvgVQ5ph/EyWTG3GBOpkZoX0ndi9iNQsJK6llyGfB0uQ+DlOn/kGqxSGmkKyfCyq6djMUjnhHb&#10;l/5VoDsSEIi6RzjJSxTveBhyByYWuwC6SSRFhAc8j8CTJhN3x/8niv7tPWVd/vL5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MnsN9oZAgAALQQAAA4AAAAAAAAAAAAAAAAALgIAAGRycy9lMm9Eb2MueG1sUEsBAi0AFAAGAAgA&#10;AAAhAL4fCrfaAAAABQEAAA8AAAAAAAAAAAAAAAAAcwQAAGRycy9kb3ducmV2LnhtbFBLBQYAAAAA&#10;BAAEAPMAAAB6BQAAAAA=&#10;" o:allowincell="f" filled="f" stroked="f" strokeweight=".5pt">
              <v:textbox inset=",0,,0">
                <w:txbxContent>
                  <w:p w14:paraId="01397A79" w14:textId="717873D6" w:rsidR="00EE200C" w:rsidRPr="00EE200C" w:rsidRDefault="00EE200C" w:rsidP="00EE200C">
                    <w:pPr>
                      <w:spacing w:after="0"/>
                      <w:jc w:val="center"/>
                      <w:rPr>
                        <w:rFonts w:ascii="Calibri" w:hAnsi="Calibri" w:cs="Calibri"/>
                        <w:color w:val="000000"/>
                        <w:sz w:val="24"/>
                      </w:rPr>
                    </w:pPr>
                    <w:r w:rsidRPr="00EE200C">
                      <w:rPr>
                        <w:rFonts w:ascii="Calibri" w:hAnsi="Calibri" w:cs="Calibri"/>
                        <w:color w:val="000000"/>
                        <w:sz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DE7C9" w14:textId="24C3A15F" w:rsidR="00491210" w:rsidRPr="00230BFF" w:rsidRDefault="00EE200C" w:rsidP="0069665B">
    <w:pPr>
      <w:pStyle w:val="Footer"/>
      <w:tabs>
        <w:tab w:val="clear" w:pos="4320"/>
        <w:tab w:val="clear" w:pos="8640"/>
        <w:tab w:val="center" w:pos="1843"/>
        <w:tab w:val="center" w:pos="4820"/>
        <w:tab w:val="right" w:pos="9498"/>
      </w:tabs>
    </w:pPr>
    <w:r>
      <w:rPr>
        <w:sz w:val="18"/>
        <w:szCs w:val="18"/>
      </w:rPr>
      <w:t>Fish population modelling for the Reconnecting River Country Program</w:t>
    </w:r>
    <w:r w:rsidR="0069665B">
      <w:rPr>
        <w:sz w:val="18"/>
        <w:szCs w:val="18"/>
      </w:rPr>
      <w:tab/>
    </w:r>
    <w:r w:rsidR="0069665B" w:rsidRPr="00230BFF">
      <w:rPr>
        <w:color w:val="00B2A9" w:themeColor="accent1"/>
        <w:sz w:val="18"/>
        <w:szCs w:val="18"/>
      </w:rPr>
      <w:fldChar w:fldCharType="begin"/>
    </w:r>
    <w:r w:rsidR="0069665B" w:rsidRPr="00230BFF">
      <w:rPr>
        <w:color w:val="00B2A9" w:themeColor="accent1"/>
        <w:sz w:val="18"/>
        <w:szCs w:val="18"/>
      </w:rPr>
      <w:instrText xml:space="preserve"> PAGE   \* MERGEFORMAT </w:instrText>
    </w:r>
    <w:r w:rsidR="0069665B" w:rsidRPr="00230BFF">
      <w:rPr>
        <w:color w:val="00B2A9" w:themeColor="accent1"/>
        <w:sz w:val="18"/>
        <w:szCs w:val="18"/>
      </w:rPr>
      <w:fldChar w:fldCharType="separate"/>
    </w:r>
    <w:r w:rsidR="0069665B">
      <w:rPr>
        <w:color w:val="00B2A9" w:themeColor="accent1"/>
        <w:sz w:val="18"/>
        <w:szCs w:val="18"/>
      </w:rPr>
      <w:t>ii</w:t>
    </w:r>
    <w:r w:rsidR="0069665B" w:rsidRPr="00230BFF">
      <w:rPr>
        <w:noProof/>
        <w:color w:val="00B2A9" w:themeColor="accent1"/>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7552D" w14:textId="16DD4CBA" w:rsidR="00491210" w:rsidRPr="00C657F7" w:rsidRDefault="00EE200C" w:rsidP="0069665B">
    <w:pPr>
      <w:tabs>
        <w:tab w:val="center" w:pos="4820"/>
        <w:tab w:val="right" w:pos="9498"/>
      </w:tabs>
      <w:rPr>
        <w:color w:val="00B2A9" w:themeColor="accent1"/>
        <w:sz w:val="18"/>
        <w:szCs w:val="18"/>
      </w:rPr>
    </w:pPr>
    <w:r>
      <w:rPr>
        <w:noProof/>
        <w:sz w:val="18"/>
        <w:szCs w:val="18"/>
      </w:rPr>
      <mc:AlternateContent>
        <mc:Choice Requires="wps">
          <w:drawing>
            <wp:anchor distT="0" distB="0" distL="114300" distR="114300" simplePos="0" relativeHeight="251683206" behindDoc="0" locked="0" layoutInCell="0" allowOverlap="1" wp14:anchorId="42D53F28" wp14:editId="4B378039">
              <wp:simplePos x="0" y="0"/>
              <wp:positionH relativeFrom="page">
                <wp:align>center</wp:align>
              </wp:positionH>
              <wp:positionV relativeFrom="page">
                <wp:align>bottom</wp:align>
              </wp:positionV>
              <wp:extent cx="7772400" cy="463550"/>
              <wp:effectExtent l="0" t="0" r="0" b="12700"/>
              <wp:wrapNone/>
              <wp:docPr id="1381410445" name="MSIPCMae1a43eeb0e9f597816d891d" descr="{&quot;HashCode&quot;:-1264680268,&quot;Height&quot;:9999999.0,&quot;Width&quot;:9999999.0,&quot;Placement&quot;:&quot;Foot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D13E26E" w14:textId="49212761" w:rsidR="00EE200C" w:rsidRPr="00EE200C" w:rsidRDefault="00EE200C" w:rsidP="00EE200C">
                          <w:pPr>
                            <w:spacing w:after="0"/>
                            <w:jc w:val="center"/>
                            <w:rPr>
                              <w:rFonts w:ascii="Calibri" w:hAnsi="Calibri" w:cs="Calibri"/>
                              <w:color w:val="000000"/>
                              <w:sz w:val="24"/>
                            </w:rPr>
                          </w:pPr>
                          <w:r w:rsidRPr="00EE200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2D53F28" id="_x0000_t202" coordsize="21600,21600" o:spt="202" path="m,l,21600r21600,l21600,xe">
              <v:stroke joinstyle="miter"/>
              <v:path gradientshapeok="t" o:connecttype="rect"/>
            </v:shapetype>
            <v:shape id="MSIPCMae1a43eeb0e9f597816d891d" o:spid="_x0000_s1045" type="#_x0000_t202" alt="{&quot;HashCode&quot;:-1264680268,&quot;Height&quot;:9999999.0,&quot;Width&quot;:9999999.0,&quot;Placement&quot;:&quot;Footer&quot;,&quot;Index&quot;:&quot;Primary&quot;,&quot;Section&quot;:6,&quot;Top&quot;:0.0,&quot;Left&quot;:0.0}" style="position:absolute;margin-left:0;margin-top:0;width:612pt;height:36.5pt;z-index:25168320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EQbjLMZAgAALQQAAA4AAAAAAAAAAAAAAAAALgIAAGRycy9lMm9Eb2MueG1sUEsBAi0AFAAGAAgA&#10;AAAhAL4fCrfaAAAABQEAAA8AAAAAAAAAAAAAAAAAcwQAAGRycy9kb3ducmV2LnhtbFBLBQYAAAAA&#10;BAAEAPMAAAB6BQAAAAA=&#10;" o:allowincell="f" filled="f" stroked="f" strokeweight=".5pt">
              <v:textbox inset=",0,,0">
                <w:txbxContent>
                  <w:p w14:paraId="4D13E26E" w14:textId="49212761" w:rsidR="00EE200C" w:rsidRPr="00EE200C" w:rsidRDefault="00EE200C" w:rsidP="00EE200C">
                    <w:pPr>
                      <w:spacing w:after="0"/>
                      <w:jc w:val="center"/>
                      <w:rPr>
                        <w:rFonts w:ascii="Calibri" w:hAnsi="Calibri" w:cs="Calibri"/>
                        <w:color w:val="000000"/>
                        <w:sz w:val="24"/>
                      </w:rPr>
                    </w:pPr>
                    <w:r w:rsidRPr="00EE200C">
                      <w:rPr>
                        <w:rFonts w:ascii="Calibri" w:hAnsi="Calibri" w:cs="Calibri"/>
                        <w:color w:val="000000"/>
                        <w:sz w:val="24"/>
                      </w:rPr>
                      <w:t>OFFICIAL</w:t>
                    </w:r>
                  </w:p>
                </w:txbxContent>
              </v:textbox>
              <w10:wrap anchorx="page" anchory="page"/>
            </v:shape>
          </w:pict>
        </mc:Fallback>
      </mc:AlternateContent>
    </w:r>
    <w:r>
      <w:rPr>
        <w:sz w:val="18"/>
        <w:szCs w:val="18"/>
      </w:rPr>
      <w:t>Fish population modelling for the Reconnecting River Country Program</w:t>
    </w:r>
    <w:r w:rsidRPr="00107038">
      <w:rPr>
        <w:rStyle w:val="PageNumber"/>
        <w:sz w:val="18"/>
        <w:szCs w:val="18"/>
      </w:rPr>
      <w:tab/>
    </w:r>
    <w:r w:rsidR="0069665B" w:rsidRPr="00107038">
      <w:rPr>
        <w:rStyle w:val="PageNumber"/>
        <w:color w:val="00B2A9" w:themeColor="accent1"/>
        <w:sz w:val="18"/>
        <w:szCs w:val="18"/>
      </w:rPr>
      <w:fldChar w:fldCharType="begin"/>
    </w:r>
    <w:r w:rsidR="0069665B" w:rsidRPr="00107038">
      <w:rPr>
        <w:rStyle w:val="PageNumber"/>
        <w:color w:val="00B2A9" w:themeColor="accent1"/>
        <w:sz w:val="18"/>
        <w:szCs w:val="18"/>
      </w:rPr>
      <w:instrText xml:space="preserve"> PAGE </w:instrText>
    </w:r>
    <w:r w:rsidR="0069665B" w:rsidRPr="00107038">
      <w:rPr>
        <w:rStyle w:val="PageNumber"/>
        <w:color w:val="00B2A9" w:themeColor="accent1"/>
        <w:sz w:val="18"/>
        <w:szCs w:val="18"/>
      </w:rPr>
      <w:fldChar w:fldCharType="separate"/>
    </w:r>
    <w:r w:rsidR="0069665B">
      <w:rPr>
        <w:rStyle w:val="PageNumber"/>
        <w:color w:val="00B2A9" w:themeColor="accent1"/>
        <w:sz w:val="18"/>
        <w:szCs w:val="18"/>
      </w:rPr>
      <w:t>330</w:t>
    </w:r>
    <w:r w:rsidR="0069665B" w:rsidRPr="00107038">
      <w:rPr>
        <w:rStyle w:val="PageNumber"/>
        <w:color w:val="00B2A9" w:themeColor="accent1"/>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E2DA6" w14:textId="4F7AA40C" w:rsidR="00491210" w:rsidRPr="00230BFF" w:rsidRDefault="00EE200C" w:rsidP="00EB6B95">
    <w:pPr>
      <w:pStyle w:val="Footer"/>
      <w:tabs>
        <w:tab w:val="clear" w:pos="4320"/>
        <w:tab w:val="clear" w:pos="8640"/>
        <w:tab w:val="center" w:pos="1843"/>
        <w:tab w:val="center" w:pos="7371"/>
      </w:tabs>
    </w:pPr>
    <w:r>
      <w:rPr>
        <w:sz w:val="18"/>
        <w:szCs w:val="18"/>
      </w:rPr>
      <w:t>Fish population modelling for RRCP scenarios</w:t>
    </w:r>
    <w:r w:rsidR="0069665B">
      <w:rPr>
        <w:sz w:val="18"/>
        <w:szCs w:val="18"/>
      </w:rPr>
      <w:tab/>
    </w:r>
    <w:r w:rsidR="0069665B" w:rsidRPr="00230BFF">
      <w:rPr>
        <w:color w:val="00B2A9" w:themeColor="accent1"/>
        <w:sz w:val="18"/>
        <w:szCs w:val="18"/>
      </w:rPr>
      <w:fldChar w:fldCharType="begin"/>
    </w:r>
    <w:r w:rsidR="0069665B" w:rsidRPr="00230BFF">
      <w:rPr>
        <w:color w:val="00B2A9" w:themeColor="accent1"/>
        <w:sz w:val="18"/>
        <w:szCs w:val="18"/>
      </w:rPr>
      <w:instrText xml:space="preserve"> PAGE   \* MERGEFORMAT </w:instrText>
    </w:r>
    <w:r w:rsidR="0069665B" w:rsidRPr="00230BFF">
      <w:rPr>
        <w:color w:val="00B2A9" w:themeColor="accent1"/>
        <w:sz w:val="18"/>
        <w:szCs w:val="18"/>
      </w:rPr>
      <w:fldChar w:fldCharType="separate"/>
    </w:r>
    <w:r w:rsidR="0069665B">
      <w:rPr>
        <w:color w:val="00B2A9" w:themeColor="accent1"/>
        <w:sz w:val="18"/>
        <w:szCs w:val="18"/>
      </w:rPr>
      <w:t>15</w:t>
    </w:r>
    <w:r w:rsidR="0069665B" w:rsidRPr="00230BFF">
      <w:rPr>
        <w:noProof/>
        <w:color w:val="00B2A9" w:themeColor="accent1"/>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645AC" w14:textId="192D1D17" w:rsidR="00491210" w:rsidRPr="00C16EB4" w:rsidRDefault="003F1205" w:rsidP="0069665B">
    <w:pPr>
      <w:pStyle w:val="Footer"/>
      <w:tabs>
        <w:tab w:val="clear" w:pos="4320"/>
        <w:tab w:val="clear" w:pos="8640"/>
        <w:tab w:val="center" w:pos="1985"/>
        <w:tab w:val="center" w:pos="4820"/>
        <w:tab w:val="right" w:pos="9498"/>
      </w:tabs>
    </w:pPr>
    <w:sdt>
      <w:sdtPr>
        <w:id w:val="1044246472"/>
        <w:docPartObj>
          <w:docPartGallery w:val="Page Numbers (Bottom of Page)"/>
          <w:docPartUnique/>
        </w:docPartObj>
      </w:sdtPr>
      <w:sdtEndPr>
        <w:rPr>
          <w:noProof/>
        </w:rPr>
      </w:sdtEndPr>
      <w:sdtContent>
        <w:r w:rsidR="00EE200C">
          <w:rPr>
            <w:sz w:val="18"/>
            <w:szCs w:val="18"/>
          </w:rPr>
          <w:tab/>
          <w:t>Fish population modelling for the Reconnecting River Country Program</w:t>
        </w:r>
      </w:sdtContent>
    </w:sdt>
    <w:r w:rsidR="0069665B">
      <w:rPr>
        <w:noProof/>
      </w:rPr>
      <w:tab/>
    </w:r>
    <w:r w:rsidR="0069665B" w:rsidRPr="00107038">
      <w:rPr>
        <w:rStyle w:val="PageNumber"/>
        <w:color w:val="00B2A9" w:themeColor="accent1"/>
        <w:sz w:val="18"/>
        <w:szCs w:val="18"/>
      </w:rPr>
      <w:fldChar w:fldCharType="begin"/>
    </w:r>
    <w:r w:rsidR="0069665B" w:rsidRPr="00107038">
      <w:rPr>
        <w:rStyle w:val="PageNumber"/>
        <w:color w:val="00B2A9" w:themeColor="accent1"/>
        <w:sz w:val="18"/>
        <w:szCs w:val="18"/>
      </w:rPr>
      <w:instrText xml:space="preserve"> PAGE </w:instrText>
    </w:r>
    <w:r w:rsidR="0069665B" w:rsidRPr="00107038">
      <w:rPr>
        <w:rStyle w:val="PageNumber"/>
        <w:color w:val="00B2A9" w:themeColor="accent1"/>
        <w:sz w:val="18"/>
        <w:szCs w:val="18"/>
      </w:rPr>
      <w:fldChar w:fldCharType="separate"/>
    </w:r>
    <w:r w:rsidR="0069665B">
      <w:rPr>
        <w:rStyle w:val="PageNumber"/>
        <w:color w:val="00B2A9" w:themeColor="accent1"/>
        <w:sz w:val="18"/>
        <w:szCs w:val="18"/>
      </w:rPr>
      <w:t>16</w:t>
    </w:r>
    <w:r w:rsidR="0069665B" w:rsidRPr="00107038">
      <w:rPr>
        <w:rStyle w:val="PageNumber"/>
        <w:color w:val="00B2A9" w:themeColor="accent1"/>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FAD01" w14:textId="42CBA5E6" w:rsidR="00491210" w:rsidRPr="00371E21" w:rsidRDefault="00EE200C" w:rsidP="00DE01BF">
    <w:pPr>
      <w:rPr>
        <w:rStyle w:val="zRptPgNum"/>
        <w:color w:val="auto"/>
      </w:rPr>
    </w:pPr>
    <w:r>
      <w:rPr>
        <w:noProof/>
        <w:lang w:eastAsia="en-AU"/>
      </w:rPr>
      <mc:AlternateContent>
        <mc:Choice Requires="wps">
          <w:drawing>
            <wp:anchor distT="0" distB="0" distL="114300" distR="114300" simplePos="0" relativeHeight="251658246" behindDoc="0" locked="0" layoutInCell="0" allowOverlap="1" wp14:anchorId="581FF908" wp14:editId="79EAE121">
              <wp:simplePos x="0" y="0"/>
              <wp:positionH relativeFrom="page">
                <wp:align>center</wp:align>
              </wp:positionH>
              <wp:positionV relativeFrom="page">
                <wp:align>bottom</wp:align>
              </wp:positionV>
              <wp:extent cx="7772400" cy="463550"/>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463550"/>
                      </a:xfrm>
                      <a:prstGeom prst="rect">
                        <a:avLst/>
                      </a:prstGeom>
                      <a:noFill/>
                      <a:ln w="6350">
                        <a:noFill/>
                      </a:ln>
                    </wps:spPr>
                    <wps:txbx>
                      <w:txbxContent>
                        <w:p w14:paraId="446E214F" w14:textId="6C055610" w:rsidR="00491210" w:rsidRPr="00844636" w:rsidRDefault="00EE200C" w:rsidP="00844636">
                          <w:pPr>
                            <w:spacing w:after="0"/>
                            <w:jc w:val="center"/>
                            <w:rPr>
                              <w:rFonts w:ascii="Calibri" w:hAnsi="Calibri" w:cs="Calibri"/>
                              <w:color w:val="000000"/>
                              <w:sz w:val="24"/>
                            </w:rPr>
                          </w:pPr>
                          <w:r w:rsidRPr="00844636">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81FF908" id="_x0000_t202" coordsize="21600,21600" o:spt="202" path="m,l,21600r21600,l21600,xe">
              <v:stroke joinstyle="miter"/>
              <v:path gradientshapeok="t" o:connecttype="rect"/>
            </v:shapetype>
            <v:shape id="Text Box 43" o:spid="_x0000_s1046" type="#_x0000_t202" style="position:absolute;margin-left:0;margin-top:0;width:612pt;height:36.5pt;z-index:251658246;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" o:allowincell="f" filled="f" stroked="f" strokeweight=".5pt">
              <v:textbox inset=",0,,0">
                <w:txbxContent>
                  <w:p w14:paraId="446E214F" w14:textId="6C055610" w:rsidR="00491210" w:rsidRPr="00844636" w:rsidRDefault="00EE200C" w:rsidP="00844636">
                    <w:pPr>
                      <w:spacing w:after="0"/>
                      <w:jc w:val="center"/>
                      <w:rPr>
                        <w:rFonts w:ascii="Calibri" w:hAnsi="Calibri" w:cs="Calibri"/>
                        <w:color w:val="000000"/>
                        <w:sz w:val="24"/>
                      </w:rPr>
                    </w:pPr>
                    <w:r w:rsidRPr="00844636">
                      <w:rPr>
                        <w:rFonts w:ascii="Calibri" w:hAnsi="Calibri" w:cs="Calibri"/>
                        <w:color w:val="000000"/>
                        <w:sz w:val="24"/>
                      </w:rPr>
                      <w:t>OFFICIAL</w:t>
                    </w:r>
                  </w:p>
                </w:txbxContent>
              </v:textbox>
              <w10:wrap anchorx="page" anchory="page"/>
            </v:shape>
          </w:pict>
        </mc:Fallback>
      </mc:AlternateContent>
    </w:r>
    <w:r>
      <w:rPr>
        <w:noProof/>
        <w:lang w:eastAsia="en-AU"/>
      </w:rPr>
      <mc:AlternateContent>
        <mc:Choice Requires="wps">
          <w:drawing>
            <wp:anchor distT="0" distB="0" distL="114300" distR="114300" simplePos="0" relativeHeight="251658243" behindDoc="0" locked="0" layoutInCell="0" allowOverlap="1" wp14:anchorId="319B6402" wp14:editId="089BDDA4">
              <wp:simplePos x="0" y="0"/>
              <wp:positionH relativeFrom="page">
                <wp:align>center</wp:align>
              </wp:positionH>
              <wp:positionV relativeFrom="page">
                <wp:align>bottom</wp:align>
              </wp:positionV>
              <wp:extent cx="7772400" cy="463550"/>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463550"/>
                      </a:xfrm>
                      <a:prstGeom prst="rect">
                        <a:avLst/>
                      </a:prstGeom>
                      <a:noFill/>
                      <a:ln w="6350">
                        <a:noFill/>
                      </a:ln>
                    </wps:spPr>
                    <wps:txbx>
                      <w:txbxContent>
                        <w:p w14:paraId="515C0484" w14:textId="39B71912" w:rsidR="00491210" w:rsidRPr="00F66113" w:rsidRDefault="00EE200C" w:rsidP="00F66113">
                          <w:pPr>
                            <w:spacing w:after="0"/>
                            <w:jc w:val="center"/>
                            <w:rPr>
                              <w:rFonts w:ascii="Calibri" w:hAnsi="Calibri" w:cs="Calibri"/>
                              <w:color w:val="000000"/>
                              <w:sz w:val="24"/>
                            </w:rPr>
                          </w:pPr>
                          <w:r w:rsidRPr="00F6611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19B6402" id="Text Box 42" o:spid="_x0000_s1047" type="#_x0000_t202" style="position:absolute;margin-left:0;margin-top:0;width:612pt;height:36.5pt;z-index:251658243;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" o:allowincell="f" filled="f" stroked="f" strokeweight=".5pt">
              <v:textbox inset=",0,,0">
                <w:txbxContent>
                  <w:p w14:paraId="515C0484" w14:textId="39B71912" w:rsidR="00491210" w:rsidRPr="00F66113" w:rsidRDefault="00EE200C" w:rsidP="00F66113">
                    <w:pPr>
                      <w:spacing w:after="0"/>
                      <w:jc w:val="center"/>
                      <w:rPr>
                        <w:rFonts w:ascii="Calibri" w:hAnsi="Calibri" w:cs="Calibri"/>
                        <w:color w:val="000000"/>
                        <w:sz w:val="24"/>
                      </w:rPr>
                    </w:pPr>
                    <w:r w:rsidRPr="00F66113">
                      <w:rPr>
                        <w:rFonts w:ascii="Calibri" w:hAnsi="Calibri" w:cs="Calibri"/>
                        <w:color w:val="000000"/>
                        <w:sz w:val="24"/>
                      </w:rPr>
                      <w:t>OFFICIAL</w:t>
                    </w:r>
                  </w:p>
                </w:txbxContent>
              </v:textbox>
              <w10:wrap anchorx="page" anchory="page"/>
            </v:shape>
          </w:pict>
        </mc:Fallback>
      </mc:AlternateContent>
    </w:r>
  </w:p>
  <w:p w14:paraId="40DCDD40" w14:textId="77777777" w:rsidR="00491210" w:rsidRPr="00A60CCB" w:rsidRDefault="00491210" w:rsidP="00DE01BF">
    <w:pPr>
      <w:rPr>
        <w:color w:val="22859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C9686" w14:textId="77777777" w:rsidR="003F1205" w:rsidRDefault="003F1205">
      <w:pPr>
        <w:spacing w:after="0"/>
      </w:pPr>
      <w:r>
        <w:separator/>
      </w:r>
    </w:p>
  </w:footnote>
  <w:footnote w:type="continuationSeparator" w:id="0">
    <w:p w14:paraId="01004582" w14:textId="77777777" w:rsidR="003F1205" w:rsidRDefault="003F120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237BBD" w14:paraId="7541D1CE" w14:textId="77777777" w:rsidTr="4F8AEDB5">
      <w:tc>
        <w:tcPr>
          <w:tcW w:w="3210" w:type="dxa"/>
        </w:tcPr>
        <w:p w14:paraId="4B1D764B" w14:textId="6CC6A6A5" w:rsidR="00491210" w:rsidRDefault="00491210" w:rsidP="4F8AEDB5">
          <w:pPr>
            <w:pStyle w:val="Header"/>
            <w:ind w:left="-115"/>
          </w:pPr>
        </w:p>
      </w:tc>
      <w:tc>
        <w:tcPr>
          <w:tcW w:w="3210" w:type="dxa"/>
        </w:tcPr>
        <w:p w14:paraId="40722904" w14:textId="76541236" w:rsidR="00491210" w:rsidRDefault="00491210" w:rsidP="4F8AEDB5">
          <w:pPr>
            <w:pStyle w:val="Header"/>
            <w:jc w:val="center"/>
          </w:pPr>
        </w:p>
      </w:tc>
      <w:tc>
        <w:tcPr>
          <w:tcW w:w="3210" w:type="dxa"/>
        </w:tcPr>
        <w:p w14:paraId="2FFA6699" w14:textId="70A10B95" w:rsidR="00491210" w:rsidRDefault="00491210" w:rsidP="4F8AEDB5">
          <w:pPr>
            <w:pStyle w:val="Header"/>
            <w:ind w:right="-115"/>
            <w:jc w:val="right"/>
          </w:pPr>
        </w:p>
      </w:tc>
    </w:tr>
  </w:tbl>
  <w:p w14:paraId="38D99882" w14:textId="14951E4B" w:rsidR="00491210" w:rsidRDefault="00491210" w:rsidP="4F8AED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6BD5" w14:textId="31B36F02" w:rsidR="00491210" w:rsidRDefault="00EE200C" w:rsidP="00DC3852">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237BBD" w14:paraId="656BF361" w14:textId="77777777" w:rsidTr="4F8AEDB5">
      <w:tc>
        <w:tcPr>
          <w:tcW w:w="3210" w:type="dxa"/>
        </w:tcPr>
        <w:p w14:paraId="7B984AED" w14:textId="4B5AFEAB" w:rsidR="00491210" w:rsidRDefault="00491210" w:rsidP="4F8AEDB5">
          <w:pPr>
            <w:pStyle w:val="Header"/>
            <w:ind w:left="-115"/>
          </w:pPr>
        </w:p>
      </w:tc>
      <w:tc>
        <w:tcPr>
          <w:tcW w:w="3210" w:type="dxa"/>
        </w:tcPr>
        <w:p w14:paraId="2394079A" w14:textId="6FB79CD0" w:rsidR="00491210" w:rsidRDefault="00491210" w:rsidP="4F8AEDB5">
          <w:pPr>
            <w:pStyle w:val="Header"/>
            <w:jc w:val="center"/>
          </w:pPr>
        </w:p>
      </w:tc>
      <w:tc>
        <w:tcPr>
          <w:tcW w:w="3210" w:type="dxa"/>
        </w:tcPr>
        <w:p w14:paraId="5216CCDE" w14:textId="1E7AFB3F" w:rsidR="00491210" w:rsidRDefault="00491210" w:rsidP="4F8AEDB5">
          <w:pPr>
            <w:pStyle w:val="Header"/>
            <w:ind w:right="-115"/>
            <w:jc w:val="right"/>
          </w:pPr>
        </w:p>
      </w:tc>
    </w:tr>
  </w:tbl>
  <w:p w14:paraId="074081A3" w14:textId="0987F68E" w:rsidR="00491210" w:rsidRDefault="00491210" w:rsidP="4F8AED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39A2A" w14:textId="30F8D4FE" w:rsidR="00491210" w:rsidRDefault="004912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10777" w14:textId="550FE246" w:rsidR="00491210" w:rsidRDefault="00491210" w:rsidP="00DC385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F490B" w14:textId="59E7E995" w:rsidR="00491210" w:rsidRDefault="004912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9E40F" w14:textId="0B4F8FEC" w:rsidR="00491210" w:rsidRDefault="004912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A7E9" w14:textId="06510A22" w:rsidR="00491210" w:rsidRPr="00E3679A" w:rsidRDefault="00491210" w:rsidP="00DC385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655CF" w14:textId="1BE62843" w:rsidR="00491210" w:rsidRPr="002B32FF" w:rsidRDefault="00491210" w:rsidP="00DC385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FD151" w14:textId="559166A2" w:rsidR="00491210" w:rsidRDefault="004912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C914" w14:textId="461B40AC" w:rsidR="00491210" w:rsidRDefault="0049121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6D1C4" w14:textId="6DFE7312" w:rsidR="00491210" w:rsidRDefault="0049121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69D6C" w14:textId="1FB7289C" w:rsidR="00491210" w:rsidRDefault="0049121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FA1C1" w14:textId="509D9DB8" w:rsidR="00491210" w:rsidRDefault="0049121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EB107" w14:textId="1E8CEEF0" w:rsidR="00491210" w:rsidRDefault="0049121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8A97" w14:textId="47FCE46A" w:rsidR="00491210" w:rsidRDefault="0049121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1BAC8" w14:textId="4BD38C9A" w:rsidR="00491210" w:rsidRDefault="0049121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12983" w14:textId="49B88CC3" w:rsidR="00491210" w:rsidRDefault="0049121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DCB56" w14:textId="7628E937" w:rsidR="00491210" w:rsidRDefault="0049121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DDF59" w14:textId="1A87EB34" w:rsidR="00491210" w:rsidRDefault="0049121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E1A29" w14:textId="0DC5BE79" w:rsidR="00491210" w:rsidRDefault="0049121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A44C0" w14:textId="7FC4A1D1" w:rsidR="00491210" w:rsidRDefault="0049121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D8BAA" w14:textId="41FB9057" w:rsidR="00491210" w:rsidRPr="00C9172F" w:rsidRDefault="00EE200C" w:rsidP="00C9172F">
    <w:r>
      <w:rPr>
        <w:noProof/>
        <w:lang w:eastAsia="en-AU"/>
      </w:rPr>
      <mc:AlternateContent>
        <mc:Choice Requires="wps">
          <w:drawing>
            <wp:anchor distT="0" distB="0" distL="114300" distR="114300" simplePos="0" relativeHeight="251658241" behindDoc="1" locked="0" layoutInCell="1" allowOverlap="1" wp14:anchorId="656D34D2" wp14:editId="001F0B27">
              <wp:simplePos x="0" y="0"/>
              <wp:positionH relativeFrom="page">
                <wp:posOffset>363855</wp:posOffset>
              </wp:positionH>
              <wp:positionV relativeFrom="page">
                <wp:posOffset>363855</wp:posOffset>
              </wp:positionV>
              <wp:extent cx="6840220" cy="9972040"/>
              <wp:effectExtent l="0" t="0" r="0" b="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99720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50113" id="Rectangle 45" o:spid="_x0000_s1026" style="position:absolute;margin-left:28.65pt;margin-top:28.65pt;width:538.6pt;height:785.2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" fillcolor="#00b2a9 [3204]" stroked="f" strokeweight="2pt">
              <w10:wrap anchorx="page" anchory="page"/>
            </v:rect>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0B3B3" w14:textId="6B56E60E" w:rsidR="00491210" w:rsidRDefault="00491210">
    <w:pPr>
      <w:pStyle w:val="Header"/>
    </w:pPr>
  </w:p>
</w:hdr>
</file>

<file path=word/intelligence.xml><?xml version="1.0" encoding="utf-8"?>
<int:Intelligence xmlns:int="http://schemas.microsoft.com/office/intelligence/2019/intelligence">
  <int:IntelligenceSettings/>
  <int:Manifest>
    <int:ParagraphRange paragraphId="1992593325" textId="13180034" start="220" length="6" invalidationStart="220" invalidationLength="6" id="WPHcJEYI"/>
    <int:WordHash hashCode="xgDzA50uAYUN6A" id="+wHbsJuR"/>
    <int:ParagraphRange paragraphId="468811951" textId="1743253172" start="26" length="14" invalidationStart="26" invalidationLength="14" id="Rg4L+ZIx"/>
    <int:ParagraphRange paragraphId="836659110" textId="1522075837" start="51" length="5" invalidationStart="51" invalidationLength="5" id="5dw93uyz"/>
    <int:WordHash hashCode="xBl10drhzGmxat" id="szEoMhK6"/>
    <int:ParagraphRange paragraphId="996307920" textId="1473848319" start="108" length="5" invalidationStart="108" invalidationLength="5" id="/mD9X1ez"/>
    <int:WordHash hashCode="oQ2I4pTJPKHVXd" id="AZNmFUt2"/>
    <int:WordHash hashCode="TIKGH3akn7oyS9" id="4B7792Ti"/>
    <int:ParagraphRange paragraphId="1992593325" textId="1485762849" start="220" length="6" invalidationStart="220" invalidationLength="6" id="RXWAtAKy"/>
    <int:ParagraphRange paragraphId="1948453589" textId="1993681740" start="179" length="12" invalidationStart="179" invalidationLength="12" id="TVZqMYme"/>
    <int:ParagraphRange paragraphId="2005092393" textId="1572059770" start="257" length="12" invalidationStart="257" invalidationLength="12" id="zXt6mJvR"/>
    <int:ParagraphRange paragraphId="1136361075" textId="283500361" start="56" length="3" invalidationStart="56" invalidationLength="3" id="pzFNBWwn"/>
    <int:ParagraphRange paragraphId="69840638" textId="1857403074" start="201" length="12" invalidationStart="201" invalidationLength="12" id="rVUZwtMt"/>
    <int:ParagraphRange paragraphId="454178686" textId="528196590" start="107" length="10" invalidationStart="107" invalidationLength="10" id="zLXyMHJJ"/>
    <int:ParagraphRange paragraphId="1548983110" textId="936747508" start="74" length="10" invalidationStart="74" invalidationLength="10" id="sw7qS3sa"/>
    <int:ParagraphRange paragraphId="1656075226" textId="924881288" start="31" length="5" invalidationStart="31" invalidationLength="5" id="UBPcr4PX"/>
    <int:ParagraphRange paragraphId="978373125" textId="584416094" start="1" length="8" invalidationStart="1" invalidationLength="8" id="a0CfPqVa"/>
  </int:Manifest>
  <int:Observations>
    <int:Content id="WPHcJEYI">
      <int:Rejection type="LegacyProofing"/>
    </int:Content>
    <int:Content id="+wHbsJuR">
      <int:Rejection type="AugLoop_Text_Critique"/>
    </int:Content>
    <int:Content id="Rg4L+ZIx">
      <int:Rejection type="LegacyProofing"/>
    </int:Content>
    <int:Content id="5dw93uyz">
      <int:Rejection type="LegacyProofing"/>
    </int:Content>
    <int:Content id="szEoMhK6">
      <int:Rejection type="LegacyProofing"/>
    </int:Content>
    <int:Content id="/mD9X1ez">
      <int:Rejection type="LegacyProofing"/>
    </int:Content>
    <int:Content id="AZNmFUt2">
      <int:Rejection type="LegacyProofing"/>
    </int:Content>
    <int:Content id="4B7792Ti">
      <int:Rejection type="LegacyProofing"/>
    </int:Content>
    <int:Content id="RXWAtAKy">
      <int:Rejection type="LegacyProofing"/>
    </int:Content>
    <int:Content id="TVZqMYme">
      <int:Rejection type="LegacyProofing"/>
    </int:Content>
    <int:Content id="zXt6mJvR">
      <int:Rejection type="LegacyProofing"/>
    </int:Content>
    <int:Content id="pzFNBWwn">
      <int:Rejection type="LegacyProofing"/>
    </int:Content>
    <int:Content id="rVUZwtMt">
      <int:Rejection type="LegacyProofing"/>
    </int:Content>
    <int:Content id="zLXyMHJJ">
      <int:Rejection type="LegacyProofing"/>
    </int:Content>
    <int:Content id="sw7qS3sa">
      <int:Rejection type="LegacyProofing"/>
    </int:Content>
    <int:Content id="UBPcr4PX">
      <int:Rejection type="LegacyProofing"/>
    </int:Content>
    <int:Content id="a0CfPqVa">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B428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6ADD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0B4BC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70D6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30EC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3626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8EAC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700E62"/>
    <w:styleLink w:val="ArticleSection"/>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A231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46F1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660247"/>
    <w:multiLevelType w:val="multilevel"/>
    <w:tmpl w:val="33E66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6170E5"/>
    <w:multiLevelType w:val="hybridMultilevel"/>
    <w:tmpl w:val="98EE8DBE"/>
    <w:lvl w:ilvl="0" w:tplc="B504FA90">
      <w:start w:val="1"/>
      <w:numFmt w:val="bullet"/>
      <w:pStyle w:val="Bullets"/>
      <w:lvlText w:val=""/>
      <w:lvlJc w:val="left"/>
      <w:pPr>
        <w:tabs>
          <w:tab w:val="num" w:pos="397"/>
        </w:tabs>
        <w:ind w:left="397" w:hanging="39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1E414E"/>
    <w:multiLevelType w:val="hybridMultilevel"/>
    <w:tmpl w:val="40E85130"/>
    <w:lvl w:ilvl="0" w:tplc="920C5612">
      <w:start w:val="1"/>
      <w:numFmt w:val="decimal"/>
      <w:lvlText w:val="(%1)"/>
      <w:lvlJc w:val="left"/>
      <w:pPr>
        <w:ind w:left="4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357446B"/>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59550C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06187C3D"/>
    <w:multiLevelType w:val="hybridMultilevel"/>
    <w:tmpl w:val="C9FC4B72"/>
    <w:lvl w:ilvl="0" w:tplc="39107004">
      <w:start w:val="1"/>
      <w:numFmt w:val="decimal"/>
      <w:pStyle w:val="Numberedlist"/>
      <w:lvlText w:val="%1."/>
      <w:lvlJc w:val="left"/>
      <w:pPr>
        <w:tabs>
          <w:tab w:val="num" w:pos="397"/>
        </w:tabs>
        <w:ind w:left="397" w:hanging="397"/>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951180F"/>
    <w:multiLevelType w:val="hybridMultilevel"/>
    <w:tmpl w:val="17F69C06"/>
    <w:numStyleLink w:val="SKMBodyList"/>
  </w:abstractNum>
  <w:abstractNum w:abstractNumId="19" w15:restartNumberingAfterBreak="0">
    <w:nsid w:val="0A86CFBD"/>
    <w:multiLevelType w:val="hybridMultilevel"/>
    <w:tmpl w:val="B7CCC2AC"/>
    <w:lvl w:ilvl="0" w:tplc="F2622346">
      <w:start w:val="1"/>
      <w:numFmt w:val="bullet"/>
      <w:lvlText w:val=""/>
      <w:lvlJc w:val="left"/>
      <w:pPr>
        <w:ind w:left="360" w:hanging="360"/>
      </w:pPr>
      <w:rPr>
        <w:rFonts w:ascii="Symbol" w:hAnsi="Symbol" w:hint="default"/>
      </w:rPr>
    </w:lvl>
    <w:lvl w:ilvl="1" w:tplc="9968BDDC">
      <w:start w:val="1"/>
      <w:numFmt w:val="bullet"/>
      <w:lvlText w:val="o"/>
      <w:lvlJc w:val="left"/>
      <w:pPr>
        <w:ind w:left="1440" w:hanging="360"/>
      </w:pPr>
      <w:rPr>
        <w:rFonts w:ascii="Courier New" w:hAnsi="Courier New" w:hint="default"/>
      </w:rPr>
    </w:lvl>
    <w:lvl w:ilvl="2" w:tplc="2786B780">
      <w:start w:val="1"/>
      <w:numFmt w:val="bullet"/>
      <w:lvlText w:val=""/>
      <w:lvlJc w:val="left"/>
      <w:pPr>
        <w:ind w:left="2160" w:hanging="360"/>
      </w:pPr>
      <w:rPr>
        <w:rFonts w:ascii="Wingdings" w:hAnsi="Wingdings" w:hint="default"/>
      </w:rPr>
    </w:lvl>
    <w:lvl w:ilvl="3" w:tplc="1782186C">
      <w:start w:val="1"/>
      <w:numFmt w:val="bullet"/>
      <w:lvlText w:val=""/>
      <w:lvlJc w:val="left"/>
      <w:pPr>
        <w:ind w:left="2880" w:hanging="360"/>
      </w:pPr>
      <w:rPr>
        <w:rFonts w:ascii="Symbol" w:hAnsi="Symbol" w:hint="default"/>
      </w:rPr>
    </w:lvl>
    <w:lvl w:ilvl="4" w:tplc="266AF566">
      <w:start w:val="1"/>
      <w:numFmt w:val="bullet"/>
      <w:lvlText w:val="o"/>
      <w:lvlJc w:val="left"/>
      <w:pPr>
        <w:ind w:left="3600" w:hanging="360"/>
      </w:pPr>
      <w:rPr>
        <w:rFonts w:ascii="Courier New" w:hAnsi="Courier New" w:hint="default"/>
      </w:rPr>
    </w:lvl>
    <w:lvl w:ilvl="5" w:tplc="ED5C7646">
      <w:start w:val="1"/>
      <w:numFmt w:val="bullet"/>
      <w:lvlText w:val=""/>
      <w:lvlJc w:val="left"/>
      <w:pPr>
        <w:ind w:left="4320" w:hanging="360"/>
      </w:pPr>
      <w:rPr>
        <w:rFonts w:ascii="Wingdings" w:hAnsi="Wingdings" w:hint="default"/>
      </w:rPr>
    </w:lvl>
    <w:lvl w:ilvl="6" w:tplc="E16EFEAA">
      <w:start w:val="1"/>
      <w:numFmt w:val="bullet"/>
      <w:lvlText w:val=""/>
      <w:lvlJc w:val="left"/>
      <w:pPr>
        <w:ind w:left="5040" w:hanging="360"/>
      </w:pPr>
      <w:rPr>
        <w:rFonts w:ascii="Symbol" w:hAnsi="Symbol" w:hint="default"/>
      </w:rPr>
    </w:lvl>
    <w:lvl w:ilvl="7" w:tplc="4C6A1626">
      <w:start w:val="1"/>
      <w:numFmt w:val="bullet"/>
      <w:lvlText w:val="o"/>
      <w:lvlJc w:val="left"/>
      <w:pPr>
        <w:ind w:left="5760" w:hanging="360"/>
      </w:pPr>
      <w:rPr>
        <w:rFonts w:ascii="Courier New" w:hAnsi="Courier New" w:hint="default"/>
      </w:rPr>
    </w:lvl>
    <w:lvl w:ilvl="8" w:tplc="EEDC32B4">
      <w:start w:val="1"/>
      <w:numFmt w:val="bullet"/>
      <w:lvlText w:val=""/>
      <w:lvlJc w:val="left"/>
      <w:pPr>
        <w:ind w:left="6480" w:hanging="360"/>
      </w:pPr>
      <w:rPr>
        <w:rFonts w:ascii="Wingdings" w:hAnsi="Wingdings" w:hint="default"/>
      </w:rPr>
    </w:lvl>
  </w:abstractNum>
  <w:abstractNum w:abstractNumId="20" w15:restartNumberingAfterBreak="0">
    <w:nsid w:val="0C0E1782"/>
    <w:multiLevelType w:val="hybridMultilevel"/>
    <w:tmpl w:val="ED0A4D30"/>
    <w:lvl w:ilvl="0" w:tplc="920C5612">
      <w:start w:val="1"/>
      <w:numFmt w:val="decimal"/>
      <w:lvlText w:val="(%1)"/>
      <w:lvlJc w:val="left"/>
      <w:pPr>
        <w:ind w:left="4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0CB772B7"/>
    <w:multiLevelType w:val="multilevel"/>
    <w:tmpl w:val="33524C0C"/>
    <w:lvl w:ilvl="0">
      <w:start w:val="1"/>
      <w:numFmt w:val="decimal"/>
      <w:pStyle w:val="Heading1-Numbered"/>
      <w:lvlText w:val="%1."/>
      <w:lvlJc w:val="left"/>
      <w:pPr>
        <w:tabs>
          <w:tab w:val="num" w:pos="574"/>
        </w:tabs>
        <w:ind w:left="574" w:hanging="432"/>
      </w:pPr>
      <w:rPr>
        <w:rFonts w:ascii="Arial" w:hAnsi="Arial"/>
        <w:sz w:val="32"/>
      </w:rPr>
    </w:lvl>
    <w:lvl w:ilvl="1">
      <w:start w:val="1"/>
      <w:numFmt w:val="decimal"/>
      <w:pStyle w:val="Heading2-Numbered"/>
      <w:lvlText w:val="%1.%2."/>
      <w:lvlJc w:val="left"/>
      <w:pPr>
        <w:tabs>
          <w:tab w:val="num" w:pos="7948"/>
        </w:tabs>
        <w:ind w:left="7948" w:hanging="576"/>
      </w:pPr>
    </w:lvl>
    <w:lvl w:ilvl="2">
      <w:start w:val="1"/>
      <w:numFmt w:val="decimal"/>
      <w:pStyle w:val="Heading3-Numbered"/>
      <w:lvlText w:val="%1.%2.%3."/>
      <w:lvlJc w:val="left"/>
      <w:pPr>
        <w:tabs>
          <w:tab w:val="num" w:pos="720"/>
        </w:tabs>
        <w:ind w:left="720" w:hanging="720"/>
      </w:pPr>
    </w:lvl>
    <w:lvl w:ilvl="3">
      <w:start w:val="1"/>
      <w:numFmt w:val="decimal"/>
      <w:pStyle w:val="Heading4-Numbered"/>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0D813282"/>
    <w:multiLevelType w:val="multilevel"/>
    <w:tmpl w:val="17F69C06"/>
    <w:styleLink w:val="SKMBodyList"/>
    <w:lvl w:ilvl="0">
      <w:start w:val="1"/>
      <w:numFmt w:val="bullet"/>
      <w:pStyle w:val="Bodynarrowbullet"/>
      <w:lvlText w:val=""/>
      <w:lvlJc w:val="left"/>
      <w:pPr>
        <w:tabs>
          <w:tab w:val="num" w:pos="3600"/>
        </w:tabs>
        <w:ind w:left="3600" w:hanging="3600"/>
      </w:pPr>
      <w:rPr>
        <w:rFonts w:ascii="Symbol" w:hAnsi="Symbol" w:hint="default"/>
        <w:color w:val="auto"/>
        <w:sz w:val="14"/>
      </w:rPr>
    </w:lvl>
    <w:lvl w:ilvl="1">
      <w:start w:val="1"/>
      <w:numFmt w:val="bullet"/>
      <w:lvlRestart w:val="0"/>
      <w:pStyle w:val="Bodynarrowarrow"/>
      <w:lvlText w:val=""/>
      <w:lvlJc w:val="left"/>
      <w:pPr>
        <w:ind w:left="3799" w:hanging="3601"/>
      </w:pPr>
      <w:rPr>
        <w:rFonts w:ascii="Symbol" w:hAnsi="Symbol" w:hint="default"/>
        <w:color w:val="auto"/>
      </w:rPr>
    </w:lvl>
    <w:lvl w:ilvl="2">
      <w:numFmt w:val="decimal"/>
      <w:lvlRestart w:val="0"/>
      <w:lvlText w:val=""/>
      <w:lvlJc w:val="left"/>
      <w:pPr>
        <w:ind w:left="3799" w:hanging="3601"/>
      </w:pPr>
    </w:lvl>
    <w:lvl w:ilvl="3">
      <w:numFmt w:val="decimal"/>
      <w:lvlRestart w:val="0"/>
      <w:lvlText w:val=""/>
      <w:lvlJc w:val="left"/>
      <w:pPr>
        <w:ind w:left="3799" w:hanging="3601"/>
      </w:pPr>
    </w:lvl>
    <w:lvl w:ilvl="4">
      <w:numFmt w:val="decimal"/>
      <w:lvlRestart w:val="0"/>
      <w:lvlText w:val=""/>
      <w:lvlJc w:val="left"/>
      <w:pPr>
        <w:ind w:left="3799" w:hanging="3601"/>
      </w:pPr>
    </w:lvl>
    <w:lvl w:ilvl="5">
      <w:numFmt w:val="decimal"/>
      <w:lvlRestart w:val="0"/>
      <w:lvlText w:val=""/>
      <w:lvlJc w:val="left"/>
      <w:pPr>
        <w:ind w:left="3799" w:hanging="3601"/>
      </w:pPr>
    </w:lvl>
    <w:lvl w:ilvl="6">
      <w:numFmt w:val="decimal"/>
      <w:lvlRestart w:val="0"/>
      <w:lvlText w:val=""/>
      <w:lvlJc w:val="left"/>
      <w:pPr>
        <w:ind w:left="3799" w:hanging="3601"/>
      </w:pPr>
    </w:lvl>
    <w:lvl w:ilvl="7">
      <w:numFmt w:val="decimal"/>
      <w:lvlRestart w:val="0"/>
      <w:lvlText w:val=""/>
      <w:lvlJc w:val="left"/>
      <w:pPr>
        <w:ind w:left="3799" w:hanging="3601"/>
      </w:pPr>
    </w:lvl>
    <w:lvl w:ilvl="8">
      <w:numFmt w:val="decimal"/>
      <w:lvlRestart w:val="0"/>
      <w:lvlText w:val=""/>
      <w:lvlJc w:val="left"/>
      <w:pPr>
        <w:ind w:left="3799" w:hanging="3601"/>
      </w:pPr>
    </w:lvl>
  </w:abstractNum>
  <w:abstractNum w:abstractNumId="23" w15:restartNumberingAfterBreak="0">
    <w:nsid w:val="0F817EB7"/>
    <w:multiLevelType w:val="multilevel"/>
    <w:tmpl w:val="0409001D"/>
    <w:styleLink w:val="1ai"/>
    <w:lvl w:ilvl="0">
      <w:start w:val="1"/>
      <w:numFmt w:val="decimal"/>
      <w:pStyle w:val="Bullets-La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11371790"/>
    <w:multiLevelType w:val="hybridMultilevel"/>
    <w:tmpl w:val="FFFFFFFF"/>
    <w:lvl w:ilvl="0" w:tplc="3EB4CAB4">
      <w:start w:val="1"/>
      <w:numFmt w:val="bullet"/>
      <w:lvlText w:val=""/>
      <w:lvlJc w:val="left"/>
      <w:pPr>
        <w:ind w:left="720" w:hanging="360"/>
      </w:pPr>
      <w:rPr>
        <w:rFonts w:ascii="Symbol" w:hAnsi="Symbol" w:hint="default"/>
      </w:rPr>
    </w:lvl>
    <w:lvl w:ilvl="1" w:tplc="FA08C5C4">
      <w:start w:val="1"/>
      <w:numFmt w:val="bullet"/>
      <w:lvlText w:val="o"/>
      <w:lvlJc w:val="left"/>
      <w:pPr>
        <w:ind w:left="1440" w:hanging="360"/>
      </w:pPr>
      <w:rPr>
        <w:rFonts w:ascii="Courier New" w:hAnsi="Courier New" w:hint="default"/>
      </w:rPr>
    </w:lvl>
    <w:lvl w:ilvl="2" w:tplc="A890515C">
      <w:start w:val="1"/>
      <w:numFmt w:val="bullet"/>
      <w:lvlText w:val=""/>
      <w:lvlJc w:val="left"/>
      <w:pPr>
        <w:ind w:left="2160" w:hanging="360"/>
      </w:pPr>
      <w:rPr>
        <w:rFonts w:ascii="Wingdings" w:hAnsi="Wingdings" w:hint="default"/>
      </w:rPr>
    </w:lvl>
    <w:lvl w:ilvl="3" w:tplc="A5146142">
      <w:start w:val="1"/>
      <w:numFmt w:val="bullet"/>
      <w:lvlText w:val=""/>
      <w:lvlJc w:val="left"/>
      <w:pPr>
        <w:ind w:left="2880" w:hanging="360"/>
      </w:pPr>
      <w:rPr>
        <w:rFonts w:ascii="Symbol" w:hAnsi="Symbol" w:hint="default"/>
      </w:rPr>
    </w:lvl>
    <w:lvl w:ilvl="4" w:tplc="A83C9102">
      <w:start w:val="1"/>
      <w:numFmt w:val="bullet"/>
      <w:lvlText w:val="o"/>
      <w:lvlJc w:val="left"/>
      <w:pPr>
        <w:ind w:left="3600" w:hanging="360"/>
      </w:pPr>
      <w:rPr>
        <w:rFonts w:ascii="Courier New" w:hAnsi="Courier New" w:hint="default"/>
      </w:rPr>
    </w:lvl>
    <w:lvl w:ilvl="5" w:tplc="810E98F0">
      <w:start w:val="1"/>
      <w:numFmt w:val="bullet"/>
      <w:lvlText w:val=""/>
      <w:lvlJc w:val="left"/>
      <w:pPr>
        <w:ind w:left="4320" w:hanging="360"/>
      </w:pPr>
      <w:rPr>
        <w:rFonts w:ascii="Wingdings" w:hAnsi="Wingdings" w:hint="default"/>
      </w:rPr>
    </w:lvl>
    <w:lvl w:ilvl="6" w:tplc="9E4C40F6">
      <w:start w:val="1"/>
      <w:numFmt w:val="bullet"/>
      <w:lvlText w:val=""/>
      <w:lvlJc w:val="left"/>
      <w:pPr>
        <w:ind w:left="5040" w:hanging="360"/>
      </w:pPr>
      <w:rPr>
        <w:rFonts w:ascii="Symbol" w:hAnsi="Symbol" w:hint="default"/>
      </w:rPr>
    </w:lvl>
    <w:lvl w:ilvl="7" w:tplc="A490C9DC">
      <w:start w:val="1"/>
      <w:numFmt w:val="bullet"/>
      <w:lvlText w:val="o"/>
      <w:lvlJc w:val="left"/>
      <w:pPr>
        <w:ind w:left="5760" w:hanging="360"/>
      </w:pPr>
      <w:rPr>
        <w:rFonts w:ascii="Courier New" w:hAnsi="Courier New" w:hint="default"/>
      </w:rPr>
    </w:lvl>
    <w:lvl w:ilvl="8" w:tplc="AEDE043E">
      <w:start w:val="1"/>
      <w:numFmt w:val="bullet"/>
      <w:lvlText w:val=""/>
      <w:lvlJc w:val="left"/>
      <w:pPr>
        <w:ind w:left="6480" w:hanging="360"/>
      </w:pPr>
      <w:rPr>
        <w:rFonts w:ascii="Wingdings" w:hAnsi="Wingdings" w:hint="default"/>
      </w:rPr>
    </w:lvl>
  </w:abstractNum>
  <w:abstractNum w:abstractNumId="25" w15:restartNumberingAfterBreak="0">
    <w:nsid w:val="20BDFBA1"/>
    <w:multiLevelType w:val="hybridMultilevel"/>
    <w:tmpl w:val="A55C5378"/>
    <w:lvl w:ilvl="0" w:tplc="8E3AF44C">
      <w:start w:val="1"/>
      <w:numFmt w:val="bullet"/>
      <w:lvlText w:val=""/>
      <w:lvlJc w:val="left"/>
      <w:pPr>
        <w:ind w:left="360" w:hanging="360"/>
      </w:pPr>
      <w:rPr>
        <w:rFonts w:ascii="Symbol" w:hAnsi="Symbol" w:hint="default"/>
      </w:rPr>
    </w:lvl>
    <w:lvl w:ilvl="1" w:tplc="AA1EB61A">
      <w:start w:val="1"/>
      <w:numFmt w:val="bullet"/>
      <w:lvlText w:val="o"/>
      <w:lvlJc w:val="left"/>
      <w:pPr>
        <w:ind w:left="1440" w:hanging="360"/>
      </w:pPr>
      <w:rPr>
        <w:rFonts w:ascii="Courier New" w:hAnsi="Courier New" w:hint="default"/>
      </w:rPr>
    </w:lvl>
    <w:lvl w:ilvl="2" w:tplc="88C20DEC">
      <w:start w:val="1"/>
      <w:numFmt w:val="bullet"/>
      <w:lvlText w:val=""/>
      <w:lvlJc w:val="left"/>
      <w:pPr>
        <w:ind w:left="2160" w:hanging="360"/>
      </w:pPr>
      <w:rPr>
        <w:rFonts w:ascii="Wingdings" w:hAnsi="Wingdings" w:hint="default"/>
      </w:rPr>
    </w:lvl>
    <w:lvl w:ilvl="3" w:tplc="74D8E084">
      <w:start w:val="1"/>
      <w:numFmt w:val="bullet"/>
      <w:lvlText w:val=""/>
      <w:lvlJc w:val="left"/>
      <w:pPr>
        <w:ind w:left="2880" w:hanging="360"/>
      </w:pPr>
      <w:rPr>
        <w:rFonts w:ascii="Symbol" w:hAnsi="Symbol" w:hint="default"/>
      </w:rPr>
    </w:lvl>
    <w:lvl w:ilvl="4" w:tplc="D270CD8E">
      <w:start w:val="1"/>
      <w:numFmt w:val="bullet"/>
      <w:lvlText w:val="o"/>
      <w:lvlJc w:val="left"/>
      <w:pPr>
        <w:ind w:left="3600" w:hanging="360"/>
      </w:pPr>
      <w:rPr>
        <w:rFonts w:ascii="Courier New" w:hAnsi="Courier New" w:hint="default"/>
      </w:rPr>
    </w:lvl>
    <w:lvl w:ilvl="5" w:tplc="37D0AFC6">
      <w:start w:val="1"/>
      <w:numFmt w:val="bullet"/>
      <w:lvlText w:val=""/>
      <w:lvlJc w:val="left"/>
      <w:pPr>
        <w:ind w:left="4320" w:hanging="360"/>
      </w:pPr>
      <w:rPr>
        <w:rFonts w:ascii="Wingdings" w:hAnsi="Wingdings" w:hint="default"/>
      </w:rPr>
    </w:lvl>
    <w:lvl w:ilvl="6" w:tplc="BF8A97AC">
      <w:start w:val="1"/>
      <w:numFmt w:val="bullet"/>
      <w:lvlText w:val=""/>
      <w:lvlJc w:val="left"/>
      <w:pPr>
        <w:ind w:left="5040" w:hanging="360"/>
      </w:pPr>
      <w:rPr>
        <w:rFonts w:ascii="Symbol" w:hAnsi="Symbol" w:hint="default"/>
      </w:rPr>
    </w:lvl>
    <w:lvl w:ilvl="7" w:tplc="19A4F416">
      <w:start w:val="1"/>
      <w:numFmt w:val="bullet"/>
      <w:lvlText w:val="o"/>
      <w:lvlJc w:val="left"/>
      <w:pPr>
        <w:ind w:left="5760" w:hanging="360"/>
      </w:pPr>
      <w:rPr>
        <w:rFonts w:ascii="Courier New" w:hAnsi="Courier New" w:hint="default"/>
      </w:rPr>
    </w:lvl>
    <w:lvl w:ilvl="8" w:tplc="968CDD72">
      <w:start w:val="1"/>
      <w:numFmt w:val="bullet"/>
      <w:lvlText w:val=""/>
      <w:lvlJc w:val="left"/>
      <w:pPr>
        <w:ind w:left="6480" w:hanging="360"/>
      </w:pPr>
      <w:rPr>
        <w:rFonts w:ascii="Wingdings" w:hAnsi="Wingdings" w:hint="default"/>
      </w:rPr>
    </w:lvl>
  </w:abstractNum>
  <w:abstractNum w:abstractNumId="26" w15:restartNumberingAfterBreak="0">
    <w:nsid w:val="214EE999"/>
    <w:multiLevelType w:val="hybridMultilevel"/>
    <w:tmpl w:val="6D06079A"/>
    <w:lvl w:ilvl="0" w:tplc="E1E6DE92">
      <w:start w:val="1"/>
      <w:numFmt w:val="bullet"/>
      <w:lvlText w:val=""/>
      <w:lvlJc w:val="left"/>
      <w:pPr>
        <w:ind w:left="360" w:hanging="360"/>
      </w:pPr>
      <w:rPr>
        <w:rFonts w:ascii="Symbol" w:hAnsi="Symbol" w:hint="default"/>
      </w:rPr>
    </w:lvl>
    <w:lvl w:ilvl="1" w:tplc="26166F88">
      <w:start w:val="1"/>
      <w:numFmt w:val="bullet"/>
      <w:lvlText w:val="o"/>
      <w:lvlJc w:val="left"/>
      <w:pPr>
        <w:ind w:left="1440" w:hanging="360"/>
      </w:pPr>
      <w:rPr>
        <w:rFonts w:ascii="Courier New" w:hAnsi="Courier New" w:hint="default"/>
      </w:rPr>
    </w:lvl>
    <w:lvl w:ilvl="2" w:tplc="2C8C512E">
      <w:start w:val="1"/>
      <w:numFmt w:val="bullet"/>
      <w:lvlText w:val=""/>
      <w:lvlJc w:val="left"/>
      <w:pPr>
        <w:ind w:left="2160" w:hanging="360"/>
      </w:pPr>
      <w:rPr>
        <w:rFonts w:ascii="Wingdings" w:hAnsi="Wingdings" w:hint="default"/>
      </w:rPr>
    </w:lvl>
    <w:lvl w:ilvl="3" w:tplc="A17C8722">
      <w:start w:val="1"/>
      <w:numFmt w:val="bullet"/>
      <w:lvlText w:val=""/>
      <w:lvlJc w:val="left"/>
      <w:pPr>
        <w:ind w:left="2880" w:hanging="360"/>
      </w:pPr>
      <w:rPr>
        <w:rFonts w:ascii="Symbol" w:hAnsi="Symbol" w:hint="default"/>
      </w:rPr>
    </w:lvl>
    <w:lvl w:ilvl="4" w:tplc="8F2E41FA">
      <w:start w:val="1"/>
      <w:numFmt w:val="bullet"/>
      <w:lvlText w:val="o"/>
      <w:lvlJc w:val="left"/>
      <w:pPr>
        <w:ind w:left="3600" w:hanging="360"/>
      </w:pPr>
      <w:rPr>
        <w:rFonts w:ascii="Courier New" w:hAnsi="Courier New" w:hint="default"/>
      </w:rPr>
    </w:lvl>
    <w:lvl w:ilvl="5" w:tplc="7B5E4A40">
      <w:start w:val="1"/>
      <w:numFmt w:val="bullet"/>
      <w:lvlText w:val=""/>
      <w:lvlJc w:val="left"/>
      <w:pPr>
        <w:ind w:left="4320" w:hanging="360"/>
      </w:pPr>
      <w:rPr>
        <w:rFonts w:ascii="Wingdings" w:hAnsi="Wingdings" w:hint="default"/>
      </w:rPr>
    </w:lvl>
    <w:lvl w:ilvl="6" w:tplc="E02A2E16">
      <w:start w:val="1"/>
      <w:numFmt w:val="bullet"/>
      <w:lvlText w:val=""/>
      <w:lvlJc w:val="left"/>
      <w:pPr>
        <w:ind w:left="5040" w:hanging="360"/>
      </w:pPr>
      <w:rPr>
        <w:rFonts w:ascii="Symbol" w:hAnsi="Symbol" w:hint="default"/>
      </w:rPr>
    </w:lvl>
    <w:lvl w:ilvl="7" w:tplc="4ABEC654">
      <w:start w:val="1"/>
      <w:numFmt w:val="bullet"/>
      <w:lvlText w:val="o"/>
      <w:lvlJc w:val="left"/>
      <w:pPr>
        <w:ind w:left="5760" w:hanging="360"/>
      </w:pPr>
      <w:rPr>
        <w:rFonts w:ascii="Courier New" w:hAnsi="Courier New" w:hint="default"/>
      </w:rPr>
    </w:lvl>
    <w:lvl w:ilvl="8" w:tplc="2B04A2D0">
      <w:start w:val="1"/>
      <w:numFmt w:val="bullet"/>
      <w:lvlText w:val=""/>
      <w:lvlJc w:val="left"/>
      <w:pPr>
        <w:ind w:left="6480" w:hanging="360"/>
      </w:pPr>
      <w:rPr>
        <w:rFonts w:ascii="Wingdings" w:hAnsi="Wingdings" w:hint="default"/>
      </w:rPr>
    </w:lvl>
  </w:abstractNum>
  <w:abstractNum w:abstractNumId="27" w15:restartNumberingAfterBreak="0">
    <w:nsid w:val="2A595665"/>
    <w:multiLevelType w:val="hybridMultilevel"/>
    <w:tmpl w:val="D4D0DA64"/>
    <w:lvl w:ilvl="0" w:tplc="AFB89B16">
      <w:start w:val="1"/>
      <w:numFmt w:val="bullet"/>
      <w:pStyle w:val="dotpointindente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B7EA615"/>
    <w:multiLevelType w:val="hybridMultilevel"/>
    <w:tmpl w:val="1696E2D8"/>
    <w:lvl w:ilvl="0" w:tplc="19A2A4F4">
      <w:start w:val="1"/>
      <w:numFmt w:val="bullet"/>
      <w:lvlText w:val=""/>
      <w:lvlJc w:val="left"/>
      <w:pPr>
        <w:ind w:left="360" w:hanging="360"/>
      </w:pPr>
      <w:rPr>
        <w:rFonts w:ascii="Symbol" w:hAnsi="Symbol" w:hint="default"/>
      </w:rPr>
    </w:lvl>
    <w:lvl w:ilvl="1" w:tplc="BC42A356">
      <w:start w:val="1"/>
      <w:numFmt w:val="bullet"/>
      <w:lvlText w:val="o"/>
      <w:lvlJc w:val="left"/>
      <w:pPr>
        <w:ind w:left="1440" w:hanging="360"/>
      </w:pPr>
      <w:rPr>
        <w:rFonts w:ascii="Courier New" w:hAnsi="Courier New" w:hint="default"/>
      </w:rPr>
    </w:lvl>
    <w:lvl w:ilvl="2" w:tplc="9C0038EA">
      <w:start w:val="1"/>
      <w:numFmt w:val="bullet"/>
      <w:lvlText w:val=""/>
      <w:lvlJc w:val="left"/>
      <w:pPr>
        <w:ind w:left="2160" w:hanging="360"/>
      </w:pPr>
      <w:rPr>
        <w:rFonts w:ascii="Wingdings" w:hAnsi="Wingdings" w:hint="default"/>
      </w:rPr>
    </w:lvl>
    <w:lvl w:ilvl="3" w:tplc="C52EF840">
      <w:start w:val="1"/>
      <w:numFmt w:val="bullet"/>
      <w:lvlText w:val=""/>
      <w:lvlJc w:val="left"/>
      <w:pPr>
        <w:ind w:left="2880" w:hanging="360"/>
      </w:pPr>
      <w:rPr>
        <w:rFonts w:ascii="Symbol" w:hAnsi="Symbol" w:hint="default"/>
      </w:rPr>
    </w:lvl>
    <w:lvl w:ilvl="4" w:tplc="44B8A962">
      <w:start w:val="1"/>
      <w:numFmt w:val="bullet"/>
      <w:lvlText w:val="o"/>
      <w:lvlJc w:val="left"/>
      <w:pPr>
        <w:ind w:left="3600" w:hanging="360"/>
      </w:pPr>
      <w:rPr>
        <w:rFonts w:ascii="Courier New" w:hAnsi="Courier New" w:hint="default"/>
      </w:rPr>
    </w:lvl>
    <w:lvl w:ilvl="5" w:tplc="AB9E4D04">
      <w:start w:val="1"/>
      <w:numFmt w:val="bullet"/>
      <w:lvlText w:val=""/>
      <w:lvlJc w:val="left"/>
      <w:pPr>
        <w:ind w:left="4320" w:hanging="360"/>
      </w:pPr>
      <w:rPr>
        <w:rFonts w:ascii="Wingdings" w:hAnsi="Wingdings" w:hint="default"/>
      </w:rPr>
    </w:lvl>
    <w:lvl w:ilvl="6" w:tplc="F5C8BA00">
      <w:start w:val="1"/>
      <w:numFmt w:val="bullet"/>
      <w:lvlText w:val=""/>
      <w:lvlJc w:val="left"/>
      <w:pPr>
        <w:ind w:left="5040" w:hanging="360"/>
      </w:pPr>
      <w:rPr>
        <w:rFonts w:ascii="Symbol" w:hAnsi="Symbol" w:hint="default"/>
      </w:rPr>
    </w:lvl>
    <w:lvl w:ilvl="7" w:tplc="1BCE1CF0">
      <w:start w:val="1"/>
      <w:numFmt w:val="bullet"/>
      <w:lvlText w:val="o"/>
      <w:lvlJc w:val="left"/>
      <w:pPr>
        <w:ind w:left="5760" w:hanging="360"/>
      </w:pPr>
      <w:rPr>
        <w:rFonts w:ascii="Courier New" w:hAnsi="Courier New" w:hint="default"/>
      </w:rPr>
    </w:lvl>
    <w:lvl w:ilvl="8" w:tplc="A74827A6">
      <w:start w:val="1"/>
      <w:numFmt w:val="bullet"/>
      <w:lvlText w:val=""/>
      <w:lvlJc w:val="left"/>
      <w:pPr>
        <w:ind w:left="6480" w:hanging="360"/>
      </w:pPr>
      <w:rPr>
        <w:rFonts w:ascii="Wingdings" w:hAnsi="Wingdings" w:hint="default"/>
      </w:rPr>
    </w:lvl>
  </w:abstractNum>
  <w:abstractNum w:abstractNumId="29" w15:restartNumberingAfterBreak="0">
    <w:nsid w:val="2F53AF4D"/>
    <w:multiLevelType w:val="hybridMultilevel"/>
    <w:tmpl w:val="6E1EFBB4"/>
    <w:lvl w:ilvl="0" w:tplc="920C5612">
      <w:start w:val="1"/>
      <w:numFmt w:val="decimal"/>
      <w:lvlText w:val="(%1)"/>
      <w:lvlJc w:val="left"/>
      <w:pPr>
        <w:ind w:left="720" w:hanging="480"/>
      </w:pPr>
      <w:rPr>
        <w:rFonts w:hint="default"/>
      </w:rPr>
    </w:lvl>
    <w:lvl w:ilvl="1" w:tplc="4768C9E6">
      <w:start w:val="1"/>
      <w:numFmt w:val="lowerLetter"/>
      <w:lvlText w:val="%2."/>
      <w:lvlJc w:val="left"/>
      <w:pPr>
        <w:ind w:left="1440" w:hanging="360"/>
      </w:pPr>
    </w:lvl>
    <w:lvl w:ilvl="2" w:tplc="137CD854">
      <w:start w:val="1"/>
      <w:numFmt w:val="lowerRoman"/>
      <w:lvlText w:val="%3."/>
      <w:lvlJc w:val="right"/>
      <w:pPr>
        <w:ind w:left="2160" w:hanging="180"/>
      </w:pPr>
    </w:lvl>
    <w:lvl w:ilvl="3" w:tplc="8DE86540">
      <w:start w:val="1"/>
      <w:numFmt w:val="decimal"/>
      <w:lvlText w:val="%4."/>
      <w:lvlJc w:val="left"/>
      <w:pPr>
        <w:ind w:left="2880" w:hanging="360"/>
      </w:pPr>
    </w:lvl>
    <w:lvl w:ilvl="4" w:tplc="B274C1CA">
      <w:start w:val="1"/>
      <w:numFmt w:val="lowerLetter"/>
      <w:lvlText w:val="%5."/>
      <w:lvlJc w:val="left"/>
      <w:pPr>
        <w:ind w:left="3600" w:hanging="360"/>
      </w:pPr>
    </w:lvl>
    <w:lvl w:ilvl="5" w:tplc="E1CE3A92">
      <w:start w:val="1"/>
      <w:numFmt w:val="lowerRoman"/>
      <w:lvlText w:val="%6."/>
      <w:lvlJc w:val="right"/>
      <w:pPr>
        <w:ind w:left="4320" w:hanging="180"/>
      </w:pPr>
    </w:lvl>
    <w:lvl w:ilvl="6" w:tplc="4936F05C">
      <w:start w:val="1"/>
      <w:numFmt w:val="decimal"/>
      <w:lvlText w:val="%7."/>
      <w:lvlJc w:val="left"/>
      <w:pPr>
        <w:ind w:left="5040" w:hanging="360"/>
      </w:pPr>
    </w:lvl>
    <w:lvl w:ilvl="7" w:tplc="7B1A32FC">
      <w:start w:val="1"/>
      <w:numFmt w:val="lowerLetter"/>
      <w:lvlText w:val="%8."/>
      <w:lvlJc w:val="left"/>
      <w:pPr>
        <w:ind w:left="5760" w:hanging="360"/>
      </w:pPr>
    </w:lvl>
    <w:lvl w:ilvl="8" w:tplc="6F360508">
      <w:start w:val="1"/>
      <w:numFmt w:val="lowerRoman"/>
      <w:lvlText w:val="%9."/>
      <w:lvlJc w:val="right"/>
      <w:pPr>
        <w:ind w:left="6480" w:hanging="180"/>
      </w:pPr>
    </w:lvl>
  </w:abstractNum>
  <w:abstractNum w:abstractNumId="30" w15:restartNumberingAfterBreak="0">
    <w:nsid w:val="2FB44F83"/>
    <w:multiLevelType w:val="hybridMultilevel"/>
    <w:tmpl w:val="1F3806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31103685"/>
    <w:multiLevelType w:val="hybridMultilevel"/>
    <w:tmpl w:val="3662A4D8"/>
    <w:lvl w:ilvl="0" w:tplc="A208961E">
      <w:start w:val="1"/>
      <w:numFmt w:val="bullet"/>
      <w:lvlText w:val=""/>
      <w:lvlJc w:val="left"/>
      <w:pPr>
        <w:ind w:left="360" w:hanging="360"/>
      </w:pPr>
      <w:rPr>
        <w:rFonts w:ascii="Symbol" w:hAnsi="Symbol" w:hint="default"/>
      </w:rPr>
    </w:lvl>
    <w:lvl w:ilvl="1" w:tplc="683E8DD0">
      <w:start w:val="1"/>
      <w:numFmt w:val="bullet"/>
      <w:lvlText w:val="o"/>
      <w:lvlJc w:val="left"/>
      <w:pPr>
        <w:ind w:left="1440" w:hanging="360"/>
      </w:pPr>
      <w:rPr>
        <w:rFonts w:ascii="Courier New" w:hAnsi="Courier New" w:hint="default"/>
      </w:rPr>
    </w:lvl>
    <w:lvl w:ilvl="2" w:tplc="F2C05FF6">
      <w:start w:val="1"/>
      <w:numFmt w:val="bullet"/>
      <w:lvlText w:val=""/>
      <w:lvlJc w:val="left"/>
      <w:pPr>
        <w:ind w:left="2160" w:hanging="360"/>
      </w:pPr>
      <w:rPr>
        <w:rFonts w:ascii="Wingdings" w:hAnsi="Wingdings" w:hint="default"/>
      </w:rPr>
    </w:lvl>
    <w:lvl w:ilvl="3" w:tplc="D1704090">
      <w:start w:val="1"/>
      <w:numFmt w:val="bullet"/>
      <w:lvlText w:val=""/>
      <w:lvlJc w:val="left"/>
      <w:pPr>
        <w:ind w:left="2880" w:hanging="360"/>
      </w:pPr>
      <w:rPr>
        <w:rFonts w:ascii="Symbol" w:hAnsi="Symbol" w:hint="default"/>
      </w:rPr>
    </w:lvl>
    <w:lvl w:ilvl="4" w:tplc="4EEE7D3E">
      <w:start w:val="1"/>
      <w:numFmt w:val="bullet"/>
      <w:lvlText w:val="o"/>
      <w:lvlJc w:val="left"/>
      <w:pPr>
        <w:ind w:left="3600" w:hanging="360"/>
      </w:pPr>
      <w:rPr>
        <w:rFonts w:ascii="Courier New" w:hAnsi="Courier New" w:hint="default"/>
      </w:rPr>
    </w:lvl>
    <w:lvl w:ilvl="5" w:tplc="26888EC8">
      <w:start w:val="1"/>
      <w:numFmt w:val="bullet"/>
      <w:lvlText w:val=""/>
      <w:lvlJc w:val="left"/>
      <w:pPr>
        <w:ind w:left="4320" w:hanging="360"/>
      </w:pPr>
      <w:rPr>
        <w:rFonts w:ascii="Wingdings" w:hAnsi="Wingdings" w:hint="default"/>
      </w:rPr>
    </w:lvl>
    <w:lvl w:ilvl="6" w:tplc="2A64C28A">
      <w:start w:val="1"/>
      <w:numFmt w:val="bullet"/>
      <w:lvlText w:val=""/>
      <w:lvlJc w:val="left"/>
      <w:pPr>
        <w:ind w:left="5040" w:hanging="360"/>
      </w:pPr>
      <w:rPr>
        <w:rFonts w:ascii="Symbol" w:hAnsi="Symbol" w:hint="default"/>
      </w:rPr>
    </w:lvl>
    <w:lvl w:ilvl="7" w:tplc="DB7A671E">
      <w:start w:val="1"/>
      <w:numFmt w:val="bullet"/>
      <w:lvlText w:val="o"/>
      <w:lvlJc w:val="left"/>
      <w:pPr>
        <w:ind w:left="5760" w:hanging="360"/>
      </w:pPr>
      <w:rPr>
        <w:rFonts w:ascii="Courier New" w:hAnsi="Courier New" w:hint="default"/>
      </w:rPr>
    </w:lvl>
    <w:lvl w:ilvl="8" w:tplc="794E2E14">
      <w:start w:val="1"/>
      <w:numFmt w:val="bullet"/>
      <w:lvlText w:val=""/>
      <w:lvlJc w:val="left"/>
      <w:pPr>
        <w:ind w:left="6480" w:hanging="360"/>
      </w:pPr>
      <w:rPr>
        <w:rFonts w:ascii="Wingdings" w:hAnsi="Wingdings" w:hint="default"/>
      </w:rPr>
    </w:lvl>
  </w:abstractNum>
  <w:abstractNum w:abstractNumId="32" w15:restartNumberingAfterBreak="0">
    <w:nsid w:val="35BF2BCD"/>
    <w:multiLevelType w:val="hybridMultilevel"/>
    <w:tmpl w:val="0186B2E0"/>
    <w:lvl w:ilvl="0" w:tplc="D5CEF7C6">
      <w:start w:val="1"/>
      <w:numFmt w:val="bullet"/>
      <w:pStyle w:val="Bullets2"/>
      <w:lvlText w:val="-"/>
      <w:lvlJc w:val="left"/>
      <w:pPr>
        <w:tabs>
          <w:tab w:val="num" w:pos="794"/>
        </w:tabs>
        <w:ind w:left="794" w:hanging="397"/>
      </w:pPr>
      <w:rPr>
        <w:rFonts w:ascii="Lucida Bright" w:hAnsi="Lucida Bright" w:hint="default"/>
        <w:b/>
        <w:i w:val="0"/>
        <w:color w:val="auto"/>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4471660"/>
    <w:multiLevelType w:val="hybridMultilevel"/>
    <w:tmpl w:val="3280D2E2"/>
    <w:lvl w:ilvl="0" w:tplc="A3A0A896">
      <w:start w:val="1"/>
      <w:numFmt w:val="bullet"/>
      <w:lvlText w:val=""/>
      <w:lvlJc w:val="left"/>
      <w:pPr>
        <w:ind w:left="720" w:hanging="360"/>
      </w:pPr>
      <w:rPr>
        <w:rFonts w:ascii="Symbol" w:hAnsi="Symbol" w:hint="default"/>
      </w:rPr>
    </w:lvl>
    <w:lvl w:ilvl="1" w:tplc="3146CB0A">
      <w:start w:val="1"/>
      <w:numFmt w:val="bullet"/>
      <w:lvlText w:val="o"/>
      <w:lvlJc w:val="left"/>
      <w:pPr>
        <w:ind w:left="1440" w:hanging="360"/>
      </w:pPr>
      <w:rPr>
        <w:rFonts w:ascii="Courier New" w:hAnsi="Courier New" w:hint="default"/>
      </w:rPr>
    </w:lvl>
    <w:lvl w:ilvl="2" w:tplc="B6DED6B6">
      <w:start w:val="1"/>
      <w:numFmt w:val="bullet"/>
      <w:lvlText w:val=""/>
      <w:lvlJc w:val="left"/>
      <w:pPr>
        <w:ind w:left="2160" w:hanging="360"/>
      </w:pPr>
      <w:rPr>
        <w:rFonts w:ascii="Wingdings" w:hAnsi="Wingdings" w:hint="default"/>
      </w:rPr>
    </w:lvl>
    <w:lvl w:ilvl="3" w:tplc="C3D07D9C">
      <w:start w:val="1"/>
      <w:numFmt w:val="bullet"/>
      <w:lvlText w:val=""/>
      <w:lvlJc w:val="left"/>
      <w:pPr>
        <w:ind w:left="2880" w:hanging="360"/>
      </w:pPr>
      <w:rPr>
        <w:rFonts w:ascii="Symbol" w:hAnsi="Symbol" w:hint="default"/>
      </w:rPr>
    </w:lvl>
    <w:lvl w:ilvl="4" w:tplc="360A78D2">
      <w:start w:val="1"/>
      <w:numFmt w:val="bullet"/>
      <w:lvlText w:val="o"/>
      <w:lvlJc w:val="left"/>
      <w:pPr>
        <w:ind w:left="3600" w:hanging="360"/>
      </w:pPr>
      <w:rPr>
        <w:rFonts w:ascii="Courier New" w:hAnsi="Courier New" w:hint="default"/>
      </w:rPr>
    </w:lvl>
    <w:lvl w:ilvl="5" w:tplc="777E9C66">
      <w:start w:val="1"/>
      <w:numFmt w:val="bullet"/>
      <w:lvlText w:val=""/>
      <w:lvlJc w:val="left"/>
      <w:pPr>
        <w:ind w:left="4320" w:hanging="360"/>
      </w:pPr>
      <w:rPr>
        <w:rFonts w:ascii="Wingdings" w:hAnsi="Wingdings" w:hint="default"/>
      </w:rPr>
    </w:lvl>
    <w:lvl w:ilvl="6" w:tplc="9AA41C92">
      <w:start w:val="1"/>
      <w:numFmt w:val="bullet"/>
      <w:lvlText w:val=""/>
      <w:lvlJc w:val="left"/>
      <w:pPr>
        <w:ind w:left="5040" w:hanging="360"/>
      </w:pPr>
      <w:rPr>
        <w:rFonts w:ascii="Symbol" w:hAnsi="Symbol" w:hint="default"/>
      </w:rPr>
    </w:lvl>
    <w:lvl w:ilvl="7" w:tplc="718ED94C">
      <w:start w:val="1"/>
      <w:numFmt w:val="bullet"/>
      <w:lvlText w:val="o"/>
      <w:lvlJc w:val="left"/>
      <w:pPr>
        <w:ind w:left="5760" w:hanging="360"/>
      </w:pPr>
      <w:rPr>
        <w:rFonts w:ascii="Courier New" w:hAnsi="Courier New" w:hint="default"/>
      </w:rPr>
    </w:lvl>
    <w:lvl w:ilvl="8" w:tplc="E8045E10">
      <w:start w:val="1"/>
      <w:numFmt w:val="bullet"/>
      <w:lvlText w:val=""/>
      <w:lvlJc w:val="left"/>
      <w:pPr>
        <w:ind w:left="6480" w:hanging="360"/>
      </w:pPr>
      <w:rPr>
        <w:rFonts w:ascii="Wingdings" w:hAnsi="Wingdings" w:hint="default"/>
      </w:rPr>
    </w:lvl>
  </w:abstractNum>
  <w:abstractNum w:abstractNumId="34" w15:restartNumberingAfterBreak="0">
    <w:nsid w:val="444B0A9E"/>
    <w:multiLevelType w:val="hybridMultilevel"/>
    <w:tmpl w:val="578C0C1A"/>
    <w:lvl w:ilvl="0" w:tplc="97E4B5CC">
      <w:start w:val="1"/>
      <w:numFmt w:val="bullet"/>
      <w:lvlText w:val=""/>
      <w:lvlJc w:val="left"/>
      <w:pPr>
        <w:ind w:left="360" w:hanging="360"/>
      </w:pPr>
      <w:rPr>
        <w:rFonts w:ascii="Symbol" w:hAnsi="Symbol" w:hint="default"/>
      </w:rPr>
    </w:lvl>
    <w:lvl w:ilvl="1" w:tplc="FC56F980">
      <w:start w:val="1"/>
      <w:numFmt w:val="bullet"/>
      <w:lvlText w:val="o"/>
      <w:lvlJc w:val="left"/>
      <w:pPr>
        <w:ind w:left="1440" w:hanging="360"/>
      </w:pPr>
      <w:rPr>
        <w:rFonts w:ascii="Courier New" w:hAnsi="Courier New" w:hint="default"/>
      </w:rPr>
    </w:lvl>
    <w:lvl w:ilvl="2" w:tplc="490C9F3A">
      <w:start w:val="1"/>
      <w:numFmt w:val="bullet"/>
      <w:lvlText w:val=""/>
      <w:lvlJc w:val="left"/>
      <w:pPr>
        <w:ind w:left="2160" w:hanging="360"/>
      </w:pPr>
      <w:rPr>
        <w:rFonts w:ascii="Wingdings" w:hAnsi="Wingdings" w:hint="default"/>
      </w:rPr>
    </w:lvl>
    <w:lvl w:ilvl="3" w:tplc="0A781E04">
      <w:start w:val="1"/>
      <w:numFmt w:val="bullet"/>
      <w:lvlText w:val=""/>
      <w:lvlJc w:val="left"/>
      <w:pPr>
        <w:ind w:left="2880" w:hanging="360"/>
      </w:pPr>
      <w:rPr>
        <w:rFonts w:ascii="Symbol" w:hAnsi="Symbol" w:hint="default"/>
      </w:rPr>
    </w:lvl>
    <w:lvl w:ilvl="4" w:tplc="FE4079B0">
      <w:start w:val="1"/>
      <w:numFmt w:val="bullet"/>
      <w:lvlText w:val="o"/>
      <w:lvlJc w:val="left"/>
      <w:pPr>
        <w:ind w:left="3600" w:hanging="360"/>
      </w:pPr>
      <w:rPr>
        <w:rFonts w:ascii="Courier New" w:hAnsi="Courier New" w:hint="default"/>
      </w:rPr>
    </w:lvl>
    <w:lvl w:ilvl="5" w:tplc="EEB64368">
      <w:start w:val="1"/>
      <w:numFmt w:val="bullet"/>
      <w:lvlText w:val=""/>
      <w:lvlJc w:val="left"/>
      <w:pPr>
        <w:ind w:left="4320" w:hanging="360"/>
      </w:pPr>
      <w:rPr>
        <w:rFonts w:ascii="Wingdings" w:hAnsi="Wingdings" w:hint="default"/>
      </w:rPr>
    </w:lvl>
    <w:lvl w:ilvl="6" w:tplc="4C2CA4DE">
      <w:start w:val="1"/>
      <w:numFmt w:val="bullet"/>
      <w:lvlText w:val=""/>
      <w:lvlJc w:val="left"/>
      <w:pPr>
        <w:ind w:left="5040" w:hanging="360"/>
      </w:pPr>
      <w:rPr>
        <w:rFonts w:ascii="Symbol" w:hAnsi="Symbol" w:hint="default"/>
      </w:rPr>
    </w:lvl>
    <w:lvl w:ilvl="7" w:tplc="543274A0">
      <w:start w:val="1"/>
      <w:numFmt w:val="bullet"/>
      <w:lvlText w:val="o"/>
      <w:lvlJc w:val="left"/>
      <w:pPr>
        <w:ind w:left="5760" w:hanging="360"/>
      </w:pPr>
      <w:rPr>
        <w:rFonts w:ascii="Courier New" w:hAnsi="Courier New" w:hint="default"/>
      </w:rPr>
    </w:lvl>
    <w:lvl w:ilvl="8" w:tplc="AB1CF9D8">
      <w:start w:val="1"/>
      <w:numFmt w:val="bullet"/>
      <w:lvlText w:val=""/>
      <w:lvlJc w:val="left"/>
      <w:pPr>
        <w:ind w:left="6480" w:hanging="360"/>
      </w:pPr>
      <w:rPr>
        <w:rFonts w:ascii="Wingdings" w:hAnsi="Wingdings" w:hint="default"/>
      </w:rPr>
    </w:lvl>
  </w:abstractNum>
  <w:abstractNum w:abstractNumId="35" w15:restartNumberingAfterBreak="0">
    <w:nsid w:val="49B60D0A"/>
    <w:multiLevelType w:val="hybridMultilevel"/>
    <w:tmpl w:val="E35A9D8E"/>
    <w:lvl w:ilvl="0" w:tplc="FEE06A6A">
      <w:start w:val="1"/>
      <w:numFmt w:val="bullet"/>
      <w:lvlText w:val=""/>
      <w:lvlJc w:val="left"/>
      <w:pPr>
        <w:ind w:left="720" w:hanging="360"/>
      </w:pPr>
      <w:rPr>
        <w:rFonts w:ascii="Symbol" w:hAnsi="Symbol" w:hint="default"/>
      </w:rPr>
    </w:lvl>
    <w:lvl w:ilvl="1" w:tplc="FF1EA790">
      <w:start w:val="1"/>
      <w:numFmt w:val="bullet"/>
      <w:lvlText w:val="o"/>
      <w:lvlJc w:val="left"/>
      <w:pPr>
        <w:ind w:left="1440" w:hanging="360"/>
      </w:pPr>
      <w:rPr>
        <w:rFonts w:ascii="Courier New" w:hAnsi="Courier New" w:hint="default"/>
      </w:rPr>
    </w:lvl>
    <w:lvl w:ilvl="2" w:tplc="B9F0BB52">
      <w:start w:val="1"/>
      <w:numFmt w:val="bullet"/>
      <w:lvlText w:val=""/>
      <w:lvlJc w:val="left"/>
      <w:pPr>
        <w:ind w:left="2160" w:hanging="360"/>
      </w:pPr>
      <w:rPr>
        <w:rFonts w:ascii="Wingdings" w:hAnsi="Wingdings" w:hint="default"/>
      </w:rPr>
    </w:lvl>
    <w:lvl w:ilvl="3" w:tplc="DAAEBE16">
      <w:start w:val="1"/>
      <w:numFmt w:val="bullet"/>
      <w:lvlText w:val=""/>
      <w:lvlJc w:val="left"/>
      <w:pPr>
        <w:ind w:left="2880" w:hanging="360"/>
      </w:pPr>
      <w:rPr>
        <w:rFonts w:ascii="Symbol" w:hAnsi="Symbol" w:hint="default"/>
      </w:rPr>
    </w:lvl>
    <w:lvl w:ilvl="4" w:tplc="C5B8A828">
      <w:start w:val="1"/>
      <w:numFmt w:val="bullet"/>
      <w:lvlText w:val="o"/>
      <w:lvlJc w:val="left"/>
      <w:pPr>
        <w:ind w:left="3600" w:hanging="360"/>
      </w:pPr>
      <w:rPr>
        <w:rFonts w:ascii="Courier New" w:hAnsi="Courier New" w:hint="default"/>
      </w:rPr>
    </w:lvl>
    <w:lvl w:ilvl="5" w:tplc="98DE10A4">
      <w:start w:val="1"/>
      <w:numFmt w:val="bullet"/>
      <w:lvlText w:val=""/>
      <w:lvlJc w:val="left"/>
      <w:pPr>
        <w:ind w:left="4320" w:hanging="360"/>
      </w:pPr>
      <w:rPr>
        <w:rFonts w:ascii="Wingdings" w:hAnsi="Wingdings" w:hint="default"/>
      </w:rPr>
    </w:lvl>
    <w:lvl w:ilvl="6" w:tplc="A5308F8E">
      <w:start w:val="1"/>
      <w:numFmt w:val="bullet"/>
      <w:lvlText w:val=""/>
      <w:lvlJc w:val="left"/>
      <w:pPr>
        <w:ind w:left="5040" w:hanging="360"/>
      </w:pPr>
      <w:rPr>
        <w:rFonts w:ascii="Symbol" w:hAnsi="Symbol" w:hint="default"/>
      </w:rPr>
    </w:lvl>
    <w:lvl w:ilvl="7" w:tplc="E288354A">
      <w:start w:val="1"/>
      <w:numFmt w:val="bullet"/>
      <w:lvlText w:val="o"/>
      <w:lvlJc w:val="left"/>
      <w:pPr>
        <w:ind w:left="5760" w:hanging="360"/>
      </w:pPr>
      <w:rPr>
        <w:rFonts w:ascii="Courier New" w:hAnsi="Courier New" w:hint="default"/>
      </w:rPr>
    </w:lvl>
    <w:lvl w:ilvl="8" w:tplc="C34499E0">
      <w:start w:val="1"/>
      <w:numFmt w:val="bullet"/>
      <w:lvlText w:val=""/>
      <w:lvlJc w:val="left"/>
      <w:pPr>
        <w:ind w:left="6480" w:hanging="360"/>
      </w:pPr>
      <w:rPr>
        <w:rFonts w:ascii="Wingdings" w:hAnsi="Wingdings" w:hint="default"/>
      </w:rPr>
    </w:lvl>
  </w:abstractNum>
  <w:abstractNum w:abstractNumId="36" w15:restartNumberingAfterBreak="0">
    <w:nsid w:val="524900D1"/>
    <w:multiLevelType w:val="hybridMultilevel"/>
    <w:tmpl w:val="F2F67FCA"/>
    <w:lvl w:ilvl="0" w:tplc="E794B000">
      <w:start w:val="1"/>
      <w:numFmt w:val="decimal"/>
      <w:pStyle w:val="Normalnumbered"/>
      <w:lvlText w:val="%1."/>
      <w:lvlJc w:val="left"/>
      <w:pPr>
        <w:ind w:left="360" w:hanging="360"/>
      </w:pPr>
      <w:rPr>
        <w:rFonts w:asciiTheme="minorHAnsi" w:hAnsiTheme="minorHAnsi" w:hint="default"/>
        <w:sz w:val="22"/>
        <w:szCs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53285BD8"/>
    <w:multiLevelType w:val="hybridMultilevel"/>
    <w:tmpl w:val="73A88D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58492DBE"/>
    <w:multiLevelType w:val="hybridMultilevel"/>
    <w:tmpl w:val="FFFFFFFF"/>
    <w:lvl w:ilvl="0" w:tplc="1FEE7240">
      <w:start w:val="1"/>
      <w:numFmt w:val="bullet"/>
      <w:lvlText w:val=""/>
      <w:lvlJc w:val="left"/>
      <w:pPr>
        <w:ind w:left="720" w:hanging="360"/>
      </w:pPr>
      <w:rPr>
        <w:rFonts w:ascii="Symbol" w:hAnsi="Symbol" w:hint="default"/>
      </w:rPr>
    </w:lvl>
    <w:lvl w:ilvl="1" w:tplc="97701B1C">
      <w:start w:val="1"/>
      <w:numFmt w:val="bullet"/>
      <w:lvlText w:val="o"/>
      <w:lvlJc w:val="left"/>
      <w:pPr>
        <w:ind w:left="1440" w:hanging="360"/>
      </w:pPr>
      <w:rPr>
        <w:rFonts w:ascii="Courier New" w:hAnsi="Courier New" w:hint="default"/>
      </w:rPr>
    </w:lvl>
    <w:lvl w:ilvl="2" w:tplc="7A8CF07A">
      <w:start w:val="1"/>
      <w:numFmt w:val="bullet"/>
      <w:lvlText w:val=""/>
      <w:lvlJc w:val="left"/>
      <w:pPr>
        <w:ind w:left="2160" w:hanging="360"/>
      </w:pPr>
      <w:rPr>
        <w:rFonts w:ascii="Wingdings" w:hAnsi="Wingdings" w:hint="default"/>
      </w:rPr>
    </w:lvl>
    <w:lvl w:ilvl="3" w:tplc="03148C1E">
      <w:start w:val="1"/>
      <w:numFmt w:val="bullet"/>
      <w:lvlText w:val=""/>
      <w:lvlJc w:val="left"/>
      <w:pPr>
        <w:ind w:left="2880" w:hanging="360"/>
      </w:pPr>
      <w:rPr>
        <w:rFonts w:ascii="Symbol" w:hAnsi="Symbol" w:hint="default"/>
      </w:rPr>
    </w:lvl>
    <w:lvl w:ilvl="4" w:tplc="076E6952">
      <w:start w:val="1"/>
      <w:numFmt w:val="bullet"/>
      <w:lvlText w:val="o"/>
      <w:lvlJc w:val="left"/>
      <w:pPr>
        <w:ind w:left="3600" w:hanging="360"/>
      </w:pPr>
      <w:rPr>
        <w:rFonts w:ascii="Courier New" w:hAnsi="Courier New" w:hint="default"/>
      </w:rPr>
    </w:lvl>
    <w:lvl w:ilvl="5" w:tplc="D898C6BA">
      <w:start w:val="1"/>
      <w:numFmt w:val="bullet"/>
      <w:lvlText w:val=""/>
      <w:lvlJc w:val="left"/>
      <w:pPr>
        <w:ind w:left="4320" w:hanging="360"/>
      </w:pPr>
      <w:rPr>
        <w:rFonts w:ascii="Wingdings" w:hAnsi="Wingdings" w:hint="default"/>
      </w:rPr>
    </w:lvl>
    <w:lvl w:ilvl="6" w:tplc="81D42714">
      <w:start w:val="1"/>
      <w:numFmt w:val="bullet"/>
      <w:lvlText w:val=""/>
      <w:lvlJc w:val="left"/>
      <w:pPr>
        <w:ind w:left="5040" w:hanging="360"/>
      </w:pPr>
      <w:rPr>
        <w:rFonts w:ascii="Symbol" w:hAnsi="Symbol" w:hint="default"/>
      </w:rPr>
    </w:lvl>
    <w:lvl w:ilvl="7" w:tplc="83FA8174">
      <w:start w:val="1"/>
      <w:numFmt w:val="bullet"/>
      <w:lvlText w:val="o"/>
      <w:lvlJc w:val="left"/>
      <w:pPr>
        <w:ind w:left="5760" w:hanging="360"/>
      </w:pPr>
      <w:rPr>
        <w:rFonts w:ascii="Courier New" w:hAnsi="Courier New" w:hint="default"/>
      </w:rPr>
    </w:lvl>
    <w:lvl w:ilvl="8" w:tplc="B9AA58A8">
      <w:start w:val="1"/>
      <w:numFmt w:val="bullet"/>
      <w:lvlText w:val=""/>
      <w:lvlJc w:val="left"/>
      <w:pPr>
        <w:ind w:left="6480" w:hanging="360"/>
      </w:pPr>
      <w:rPr>
        <w:rFonts w:ascii="Wingdings" w:hAnsi="Wingdings" w:hint="default"/>
      </w:rPr>
    </w:lvl>
  </w:abstractNum>
  <w:abstractNum w:abstractNumId="39" w15:restartNumberingAfterBreak="0">
    <w:nsid w:val="58730F88"/>
    <w:multiLevelType w:val="hybridMultilevel"/>
    <w:tmpl w:val="F376A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5E5239A0"/>
    <w:multiLevelType w:val="hybridMultilevel"/>
    <w:tmpl w:val="DFA669CE"/>
    <w:lvl w:ilvl="0" w:tplc="9306F79E">
      <w:start w:val="1"/>
      <w:numFmt w:val="bullet"/>
      <w:lvlText w:val=""/>
      <w:lvlJc w:val="left"/>
      <w:pPr>
        <w:ind w:left="720" w:hanging="360"/>
      </w:pPr>
      <w:rPr>
        <w:rFonts w:ascii="Symbol" w:hAnsi="Symbol" w:hint="default"/>
      </w:rPr>
    </w:lvl>
    <w:lvl w:ilvl="1" w:tplc="0F5CB7C6">
      <w:start w:val="1"/>
      <w:numFmt w:val="bullet"/>
      <w:lvlText w:val="o"/>
      <w:lvlJc w:val="left"/>
      <w:pPr>
        <w:ind w:left="1440" w:hanging="360"/>
      </w:pPr>
      <w:rPr>
        <w:rFonts w:ascii="Courier New" w:hAnsi="Courier New" w:hint="default"/>
      </w:rPr>
    </w:lvl>
    <w:lvl w:ilvl="2" w:tplc="AFA6E560">
      <w:start w:val="1"/>
      <w:numFmt w:val="bullet"/>
      <w:lvlText w:val=""/>
      <w:lvlJc w:val="left"/>
      <w:pPr>
        <w:ind w:left="2160" w:hanging="360"/>
      </w:pPr>
      <w:rPr>
        <w:rFonts w:ascii="Wingdings" w:hAnsi="Wingdings" w:hint="default"/>
      </w:rPr>
    </w:lvl>
    <w:lvl w:ilvl="3" w:tplc="4F54C294">
      <w:start w:val="1"/>
      <w:numFmt w:val="bullet"/>
      <w:lvlText w:val=""/>
      <w:lvlJc w:val="left"/>
      <w:pPr>
        <w:ind w:left="2880" w:hanging="360"/>
      </w:pPr>
      <w:rPr>
        <w:rFonts w:ascii="Symbol" w:hAnsi="Symbol" w:hint="default"/>
      </w:rPr>
    </w:lvl>
    <w:lvl w:ilvl="4" w:tplc="61AA1E1E">
      <w:start w:val="1"/>
      <w:numFmt w:val="bullet"/>
      <w:lvlText w:val="o"/>
      <w:lvlJc w:val="left"/>
      <w:pPr>
        <w:ind w:left="3600" w:hanging="360"/>
      </w:pPr>
      <w:rPr>
        <w:rFonts w:ascii="Courier New" w:hAnsi="Courier New" w:hint="default"/>
      </w:rPr>
    </w:lvl>
    <w:lvl w:ilvl="5" w:tplc="EE84ED88">
      <w:start w:val="1"/>
      <w:numFmt w:val="bullet"/>
      <w:lvlText w:val=""/>
      <w:lvlJc w:val="left"/>
      <w:pPr>
        <w:ind w:left="4320" w:hanging="360"/>
      </w:pPr>
      <w:rPr>
        <w:rFonts w:ascii="Wingdings" w:hAnsi="Wingdings" w:hint="default"/>
      </w:rPr>
    </w:lvl>
    <w:lvl w:ilvl="6" w:tplc="3F9824D6">
      <w:start w:val="1"/>
      <w:numFmt w:val="bullet"/>
      <w:lvlText w:val=""/>
      <w:lvlJc w:val="left"/>
      <w:pPr>
        <w:ind w:left="5040" w:hanging="360"/>
      </w:pPr>
      <w:rPr>
        <w:rFonts w:ascii="Symbol" w:hAnsi="Symbol" w:hint="default"/>
      </w:rPr>
    </w:lvl>
    <w:lvl w:ilvl="7" w:tplc="A612809A">
      <w:start w:val="1"/>
      <w:numFmt w:val="bullet"/>
      <w:lvlText w:val="o"/>
      <w:lvlJc w:val="left"/>
      <w:pPr>
        <w:ind w:left="5760" w:hanging="360"/>
      </w:pPr>
      <w:rPr>
        <w:rFonts w:ascii="Courier New" w:hAnsi="Courier New" w:hint="default"/>
      </w:rPr>
    </w:lvl>
    <w:lvl w:ilvl="8" w:tplc="0E845356">
      <w:start w:val="1"/>
      <w:numFmt w:val="bullet"/>
      <w:lvlText w:val=""/>
      <w:lvlJc w:val="left"/>
      <w:pPr>
        <w:ind w:left="6480" w:hanging="360"/>
      </w:pPr>
      <w:rPr>
        <w:rFonts w:ascii="Wingdings" w:hAnsi="Wingdings" w:hint="default"/>
      </w:rPr>
    </w:lvl>
  </w:abstractNum>
  <w:abstractNum w:abstractNumId="41" w15:restartNumberingAfterBreak="0">
    <w:nsid w:val="62FB7119"/>
    <w:multiLevelType w:val="hybridMultilevel"/>
    <w:tmpl w:val="2BE69E9C"/>
    <w:lvl w:ilvl="0" w:tplc="FFFFFFFF">
      <w:start w:val="1"/>
      <w:numFmt w:val="decimal"/>
      <w:lvlText w:val="%1)"/>
      <w:lvlJc w:val="left"/>
      <w:pPr>
        <w:ind w:left="4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B20080B"/>
    <w:multiLevelType w:val="hybridMultilevel"/>
    <w:tmpl w:val="EB4AF624"/>
    <w:lvl w:ilvl="0" w:tplc="4A842404">
      <w:start w:val="1"/>
      <w:numFmt w:val="bullet"/>
      <w:pStyle w:val="Sub-bullets"/>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CBC458E"/>
    <w:multiLevelType w:val="hybridMultilevel"/>
    <w:tmpl w:val="3E6ABD06"/>
    <w:lvl w:ilvl="0" w:tplc="D11EF60A">
      <w:start w:val="1"/>
      <w:numFmt w:val="bullet"/>
      <w:lvlText w:val=""/>
      <w:lvlJc w:val="left"/>
      <w:pPr>
        <w:tabs>
          <w:tab w:val="num" w:pos="360"/>
        </w:tabs>
        <w:ind w:left="360" w:hanging="360"/>
      </w:pPr>
      <w:rPr>
        <w:rFonts w:ascii="Symbol" w:hAnsi="Symbol" w:hint="default"/>
      </w:rPr>
    </w:lvl>
    <w:lvl w:ilvl="1" w:tplc="4858CD2E">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2C917B9"/>
    <w:multiLevelType w:val="hybridMultilevel"/>
    <w:tmpl w:val="9F422A1C"/>
    <w:lvl w:ilvl="0" w:tplc="E4588FD0">
      <w:start w:val="1"/>
      <w:numFmt w:val="bullet"/>
      <w:lvlText w:val=""/>
      <w:lvlJc w:val="left"/>
      <w:pPr>
        <w:ind w:left="360" w:hanging="360"/>
      </w:pPr>
      <w:rPr>
        <w:rFonts w:ascii="Symbol" w:hAnsi="Symbol" w:hint="default"/>
      </w:rPr>
    </w:lvl>
    <w:lvl w:ilvl="1" w:tplc="83861280">
      <w:start w:val="1"/>
      <w:numFmt w:val="bullet"/>
      <w:lvlText w:val="o"/>
      <w:lvlJc w:val="left"/>
      <w:pPr>
        <w:ind w:left="1440" w:hanging="360"/>
      </w:pPr>
      <w:rPr>
        <w:rFonts w:ascii="Courier New" w:hAnsi="Courier New" w:hint="default"/>
      </w:rPr>
    </w:lvl>
    <w:lvl w:ilvl="2" w:tplc="3B14013E">
      <w:start w:val="1"/>
      <w:numFmt w:val="bullet"/>
      <w:lvlText w:val=""/>
      <w:lvlJc w:val="left"/>
      <w:pPr>
        <w:ind w:left="2160" w:hanging="360"/>
      </w:pPr>
      <w:rPr>
        <w:rFonts w:ascii="Wingdings" w:hAnsi="Wingdings" w:hint="default"/>
      </w:rPr>
    </w:lvl>
    <w:lvl w:ilvl="3" w:tplc="0466183C">
      <w:start w:val="1"/>
      <w:numFmt w:val="bullet"/>
      <w:lvlText w:val=""/>
      <w:lvlJc w:val="left"/>
      <w:pPr>
        <w:ind w:left="2880" w:hanging="360"/>
      </w:pPr>
      <w:rPr>
        <w:rFonts w:ascii="Symbol" w:hAnsi="Symbol" w:hint="default"/>
      </w:rPr>
    </w:lvl>
    <w:lvl w:ilvl="4" w:tplc="F878DD74">
      <w:start w:val="1"/>
      <w:numFmt w:val="bullet"/>
      <w:lvlText w:val="o"/>
      <w:lvlJc w:val="left"/>
      <w:pPr>
        <w:ind w:left="3600" w:hanging="360"/>
      </w:pPr>
      <w:rPr>
        <w:rFonts w:ascii="Courier New" w:hAnsi="Courier New" w:hint="default"/>
      </w:rPr>
    </w:lvl>
    <w:lvl w:ilvl="5" w:tplc="5EAEA616">
      <w:start w:val="1"/>
      <w:numFmt w:val="bullet"/>
      <w:lvlText w:val=""/>
      <w:lvlJc w:val="left"/>
      <w:pPr>
        <w:ind w:left="4320" w:hanging="360"/>
      </w:pPr>
      <w:rPr>
        <w:rFonts w:ascii="Wingdings" w:hAnsi="Wingdings" w:hint="default"/>
      </w:rPr>
    </w:lvl>
    <w:lvl w:ilvl="6" w:tplc="33D6EEBE">
      <w:start w:val="1"/>
      <w:numFmt w:val="bullet"/>
      <w:lvlText w:val=""/>
      <w:lvlJc w:val="left"/>
      <w:pPr>
        <w:ind w:left="5040" w:hanging="360"/>
      </w:pPr>
      <w:rPr>
        <w:rFonts w:ascii="Symbol" w:hAnsi="Symbol" w:hint="default"/>
      </w:rPr>
    </w:lvl>
    <w:lvl w:ilvl="7" w:tplc="AA74B084">
      <w:start w:val="1"/>
      <w:numFmt w:val="bullet"/>
      <w:lvlText w:val="o"/>
      <w:lvlJc w:val="left"/>
      <w:pPr>
        <w:ind w:left="5760" w:hanging="360"/>
      </w:pPr>
      <w:rPr>
        <w:rFonts w:ascii="Courier New" w:hAnsi="Courier New" w:hint="default"/>
      </w:rPr>
    </w:lvl>
    <w:lvl w:ilvl="8" w:tplc="4AF4EA76">
      <w:start w:val="1"/>
      <w:numFmt w:val="bullet"/>
      <w:lvlText w:val=""/>
      <w:lvlJc w:val="left"/>
      <w:pPr>
        <w:ind w:left="6480" w:hanging="360"/>
      </w:pPr>
      <w:rPr>
        <w:rFonts w:ascii="Wingdings" w:hAnsi="Wingdings" w:hint="default"/>
      </w:rPr>
    </w:lvl>
  </w:abstractNum>
  <w:abstractNum w:abstractNumId="45" w15:restartNumberingAfterBreak="0">
    <w:nsid w:val="732C384D"/>
    <w:multiLevelType w:val="hybridMultilevel"/>
    <w:tmpl w:val="2EE684B4"/>
    <w:lvl w:ilvl="0" w:tplc="5F222C70">
      <w:start w:val="1"/>
      <w:numFmt w:val="bullet"/>
      <w:pStyle w:val="Table-Bulle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73FC4BD1"/>
    <w:multiLevelType w:val="hybridMultilevel"/>
    <w:tmpl w:val="9AECD6EC"/>
    <w:lvl w:ilvl="0" w:tplc="A9442ED0">
      <w:start w:val="1"/>
      <w:numFmt w:val="bullet"/>
      <w:pStyle w:val="dotpoints"/>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61F4803"/>
    <w:multiLevelType w:val="hybridMultilevel"/>
    <w:tmpl w:val="B6BE08C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8" w15:restartNumberingAfterBreak="0">
    <w:nsid w:val="77DF6E59"/>
    <w:multiLevelType w:val="hybridMultilevel"/>
    <w:tmpl w:val="32EAA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457A78"/>
    <w:multiLevelType w:val="hybridMultilevel"/>
    <w:tmpl w:val="2BE69E9C"/>
    <w:lvl w:ilvl="0" w:tplc="2576941C">
      <w:start w:val="1"/>
      <w:numFmt w:val="decimal"/>
      <w:lvlText w:val="%1)"/>
      <w:lvlJc w:val="left"/>
      <w:pPr>
        <w:ind w:left="4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36999516">
    <w:abstractNumId w:val="29"/>
  </w:num>
  <w:num w:numId="2" w16cid:durableId="1814709940">
    <w:abstractNumId w:val="31"/>
  </w:num>
  <w:num w:numId="3" w16cid:durableId="1505632044">
    <w:abstractNumId w:val="28"/>
  </w:num>
  <w:num w:numId="4" w16cid:durableId="2109084173">
    <w:abstractNumId w:val="19"/>
  </w:num>
  <w:num w:numId="5" w16cid:durableId="360085324">
    <w:abstractNumId w:val="34"/>
  </w:num>
  <w:num w:numId="6" w16cid:durableId="1245845139">
    <w:abstractNumId w:val="26"/>
  </w:num>
  <w:num w:numId="7" w16cid:durableId="1924414257">
    <w:abstractNumId w:val="25"/>
  </w:num>
  <w:num w:numId="8" w16cid:durableId="57751620">
    <w:abstractNumId w:val="44"/>
  </w:num>
  <w:num w:numId="9" w16cid:durableId="848369493">
    <w:abstractNumId w:val="35"/>
  </w:num>
  <w:num w:numId="10" w16cid:durableId="1235627350">
    <w:abstractNumId w:val="40"/>
  </w:num>
  <w:num w:numId="11" w16cid:durableId="2026520300">
    <w:abstractNumId w:val="33"/>
  </w:num>
  <w:num w:numId="12" w16cid:durableId="1252853099">
    <w:abstractNumId w:val="23"/>
  </w:num>
  <w:num w:numId="13" w16cid:durableId="1339696658">
    <w:abstractNumId w:val="15"/>
  </w:num>
  <w:num w:numId="14" w16cid:durableId="2076661885">
    <w:abstractNumId w:val="9"/>
  </w:num>
  <w:num w:numId="15" w16cid:durableId="1247419734">
    <w:abstractNumId w:val="7"/>
  </w:num>
  <w:num w:numId="16" w16cid:durableId="744107161">
    <w:abstractNumId w:val="6"/>
  </w:num>
  <w:num w:numId="17" w16cid:durableId="733625312">
    <w:abstractNumId w:val="5"/>
  </w:num>
  <w:num w:numId="18" w16cid:durableId="1869874774">
    <w:abstractNumId w:val="4"/>
  </w:num>
  <w:num w:numId="19" w16cid:durableId="1206987920">
    <w:abstractNumId w:val="8"/>
  </w:num>
  <w:num w:numId="20" w16cid:durableId="1501191651">
    <w:abstractNumId w:val="3"/>
  </w:num>
  <w:num w:numId="21" w16cid:durableId="2072539362">
    <w:abstractNumId w:val="2"/>
  </w:num>
  <w:num w:numId="22" w16cid:durableId="165630379">
    <w:abstractNumId w:val="1"/>
  </w:num>
  <w:num w:numId="23" w16cid:durableId="1116871810">
    <w:abstractNumId w:val="0"/>
  </w:num>
  <w:num w:numId="24" w16cid:durableId="77676561">
    <w:abstractNumId w:val="17"/>
  </w:num>
  <w:num w:numId="25" w16cid:durableId="799805619">
    <w:abstractNumId w:val="11"/>
  </w:num>
  <w:num w:numId="26" w16cid:durableId="1469933530">
    <w:abstractNumId w:val="32"/>
  </w:num>
  <w:num w:numId="27" w16cid:durableId="471143754">
    <w:abstractNumId w:val="21"/>
  </w:num>
  <w:num w:numId="28" w16cid:durableId="2136604711">
    <w:abstractNumId w:val="16"/>
  </w:num>
  <w:num w:numId="29" w16cid:durableId="1451390215">
    <w:abstractNumId w:val="45"/>
  </w:num>
  <w:num w:numId="30" w16cid:durableId="1848323570">
    <w:abstractNumId w:val="36"/>
  </w:num>
  <w:num w:numId="31" w16cid:durableId="1881626608">
    <w:abstractNumId w:val="42"/>
  </w:num>
  <w:num w:numId="32" w16cid:durableId="912276933">
    <w:abstractNumId w:val="43"/>
  </w:num>
  <w:num w:numId="33" w16cid:durableId="176241153">
    <w:abstractNumId w:val="14"/>
  </w:num>
  <w:num w:numId="34" w16cid:durableId="125391348">
    <w:abstractNumId w:val="46"/>
  </w:num>
  <w:num w:numId="35" w16cid:durableId="793641619">
    <w:abstractNumId w:val="27"/>
  </w:num>
  <w:num w:numId="36" w16cid:durableId="50809327">
    <w:abstractNumId w:val="10"/>
  </w:num>
  <w:num w:numId="37" w16cid:durableId="1701541412">
    <w:abstractNumId w:val="39"/>
  </w:num>
  <w:num w:numId="38" w16cid:durableId="1057514342">
    <w:abstractNumId w:val="22"/>
  </w:num>
  <w:num w:numId="39" w16cid:durableId="468323569">
    <w:abstractNumId w:val="18"/>
  </w:num>
  <w:num w:numId="40" w16cid:durableId="676538941">
    <w:abstractNumId w:val="24"/>
  </w:num>
  <w:num w:numId="41" w16cid:durableId="2047173671">
    <w:abstractNumId w:val="38"/>
  </w:num>
  <w:num w:numId="42" w16cid:durableId="590624857">
    <w:abstractNumId w:val="49"/>
  </w:num>
  <w:num w:numId="43" w16cid:durableId="2015764878">
    <w:abstractNumId w:val="41"/>
  </w:num>
  <w:num w:numId="44" w16cid:durableId="448747115">
    <w:abstractNumId w:val="30"/>
  </w:num>
  <w:num w:numId="45" w16cid:durableId="1957056193">
    <w:abstractNumId w:val="37"/>
  </w:num>
  <w:num w:numId="46" w16cid:durableId="519127755">
    <w:abstractNumId w:val="47"/>
  </w:num>
  <w:num w:numId="47" w16cid:durableId="646669280">
    <w:abstractNumId w:val="13"/>
  </w:num>
  <w:num w:numId="48" w16cid:durableId="766121424">
    <w:abstractNumId w:val="48"/>
  </w:num>
  <w:num w:numId="49" w16cid:durableId="248657709">
    <w:abstractNumId w:val="21"/>
  </w:num>
  <w:num w:numId="50" w16cid:durableId="1127816772">
    <w:abstractNumId w:val="21"/>
  </w:num>
  <w:num w:numId="51" w16cid:durableId="902714681">
    <w:abstractNumId w:val="21"/>
  </w:num>
  <w:num w:numId="52" w16cid:durableId="1120297210">
    <w:abstractNumId w:val="20"/>
  </w:num>
  <w:num w:numId="53" w16cid:durableId="694044809">
    <w:abstractNumId w:val="12"/>
  </w:num>
  <w:num w:numId="54" w16cid:durableId="1631201935">
    <w:abstractNumId w:val="21"/>
  </w:num>
  <w:num w:numId="55" w16cid:durableId="520358451">
    <w:abstractNumId w:val="2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119"/>
    <w:rsid w:val="00014411"/>
    <w:rsid w:val="00053D75"/>
    <w:rsid w:val="00107AA1"/>
    <w:rsid w:val="00150E41"/>
    <w:rsid w:val="001875AF"/>
    <w:rsid w:val="00192AB5"/>
    <w:rsid w:val="00235E40"/>
    <w:rsid w:val="00261999"/>
    <w:rsid w:val="002A61A1"/>
    <w:rsid w:val="002C7CB5"/>
    <w:rsid w:val="00321CCB"/>
    <w:rsid w:val="003A4FDC"/>
    <w:rsid w:val="003B267F"/>
    <w:rsid w:val="003E1401"/>
    <w:rsid w:val="003F1205"/>
    <w:rsid w:val="00411077"/>
    <w:rsid w:val="00487F67"/>
    <w:rsid w:val="00491210"/>
    <w:rsid w:val="00521119"/>
    <w:rsid w:val="005217C6"/>
    <w:rsid w:val="00554E3D"/>
    <w:rsid w:val="00590894"/>
    <w:rsid w:val="005B672A"/>
    <w:rsid w:val="0069665B"/>
    <w:rsid w:val="00721116"/>
    <w:rsid w:val="0079319E"/>
    <w:rsid w:val="00862E48"/>
    <w:rsid w:val="008E3FAE"/>
    <w:rsid w:val="009069E4"/>
    <w:rsid w:val="00925D9E"/>
    <w:rsid w:val="009E209B"/>
    <w:rsid w:val="00C50B97"/>
    <w:rsid w:val="00CE1BF8"/>
    <w:rsid w:val="00D07EA2"/>
    <w:rsid w:val="00D209CB"/>
    <w:rsid w:val="00E56DFB"/>
    <w:rsid w:val="00E758F4"/>
    <w:rsid w:val="00EE200C"/>
    <w:rsid w:val="488C27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0BDD5"/>
  <w14:discardImageEditingData/>
  <w14:defaultImageDpi w14:val="96"/>
  <w15:docId w15:val="{BB247BE2-B2AA-4FDD-BBC6-73DB7D2C7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7E1"/>
    <w:pPr>
      <w:spacing w:after="120"/>
    </w:pPr>
    <w:rPr>
      <w:rFonts w:ascii="Arial" w:hAnsi="Arial" w:cs="Arial"/>
      <w:szCs w:val="24"/>
      <w:lang w:eastAsia="en-US"/>
    </w:rPr>
  </w:style>
  <w:style w:type="paragraph" w:styleId="Heading1">
    <w:name w:val="heading 1"/>
    <w:basedOn w:val="Normal"/>
    <w:next w:val="Normal"/>
    <w:link w:val="Heading1Char"/>
    <w:uiPriority w:val="99"/>
    <w:qFormat/>
    <w:rsid w:val="00787349"/>
    <w:pPr>
      <w:spacing w:after="600" w:line="460" w:lineRule="atLeast"/>
      <w:outlineLvl w:val="0"/>
    </w:pPr>
    <w:rPr>
      <w:b/>
      <w:color w:val="00B2A9" w:themeColor="accent1"/>
      <w:sz w:val="32"/>
      <w:szCs w:val="32"/>
      <w:lang w:val="en-US"/>
    </w:rPr>
  </w:style>
  <w:style w:type="paragraph" w:styleId="Heading2">
    <w:name w:val="heading 2"/>
    <w:basedOn w:val="Normal"/>
    <w:next w:val="Normal"/>
    <w:qFormat/>
    <w:rsid w:val="00D01B22"/>
    <w:pPr>
      <w:spacing w:before="360" w:after="113" w:line="300" w:lineRule="atLeast"/>
      <w:outlineLvl w:val="1"/>
    </w:pPr>
    <w:rPr>
      <w:b/>
      <w:color w:val="2E1E66" w:themeColor="accent3" w:themeTint="E6"/>
      <w:sz w:val="28"/>
    </w:rPr>
  </w:style>
  <w:style w:type="paragraph" w:styleId="Heading3">
    <w:name w:val="heading 3"/>
    <w:basedOn w:val="Normal"/>
    <w:next w:val="Normal"/>
    <w:link w:val="Heading3Char"/>
    <w:qFormat/>
    <w:rsid w:val="005F1F7F"/>
    <w:pPr>
      <w:keepNext/>
      <w:keepLines/>
      <w:spacing w:before="360" w:after="240" w:line="220" w:lineRule="atLeast"/>
      <w:outlineLvl w:val="2"/>
    </w:pPr>
    <w:rPr>
      <w:rFonts w:eastAsia="Arial"/>
      <w:b/>
      <w:sz w:val="24"/>
    </w:rPr>
  </w:style>
  <w:style w:type="paragraph" w:styleId="Heading4">
    <w:name w:val="heading 4"/>
    <w:basedOn w:val="Normal"/>
    <w:next w:val="Normal"/>
    <w:link w:val="Heading4Char"/>
    <w:qFormat/>
    <w:rsid w:val="0015103C"/>
    <w:pPr>
      <w:keepNext/>
      <w:keepLines/>
      <w:spacing w:before="240" w:line="220" w:lineRule="atLeast"/>
      <w:outlineLvl w:val="3"/>
    </w:pPr>
    <w:rPr>
      <w:rFonts w:eastAsia="Arial"/>
      <w:b/>
      <w:sz w:val="22"/>
    </w:rPr>
  </w:style>
  <w:style w:type="paragraph" w:styleId="Heading5">
    <w:name w:val="heading 5"/>
    <w:basedOn w:val="Heading4"/>
    <w:next w:val="Normal"/>
    <w:link w:val="Heading5Char"/>
    <w:rsid w:val="00177CFF"/>
    <w:pPr>
      <w:outlineLvl w:val="4"/>
    </w:pPr>
    <w:rPr>
      <w:b w:val="0"/>
      <w:bCs/>
      <w:i/>
      <w:iCs/>
      <w:szCs w:val="26"/>
    </w:rPr>
  </w:style>
  <w:style w:type="paragraph" w:styleId="Heading6">
    <w:name w:val="heading 6"/>
    <w:aliases w:val="App 2"/>
    <w:basedOn w:val="Normal"/>
    <w:next w:val="Normal"/>
    <w:rsid w:val="00F968EA"/>
    <w:pPr>
      <w:numPr>
        <w:ilvl w:val="5"/>
        <w:numId w:val="47"/>
      </w:numPr>
      <w:spacing w:before="240" w:after="60"/>
      <w:outlineLvl w:val="5"/>
    </w:pPr>
    <w:rPr>
      <w:b/>
      <w:bCs/>
      <w:szCs w:val="22"/>
    </w:rPr>
  </w:style>
  <w:style w:type="paragraph" w:styleId="Heading7">
    <w:name w:val="heading 7"/>
    <w:aliases w:val="App 3"/>
    <w:basedOn w:val="Normal"/>
    <w:next w:val="Normal"/>
    <w:rsid w:val="00F968EA"/>
    <w:pPr>
      <w:numPr>
        <w:ilvl w:val="6"/>
        <w:numId w:val="47"/>
      </w:numPr>
      <w:spacing w:before="240" w:after="60"/>
      <w:outlineLvl w:val="6"/>
    </w:pPr>
  </w:style>
  <w:style w:type="paragraph" w:styleId="Heading8">
    <w:name w:val="heading 8"/>
    <w:aliases w:val="App 4"/>
    <w:basedOn w:val="Normal"/>
    <w:next w:val="Normal"/>
    <w:rsid w:val="00F968EA"/>
    <w:pPr>
      <w:numPr>
        <w:ilvl w:val="7"/>
        <w:numId w:val="47"/>
      </w:numPr>
      <w:spacing w:before="240" w:after="60"/>
      <w:outlineLvl w:val="7"/>
    </w:pPr>
    <w:rPr>
      <w:i/>
      <w:iCs/>
    </w:rPr>
  </w:style>
  <w:style w:type="paragraph" w:styleId="Heading9">
    <w:name w:val="heading 9"/>
    <w:basedOn w:val="Normal"/>
    <w:next w:val="Normal"/>
    <w:rsid w:val="00F968EA"/>
    <w:pPr>
      <w:numPr>
        <w:ilvl w:val="8"/>
        <w:numId w:val="47"/>
      </w:num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rtHFWhite">
    <w:name w:val="_CertHFWhite"/>
    <w:semiHidden/>
    <w:rsid w:val="005211F6"/>
    <w:pPr>
      <w:spacing w:line="400" w:lineRule="atLeast"/>
    </w:pPr>
    <w:rPr>
      <w:rFonts w:ascii="Arial" w:hAnsi="Arial" w:cs="Arial"/>
      <w:color w:val="FFFFFF"/>
      <w:sz w:val="28"/>
      <w:lang w:eastAsia="en-US"/>
    </w:rPr>
  </w:style>
  <w:style w:type="paragraph" w:customStyle="1" w:styleId="Bullet2">
    <w:name w:val="_Bullet2"/>
    <w:basedOn w:val="Bullet"/>
    <w:rsid w:val="00F968EA"/>
    <w:pPr>
      <w:numPr>
        <w:ilvl w:val="1"/>
        <w:numId w:val="32"/>
      </w:numPr>
      <w:tabs>
        <w:tab w:val="clear" w:pos="170"/>
      </w:tabs>
    </w:pPr>
  </w:style>
  <w:style w:type="paragraph" w:styleId="Header">
    <w:name w:val="header"/>
    <w:basedOn w:val="Normal"/>
    <w:rsid w:val="00E90924"/>
    <w:pPr>
      <w:tabs>
        <w:tab w:val="center" w:pos="4320"/>
        <w:tab w:val="right" w:pos="8640"/>
      </w:tabs>
    </w:pPr>
  </w:style>
  <w:style w:type="paragraph" w:styleId="Footer">
    <w:name w:val="footer"/>
    <w:basedOn w:val="Normal"/>
    <w:link w:val="FooterChar"/>
    <w:uiPriority w:val="99"/>
    <w:rsid w:val="00E90924"/>
    <w:pPr>
      <w:tabs>
        <w:tab w:val="center" w:pos="4320"/>
        <w:tab w:val="right" w:pos="8640"/>
      </w:tabs>
    </w:pPr>
  </w:style>
  <w:style w:type="paragraph" w:customStyle="1" w:styleId="Bullet">
    <w:name w:val="_Bullet"/>
    <w:link w:val="BulletChar"/>
    <w:rsid w:val="00F968EA"/>
    <w:pPr>
      <w:numPr>
        <w:numId w:val="24"/>
      </w:numPr>
      <w:tabs>
        <w:tab w:val="clear" w:pos="720"/>
        <w:tab w:val="left" w:pos="170"/>
      </w:tabs>
      <w:spacing w:after="113" w:line="220" w:lineRule="atLeast"/>
    </w:pPr>
    <w:rPr>
      <w:rFonts w:ascii="Calibri" w:hAnsi="Calibri" w:cs="Arial"/>
      <w:sz w:val="22"/>
      <w:szCs w:val="24"/>
      <w:lang w:eastAsia="en-US"/>
    </w:rPr>
  </w:style>
  <w:style w:type="character" w:customStyle="1" w:styleId="BulletChar">
    <w:name w:val="_Bullet Char"/>
    <w:link w:val="Bullet"/>
    <w:rsid w:val="00F968EA"/>
    <w:rPr>
      <w:rFonts w:ascii="Calibri" w:hAnsi="Calibri" w:cs="Arial"/>
      <w:sz w:val="22"/>
      <w:szCs w:val="24"/>
      <w:lang w:eastAsia="en-US"/>
    </w:rPr>
  </w:style>
  <w:style w:type="paragraph" w:customStyle="1" w:styleId="Caption">
    <w:name w:val="_Caption"/>
    <w:rsid w:val="00F968EA"/>
    <w:pPr>
      <w:spacing w:before="120" w:after="120" w:line="170" w:lineRule="atLeast"/>
    </w:pPr>
    <w:rPr>
      <w:rFonts w:ascii="Calibri" w:hAnsi="Calibri" w:cs="Arial"/>
      <w:b/>
      <w:color w:val="404040"/>
      <w:lang w:eastAsia="en-US"/>
    </w:rPr>
  </w:style>
  <w:style w:type="paragraph" w:customStyle="1" w:styleId="CertHA">
    <w:name w:val="_CertHA"/>
    <w:semiHidden/>
    <w:rsid w:val="00801A56"/>
    <w:pPr>
      <w:spacing w:line="1172" w:lineRule="atLeast"/>
    </w:pPr>
    <w:rPr>
      <w:rFonts w:ascii="Arial" w:hAnsi="Arial" w:cs="Arial"/>
      <w:color w:val="F58426"/>
      <w:sz w:val="96"/>
      <w:lang w:eastAsia="en-US"/>
    </w:rPr>
  </w:style>
  <w:style w:type="paragraph" w:customStyle="1" w:styleId="CertHAWhite">
    <w:name w:val="_CertHAWhite"/>
    <w:semiHidden/>
    <w:rsid w:val="004578FA"/>
    <w:pPr>
      <w:spacing w:line="1172" w:lineRule="exact"/>
    </w:pPr>
    <w:rPr>
      <w:rFonts w:ascii="Arial" w:hAnsi="Arial" w:cs="Arial"/>
      <w:color w:val="FFFFFF"/>
      <w:sz w:val="96"/>
      <w:lang w:eastAsia="en-US"/>
    </w:rPr>
  </w:style>
  <w:style w:type="paragraph" w:customStyle="1" w:styleId="CertHB">
    <w:name w:val="_CertHB"/>
    <w:semiHidden/>
    <w:rsid w:val="00801A56"/>
    <w:pPr>
      <w:spacing w:line="720" w:lineRule="atLeast"/>
    </w:pPr>
    <w:rPr>
      <w:rFonts w:ascii="Arial" w:hAnsi="Arial" w:cs="Arial"/>
      <w:color w:val="F58426"/>
      <w:sz w:val="72"/>
      <w:lang w:eastAsia="en-US"/>
    </w:rPr>
  </w:style>
  <w:style w:type="paragraph" w:customStyle="1" w:styleId="CertHBWhite">
    <w:name w:val="_CertHBWhite"/>
    <w:semiHidden/>
    <w:rsid w:val="00F101D6"/>
    <w:pPr>
      <w:spacing w:line="720" w:lineRule="atLeast"/>
    </w:pPr>
    <w:rPr>
      <w:rFonts w:ascii="Arial" w:hAnsi="Arial" w:cs="Arial"/>
      <w:color w:val="FFFFFF"/>
      <w:sz w:val="72"/>
      <w:lang w:eastAsia="en-US"/>
    </w:rPr>
  </w:style>
  <w:style w:type="paragraph" w:customStyle="1" w:styleId="CertHC">
    <w:name w:val="_CertHC"/>
    <w:link w:val="CertHCChar"/>
    <w:semiHidden/>
    <w:rsid w:val="00801A56"/>
    <w:pPr>
      <w:spacing w:line="600" w:lineRule="atLeast"/>
    </w:pPr>
    <w:rPr>
      <w:rFonts w:ascii="Arial" w:hAnsi="Arial" w:cs="Arial"/>
      <w:color w:val="F58426"/>
      <w:sz w:val="52"/>
      <w:lang w:eastAsia="en-US"/>
    </w:rPr>
  </w:style>
  <w:style w:type="character" w:customStyle="1" w:styleId="CertHCChar">
    <w:name w:val="_CertHC Char"/>
    <w:link w:val="CertHC"/>
    <w:semiHidden/>
    <w:rsid w:val="00801A56"/>
    <w:rPr>
      <w:rFonts w:ascii="Arial" w:hAnsi="Arial" w:cs="Arial"/>
      <w:color w:val="F58426"/>
      <w:sz w:val="52"/>
      <w:szCs w:val="24"/>
      <w:lang w:eastAsia="en-US"/>
    </w:rPr>
  </w:style>
  <w:style w:type="paragraph" w:customStyle="1" w:styleId="CertHCWhite">
    <w:name w:val="_CertHCWhite"/>
    <w:semiHidden/>
    <w:rsid w:val="004578FA"/>
    <w:pPr>
      <w:spacing w:line="600" w:lineRule="atLeast"/>
    </w:pPr>
    <w:rPr>
      <w:rFonts w:ascii="Arial" w:hAnsi="Arial" w:cs="Arial"/>
      <w:color w:val="FFFFFF"/>
      <w:sz w:val="52"/>
      <w:lang w:eastAsia="en-US"/>
    </w:rPr>
  </w:style>
  <w:style w:type="paragraph" w:customStyle="1" w:styleId="CertHD">
    <w:name w:val="_CertHD"/>
    <w:link w:val="CertHDChar"/>
    <w:semiHidden/>
    <w:rsid w:val="00801A56"/>
    <w:pPr>
      <w:spacing w:line="440" w:lineRule="atLeast"/>
    </w:pPr>
    <w:rPr>
      <w:rFonts w:ascii="Arial" w:hAnsi="Arial" w:cs="Arial"/>
      <w:color w:val="F58426"/>
      <w:sz w:val="36"/>
      <w:lang w:eastAsia="en-US"/>
    </w:rPr>
  </w:style>
  <w:style w:type="character" w:customStyle="1" w:styleId="CertHDChar">
    <w:name w:val="_CertHD Char"/>
    <w:link w:val="CertHD"/>
    <w:semiHidden/>
    <w:rsid w:val="00801A56"/>
    <w:rPr>
      <w:rFonts w:ascii="Arial" w:hAnsi="Arial" w:cs="Arial"/>
      <w:color w:val="F58426"/>
      <w:sz w:val="36"/>
      <w:szCs w:val="24"/>
      <w:lang w:eastAsia="en-US"/>
    </w:rPr>
  </w:style>
  <w:style w:type="paragraph" w:customStyle="1" w:styleId="CertHDWhite">
    <w:name w:val="_CertHDWhite"/>
    <w:semiHidden/>
    <w:rsid w:val="004578FA"/>
    <w:pPr>
      <w:spacing w:line="440" w:lineRule="atLeast"/>
    </w:pPr>
    <w:rPr>
      <w:rFonts w:ascii="Arial" w:hAnsi="Arial" w:cs="Arial"/>
      <w:color w:val="FFFFFF"/>
      <w:sz w:val="36"/>
      <w:lang w:eastAsia="en-US"/>
    </w:rPr>
  </w:style>
  <w:style w:type="paragraph" w:customStyle="1" w:styleId="CertHE">
    <w:name w:val="_CertHE"/>
    <w:link w:val="CertHEChar"/>
    <w:semiHidden/>
    <w:rsid w:val="00801A56"/>
    <w:pPr>
      <w:spacing w:line="520" w:lineRule="atLeast"/>
    </w:pPr>
    <w:rPr>
      <w:rFonts w:ascii="Arial" w:hAnsi="Arial" w:cs="Arial"/>
      <w:color w:val="F58426"/>
      <w:sz w:val="32"/>
      <w:lang w:eastAsia="en-US"/>
    </w:rPr>
  </w:style>
  <w:style w:type="character" w:customStyle="1" w:styleId="CertHEChar">
    <w:name w:val="_CertHE Char"/>
    <w:link w:val="CertHE"/>
    <w:semiHidden/>
    <w:rsid w:val="00801A56"/>
    <w:rPr>
      <w:rFonts w:ascii="Arial" w:hAnsi="Arial" w:cs="Arial"/>
      <w:color w:val="F58426"/>
      <w:sz w:val="32"/>
      <w:szCs w:val="24"/>
      <w:lang w:eastAsia="en-US"/>
    </w:rPr>
  </w:style>
  <w:style w:type="paragraph" w:customStyle="1" w:styleId="CertHEWhite">
    <w:name w:val="_CertHEWhite"/>
    <w:semiHidden/>
    <w:rsid w:val="004578FA"/>
    <w:pPr>
      <w:spacing w:line="520" w:lineRule="atLeast"/>
    </w:pPr>
    <w:rPr>
      <w:rFonts w:ascii="Arial" w:hAnsi="Arial" w:cs="Arial"/>
      <w:color w:val="FFFFFF"/>
      <w:sz w:val="32"/>
      <w:lang w:eastAsia="en-US"/>
    </w:rPr>
  </w:style>
  <w:style w:type="paragraph" w:customStyle="1" w:styleId="CertYr">
    <w:name w:val="_CertYr"/>
    <w:semiHidden/>
    <w:rsid w:val="00801A56"/>
    <w:pPr>
      <w:spacing w:line="1440" w:lineRule="atLeast"/>
    </w:pPr>
    <w:rPr>
      <w:rFonts w:ascii="Arial" w:hAnsi="Arial" w:cs="Arial"/>
      <w:b/>
      <w:color w:val="F58426"/>
      <w:sz w:val="124"/>
      <w:lang w:eastAsia="en-US"/>
    </w:rPr>
  </w:style>
  <w:style w:type="paragraph" w:styleId="BalloonText">
    <w:name w:val="Balloon Text"/>
    <w:basedOn w:val="Normal"/>
    <w:link w:val="BalloonTextChar"/>
    <w:semiHidden/>
    <w:rsid w:val="00E90924"/>
    <w:rPr>
      <w:rFonts w:ascii="Tahoma" w:hAnsi="Tahoma" w:cs="Tahoma"/>
      <w:sz w:val="16"/>
      <w:szCs w:val="16"/>
    </w:rPr>
  </w:style>
  <w:style w:type="paragraph" w:styleId="BodyText">
    <w:name w:val="Body Text"/>
    <w:basedOn w:val="Normal"/>
    <w:link w:val="BodyTextChar"/>
    <w:unhideWhenUsed/>
    <w:rsid w:val="00772526"/>
  </w:style>
  <w:style w:type="character" w:customStyle="1" w:styleId="BodyTextChar">
    <w:name w:val="Body Text Char"/>
    <w:basedOn w:val="DefaultParagraphFont"/>
    <w:link w:val="BodyText"/>
    <w:rsid w:val="00772526"/>
    <w:rPr>
      <w:rFonts w:ascii="Arial" w:hAnsi="Arial" w:cs="Arial"/>
      <w:szCs w:val="24"/>
      <w:lang w:eastAsia="en-US"/>
    </w:rPr>
  </w:style>
  <w:style w:type="paragraph" w:customStyle="1" w:styleId="Pullout">
    <w:name w:val="_Pullout"/>
    <w:rsid w:val="00CB33BB"/>
    <w:pPr>
      <w:spacing w:before="85" w:after="170" w:line="300" w:lineRule="atLeast"/>
    </w:pPr>
    <w:rPr>
      <w:rFonts w:ascii="Calibri" w:hAnsi="Calibri" w:cs="Arial"/>
      <w:color w:val="228591"/>
      <w:lang w:eastAsia="en-US"/>
    </w:rPr>
  </w:style>
  <w:style w:type="paragraph" w:customStyle="1" w:styleId="TblBllt">
    <w:name w:val="_TblBllt"/>
    <w:basedOn w:val="Tablebodytext"/>
    <w:uiPriority w:val="1"/>
    <w:rsid w:val="00F968EA"/>
    <w:pPr>
      <w:numPr>
        <w:numId w:val="33"/>
      </w:numPr>
    </w:pPr>
  </w:style>
  <w:style w:type="paragraph" w:customStyle="1" w:styleId="Tablebodytext">
    <w:name w:val="Table body text"/>
    <w:uiPriority w:val="1"/>
    <w:qFormat/>
    <w:rsid w:val="004A4F57"/>
    <w:pPr>
      <w:spacing w:before="80" w:after="60"/>
    </w:pPr>
    <w:rPr>
      <w:rFonts w:ascii="Arial" w:hAnsi="Arial" w:cs="Arial"/>
      <w:szCs w:val="24"/>
      <w:lang w:eastAsia="en-US"/>
    </w:rPr>
  </w:style>
  <w:style w:type="paragraph" w:customStyle="1" w:styleId="Tableheadingtext">
    <w:name w:val="Table heading text"/>
    <w:qFormat/>
    <w:rsid w:val="00660BBC"/>
    <w:pPr>
      <w:spacing w:before="60" w:after="60" w:line="230" w:lineRule="atLeast"/>
    </w:pPr>
    <w:rPr>
      <w:rFonts w:ascii="Arial" w:hAnsi="Arial" w:cs="Arial"/>
      <w:b/>
      <w:color w:val="FFFFFF" w:themeColor="background1"/>
      <w:szCs w:val="24"/>
      <w:lang w:eastAsia="en-US"/>
    </w:rPr>
  </w:style>
  <w:style w:type="numbering" w:styleId="111111">
    <w:name w:val="Outline List 2"/>
    <w:basedOn w:val="NoList"/>
    <w:semiHidden/>
    <w:rsid w:val="004578FA"/>
    <w:pPr>
      <w:numPr>
        <w:numId w:val="13"/>
      </w:numPr>
    </w:pPr>
  </w:style>
  <w:style w:type="numbering" w:styleId="1ai">
    <w:name w:val="Outline List 1"/>
    <w:basedOn w:val="NoList"/>
    <w:semiHidden/>
    <w:rsid w:val="004578FA"/>
    <w:pPr>
      <w:numPr>
        <w:numId w:val="12"/>
      </w:numPr>
    </w:pPr>
  </w:style>
  <w:style w:type="numbering" w:styleId="ArticleSection">
    <w:name w:val="Outline List 3"/>
    <w:basedOn w:val="NoList"/>
    <w:semiHidden/>
    <w:rsid w:val="004578FA"/>
    <w:pPr>
      <w:numPr>
        <w:numId w:val="15"/>
      </w:numPr>
    </w:pPr>
  </w:style>
  <w:style w:type="paragraph" w:styleId="BlockText">
    <w:name w:val="Block Text"/>
    <w:basedOn w:val="Normal"/>
    <w:semiHidden/>
    <w:rsid w:val="004578FA"/>
    <w:pPr>
      <w:ind w:left="1440" w:right="1440"/>
    </w:pPr>
  </w:style>
  <w:style w:type="paragraph" w:styleId="BodyText2">
    <w:name w:val="Body Text 2"/>
    <w:basedOn w:val="Normal"/>
    <w:semiHidden/>
    <w:rsid w:val="004578FA"/>
    <w:pPr>
      <w:spacing w:line="480" w:lineRule="auto"/>
    </w:pPr>
  </w:style>
  <w:style w:type="paragraph" w:styleId="BodyText3">
    <w:name w:val="Body Text 3"/>
    <w:basedOn w:val="Normal"/>
    <w:semiHidden/>
    <w:rsid w:val="004578FA"/>
    <w:rPr>
      <w:sz w:val="16"/>
      <w:szCs w:val="16"/>
    </w:rPr>
  </w:style>
  <w:style w:type="paragraph" w:styleId="BodyTextFirstIndent">
    <w:name w:val="Body Text First Indent"/>
    <w:basedOn w:val="Normal"/>
    <w:semiHidden/>
    <w:rsid w:val="007D16B0"/>
    <w:pPr>
      <w:ind w:firstLine="210"/>
    </w:pPr>
  </w:style>
  <w:style w:type="paragraph" w:styleId="BodyTextIndent">
    <w:name w:val="Body Text Indent"/>
    <w:basedOn w:val="Normal"/>
    <w:semiHidden/>
    <w:rsid w:val="004578FA"/>
    <w:pPr>
      <w:ind w:left="283"/>
    </w:pPr>
  </w:style>
  <w:style w:type="paragraph" w:styleId="BodyTextFirstIndent2">
    <w:name w:val="Body Text First Indent 2"/>
    <w:basedOn w:val="BodyTextIndent"/>
    <w:semiHidden/>
    <w:rsid w:val="004578FA"/>
    <w:pPr>
      <w:ind w:firstLine="210"/>
    </w:pPr>
  </w:style>
  <w:style w:type="paragraph" w:styleId="BodyTextIndent2">
    <w:name w:val="Body Text Indent 2"/>
    <w:basedOn w:val="Normal"/>
    <w:semiHidden/>
    <w:rsid w:val="004578FA"/>
    <w:pPr>
      <w:spacing w:line="480" w:lineRule="auto"/>
      <w:ind w:left="283"/>
    </w:pPr>
  </w:style>
  <w:style w:type="paragraph" w:styleId="BodyTextIndent3">
    <w:name w:val="Body Text Indent 3"/>
    <w:basedOn w:val="Normal"/>
    <w:semiHidden/>
    <w:rsid w:val="004578FA"/>
    <w:pPr>
      <w:ind w:left="283"/>
    </w:pPr>
    <w:rPr>
      <w:sz w:val="16"/>
      <w:szCs w:val="16"/>
    </w:rPr>
  </w:style>
  <w:style w:type="paragraph" w:styleId="Closing">
    <w:name w:val="Closing"/>
    <w:basedOn w:val="Normal"/>
    <w:semiHidden/>
    <w:rsid w:val="004578FA"/>
    <w:pPr>
      <w:ind w:left="4252"/>
    </w:pPr>
  </w:style>
  <w:style w:type="paragraph" w:styleId="Date">
    <w:name w:val="Date"/>
    <w:basedOn w:val="Normal"/>
    <w:next w:val="Normal"/>
    <w:semiHidden/>
    <w:rsid w:val="004578FA"/>
  </w:style>
  <w:style w:type="paragraph" w:styleId="E-mailSignature">
    <w:name w:val="E-mail Signature"/>
    <w:basedOn w:val="Normal"/>
    <w:semiHidden/>
    <w:rsid w:val="004578FA"/>
  </w:style>
  <w:style w:type="character" w:styleId="Emphasis">
    <w:name w:val="Emphasis"/>
    <w:uiPriority w:val="20"/>
    <w:rsid w:val="00F968EA"/>
    <w:rPr>
      <w:i/>
      <w:iCs/>
    </w:rPr>
  </w:style>
  <w:style w:type="paragraph" w:styleId="EnvelopeAddress">
    <w:name w:val="envelope address"/>
    <w:basedOn w:val="Normal"/>
    <w:semiHidden/>
    <w:rsid w:val="004578FA"/>
    <w:pPr>
      <w:framePr w:w="7920" w:h="1980" w:hRule="exact" w:hSpace="180" w:wrap="auto" w:hAnchor="page" w:xAlign="center" w:yAlign="bottom"/>
      <w:ind w:left="2880"/>
    </w:pPr>
  </w:style>
  <w:style w:type="paragraph" w:styleId="EnvelopeReturn">
    <w:name w:val="envelope return"/>
    <w:basedOn w:val="Normal"/>
    <w:semiHidden/>
    <w:rsid w:val="004578FA"/>
    <w:rPr>
      <w:szCs w:val="20"/>
    </w:rPr>
  </w:style>
  <w:style w:type="character" w:styleId="FollowedHyperlink">
    <w:name w:val="FollowedHyperlink"/>
    <w:semiHidden/>
    <w:rsid w:val="004578FA"/>
    <w:rPr>
      <w:color w:val="800080"/>
      <w:u w:val="single"/>
    </w:rPr>
  </w:style>
  <w:style w:type="character" w:styleId="HTMLAcronym">
    <w:name w:val="HTML Acronym"/>
    <w:basedOn w:val="DefaultParagraphFont"/>
    <w:semiHidden/>
    <w:rsid w:val="004578FA"/>
  </w:style>
  <w:style w:type="paragraph" w:styleId="HTMLAddress">
    <w:name w:val="HTML Address"/>
    <w:basedOn w:val="Normal"/>
    <w:semiHidden/>
    <w:rsid w:val="004578FA"/>
    <w:rPr>
      <w:i/>
      <w:iCs/>
    </w:rPr>
  </w:style>
  <w:style w:type="character" w:styleId="HTMLCite">
    <w:name w:val="HTML Cite"/>
    <w:semiHidden/>
    <w:rsid w:val="004578FA"/>
    <w:rPr>
      <w:i/>
      <w:iCs/>
    </w:rPr>
  </w:style>
  <w:style w:type="character" w:styleId="HTMLCode">
    <w:name w:val="HTML Code"/>
    <w:semiHidden/>
    <w:rsid w:val="004578FA"/>
    <w:rPr>
      <w:rFonts w:ascii="Courier New" w:hAnsi="Courier New" w:cs="Courier New"/>
      <w:sz w:val="20"/>
      <w:szCs w:val="20"/>
    </w:rPr>
  </w:style>
  <w:style w:type="character" w:styleId="HTMLDefinition">
    <w:name w:val="HTML Definition"/>
    <w:semiHidden/>
    <w:rsid w:val="004578FA"/>
    <w:rPr>
      <w:i/>
      <w:iCs/>
    </w:rPr>
  </w:style>
  <w:style w:type="character" w:styleId="HTMLKeyboard">
    <w:name w:val="HTML Keyboard"/>
    <w:semiHidden/>
    <w:rsid w:val="004578FA"/>
    <w:rPr>
      <w:rFonts w:ascii="Courier New" w:hAnsi="Courier New" w:cs="Courier New"/>
      <w:sz w:val="20"/>
      <w:szCs w:val="20"/>
    </w:rPr>
  </w:style>
  <w:style w:type="paragraph" w:styleId="HTMLPreformatted">
    <w:name w:val="HTML Preformatted"/>
    <w:basedOn w:val="Normal"/>
    <w:rsid w:val="00E90924"/>
    <w:rPr>
      <w:rFonts w:ascii="Courier New" w:hAnsi="Courier New" w:cs="Courier New"/>
      <w:szCs w:val="20"/>
    </w:rPr>
  </w:style>
  <w:style w:type="character" w:styleId="HTMLSample">
    <w:name w:val="HTML Sample"/>
    <w:semiHidden/>
    <w:rsid w:val="004578FA"/>
    <w:rPr>
      <w:rFonts w:ascii="Courier New" w:hAnsi="Courier New" w:cs="Courier New"/>
    </w:rPr>
  </w:style>
  <w:style w:type="character" w:styleId="HTMLTypewriter">
    <w:name w:val="HTML Typewriter"/>
    <w:semiHidden/>
    <w:rsid w:val="004578FA"/>
    <w:rPr>
      <w:rFonts w:ascii="Courier New" w:hAnsi="Courier New" w:cs="Courier New"/>
      <w:sz w:val="20"/>
      <w:szCs w:val="20"/>
    </w:rPr>
  </w:style>
  <w:style w:type="character" w:styleId="HTMLVariable">
    <w:name w:val="HTML Variable"/>
    <w:semiHidden/>
    <w:rsid w:val="004578FA"/>
    <w:rPr>
      <w:i/>
      <w:iCs/>
    </w:rPr>
  </w:style>
  <w:style w:type="character" w:styleId="Hyperlink">
    <w:name w:val="Hyperlink"/>
    <w:uiPriority w:val="99"/>
    <w:rsid w:val="000675CA"/>
    <w:rPr>
      <w:rFonts w:ascii="Arial" w:hAnsi="Arial"/>
      <w:color w:val="0000FF"/>
      <w:u w:val="single"/>
    </w:rPr>
  </w:style>
  <w:style w:type="character" w:styleId="LineNumber">
    <w:name w:val="line number"/>
    <w:basedOn w:val="DefaultParagraphFont"/>
    <w:semiHidden/>
    <w:rsid w:val="004578FA"/>
  </w:style>
  <w:style w:type="paragraph" w:styleId="List">
    <w:name w:val="List"/>
    <w:basedOn w:val="Normal"/>
    <w:semiHidden/>
    <w:rsid w:val="004578FA"/>
    <w:pPr>
      <w:ind w:left="283" w:hanging="283"/>
    </w:pPr>
  </w:style>
  <w:style w:type="paragraph" w:styleId="List2">
    <w:name w:val="List 2"/>
    <w:basedOn w:val="Normal"/>
    <w:semiHidden/>
    <w:rsid w:val="004578FA"/>
    <w:pPr>
      <w:ind w:left="566" w:hanging="283"/>
    </w:pPr>
  </w:style>
  <w:style w:type="paragraph" w:styleId="List3">
    <w:name w:val="List 3"/>
    <w:basedOn w:val="Normal"/>
    <w:semiHidden/>
    <w:rsid w:val="004578FA"/>
    <w:pPr>
      <w:ind w:left="849" w:hanging="283"/>
    </w:pPr>
  </w:style>
  <w:style w:type="paragraph" w:styleId="List4">
    <w:name w:val="List 4"/>
    <w:basedOn w:val="Normal"/>
    <w:semiHidden/>
    <w:rsid w:val="004578FA"/>
    <w:pPr>
      <w:ind w:left="1132" w:hanging="283"/>
    </w:pPr>
  </w:style>
  <w:style w:type="paragraph" w:styleId="List5">
    <w:name w:val="List 5"/>
    <w:basedOn w:val="Normal"/>
    <w:semiHidden/>
    <w:rsid w:val="004578FA"/>
    <w:pPr>
      <w:ind w:left="1415" w:hanging="283"/>
    </w:pPr>
  </w:style>
  <w:style w:type="paragraph" w:styleId="ListBullet">
    <w:name w:val="List Bullet"/>
    <w:basedOn w:val="Normal"/>
    <w:semiHidden/>
    <w:rsid w:val="004578FA"/>
    <w:pPr>
      <w:numPr>
        <w:numId w:val="14"/>
      </w:numPr>
    </w:pPr>
  </w:style>
  <w:style w:type="paragraph" w:styleId="ListBullet2">
    <w:name w:val="List Bullet 2"/>
    <w:basedOn w:val="Normal"/>
    <w:semiHidden/>
    <w:rsid w:val="004578FA"/>
    <w:pPr>
      <w:numPr>
        <w:numId w:val="15"/>
      </w:numPr>
    </w:pPr>
  </w:style>
  <w:style w:type="paragraph" w:styleId="ListBullet3">
    <w:name w:val="List Bullet 3"/>
    <w:basedOn w:val="Normal"/>
    <w:semiHidden/>
    <w:rsid w:val="004578FA"/>
    <w:pPr>
      <w:numPr>
        <w:numId w:val="16"/>
      </w:numPr>
    </w:pPr>
  </w:style>
  <w:style w:type="paragraph" w:styleId="ListBullet4">
    <w:name w:val="List Bullet 4"/>
    <w:basedOn w:val="Normal"/>
    <w:semiHidden/>
    <w:rsid w:val="004578FA"/>
    <w:pPr>
      <w:numPr>
        <w:numId w:val="17"/>
      </w:numPr>
    </w:pPr>
  </w:style>
  <w:style w:type="paragraph" w:styleId="ListBullet5">
    <w:name w:val="List Bullet 5"/>
    <w:basedOn w:val="Normal"/>
    <w:semiHidden/>
    <w:rsid w:val="004578FA"/>
    <w:pPr>
      <w:numPr>
        <w:numId w:val="18"/>
      </w:numPr>
    </w:pPr>
  </w:style>
  <w:style w:type="paragraph" w:styleId="ListContinue">
    <w:name w:val="List Continue"/>
    <w:basedOn w:val="Normal"/>
    <w:semiHidden/>
    <w:rsid w:val="004578FA"/>
    <w:pPr>
      <w:ind w:left="283"/>
    </w:pPr>
  </w:style>
  <w:style w:type="paragraph" w:styleId="ListContinue2">
    <w:name w:val="List Continue 2"/>
    <w:basedOn w:val="Normal"/>
    <w:semiHidden/>
    <w:rsid w:val="004578FA"/>
    <w:pPr>
      <w:ind w:left="566"/>
    </w:pPr>
  </w:style>
  <w:style w:type="paragraph" w:styleId="ListContinue3">
    <w:name w:val="List Continue 3"/>
    <w:basedOn w:val="Normal"/>
    <w:semiHidden/>
    <w:rsid w:val="004578FA"/>
    <w:pPr>
      <w:ind w:left="849"/>
    </w:pPr>
  </w:style>
  <w:style w:type="paragraph" w:styleId="ListContinue4">
    <w:name w:val="List Continue 4"/>
    <w:basedOn w:val="Normal"/>
    <w:semiHidden/>
    <w:rsid w:val="004578FA"/>
    <w:pPr>
      <w:ind w:left="1132"/>
    </w:pPr>
  </w:style>
  <w:style w:type="paragraph" w:styleId="ListContinue5">
    <w:name w:val="List Continue 5"/>
    <w:basedOn w:val="Normal"/>
    <w:semiHidden/>
    <w:rsid w:val="004578FA"/>
    <w:pPr>
      <w:ind w:left="1415"/>
    </w:pPr>
  </w:style>
  <w:style w:type="paragraph" w:styleId="ListNumber">
    <w:name w:val="List Number"/>
    <w:basedOn w:val="Normal"/>
    <w:semiHidden/>
    <w:rsid w:val="004578FA"/>
    <w:pPr>
      <w:numPr>
        <w:numId w:val="19"/>
      </w:numPr>
    </w:pPr>
  </w:style>
  <w:style w:type="paragraph" w:styleId="ListNumber2">
    <w:name w:val="List Number 2"/>
    <w:basedOn w:val="Normal"/>
    <w:semiHidden/>
    <w:rsid w:val="004578FA"/>
    <w:pPr>
      <w:numPr>
        <w:numId w:val="20"/>
      </w:numPr>
    </w:pPr>
  </w:style>
  <w:style w:type="paragraph" w:styleId="ListNumber3">
    <w:name w:val="List Number 3"/>
    <w:basedOn w:val="Normal"/>
    <w:semiHidden/>
    <w:rsid w:val="004578FA"/>
    <w:pPr>
      <w:numPr>
        <w:numId w:val="21"/>
      </w:numPr>
    </w:pPr>
  </w:style>
  <w:style w:type="paragraph" w:styleId="ListNumber4">
    <w:name w:val="List Number 4"/>
    <w:basedOn w:val="Normal"/>
    <w:semiHidden/>
    <w:rsid w:val="004578FA"/>
    <w:pPr>
      <w:numPr>
        <w:numId w:val="22"/>
      </w:numPr>
    </w:pPr>
  </w:style>
  <w:style w:type="paragraph" w:styleId="ListNumber5">
    <w:name w:val="List Number 5"/>
    <w:basedOn w:val="Normal"/>
    <w:semiHidden/>
    <w:rsid w:val="004578FA"/>
    <w:pPr>
      <w:numPr>
        <w:numId w:val="23"/>
      </w:numPr>
    </w:pPr>
  </w:style>
  <w:style w:type="paragraph" w:styleId="MessageHeader">
    <w:name w:val="Message Header"/>
    <w:basedOn w:val="Normal"/>
    <w:semiHidden/>
    <w:rsid w:val="004578FA"/>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Web">
    <w:name w:val="Normal (Web)"/>
    <w:basedOn w:val="Normal"/>
    <w:uiPriority w:val="99"/>
    <w:rsid w:val="00E90924"/>
  </w:style>
  <w:style w:type="paragraph" w:styleId="NormalIndent">
    <w:name w:val="Normal Indent"/>
    <w:basedOn w:val="Normal"/>
    <w:semiHidden/>
    <w:rsid w:val="004578FA"/>
    <w:pPr>
      <w:ind w:left="720"/>
    </w:pPr>
  </w:style>
  <w:style w:type="paragraph" w:styleId="NoteHeading">
    <w:name w:val="Note Heading"/>
    <w:basedOn w:val="Normal"/>
    <w:next w:val="Normal"/>
    <w:semiHidden/>
    <w:rsid w:val="004578FA"/>
  </w:style>
  <w:style w:type="character" w:styleId="PageNumber">
    <w:name w:val="page number"/>
    <w:basedOn w:val="DefaultParagraphFont"/>
    <w:rsid w:val="004578FA"/>
  </w:style>
  <w:style w:type="paragraph" w:styleId="PlainText">
    <w:name w:val="Plain Text"/>
    <w:basedOn w:val="Normal"/>
    <w:semiHidden/>
    <w:rsid w:val="004578FA"/>
    <w:rPr>
      <w:rFonts w:ascii="Courier New" w:hAnsi="Courier New" w:cs="Courier New"/>
      <w:szCs w:val="20"/>
    </w:rPr>
  </w:style>
  <w:style w:type="paragraph" w:styleId="Salutation">
    <w:name w:val="Salutation"/>
    <w:basedOn w:val="Normal"/>
    <w:next w:val="Normal"/>
    <w:semiHidden/>
    <w:rsid w:val="004578FA"/>
  </w:style>
  <w:style w:type="paragraph" w:styleId="Signature">
    <w:name w:val="Signature"/>
    <w:basedOn w:val="Normal"/>
    <w:semiHidden/>
    <w:rsid w:val="004578FA"/>
    <w:pPr>
      <w:ind w:left="4252"/>
    </w:pPr>
  </w:style>
  <w:style w:type="character" w:styleId="Strong">
    <w:name w:val="Strong"/>
    <w:rsid w:val="00F968EA"/>
    <w:rPr>
      <w:b/>
      <w:bCs/>
    </w:rPr>
  </w:style>
  <w:style w:type="paragraph" w:styleId="Subtitle">
    <w:name w:val="Subtitle"/>
    <w:basedOn w:val="Title"/>
    <w:link w:val="SubtitleChar"/>
    <w:rsid w:val="00477B29"/>
    <w:pPr>
      <w:spacing w:before="240"/>
    </w:pPr>
    <w:rPr>
      <w:sz w:val="32"/>
      <w:szCs w:val="32"/>
    </w:rPr>
  </w:style>
  <w:style w:type="table" w:styleId="Table3Deffects1">
    <w:name w:val="Table 3D effects 1"/>
    <w:basedOn w:val="TableNormal"/>
    <w:semiHidden/>
    <w:rsid w:val="004578F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78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78F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578F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578F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578F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578F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578F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578F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578F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578F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578F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578F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578F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578F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578F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578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578F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578F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578F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578F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578F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578F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578F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578F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578F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578F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578F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578F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578F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578F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578F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578F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578F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578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578F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578F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uiPriority w:val="10"/>
    <w:qFormat/>
    <w:rsid w:val="001653FA"/>
    <w:pPr>
      <w:spacing w:after="60"/>
      <w:ind w:left="2268"/>
      <w:jc w:val="right"/>
      <w:outlineLvl w:val="0"/>
    </w:pPr>
    <w:rPr>
      <w:b/>
      <w:bCs/>
      <w:color w:val="FFFFFF" w:themeColor="background1"/>
      <w:kern w:val="28"/>
      <w:sz w:val="48"/>
      <w:szCs w:val="48"/>
    </w:rPr>
  </w:style>
  <w:style w:type="paragraph" w:customStyle="1" w:styleId="zHeader">
    <w:name w:val="_zHeader"/>
    <w:uiPriority w:val="99"/>
    <w:semiHidden/>
    <w:rsid w:val="0025127D"/>
    <w:rPr>
      <w:lang w:eastAsia="en-US"/>
    </w:rPr>
  </w:style>
  <w:style w:type="character" w:customStyle="1" w:styleId="zRptPgNum">
    <w:name w:val="_zRptPgNum"/>
    <w:uiPriority w:val="99"/>
    <w:rsid w:val="0090189E"/>
    <w:rPr>
      <w:rFonts w:ascii="Calibri" w:hAnsi="Calibri"/>
      <w:color w:val="228591"/>
      <w:sz w:val="16"/>
    </w:rPr>
  </w:style>
  <w:style w:type="paragraph" w:styleId="FootnoteText">
    <w:name w:val="footnote text"/>
    <w:basedOn w:val="Normal"/>
    <w:link w:val="FootnoteTextChar"/>
    <w:rsid w:val="006E23EB"/>
    <w:pPr>
      <w:spacing w:after="85" w:line="170" w:lineRule="atLeast"/>
      <w:ind w:left="142" w:hanging="142"/>
    </w:pPr>
    <w:rPr>
      <w:sz w:val="16"/>
      <w:szCs w:val="20"/>
    </w:rPr>
  </w:style>
  <w:style w:type="character" w:styleId="FootnoteReference">
    <w:name w:val="footnote reference"/>
    <w:rsid w:val="00E90924"/>
    <w:rPr>
      <w:rFonts w:ascii="Arial" w:hAnsi="Arial"/>
      <w:vertAlign w:val="superscript"/>
    </w:rPr>
  </w:style>
  <w:style w:type="paragraph" w:styleId="DocumentMap">
    <w:name w:val="Document Map"/>
    <w:basedOn w:val="Normal"/>
    <w:rsid w:val="00E90924"/>
    <w:pPr>
      <w:shd w:val="clear" w:color="auto" w:fill="000080"/>
    </w:pPr>
    <w:rPr>
      <w:rFonts w:ascii="Tahoma" w:hAnsi="Tahoma" w:cs="Tahoma"/>
      <w:szCs w:val="20"/>
    </w:rPr>
  </w:style>
  <w:style w:type="paragraph" w:styleId="TOC2">
    <w:name w:val="toc 2"/>
    <w:basedOn w:val="Normal"/>
    <w:next w:val="Normal"/>
    <w:autoRedefine/>
    <w:uiPriority w:val="39"/>
    <w:rsid w:val="00A95B76"/>
    <w:pPr>
      <w:tabs>
        <w:tab w:val="left" w:pos="567"/>
        <w:tab w:val="right" w:pos="9629"/>
      </w:tabs>
      <w:spacing w:after="60"/>
    </w:pPr>
    <w:rPr>
      <w:b/>
      <w:bCs/>
      <w:noProof/>
      <w:color w:val="00B2A9" w:themeColor="accent1"/>
      <w:szCs w:val="20"/>
      <w:lang w:eastAsia="en-AU"/>
    </w:rPr>
  </w:style>
  <w:style w:type="paragraph" w:styleId="TOC1">
    <w:name w:val="toc 1"/>
    <w:basedOn w:val="Normal"/>
    <w:next w:val="Normal"/>
    <w:uiPriority w:val="39"/>
    <w:rsid w:val="0071429D"/>
    <w:pPr>
      <w:pBdr>
        <w:bottom w:val="dotted" w:sz="12" w:space="3" w:color="228591"/>
        <w:between w:val="dotted" w:sz="12" w:space="1" w:color="228591"/>
      </w:pBdr>
      <w:tabs>
        <w:tab w:val="left" w:pos="567"/>
        <w:tab w:val="right" w:pos="9629"/>
      </w:tabs>
      <w:spacing w:before="320"/>
      <w:contextualSpacing/>
    </w:pPr>
    <w:rPr>
      <w:b/>
      <w:noProof/>
      <w:color w:val="00B2A9" w:themeColor="accent1"/>
      <w:lang w:val="en-US"/>
    </w:rPr>
  </w:style>
  <w:style w:type="paragraph" w:styleId="TOC3">
    <w:name w:val="toc 3"/>
    <w:basedOn w:val="Normal"/>
    <w:next w:val="Normal"/>
    <w:autoRedefine/>
    <w:uiPriority w:val="39"/>
    <w:rsid w:val="007672D8"/>
    <w:pPr>
      <w:tabs>
        <w:tab w:val="left" w:pos="1276"/>
        <w:tab w:val="right" w:pos="9629"/>
      </w:tabs>
      <w:ind w:left="567"/>
    </w:pPr>
    <w:rPr>
      <w:b/>
      <w:bCs/>
      <w:noProof/>
      <w:color w:val="00B2A9" w:themeColor="accent1"/>
    </w:rPr>
  </w:style>
  <w:style w:type="paragraph" w:customStyle="1" w:styleId="TOCtitle">
    <w:name w:val="TOC title"/>
    <w:basedOn w:val="Heading1"/>
    <w:next w:val="TOC1"/>
    <w:rsid w:val="00243764"/>
  </w:style>
  <w:style w:type="paragraph" w:customStyle="1" w:styleId="Accessibilitytext">
    <w:name w:val="Accessibility text"/>
    <w:basedOn w:val="Normal"/>
    <w:rsid w:val="007D16B0"/>
    <w:pPr>
      <w:framePr w:hSpace="180" w:wrap="around" w:vAnchor="page" w:hAnchor="margin" w:y="5521"/>
      <w:autoSpaceDE w:val="0"/>
      <w:autoSpaceDN w:val="0"/>
      <w:adjustRightInd w:val="0"/>
      <w:spacing w:after="200" w:line="276" w:lineRule="auto"/>
    </w:pPr>
    <w:rPr>
      <w:rFonts w:eastAsia="Calibri"/>
      <w:sz w:val="28"/>
      <w:szCs w:val="28"/>
    </w:rPr>
  </w:style>
  <w:style w:type="table" w:customStyle="1" w:styleId="DSETable">
    <w:name w:val="DSE_Table"/>
    <w:basedOn w:val="TableGrid"/>
    <w:rsid w:val="001E5CCD"/>
    <w:tblPr>
      <w:tblStyleRowBandSize w:val="1"/>
      <w:tblStyleColBandSize w:val="1"/>
      <w:tblInd w:w="108" w:type="dxa"/>
    </w:tblPr>
    <w:tblStylePr w:type="firstRow">
      <w:rPr>
        <w:rFonts w:ascii="Arial" w:hAnsi="Arial"/>
      </w:rPr>
      <w:tblPr/>
      <w:tcPr>
        <w:shd w:val="clear" w:color="auto" w:fill="A5DBD6"/>
      </w:tcPr>
    </w:tblStylePr>
    <w:tblStylePr w:type="lastRow">
      <w:tblPr/>
      <w:tcPr>
        <w:tcBorders>
          <w:bottom w:val="single" w:sz="4" w:space="0" w:color="3BBEB4"/>
        </w:tcBorders>
      </w:tcPr>
    </w:tblStylePr>
    <w:tblStylePr w:type="firstCol">
      <w:tblPr/>
      <w:tcPr>
        <w:shd w:val="clear" w:color="auto" w:fill="ECF7F6"/>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style>
  <w:style w:type="character" w:customStyle="1" w:styleId="zFtrBold">
    <w:name w:val="_zFtrBold"/>
    <w:uiPriority w:val="99"/>
    <w:rsid w:val="00DC7F99"/>
    <w:rPr>
      <w:rFonts w:ascii="Calibri" w:hAnsi="Calibri"/>
      <w:b/>
      <w:sz w:val="20"/>
    </w:rPr>
  </w:style>
  <w:style w:type="character" w:customStyle="1" w:styleId="BalloonTextChar">
    <w:name w:val="Balloon Text Char"/>
    <w:link w:val="BalloonText"/>
    <w:semiHidden/>
    <w:rsid w:val="00DC1725"/>
    <w:rPr>
      <w:rFonts w:ascii="Tahoma" w:hAnsi="Tahoma" w:cs="Tahoma"/>
      <w:sz w:val="16"/>
      <w:szCs w:val="16"/>
      <w:lang w:eastAsia="en-US"/>
    </w:rPr>
  </w:style>
  <w:style w:type="character" w:styleId="CommentReference">
    <w:name w:val="annotation reference"/>
    <w:uiPriority w:val="99"/>
    <w:rsid w:val="00E90924"/>
    <w:rPr>
      <w:sz w:val="16"/>
      <w:szCs w:val="16"/>
    </w:rPr>
  </w:style>
  <w:style w:type="paragraph" w:styleId="CommentText">
    <w:name w:val="annotation text"/>
    <w:basedOn w:val="Normal"/>
    <w:link w:val="CommentTextChar"/>
    <w:uiPriority w:val="99"/>
    <w:rsid w:val="00E90924"/>
    <w:rPr>
      <w:szCs w:val="20"/>
    </w:rPr>
  </w:style>
  <w:style w:type="character" w:customStyle="1" w:styleId="CommentTextChar">
    <w:name w:val="Comment Text Char"/>
    <w:link w:val="CommentText"/>
    <w:uiPriority w:val="99"/>
    <w:rsid w:val="00DC1725"/>
    <w:rPr>
      <w:rFonts w:ascii="Calibri" w:hAnsi="Calibri"/>
      <w:sz w:val="22"/>
      <w:szCs w:val="20"/>
      <w:lang w:eastAsia="en-US"/>
    </w:rPr>
  </w:style>
  <w:style w:type="paragraph" w:styleId="CommentSubject">
    <w:name w:val="annotation subject"/>
    <w:basedOn w:val="CommentText"/>
    <w:next w:val="CommentText"/>
    <w:link w:val="CommentSubjectChar"/>
    <w:semiHidden/>
    <w:rsid w:val="00E90924"/>
    <w:rPr>
      <w:b/>
      <w:bCs/>
    </w:rPr>
  </w:style>
  <w:style w:type="character" w:customStyle="1" w:styleId="CommentSubjectChar">
    <w:name w:val="Comment Subject Char"/>
    <w:link w:val="CommentSubject"/>
    <w:semiHidden/>
    <w:rsid w:val="00DC1725"/>
    <w:rPr>
      <w:rFonts w:ascii="Calibri" w:hAnsi="Calibri"/>
      <w:b/>
      <w:bCs/>
      <w:sz w:val="22"/>
      <w:szCs w:val="20"/>
      <w:lang w:eastAsia="en-US"/>
    </w:rPr>
  </w:style>
  <w:style w:type="table" w:customStyle="1" w:styleId="DELWPTable">
    <w:name w:val="DELWP_Table"/>
    <w:basedOn w:val="TableNormal"/>
    <w:uiPriority w:val="99"/>
    <w:rsid w:val="005B531E"/>
    <w:tblPr>
      <w:tblInd w:w="108" w:type="dxa"/>
      <w:tblBorders>
        <w:bottom w:val="single" w:sz="4" w:space="0" w:color="00B2A9" w:themeColor="accent1"/>
        <w:insideH w:val="single" w:sz="4" w:space="0" w:color="00B2A9" w:themeColor="accent1"/>
      </w:tblBorders>
    </w:tblPr>
    <w:tblStylePr w:type="firstRow">
      <w:tblPr/>
      <w:tcPr>
        <w:tcBorders>
          <w:top w:val="nil"/>
          <w:left w:val="nil"/>
          <w:bottom w:val="nil"/>
          <w:right w:val="nil"/>
          <w:insideH w:val="nil"/>
          <w:insideV w:val="nil"/>
          <w:tl2br w:val="nil"/>
          <w:tr2bl w:val="nil"/>
        </w:tcBorders>
        <w:shd w:val="clear" w:color="auto" w:fill="00B2A9" w:themeFill="accent1"/>
      </w:tcPr>
    </w:tblStylePr>
  </w:style>
  <w:style w:type="paragraph" w:customStyle="1" w:styleId="ImprintText">
    <w:name w:val="_ImprintText"/>
    <w:uiPriority w:val="9"/>
    <w:rsid w:val="00DC7F99"/>
    <w:pPr>
      <w:spacing w:after="85" w:line="170" w:lineRule="atLeast"/>
    </w:pPr>
    <w:rPr>
      <w:rFonts w:ascii="Calibri" w:hAnsi="Calibri" w:cs="Arial"/>
      <w:sz w:val="16"/>
      <w:szCs w:val="14"/>
      <w:lang w:eastAsia="en-US"/>
    </w:rPr>
  </w:style>
  <w:style w:type="character" w:styleId="SubtleEmphasis">
    <w:name w:val="Subtle Emphasis"/>
    <w:basedOn w:val="DefaultParagraphFont"/>
    <w:uiPriority w:val="19"/>
    <w:rsid w:val="00F968EA"/>
    <w:rPr>
      <w:rFonts w:ascii="Calibri" w:hAnsi="Calibri"/>
      <w:i/>
      <w:iCs/>
      <w:color w:val="9C9A98" w:themeColor="text1" w:themeTint="7F"/>
    </w:rPr>
  </w:style>
  <w:style w:type="character" w:styleId="IntenseEmphasis">
    <w:name w:val="Intense Emphasis"/>
    <w:basedOn w:val="DefaultParagraphFont"/>
    <w:uiPriority w:val="21"/>
    <w:rsid w:val="00F968EA"/>
    <w:rPr>
      <w:rFonts w:ascii="Calibri" w:hAnsi="Calibri"/>
      <w:b/>
      <w:bCs/>
      <w:i/>
      <w:iCs/>
      <w:color w:val="228591"/>
    </w:rPr>
  </w:style>
  <w:style w:type="character" w:styleId="BookTitle">
    <w:name w:val="Book Title"/>
    <w:basedOn w:val="DefaultParagraphFont"/>
    <w:uiPriority w:val="33"/>
    <w:rsid w:val="00F968EA"/>
    <w:rPr>
      <w:rFonts w:ascii="Calibri" w:hAnsi="Calibri"/>
      <w:b/>
      <w:bCs/>
      <w:smallCaps/>
      <w:spacing w:val="5"/>
    </w:rPr>
  </w:style>
  <w:style w:type="paragraph" w:customStyle="1" w:styleId="Backpagewebaddress">
    <w:name w:val="Back page web address"/>
    <w:basedOn w:val="Subtitle"/>
    <w:rsid w:val="007B1750"/>
    <w:pPr>
      <w:ind w:left="0"/>
      <w:jc w:val="left"/>
    </w:pPr>
  </w:style>
  <w:style w:type="paragraph" w:customStyle="1" w:styleId="Authorscover">
    <w:name w:val="Authors cover"/>
    <w:basedOn w:val="Subtitle"/>
    <w:rsid w:val="00660BBC"/>
    <w:pPr>
      <w:ind w:left="993"/>
    </w:pPr>
  </w:style>
  <w:style w:type="paragraph" w:customStyle="1" w:styleId="Frontcoverauthors">
    <w:name w:val="Front cover authors"/>
    <w:basedOn w:val="Normal"/>
    <w:rsid w:val="0019280B"/>
    <w:pPr>
      <w:keepNext/>
      <w:autoSpaceDE w:val="0"/>
      <w:autoSpaceDN w:val="0"/>
      <w:adjustRightInd w:val="0"/>
      <w:spacing w:before="40" w:after="40"/>
      <w:outlineLvl w:val="0"/>
    </w:pPr>
    <w:rPr>
      <w:rFonts w:ascii="Tahoma" w:hAnsi="Tahoma" w:cs="Tahoma"/>
      <w:bCs/>
      <w:color w:val="FFFFFF"/>
      <w:kern w:val="32"/>
      <w:sz w:val="36"/>
      <w:szCs w:val="32"/>
      <w:lang w:eastAsia="en-AU"/>
    </w:rPr>
  </w:style>
  <w:style w:type="paragraph" w:customStyle="1" w:styleId="Frontcoverreportseries">
    <w:name w:val="Front cover report series"/>
    <w:basedOn w:val="Normal"/>
    <w:rsid w:val="0019280B"/>
    <w:pPr>
      <w:keepNext/>
      <w:autoSpaceDE w:val="0"/>
      <w:autoSpaceDN w:val="0"/>
      <w:adjustRightInd w:val="0"/>
      <w:spacing w:before="240" w:after="240"/>
      <w:outlineLvl w:val="0"/>
    </w:pPr>
    <w:rPr>
      <w:rFonts w:ascii="Tahoma" w:hAnsi="Tahoma" w:cs="Tahoma"/>
      <w:bCs/>
      <w:color w:val="FFFFFF"/>
      <w:kern w:val="32"/>
      <w:sz w:val="24"/>
      <w:szCs w:val="32"/>
      <w:lang w:eastAsia="en-AU"/>
    </w:rPr>
  </w:style>
  <w:style w:type="paragraph" w:customStyle="1" w:styleId="imprint">
    <w:name w:val="imprint"/>
    <w:basedOn w:val="Normal"/>
    <w:rsid w:val="00980E26"/>
    <w:pPr>
      <w:spacing w:after="80" w:line="220" w:lineRule="exact"/>
    </w:pPr>
    <w:rPr>
      <w:rFonts w:ascii="Times New Roman" w:hAnsi="Times New Roman"/>
      <w:sz w:val="18"/>
      <w:lang w:eastAsia="en-AU"/>
    </w:rPr>
  </w:style>
  <w:style w:type="character" w:customStyle="1" w:styleId="st">
    <w:name w:val="st"/>
    <w:rsid w:val="00DB3335"/>
  </w:style>
  <w:style w:type="character" w:customStyle="1" w:styleId="Heading5Char">
    <w:name w:val="Heading 5 Char"/>
    <w:link w:val="Heading5"/>
    <w:locked/>
    <w:rsid w:val="00177CFF"/>
    <w:rPr>
      <w:rFonts w:ascii="Arial" w:hAnsi="Arial" w:cs="Arial"/>
      <w:bCs/>
      <w:i/>
      <w:iCs/>
      <w:sz w:val="22"/>
      <w:szCs w:val="26"/>
      <w:lang w:eastAsia="en-US"/>
    </w:rPr>
  </w:style>
  <w:style w:type="paragraph" w:styleId="ListParagraph">
    <w:name w:val="List Paragraph"/>
    <w:aliases w:val="Bullet 1,Bullet list,Recommendation,Bullet point,L,List Paragraph - bullets,List Paragraph1,List Paragraph11,Dot Point,Indented Bullet Solid,bullet point list,List Paragraph Number,List Bullet Cab,CAB - List Bullet,figure text numbered"/>
    <w:basedOn w:val="Normal"/>
    <w:link w:val="ListParagraphChar"/>
    <w:uiPriority w:val="34"/>
    <w:qFormat/>
    <w:rsid w:val="00F968EA"/>
    <w:pPr>
      <w:spacing w:line="270" w:lineRule="exact"/>
      <w:ind w:left="720"/>
      <w:contextualSpacing/>
    </w:pPr>
    <w:rPr>
      <w:rFonts w:ascii="Times New Roman" w:hAnsi="Times New Roman"/>
      <w:lang w:eastAsia="en-AU"/>
    </w:rPr>
  </w:style>
  <w:style w:type="character" w:customStyle="1" w:styleId="FootnoteTextChar">
    <w:name w:val="Footnote Text Char"/>
    <w:link w:val="FootnoteText"/>
    <w:locked/>
    <w:rsid w:val="006E23EB"/>
    <w:rPr>
      <w:rFonts w:ascii="Arial" w:hAnsi="Arial" w:cs="Arial"/>
      <w:sz w:val="16"/>
      <w:lang w:eastAsia="en-US"/>
    </w:rPr>
  </w:style>
  <w:style w:type="paragraph" w:customStyle="1" w:styleId="Tabletext">
    <w:name w:val="Table text"/>
    <w:basedOn w:val="Normal"/>
    <w:rsid w:val="00E90924"/>
    <w:pPr>
      <w:spacing w:before="40" w:after="160" w:line="220" w:lineRule="exact"/>
    </w:pPr>
    <w:rPr>
      <w:rFonts w:ascii="Tahoma" w:hAnsi="Tahoma"/>
      <w:sz w:val="24"/>
      <w:szCs w:val="22"/>
      <w:lang w:eastAsia="en-AU"/>
    </w:rPr>
  </w:style>
  <w:style w:type="paragraph" w:styleId="Revision">
    <w:name w:val="Revision"/>
    <w:hidden/>
    <w:uiPriority w:val="99"/>
    <w:semiHidden/>
    <w:rsid w:val="00E90924"/>
    <w:rPr>
      <w:rFonts w:ascii="Calibri" w:hAnsi="Calibri"/>
      <w:sz w:val="22"/>
      <w:lang w:eastAsia="en-US"/>
    </w:rPr>
  </w:style>
  <w:style w:type="paragraph" w:customStyle="1" w:styleId="Titlepage3">
    <w:name w:val="Title page 3"/>
    <w:basedOn w:val="Heading3"/>
    <w:rsid w:val="00DA7D7F"/>
    <w:pPr>
      <w:spacing w:before="80" w:after="480" w:line="240" w:lineRule="exact"/>
      <w:jc w:val="center"/>
    </w:pPr>
    <w:rPr>
      <w:rFonts w:ascii="Tahoma" w:hAnsi="Tahoma"/>
      <w:b w:val="0"/>
      <w:sz w:val="20"/>
      <w:szCs w:val="22"/>
      <w:lang w:eastAsia="en-AU"/>
    </w:rPr>
  </w:style>
  <w:style w:type="paragraph" w:customStyle="1" w:styleId="Titlepage1">
    <w:name w:val="Title page 1"/>
    <w:basedOn w:val="Heading5"/>
    <w:rsid w:val="00DA7D7F"/>
    <w:pPr>
      <w:spacing w:before="0" w:after="720" w:line="360" w:lineRule="exact"/>
      <w:jc w:val="center"/>
    </w:pPr>
    <w:rPr>
      <w:rFonts w:ascii="Tahoma" w:hAnsi="Tahoma"/>
      <w:i w:val="0"/>
      <w:sz w:val="32"/>
      <w:lang w:eastAsia="en-AU"/>
    </w:rPr>
  </w:style>
  <w:style w:type="paragraph" w:customStyle="1" w:styleId="Titlepage2">
    <w:name w:val="Title page 2"/>
    <w:basedOn w:val="Heading2"/>
    <w:rsid w:val="00DA7D7F"/>
    <w:pPr>
      <w:spacing w:before="160" w:after="1200" w:line="280" w:lineRule="exact"/>
      <w:jc w:val="center"/>
    </w:pPr>
    <w:rPr>
      <w:rFonts w:ascii="Tahoma" w:hAnsi="Tahoma"/>
      <w:b w:val="0"/>
      <w:i/>
      <w:sz w:val="24"/>
      <w:lang w:eastAsia="en-AU"/>
    </w:rPr>
  </w:style>
  <w:style w:type="character" w:customStyle="1" w:styleId="kno-fv-vq">
    <w:name w:val="kno-fv-vq"/>
    <w:rsid w:val="00FD346A"/>
  </w:style>
  <w:style w:type="paragraph" w:customStyle="1" w:styleId="references">
    <w:name w:val="references"/>
    <w:basedOn w:val="Normal"/>
    <w:rsid w:val="00C27B6E"/>
    <w:pPr>
      <w:spacing w:line="270" w:lineRule="exact"/>
      <w:ind w:left="709" w:hanging="709"/>
    </w:pPr>
    <w:rPr>
      <w:rFonts w:ascii="Times New Roman" w:hAnsi="Times New Roman"/>
      <w:lang w:eastAsia="en-AU"/>
    </w:rPr>
  </w:style>
  <w:style w:type="paragraph" w:styleId="Caption0">
    <w:name w:val="caption"/>
    <w:aliases w:val="CDM B/Caption,Table Caption,TABLE,Char,Item,Caption table,Caption Char Char Char Char,Caption1 Char Char,Caption Char Char,Caption Char Char Char Char Char Char Char,Caption Char1,Caption Char Char Char Char1,Caption1 Char Char1,It"/>
    <w:basedOn w:val="Normal"/>
    <w:next w:val="Normal"/>
    <w:link w:val="CaptionChar"/>
    <w:uiPriority w:val="35"/>
    <w:unhideWhenUsed/>
    <w:qFormat/>
    <w:rsid w:val="00F968EA"/>
    <w:pPr>
      <w:spacing w:after="200"/>
    </w:pPr>
    <w:rPr>
      <w:b/>
      <w:bCs/>
      <w:color w:val="00B2A9" w:themeColor="accent1"/>
      <w:sz w:val="18"/>
      <w:szCs w:val="18"/>
    </w:rPr>
  </w:style>
  <w:style w:type="paragraph" w:customStyle="1" w:styleId="Bullets">
    <w:name w:val="Bullets"/>
    <w:basedOn w:val="Normal"/>
    <w:rsid w:val="004C23B0"/>
    <w:pPr>
      <w:numPr>
        <w:numId w:val="25"/>
      </w:numPr>
      <w:tabs>
        <w:tab w:val="clear" w:pos="397"/>
        <w:tab w:val="left" w:pos="284"/>
        <w:tab w:val="num" w:pos="1492"/>
      </w:tabs>
      <w:spacing w:after="60" w:line="270" w:lineRule="exact"/>
    </w:pPr>
    <w:rPr>
      <w:rFonts w:ascii="Times New Roman" w:hAnsi="Times New Roman"/>
      <w:szCs w:val="20"/>
      <w:lang w:eastAsia="en-AU"/>
    </w:rPr>
  </w:style>
  <w:style w:type="paragraph" w:styleId="TOC4">
    <w:name w:val="toc 4"/>
    <w:basedOn w:val="Normal"/>
    <w:next w:val="Normal"/>
    <w:autoRedefine/>
    <w:uiPriority w:val="39"/>
    <w:rsid w:val="001D2FBB"/>
    <w:pPr>
      <w:ind w:left="660"/>
    </w:pPr>
  </w:style>
  <w:style w:type="paragraph" w:styleId="TOC5">
    <w:name w:val="toc 5"/>
    <w:basedOn w:val="Normal"/>
    <w:next w:val="Normal"/>
    <w:autoRedefine/>
    <w:uiPriority w:val="39"/>
    <w:rsid w:val="001D2FBB"/>
    <w:pPr>
      <w:ind w:left="880"/>
    </w:pPr>
  </w:style>
  <w:style w:type="paragraph" w:styleId="TOC6">
    <w:name w:val="toc 6"/>
    <w:basedOn w:val="Normal"/>
    <w:next w:val="Normal"/>
    <w:autoRedefine/>
    <w:uiPriority w:val="39"/>
    <w:rsid w:val="001D2FBB"/>
    <w:pPr>
      <w:ind w:left="1100"/>
    </w:pPr>
  </w:style>
  <w:style w:type="paragraph" w:styleId="TOC7">
    <w:name w:val="toc 7"/>
    <w:basedOn w:val="Normal"/>
    <w:next w:val="Normal"/>
    <w:autoRedefine/>
    <w:uiPriority w:val="39"/>
    <w:rsid w:val="001D2FBB"/>
    <w:pPr>
      <w:ind w:left="1320"/>
    </w:pPr>
  </w:style>
  <w:style w:type="paragraph" w:styleId="TOC8">
    <w:name w:val="toc 8"/>
    <w:basedOn w:val="Normal"/>
    <w:next w:val="Normal"/>
    <w:autoRedefine/>
    <w:uiPriority w:val="39"/>
    <w:rsid w:val="001D2FBB"/>
    <w:pPr>
      <w:ind w:left="1540"/>
    </w:pPr>
  </w:style>
  <w:style w:type="paragraph" w:styleId="TOC9">
    <w:name w:val="toc 9"/>
    <w:basedOn w:val="Normal"/>
    <w:next w:val="Normal"/>
    <w:autoRedefine/>
    <w:uiPriority w:val="39"/>
    <w:rsid w:val="001D2FBB"/>
    <w:pPr>
      <w:ind w:left="1760"/>
    </w:pPr>
  </w:style>
  <w:style w:type="paragraph" w:styleId="TableofFigures">
    <w:name w:val="table of figures"/>
    <w:basedOn w:val="Normal"/>
    <w:next w:val="Normal"/>
    <w:uiPriority w:val="99"/>
    <w:rsid w:val="00150BD2"/>
    <w:pPr>
      <w:tabs>
        <w:tab w:val="right" w:leader="dot" w:pos="9629"/>
      </w:tabs>
      <w:spacing w:line="360" w:lineRule="auto"/>
      <w:ind w:left="720" w:hanging="720"/>
    </w:pPr>
    <w:rPr>
      <w:noProof/>
      <w:szCs w:val="20"/>
    </w:rPr>
  </w:style>
  <w:style w:type="paragraph" w:customStyle="1" w:styleId="Bullets-Last">
    <w:name w:val="Bullets - Last"/>
    <w:basedOn w:val="Bullets"/>
    <w:rsid w:val="00E90924"/>
    <w:pPr>
      <w:numPr>
        <w:numId w:val="12"/>
      </w:numPr>
      <w:tabs>
        <w:tab w:val="clear" w:pos="360"/>
        <w:tab w:val="num" w:pos="1492"/>
      </w:tabs>
      <w:spacing w:after="120"/>
    </w:pPr>
  </w:style>
  <w:style w:type="paragraph" w:customStyle="1" w:styleId="Bullets2">
    <w:name w:val="Bullets 2"/>
    <w:basedOn w:val="Bullets"/>
    <w:rsid w:val="00E90924"/>
    <w:pPr>
      <w:numPr>
        <w:numId w:val="26"/>
      </w:numPr>
      <w:tabs>
        <w:tab w:val="clear" w:pos="794"/>
        <w:tab w:val="left" w:pos="567"/>
      </w:tabs>
    </w:pPr>
  </w:style>
  <w:style w:type="paragraph" w:customStyle="1" w:styleId="Bullets2-Last">
    <w:name w:val="Bullets 2 - Last"/>
    <w:basedOn w:val="Bullets2"/>
    <w:rsid w:val="00E90924"/>
    <w:pPr>
      <w:spacing w:after="160"/>
    </w:pPr>
  </w:style>
  <w:style w:type="character" w:customStyle="1" w:styleId="Heading4Char">
    <w:name w:val="Heading 4 Char"/>
    <w:link w:val="Heading4"/>
    <w:rsid w:val="0015103C"/>
    <w:rPr>
      <w:rFonts w:ascii="Arial" w:eastAsia="Arial" w:hAnsi="Arial" w:cs="Arial"/>
      <w:b/>
      <w:sz w:val="22"/>
      <w:szCs w:val="24"/>
      <w:lang w:eastAsia="en-US"/>
    </w:rPr>
  </w:style>
  <w:style w:type="paragraph" w:customStyle="1" w:styleId="Heading4-Numbered">
    <w:name w:val="Heading 4 -Numbered"/>
    <w:basedOn w:val="Heading4"/>
    <w:rsid w:val="00177CFF"/>
    <w:pPr>
      <w:numPr>
        <w:ilvl w:val="3"/>
        <w:numId w:val="27"/>
      </w:numPr>
      <w:tabs>
        <w:tab w:val="clear" w:pos="864"/>
        <w:tab w:val="num" w:pos="2880"/>
      </w:tabs>
      <w:spacing w:line="220" w:lineRule="exact"/>
    </w:pPr>
    <w:rPr>
      <w:lang w:eastAsia="en-AU"/>
    </w:rPr>
  </w:style>
  <w:style w:type="paragraph" w:customStyle="1" w:styleId="Heading3-Numbered">
    <w:name w:val="Heading 3 - Numbered"/>
    <w:basedOn w:val="Heading3"/>
    <w:qFormat/>
    <w:rsid w:val="00CE7E5D"/>
    <w:pPr>
      <w:numPr>
        <w:ilvl w:val="2"/>
        <w:numId w:val="27"/>
      </w:numPr>
      <w:tabs>
        <w:tab w:val="clear" w:pos="720"/>
        <w:tab w:val="left" w:pos="851"/>
        <w:tab w:val="num" w:pos="2160"/>
      </w:tabs>
      <w:spacing w:line="240" w:lineRule="atLeast"/>
    </w:pPr>
    <w:rPr>
      <w:lang w:eastAsia="en-AU"/>
    </w:rPr>
  </w:style>
  <w:style w:type="paragraph" w:customStyle="1" w:styleId="Heading2-Numbered">
    <w:name w:val="Heading 2 - Numbered"/>
    <w:basedOn w:val="Heading2"/>
    <w:qFormat/>
    <w:rsid w:val="00753F5C"/>
    <w:pPr>
      <w:keepNext/>
      <w:numPr>
        <w:ilvl w:val="1"/>
        <w:numId w:val="27"/>
      </w:numPr>
      <w:tabs>
        <w:tab w:val="left" w:pos="851"/>
      </w:tabs>
      <w:ind w:left="576"/>
    </w:pPr>
    <w:rPr>
      <w:szCs w:val="28"/>
      <w:lang w:eastAsia="en-AU"/>
    </w:rPr>
  </w:style>
  <w:style w:type="paragraph" w:customStyle="1" w:styleId="Heading1-Numbered">
    <w:name w:val="Heading 1 - Numbered"/>
    <w:basedOn w:val="Heading1"/>
    <w:link w:val="Heading1-NumberedChar"/>
    <w:qFormat/>
    <w:rsid w:val="006E320C"/>
    <w:pPr>
      <w:numPr>
        <w:numId w:val="27"/>
      </w:numPr>
      <w:tabs>
        <w:tab w:val="left" w:pos="851"/>
      </w:tabs>
      <w:spacing w:line="460" w:lineRule="exact"/>
    </w:pPr>
    <w:rPr>
      <w:lang w:eastAsia="en-AU"/>
    </w:rPr>
  </w:style>
  <w:style w:type="paragraph" w:customStyle="1" w:styleId="Tableheading">
    <w:name w:val="Table heading"/>
    <w:link w:val="TableheadingChar"/>
    <w:rsid w:val="00E90924"/>
    <w:pPr>
      <w:spacing w:before="80" w:after="40" w:line="220" w:lineRule="exact"/>
    </w:pPr>
    <w:rPr>
      <w:rFonts w:ascii="Tahoma" w:hAnsi="Tahoma"/>
      <w:b/>
      <w:sz w:val="18"/>
    </w:rPr>
  </w:style>
  <w:style w:type="paragraph" w:customStyle="1" w:styleId="Figureheading">
    <w:name w:val="Figure heading"/>
    <w:basedOn w:val="Tableheading"/>
    <w:rsid w:val="00E90924"/>
  </w:style>
  <w:style w:type="character" w:customStyle="1" w:styleId="Heading1Char">
    <w:name w:val="Heading 1 Char"/>
    <w:link w:val="Heading1"/>
    <w:uiPriority w:val="99"/>
    <w:rsid w:val="00DC3852"/>
    <w:rPr>
      <w:rFonts w:ascii="Arial" w:hAnsi="Arial" w:cs="Arial"/>
      <w:b/>
      <w:color w:val="00B2A9" w:themeColor="accent1"/>
      <w:sz w:val="32"/>
      <w:szCs w:val="32"/>
      <w:lang w:val="en-US" w:eastAsia="en-US"/>
    </w:rPr>
  </w:style>
  <w:style w:type="character" w:customStyle="1" w:styleId="Heading1-NumberedChar">
    <w:name w:val="Heading 1 - Numbered Char"/>
    <w:link w:val="Heading1-Numbered"/>
    <w:rsid w:val="006E320C"/>
    <w:rPr>
      <w:rFonts w:ascii="Arial" w:hAnsi="Arial" w:cs="Arial"/>
      <w:b/>
      <w:color w:val="00B2A9" w:themeColor="accent1"/>
      <w:sz w:val="32"/>
      <w:szCs w:val="32"/>
      <w:lang w:val="en-US"/>
    </w:rPr>
  </w:style>
  <w:style w:type="character" w:customStyle="1" w:styleId="TableheadingChar">
    <w:name w:val="Table heading Char"/>
    <w:link w:val="Tableheading"/>
    <w:rsid w:val="00E90924"/>
    <w:rPr>
      <w:rFonts w:ascii="Tahoma" w:hAnsi="Tahoma"/>
      <w:b/>
      <w:sz w:val="18"/>
    </w:rPr>
  </w:style>
  <w:style w:type="paragraph" w:customStyle="1" w:styleId="Tabletextbold">
    <w:name w:val="Table text bold"/>
    <w:basedOn w:val="Tabletext"/>
    <w:rsid w:val="00E90924"/>
    <w:rPr>
      <w:b/>
      <w:sz w:val="18"/>
      <w:szCs w:val="24"/>
    </w:rPr>
  </w:style>
  <w:style w:type="paragraph" w:customStyle="1" w:styleId="Numberedlist">
    <w:name w:val="Numbered list"/>
    <w:basedOn w:val="Bullets"/>
    <w:rsid w:val="00E90924"/>
    <w:pPr>
      <w:numPr>
        <w:numId w:val="28"/>
      </w:numPr>
    </w:pPr>
  </w:style>
  <w:style w:type="paragraph" w:customStyle="1" w:styleId="Numberedlist-Last">
    <w:name w:val="Numbered list - Last"/>
    <w:basedOn w:val="Numberedlist"/>
    <w:rsid w:val="00E90924"/>
    <w:pPr>
      <w:spacing w:after="120"/>
      <w:ind w:left="357" w:hanging="357"/>
    </w:pPr>
  </w:style>
  <w:style w:type="paragraph" w:customStyle="1" w:styleId="Frontcoverheading">
    <w:name w:val="Front cover heading"/>
    <w:basedOn w:val="Heading1"/>
    <w:rsid w:val="00E90924"/>
    <w:pPr>
      <w:autoSpaceDE w:val="0"/>
      <w:autoSpaceDN w:val="0"/>
      <w:adjustRightInd w:val="0"/>
      <w:spacing w:before="120" w:after="120"/>
    </w:pPr>
    <w:rPr>
      <w:rFonts w:ascii="Tahoma" w:hAnsi="Tahoma" w:cs="Tahoma"/>
      <w:b w:val="0"/>
      <w:color w:val="000080"/>
      <w:sz w:val="52"/>
      <w:lang w:eastAsia="en-AU"/>
    </w:rPr>
  </w:style>
  <w:style w:type="paragraph" w:customStyle="1" w:styleId="Frontcoverdate">
    <w:name w:val="Front cover date"/>
    <w:basedOn w:val="Frontcoverauthors"/>
    <w:rsid w:val="00E90924"/>
    <w:pPr>
      <w:spacing w:before="0" w:after="600"/>
    </w:pPr>
    <w:rPr>
      <w:b/>
      <w:sz w:val="28"/>
    </w:rPr>
  </w:style>
  <w:style w:type="character" w:customStyle="1" w:styleId="CharChar5">
    <w:name w:val="Char Char5"/>
    <w:rsid w:val="00E90924"/>
    <w:rPr>
      <w:rFonts w:ascii="Tahoma" w:hAnsi="Tahoma" w:cs="Arial"/>
      <w:b/>
      <w:bCs/>
      <w:kern w:val="32"/>
      <w:sz w:val="28"/>
      <w:szCs w:val="32"/>
      <w:lang w:val="en-AU" w:eastAsia="en-AU" w:bidi="ar-SA"/>
    </w:rPr>
  </w:style>
  <w:style w:type="character" w:customStyle="1" w:styleId="illustration">
    <w:name w:val="illustration"/>
    <w:basedOn w:val="DefaultParagraphFont"/>
    <w:rsid w:val="00E90924"/>
  </w:style>
  <w:style w:type="character" w:customStyle="1" w:styleId="maintitle">
    <w:name w:val="maintitle"/>
    <w:rsid w:val="00E90924"/>
  </w:style>
  <w:style w:type="paragraph" w:customStyle="1" w:styleId="Numberedlist-last0">
    <w:name w:val="Numbered list-last"/>
    <w:basedOn w:val="Numberedlist"/>
    <w:rsid w:val="00F968EA"/>
    <w:pPr>
      <w:numPr>
        <w:numId w:val="0"/>
      </w:numPr>
      <w:spacing w:after="120"/>
    </w:pPr>
  </w:style>
  <w:style w:type="paragraph" w:customStyle="1" w:styleId="Caption-Table">
    <w:name w:val="Caption - Table"/>
    <w:basedOn w:val="Caption0"/>
    <w:next w:val="Normal"/>
    <w:qFormat/>
    <w:rsid w:val="006B23F4"/>
    <w:pPr>
      <w:keepNext/>
      <w:keepLines/>
      <w:spacing w:before="200" w:after="120"/>
    </w:pPr>
    <w:rPr>
      <w:sz w:val="20"/>
      <w:szCs w:val="22"/>
    </w:rPr>
  </w:style>
  <w:style w:type="paragraph" w:customStyle="1" w:styleId="Para0">
    <w:name w:val="Para 0"/>
    <w:aliases w:val="Auto,After:  3 pt"/>
    <w:basedOn w:val="Normal"/>
    <w:link w:val="Para0Char"/>
    <w:rsid w:val="00F968EA"/>
    <w:pPr>
      <w:spacing w:before="240" w:line="240" w:lineRule="atLeast"/>
    </w:pPr>
    <w:rPr>
      <w:rFonts w:eastAsiaTheme="minorEastAsia" w:cstheme="minorBidi"/>
    </w:rPr>
  </w:style>
  <w:style w:type="character" w:customStyle="1" w:styleId="Para0Char">
    <w:name w:val="Para 0 Char"/>
    <w:aliases w:val="Auto Char,After:  3 pt Char Char"/>
    <w:basedOn w:val="DefaultParagraphFont"/>
    <w:link w:val="Para0"/>
    <w:rsid w:val="00F968EA"/>
    <w:rPr>
      <w:rFonts w:ascii="Arial" w:eastAsiaTheme="minorEastAsia" w:hAnsi="Arial" w:cstheme="minorBidi"/>
      <w:szCs w:val="24"/>
      <w:lang w:eastAsia="en-US"/>
    </w:rPr>
  </w:style>
  <w:style w:type="paragraph" w:customStyle="1" w:styleId="Caption-Figure">
    <w:name w:val="Caption - Figure"/>
    <w:basedOn w:val="Caption0"/>
    <w:next w:val="Normal"/>
    <w:link w:val="Caption-FigureChar"/>
    <w:qFormat/>
    <w:rsid w:val="00F602FE"/>
    <w:pPr>
      <w:jc w:val="both"/>
    </w:pPr>
    <w:rPr>
      <w:sz w:val="20"/>
      <w:szCs w:val="22"/>
    </w:rPr>
  </w:style>
  <w:style w:type="paragraph" w:customStyle="1" w:styleId="Figure">
    <w:name w:val="Figure"/>
    <w:basedOn w:val="Normal"/>
    <w:rsid w:val="00F968EA"/>
    <w:pPr>
      <w:keepNext/>
      <w:jc w:val="center"/>
    </w:pPr>
    <w:rPr>
      <w:rFonts w:asciiTheme="minorHAnsi" w:hAnsiTheme="minorHAnsi"/>
      <w:noProof/>
    </w:rPr>
  </w:style>
  <w:style w:type="paragraph" w:customStyle="1" w:styleId="Table-Bullets">
    <w:name w:val="Table-Bullets"/>
    <w:basedOn w:val="Tabletext"/>
    <w:rsid w:val="00F968EA"/>
    <w:pPr>
      <w:numPr>
        <w:numId w:val="29"/>
      </w:numPr>
      <w:spacing w:after="80"/>
      <w:contextualSpacing/>
    </w:pPr>
    <w:rPr>
      <w:rFonts w:asciiTheme="minorHAnsi" w:hAnsiTheme="minorHAnsi"/>
      <w:sz w:val="18"/>
      <w:szCs w:val="18"/>
    </w:rPr>
  </w:style>
  <w:style w:type="paragraph" w:customStyle="1" w:styleId="NormalNoSpaceAfter">
    <w:name w:val="Normal No Space After"/>
    <w:basedOn w:val="Normal"/>
    <w:rsid w:val="00F968EA"/>
    <w:pPr>
      <w:spacing w:after="40"/>
    </w:pPr>
  </w:style>
  <w:style w:type="paragraph" w:customStyle="1" w:styleId="TOCtitle0">
    <w:name w:val="TOC_title"/>
    <w:basedOn w:val="Heading1"/>
    <w:rsid w:val="00F968EA"/>
    <w:pPr>
      <w:spacing w:before="360"/>
    </w:pPr>
    <w:rPr>
      <w:rFonts w:asciiTheme="minorHAnsi" w:hAnsiTheme="minorHAnsi"/>
      <w:b w:val="0"/>
      <w:sz w:val="40"/>
      <w:szCs w:val="40"/>
    </w:rPr>
  </w:style>
  <w:style w:type="paragraph" w:customStyle="1" w:styleId="Normalnumbered">
    <w:name w:val="Normal numbered"/>
    <w:basedOn w:val="ListParagraph"/>
    <w:qFormat/>
    <w:rsid w:val="00FC1339"/>
    <w:pPr>
      <w:numPr>
        <w:numId w:val="30"/>
      </w:numPr>
      <w:spacing w:after="113" w:line="240" w:lineRule="atLeast"/>
      <w:contextualSpacing w:val="0"/>
    </w:pPr>
    <w:rPr>
      <w:rFonts w:ascii="Arial" w:hAnsi="Arial"/>
      <w:szCs w:val="22"/>
    </w:rPr>
  </w:style>
  <w:style w:type="paragraph" w:customStyle="1" w:styleId="References0">
    <w:name w:val="_References"/>
    <w:basedOn w:val="Normal"/>
    <w:rsid w:val="00F968EA"/>
    <w:pPr>
      <w:ind w:left="720" w:hanging="720"/>
    </w:pPr>
    <w:rPr>
      <w:rFonts w:cs="Calibri"/>
      <w:noProof/>
    </w:rPr>
  </w:style>
  <w:style w:type="paragraph" w:customStyle="1" w:styleId="BoxHeading">
    <w:name w:val="Box Heading"/>
    <w:basedOn w:val="Normal"/>
    <w:rsid w:val="00F968EA"/>
    <w:pPr>
      <w:spacing w:after="80"/>
    </w:pPr>
    <w:rPr>
      <w:rFonts w:asciiTheme="minorHAnsi" w:hAnsiTheme="minorHAnsi"/>
      <w:b/>
    </w:rPr>
  </w:style>
  <w:style w:type="paragraph" w:customStyle="1" w:styleId="dotpoints">
    <w:name w:val="dot points"/>
    <w:basedOn w:val="Normal"/>
    <w:qFormat/>
    <w:rsid w:val="00856D1B"/>
    <w:pPr>
      <w:numPr>
        <w:numId w:val="34"/>
      </w:numPr>
      <w:spacing w:before="113" w:after="113" w:line="240" w:lineRule="atLeast"/>
    </w:pPr>
    <w:rPr>
      <w:szCs w:val="22"/>
    </w:rPr>
  </w:style>
  <w:style w:type="paragraph" w:customStyle="1" w:styleId="Sub-bullets">
    <w:name w:val="Sub-bullets"/>
    <w:basedOn w:val="Normal"/>
    <w:rsid w:val="00856D1B"/>
    <w:pPr>
      <w:numPr>
        <w:numId w:val="31"/>
      </w:numPr>
      <w:spacing w:after="113" w:line="240" w:lineRule="atLeast"/>
    </w:pPr>
    <w:rPr>
      <w:szCs w:val="22"/>
    </w:rPr>
  </w:style>
  <w:style w:type="paragraph" w:customStyle="1" w:styleId="dotpointindented">
    <w:name w:val="dot point indented"/>
    <w:basedOn w:val="dotpoints"/>
    <w:qFormat/>
    <w:rsid w:val="00FC1339"/>
    <w:pPr>
      <w:numPr>
        <w:numId w:val="35"/>
      </w:numPr>
    </w:pPr>
  </w:style>
  <w:style w:type="paragraph" w:customStyle="1" w:styleId="Z">
    <w:name w:val="Z"/>
    <w:basedOn w:val="Normal"/>
    <w:rsid w:val="00F968EA"/>
    <w:rPr>
      <w:b/>
      <w:u w:val="single"/>
    </w:rPr>
  </w:style>
  <w:style w:type="paragraph" w:customStyle="1" w:styleId="TableHeadingFilled">
    <w:name w:val="Table Heading Filled"/>
    <w:basedOn w:val="Normal"/>
    <w:rsid w:val="00F968EA"/>
    <w:rPr>
      <w:rFonts w:asciiTheme="minorHAnsi" w:eastAsiaTheme="minorHAnsi" w:hAnsiTheme="minorHAnsi" w:cs="Tahoma"/>
      <w:b/>
      <w:color w:val="000000"/>
      <w:szCs w:val="22"/>
    </w:rPr>
  </w:style>
  <w:style w:type="paragraph" w:customStyle="1" w:styleId="TableHeadingBold">
    <w:name w:val="Table Heading Bold"/>
    <w:basedOn w:val="TableHeadingFilled"/>
    <w:rsid w:val="00F968EA"/>
  </w:style>
  <w:style w:type="paragraph" w:customStyle="1" w:styleId="Figurecaption">
    <w:name w:val="Figure caption"/>
    <w:basedOn w:val="Caption-Figure"/>
    <w:rsid w:val="00F968EA"/>
    <w:rPr>
      <w:szCs w:val="20"/>
    </w:rPr>
  </w:style>
  <w:style w:type="paragraph" w:customStyle="1" w:styleId="Figuretitle">
    <w:name w:val="Figure title"/>
    <w:basedOn w:val="Caption-Figure"/>
    <w:rsid w:val="00F968EA"/>
  </w:style>
  <w:style w:type="paragraph" w:customStyle="1" w:styleId="Thefiguretitle">
    <w:name w:val="The figure title"/>
    <w:basedOn w:val="Caption-Figure"/>
    <w:rsid w:val="00F968EA"/>
    <w:rPr>
      <w:b w:val="0"/>
    </w:rPr>
  </w:style>
  <w:style w:type="paragraph" w:customStyle="1" w:styleId="Thetabletitle">
    <w:name w:val="The table title"/>
    <w:basedOn w:val="Caption-Table"/>
    <w:rsid w:val="00F968EA"/>
  </w:style>
  <w:style w:type="paragraph" w:customStyle="1" w:styleId="Thetablecaption">
    <w:name w:val="The table caption"/>
    <w:basedOn w:val="Thetabletitle"/>
    <w:rsid w:val="00F968EA"/>
    <w:rPr>
      <w:b w:val="0"/>
      <w:szCs w:val="20"/>
    </w:rPr>
  </w:style>
  <w:style w:type="character" w:customStyle="1" w:styleId="Heading3Char">
    <w:name w:val="Heading 3 Char"/>
    <w:basedOn w:val="DefaultParagraphFont"/>
    <w:link w:val="Heading3"/>
    <w:rsid w:val="005F1F7F"/>
    <w:rPr>
      <w:rFonts w:ascii="Arial" w:eastAsia="Arial" w:hAnsi="Arial" w:cs="Arial"/>
      <w:b/>
      <w:sz w:val="24"/>
      <w:szCs w:val="24"/>
      <w:lang w:eastAsia="en-US"/>
    </w:rPr>
  </w:style>
  <w:style w:type="character" w:customStyle="1" w:styleId="CaptionChar">
    <w:name w:val="Caption Char"/>
    <w:aliases w:val="CDM B/Caption Char,Table Caption Char,TABLE Char,Char Char,Item Char,Caption table Char,Caption Char Char Char Char Char,Caption1 Char Char Char,Caption Char Char Char,Caption Char Char Char Char Char Char Char Char,Caption Char1 Char"/>
    <w:link w:val="Caption0"/>
    <w:uiPriority w:val="35"/>
    <w:rsid w:val="00F968EA"/>
    <w:rPr>
      <w:rFonts w:ascii="Calibri" w:hAnsi="Calibri"/>
      <w:b/>
      <w:bCs/>
      <w:color w:val="00B2A9" w:themeColor="accent1"/>
      <w:sz w:val="18"/>
      <w:szCs w:val="18"/>
      <w:lang w:eastAsia="en-US"/>
    </w:rPr>
  </w:style>
  <w:style w:type="character" w:customStyle="1" w:styleId="TitleChar">
    <w:name w:val="Title Char"/>
    <w:basedOn w:val="DefaultParagraphFont"/>
    <w:link w:val="Title"/>
    <w:uiPriority w:val="10"/>
    <w:rsid w:val="001653FA"/>
    <w:rPr>
      <w:rFonts w:ascii="Arial" w:hAnsi="Arial" w:cs="Arial"/>
      <w:b/>
      <w:bCs/>
      <w:color w:val="FFFFFF" w:themeColor="background1"/>
      <w:kern w:val="28"/>
      <w:sz w:val="48"/>
      <w:szCs w:val="48"/>
      <w:lang w:eastAsia="en-US"/>
    </w:rPr>
  </w:style>
  <w:style w:type="character" w:customStyle="1" w:styleId="SubtitleChar">
    <w:name w:val="Subtitle Char"/>
    <w:basedOn w:val="DefaultParagraphFont"/>
    <w:link w:val="Subtitle"/>
    <w:rsid w:val="00477B29"/>
    <w:rPr>
      <w:rFonts w:ascii="Arial" w:hAnsi="Arial" w:cs="Arial"/>
      <w:b/>
      <w:bCs/>
      <w:color w:val="FFFFFF" w:themeColor="background1"/>
      <w:kern w:val="28"/>
      <w:sz w:val="32"/>
      <w:szCs w:val="32"/>
      <w:lang w:eastAsia="en-US"/>
    </w:rPr>
  </w:style>
  <w:style w:type="paragraph" w:customStyle="1" w:styleId="References1">
    <w:name w:val="References"/>
    <w:basedOn w:val="Normal"/>
    <w:rsid w:val="00776551"/>
    <w:pPr>
      <w:ind w:left="709" w:hanging="709"/>
    </w:pPr>
    <w:rPr>
      <w:rFonts w:asciiTheme="minorHAnsi" w:hAnsiTheme="minorHAnsi" w:cs="Calibri"/>
      <w:noProof/>
    </w:rPr>
  </w:style>
  <w:style w:type="paragraph" w:customStyle="1" w:styleId="ReportReference">
    <w:name w:val="Report Reference"/>
    <w:basedOn w:val="Normal"/>
    <w:rsid w:val="000675CA"/>
    <w:pPr>
      <w:ind w:left="709" w:hanging="709"/>
    </w:pPr>
    <w:rPr>
      <w:i/>
      <w:noProof/>
    </w:rPr>
  </w:style>
  <w:style w:type="table" w:customStyle="1" w:styleId="LogoPlaceholder">
    <w:name w:val="Logo Placeholder"/>
    <w:basedOn w:val="TableNormal"/>
    <w:uiPriority w:val="99"/>
    <w:rsid w:val="006A54EF"/>
    <w:rPr>
      <w:rFonts w:asciiTheme="minorHAnsi" w:hAnsiTheme="minorHAnsi" w:cs="Arial"/>
      <w:color w:val="363534" w:themeColor="text1"/>
    </w:rPr>
    <w:tblPr>
      <w:tblCellSpacing w:w="142" w:type="dxa"/>
      <w:tblCellMar>
        <w:left w:w="0" w:type="dxa"/>
        <w:right w:w="0" w:type="dxa"/>
      </w:tblCellMar>
    </w:tblPr>
    <w:trPr>
      <w:tblCellSpacing w:w="142" w:type="dxa"/>
    </w:trPr>
  </w:style>
  <w:style w:type="character" w:styleId="PlaceholderText">
    <w:name w:val="Placeholder Text"/>
    <w:basedOn w:val="DefaultParagraphFont"/>
    <w:uiPriority w:val="99"/>
    <w:semiHidden/>
    <w:rsid w:val="00243764"/>
    <w:rPr>
      <w:color w:val="808080"/>
    </w:rPr>
  </w:style>
  <w:style w:type="character" w:customStyle="1" w:styleId="FooterChar">
    <w:name w:val="Footer Char"/>
    <w:basedOn w:val="DefaultParagraphFont"/>
    <w:link w:val="Footer"/>
    <w:uiPriority w:val="99"/>
    <w:rsid w:val="00E3679A"/>
    <w:rPr>
      <w:rFonts w:ascii="Calibri" w:hAnsi="Calibri"/>
      <w:sz w:val="22"/>
      <w:szCs w:val="24"/>
      <w:lang w:eastAsia="en-US"/>
    </w:rPr>
  </w:style>
  <w:style w:type="character" w:customStyle="1" w:styleId="Imprint0">
    <w:name w:val="Imprint"/>
    <w:basedOn w:val="DefaultParagraphFont"/>
    <w:rsid w:val="00F56D9E"/>
    <w:rPr>
      <w:rFonts w:ascii="Arial" w:eastAsiaTheme="minorHAnsi" w:hAnsi="Arial"/>
      <w:sz w:val="16"/>
    </w:rPr>
  </w:style>
  <w:style w:type="character" w:customStyle="1" w:styleId="UnresolvedMention1">
    <w:name w:val="Unresolved Mention1"/>
    <w:basedOn w:val="DefaultParagraphFont"/>
    <w:uiPriority w:val="99"/>
    <w:semiHidden/>
    <w:unhideWhenUsed/>
    <w:rsid w:val="00A32CF2"/>
    <w:rPr>
      <w:color w:val="808080"/>
      <w:shd w:val="clear" w:color="auto" w:fill="E6E6E6"/>
    </w:rPr>
  </w:style>
  <w:style w:type="paragraph" w:customStyle="1" w:styleId="ARIERRefs">
    <w:name w:val="ARIER_Refs"/>
    <w:basedOn w:val="Normal"/>
    <w:uiPriority w:val="99"/>
    <w:qFormat/>
    <w:rsid w:val="00FC1339"/>
    <w:pPr>
      <w:ind w:left="709" w:hanging="709"/>
    </w:pPr>
    <w:rPr>
      <w:noProof/>
    </w:rPr>
  </w:style>
  <w:style w:type="paragraph" w:customStyle="1" w:styleId="StyleARIERRefs11ptItalic">
    <w:name w:val="Style ARIER_Refs + 11 pt Italic"/>
    <w:basedOn w:val="ARIERRefs"/>
    <w:rsid w:val="00FC1339"/>
    <w:rPr>
      <w:i/>
      <w:iCs/>
    </w:rPr>
  </w:style>
  <w:style w:type="paragraph" w:customStyle="1" w:styleId="StyleSubtitleAuto">
    <w:name w:val="Style Subtitle + Auto"/>
    <w:basedOn w:val="Subtitle"/>
    <w:rsid w:val="00DD09BE"/>
    <w:pPr>
      <w:jc w:val="left"/>
    </w:pPr>
    <w:rPr>
      <w:color w:val="auto"/>
    </w:rPr>
  </w:style>
  <w:style w:type="paragraph" w:customStyle="1" w:styleId="Reportdetails">
    <w:name w:val="Report details"/>
    <w:basedOn w:val="Subtitle"/>
    <w:rsid w:val="00875BDB"/>
    <w:pPr>
      <w:spacing w:before="40" w:after="0"/>
    </w:pPr>
    <w:rPr>
      <w:color w:val="202207" w:themeColor="accent5" w:themeShade="1A"/>
      <w:sz w:val="24"/>
      <w:szCs w:val="24"/>
    </w:rPr>
  </w:style>
  <w:style w:type="paragraph" w:customStyle="1" w:styleId="Titlepagesubtitle">
    <w:name w:val="Title page subtitle"/>
    <w:basedOn w:val="Titlepage1"/>
    <w:rsid w:val="00787349"/>
    <w:pPr>
      <w:spacing w:before="240" w:after="60"/>
      <w:jc w:val="left"/>
    </w:pPr>
    <w:rPr>
      <w:rFonts w:ascii="Arial" w:hAnsi="Arial"/>
    </w:rPr>
  </w:style>
  <w:style w:type="paragraph" w:customStyle="1" w:styleId="Titlepageheading">
    <w:name w:val="Title page heading"/>
    <w:basedOn w:val="Title"/>
    <w:rsid w:val="008352D5"/>
    <w:pPr>
      <w:ind w:left="0"/>
      <w:jc w:val="left"/>
    </w:pPr>
    <w:rPr>
      <w:color w:val="auto"/>
    </w:rPr>
  </w:style>
  <w:style w:type="table" w:customStyle="1" w:styleId="TableAsPlaceholder">
    <w:name w:val="Table As Placeholder"/>
    <w:basedOn w:val="TableNormal"/>
    <w:uiPriority w:val="99"/>
    <w:qFormat/>
    <w:rsid w:val="00A66144"/>
    <w:pPr>
      <w:spacing w:line="240" w:lineRule="atLeast"/>
    </w:pPr>
    <w:rPr>
      <w:rFonts w:asciiTheme="minorHAnsi" w:hAnsiTheme="minorHAnsi" w:cs="Arial"/>
      <w:color w:val="363534" w:themeColor="text1"/>
    </w:rPr>
    <w:tblPr>
      <w:tblCellMar>
        <w:left w:w="0" w:type="dxa"/>
        <w:right w:w="0" w:type="dxa"/>
      </w:tblCellMar>
    </w:tblPr>
  </w:style>
  <w:style w:type="paragraph" w:customStyle="1" w:styleId="xDisclaimertext4">
    <w:name w:val="xDisclaimer text 4"/>
    <w:basedOn w:val="Normal"/>
    <w:qFormat/>
    <w:rsid w:val="00A66144"/>
    <w:pPr>
      <w:framePr w:hSpace="181" w:wrap="around" w:hAnchor="margin" w:yAlign="bottom"/>
      <w:spacing w:before="60" w:after="60" w:line="210" w:lineRule="atLeast"/>
      <w:ind w:left="284" w:right="3686"/>
      <w:suppressOverlap/>
    </w:pPr>
    <w:rPr>
      <w:rFonts w:asciiTheme="minorHAnsi" w:hAnsiTheme="minorHAnsi"/>
      <w:color w:val="363534" w:themeColor="text1"/>
      <w:sz w:val="18"/>
      <w:szCs w:val="20"/>
      <w:lang w:eastAsia="en-AU"/>
    </w:rPr>
  </w:style>
  <w:style w:type="paragraph" w:customStyle="1" w:styleId="xDisclaimertext6">
    <w:name w:val="xDisclaimer text 6"/>
    <w:basedOn w:val="xDisclaimertext4"/>
    <w:qFormat/>
    <w:rsid w:val="00A66144"/>
    <w:pPr>
      <w:framePr w:wrap="around"/>
      <w:spacing w:before="120" w:after="120"/>
    </w:pPr>
    <w:rPr>
      <w:b/>
      <w:color w:val="00B2A9" w:themeColor="accent1"/>
      <w:sz w:val="20"/>
    </w:rPr>
  </w:style>
  <w:style w:type="paragraph" w:customStyle="1" w:styleId="xDisclaimertext5">
    <w:name w:val="xDisclaimer text 5"/>
    <w:basedOn w:val="xDisclaimertext4"/>
    <w:qFormat/>
    <w:rsid w:val="00A66144"/>
    <w:pPr>
      <w:framePr w:wrap="around"/>
      <w:spacing w:after="100"/>
      <w:ind w:right="3119"/>
    </w:pPr>
  </w:style>
  <w:style w:type="paragraph" w:customStyle="1" w:styleId="Clause3">
    <w:name w:val="Clause3"/>
    <w:basedOn w:val="Normal"/>
    <w:uiPriority w:val="99"/>
    <w:rsid w:val="00AA201B"/>
    <w:pPr>
      <w:spacing w:before="120"/>
      <w:jc w:val="both"/>
    </w:pPr>
    <w:rPr>
      <w:rFonts w:cs="Times New Roman"/>
      <w:szCs w:val="20"/>
    </w:rPr>
  </w:style>
  <w:style w:type="paragraph" w:customStyle="1" w:styleId="EndNoteBibliography">
    <w:name w:val="EndNote Bibliography"/>
    <w:basedOn w:val="Normal"/>
    <w:link w:val="EndNoteBibliographyChar"/>
    <w:rsid w:val="005B36E9"/>
    <w:pPr>
      <w:spacing w:before="120"/>
    </w:pPr>
    <w:rPr>
      <w:rFonts w:eastAsiaTheme="minorHAnsi"/>
      <w:noProof/>
      <w:color w:val="363534" w:themeColor="text1"/>
      <w:sz w:val="22"/>
      <w:szCs w:val="22"/>
      <w:lang w:val="en-US"/>
    </w:rPr>
  </w:style>
  <w:style w:type="character" w:customStyle="1" w:styleId="EndNoteBibliographyChar">
    <w:name w:val="EndNote Bibliography Char"/>
    <w:basedOn w:val="DefaultParagraphFont"/>
    <w:link w:val="EndNoteBibliography"/>
    <w:rsid w:val="005B36E9"/>
    <w:rPr>
      <w:rFonts w:ascii="Arial" w:eastAsiaTheme="minorHAnsi" w:hAnsi="Arial" w:cs="Arial"/>
      <w:noProof/>
      <w:color w:val="363534" w:themeColor="text1"/>
      <w:sz w:val="22"/>
      <w:szCs w:val="22"/>
      <w:lang w:val="en-US" w:eastAsia="en-US"/>
    </w:rPr>
  </w:style>
  <w:style w:type="paragraph" w:customStyle="1" w:styleId="Default">
    <w:name w:val="Default"/>
    <w:rsid w:val="00FD02C1"/>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2F4E30"/>
  </w:style>
  <w:style w:type="paragraph" w:customStyle="1" w:styleId="paragraph">
    <w:name w:val="paragraph"/>
    <w:basedOn w:val="Normal"/>
    <w:rsid w:val="00E91ABA"/>
    <w:pPr>
      <w:spacing w:before="100" w:beforeAutospacing="1" w:after="100" w:afterAutospacing="1"/>
    </w:pPr>
    <w:rPr>
      <w:rFonts w:ascii="Calibri" w:eastAsiaTheme="minorHAnsi" w:hAnsi="Calibri" w:cs="Calibri"/>
      <w:sz w:val="22"/>
      <w:szCs w:val="22"/>
      <w:lang w:eastAsia="en-AU"/>
    </w:rPr>
  </w:style>
  <w:style w:type="character" w:customStyle="1" w:styleId="normaltextrun">
    <w:name w:val="normaltextrun"/>
    <w:basedOn w:val="DefaultParagraphFont"/>
    <w:rsid w:val="00E91ABA"/>
  </w:style>
  <w:style w:type="character" w:customStyle="1" w:styleId="eop">
    <w:name w:val="eop"/>
    <w:basedOn w:val="DefaultParagraphFont"/>
    <w:rsid w:val="00E91ABA"/>
  </w:style>
  <w:style w:type="character" w:customStyle="1" w:styleId="ListParagraphChar">
    <w:name w:val="List Paragraph Char"/>
    <w:aliases w:val="Bullet 1 Char,Bullet list Char,Recommendation Char,Bullet point Char,L Char,List Paragraph - bullets Char,List Paragraph1 Char,List Paragraph11 Char,Dot Point Char,Indented Bullet Solid Char,bullet point list Char"/>
    <w:link w:val="ListParagraph"/>
    <w:uiPriority w:val="34"/>
    <w:qFormat/>
    <w:locked/>
    <w:rsid w:val="00011166"/>
    <w:rPr>
      <w:rFonts w:cs="Arial"/>
      <w:szCs w:val="24"/>
    </w:rPr>
  </w:style>
  <w:style w:type="paragraph" w:customStyle="1" w:styleId="Projectrole1">
    <w:name w:val="Project role 1"/>
    <w:basedOn w:val="Normal"/>
    <w:rsid w:val="00380FF5"/>
    <w:pPr>
      <w:spacing w:after="160" w:line="240" w:lineRule="atLeast"/>
      <w:jc w:val="right"/>
    </w:pPr>
    <w:rPr>
      <w:rFonts w:ascii="Arial Narrow" w:eastAsiaTheme="minorEastAsia" w:hAnsi="Arial Narrow" w:cstheme="minorBidi"/>
      <w:caps/>
      <w:color w:val="42145F"/>
      <w:lang w:val="en-GB"/>
    </w:rPr>
  </w:style>
  <w:style w:type="paragraph" w:customStyle="1" w:styleId="Bodynarrowbullet">
    <w:name w:val="Body narrow bullet"/>
    <w:basedOn w:val="Normal"/>
    <w:qFormat/>
    <w:rsid w:val="00380FF5"/>
    <w:pPr>
      <w:numPr>
        <w:numId w:val="39"/>
      </w:numPr>
      <w:tabs>
        <w:tab w:val="left" w:pos="198"/>
      </w:tabs>
      <w:spacing w:before="40" w:after="60" w:line="240" w:lineRule="atLeast"/>
    </w:pPr>
    <w:rPr>
      <w:rFonts w:ascii="Arial Narrow" w:eastAsiaTheme="minorEastAsia" w:hAnsi="Arial Narrow" w:cstheme="minorBidi"/>
      <w:sz w:val="19"/>
      <w:lang w:val="en-GB"/>
    </w:rPr>
  </w:style>
  <w:style w:type="paragraph" w:customStyle="1" w:styleId="Bodynarrowarrow">
    <w:name w:val="Body narrow arrow"/>
    <w:basedOn w:val="Bodynarrowbullet"/>
    <w:qFormat/>
    <w:rsid w:val="00380FF5"/>
    <w:pPr>
      <w:numPr>
        <w:ilvl w:val="1"/>
      </w:numPr>
      <w:tabs>
        <w:tab w:val="clear" w:pos="198"/>
      </w:tabs>
    </w:pPr>
  </w:style>
  <w:style w:type="paragraph" w:customStyle="1" w:styleId="Bodyheading">
    <w:name w:val="Body heading"/>
    <w:basedOn w:val="Normal"/>
    <w:next w:val="Normal"/>
    <w:qFormat/>
    <w:rsid w:val="00380FF5"/>
    <w:pPr>
      <w:keepNext/>
      <w:widowControl w:val="0"/>
      <w:spacing w:before="80" w:line="240" w:lineRule="atLeast"/>
      <w:ind w:left="3402"/>
    </w:pPr>
    <w:rPr>
      <w:rFonts w:ascii="Arial Black" w:eastAsiaTheme="minorEastAsia" w:hAnsi="Arial Black" w:cstheme="minorBidi"/>
      <w:color w:val="42145F"/>
      <w:sz w:val="18"/>
      <w:lang w:val="en-GB"/>
    </w:rPr>
  </w:style>
  <w:style w:type="numbering" w:customStyle="1" w:styleId="SKMBodyList">
    <w:name w:val="SKM Body List"/>
    <w:uiPriority w:val="99"/>
    <w:rsid w:val="00380FF5"/>
    <w:pPr>
      <w:numPr>
        <w:numId w:val="38"/>
      </w:numPr>
    </w:pPr>
  </w:style>
  <w:style w:type="paragraph" w:customStyle="1" w:styleId="AppendixFigureCaption">
    <w:name w:val="Appendix Figure Caption"/>
    <w:basedOn w:val="Caption-Figure"/>
    <w:link w:val="AppendixFigureCaptionChar"/>
    <w:qFormat/>
    <w:rsid w:val="009B4056"/>
  </w:style>
  <w:style w:type="paragraph" w:customStyle="1" w:styleId="AppendixTableCaption">
    <w:name w:val="Appendix Table Caption"/>
    <w:basedOn w:val="AppendixFigureCaption"/>
    <w:link w:val="AppendixTableCaptionChar"/>
    <w:qFormat/>
    <w:rsid w:val="009B4056"/>
    <w:pPr>
      <w:spacing w:before="200" w:after="60"/>
    </w:pPr>
  </w:style>
  <w:style w:type="character" w:customStyle="1" w:styleId="Caption-FigureChar">
    <w:name w:val="Caption - Figure Char"/>
    <w:basedOn w:val="CaptionChar"/>
    <w:link w:val="Caption-Figure"/>
    <w:rsid w:val="00F602FE"/>
    <w:rPr>
      <w:rFonts w:ascii="Arial" w:hAnsi="Arial" w:cs="Arial"/>
      <w:b/>
      <w:bCs/>
      <w:color w:val="00B2A9" w:themeColor="accent1"/>
      <w:sz w:val="18"/>
      <w:szCs w:val="22"/>
      <w:lang w:eastAsia="en-US"/>
    </w:rPr>
  </w:style>
  <w:style w:type="character" w:customStyle="1" w:styleId="AppendixFigureCaptionChar">
    <w:name w:val="Appendix Figure Caption Char"/>
    <w:basedOn w:val="Caption-FigureChar"/>
    <w:link w:val="AppendixFigureCaption"/>
    <w:rsid w:val="009B4056"/>
    <w:rPr>
      <w:rFonts w:ascii="Arial" w:hAnsi="Arial" w:cs="Arial"/>
      <w:b/>
      <w:bCs/>
      <w:color w:val="00B2A9" w:themeColor="accent1"/>
      <w:sz w:val="18"/>
      <w:szCs w:val="22"/>
      <w:lang w:eastAsia="en-US"/>
    </w:rPr>
  </w:style>
  <w:style w:type="character" w:customStyle="1" w:styleId="AppendixTableCaptionChar">
    <w:name w:val="Appendix Table Caption Char"/>
    <w:basedOn w:val="AppendixFigureCaptionChar"/>
    <w:link w:val="AppendixTableCaption"/>
    <w:rsid w:val="009B4056"/>
    <w:rPr>
      <w:rFonts w:ascii="Arial" w:hAnsi="Arial" w:cs="Arial"/>
      <w:b/>
      <w:bCs/>
      <w:color w:val="00B2A9" w:themeColor="accent1"/>
      <w:sz w:val="18"/>
      <w:szCs w:val="22"/>
      <w:lang w:eastAsia="en-US"/>
    </w:rPr>
  </w:style>
  <w:style w:type="paragraph" w:customStyle="1" w:styleId="StyleTitlepagesubtitle24ptBlackLinespacingsingle">
    <w:name w:val="Style Title page subtitle + 24 pt Black Line spacing:  single"/>
    <w:basedOn w:val="Titlepagesubtitle"/>
    <w:rsid w:val="00D01B22"/>
    <w:pPr>
      <w:spacing w:line="240" w:lineRule="auto"/>
    </w:pPr>
    <w:rPr>
      <w:rFonts w:cs="Times New Roman"/>
      <w:bCs w:val="0"/>
      <w:iCs w:val="0"/>
      <w:color w:val="000000"/>
      <w:sz w:val="48"/>
      <w:szCs w:val="20"/>
    </w:rPr>
  </w:style>
  <w:style w:type="character" w:customStyle="1" w:styleId="cf01">
    <w:name w:val="cf01"/>
    <w:basedOn w:val="DefaultParagraphFont"/>
    <w:rsid w:val="000130B1"/>
    <w:rPr>
      <w:rFonts w:ascii="Segoe UI" w:hAnsi="Segoe UI" w:cs="Segoe UI" w:hint="default"/>
      <w:sz w:val="18"/>
      <w:szCs w:val="18"/>
    </w:rPr>
  </w:style>
  <w:style w:type="paragraph" w:customStyle="1" w:styleId="FirstParagraph">
    <w:name w:val="First Paragraph"/>
    <w:basedOn w:val="Normal"/>
    <w:next w:val="BodyText"/>
    <w:uiPriority w:val="1"/>
    <w:qFormat/>
    <w:rsid w:val="3FC79A6E"/>
    <w:pPr>
      <w:spacing w:before="180" w:after="180"/>
    </w:pPr>
    <w:rPr>
      <w:rFonts w:ascii="Calibri" w:eastAsiaTheme="minorEastAsia" w:hAnsi="Calibri" w:cstheme="minorBidi"/>
      <w:color w:val="363534" w:themeColor="text1"/>
      <w:sz w:val="22"/>
      <w:szCs w:val="22"/>
      <w:lang w:val="en-US"/>
    </w:rPr>
  </w:style>
  <w:style w:type="character" w:customStyle="1" w:styleId="markedcontent">
    <w:name w:val="markedcontent"/>
    <w:basedOn w:val="DefaultParagraphFont"/>
    <w:rsid w:val="00E419E9"/>
  </w:style>
  <w:style w:type="paragraph" w:customStyle="1" w:styleId="PopModCVheading">
    <w:name w:val="Pop Mod CV heading"/>
    <w:basedOn w:val="Normal"/>
    <w:qFormat/>
    <w:rsid w:val="00541200"/>
    <w:pPr>
      <w:keepNext/>
      <w:spacing w:before="360"/>
    </w:pPr>
    <w:rPr>
      <w:b/>
      <w:bCs/>
      <w:sz w:val="22"/>
      <w:szCs w:val="22"/>
      <w:lang w:val="en-GB"/>
    </w:rPr>
  </w:style>
  <w:style w:type="paragraph" w:customStyle="1" w:styleId="PopModProjectTeam">
    <w:name w:val="Pop Mod Project Team"/>
    <w:basedOn w:val="Bodyheading"/>
    <w:qFormat/>
    <w:rsid w:val="006476FB"/>
    <w:pPr>
      <w:spacing w:before="360" w:after="240"/>
      <w:ind w:left="0"/>
    </w:pPr>
    <w:rPr>
      <w:b/>
      <w:bCs/>
      <w:color w:val="auto"/>
      <w:sz w:val="22"/>
      <w:szCs w:val="22"/>
    </w:rPr>
  </w:style>
  <w:style w:type="paragraph" w:customStyle="1" w:styleId="StylePopModProjectTeamBefore24pt">
    <w:name w:val="Style Pop Mod Project Team + Before:  24 pt"/>
    <w:basedOn w:val="PopModProjectTeam"/>
    <w:rsid w:val="000D2E81"/>
    <w:pPr>
      <w:spacing w:before="480"/>
    </w:pPr>
    <w:rPr>
      <w:rFonts w:eastAsia="Times New Roman" w:cs="Times New Roman"/>
      <w:szCs w:val="20"/>
    </w:rPr>
  </w:style>
  <w:style w:type="paragraph" w:customStyle="1" w:styleId="PopModbodytext">
    <w:name w:val="Pop Mod body text"/>
    <w:basedOn w:val="Normal"/>
    <w:qFormat/>
    <w:rsid w:val="002D2213"/>
    <w:pPr>
      <w:spacing w:after="240"/>
      <w:jc w:val="both"/>
    </w:pPr>
    <w:rPr>
      <w:iCs/>
      <w:color w:val="000000"/>
      <w:sz w:val="22"/>
      <w:szCs w:val="22"/>
      <w:lang w:eastAsia="en-AU"/>
    </w:rPr>
  </w:style>
  <w:style w:type="paragraph" w:customStyle="1" w:styleId="StyleHeading3Before18pt">
    <w:name w:val="Style Heading 3 + Before:  18 pt"/>
    <w:basedOn w:val="Heading3"/>
    <w:rsid w:val="00D01961"/>
    <w:rPr>
      <w:rFonts w:eastAsia="Times New Roman" w:cs="Times New Roman"/>
      <w:bCs/>
      <w:szCs w:val="20"/>
    </w:rPr>
  </w:style>
  <w:style w:type="paragraph" w:styleId="Bibliography">
    <w:name w:val="Bibliography"/>
    <w:basedOn w:val="Normal"/>
    <w:next w:val="Normal"/>
    <w:uiPriority w:val="37"/>
    <w:semiHidden/>
    <w:unhideWhenUsed/>
    <w:rsid w:val="00880AAF"/>
  </w:style>
  <w:style w:type="character" w:styleId="UnresolvedMention">
    <w:name w:val="Unresolved Mention"/>
    <w:basedOn w:val="DefaultParagraphFont"/>
    <w:uiPriority w:val="99"/>
    <w:semiHidden/>
    <w:unhideWhenUsed/>
    <w:rsid w:val="0024398B"/>
    <w:rPr>
      <w:color w:val="605E5C"/>
      <w:shd w:val="clear" w:color="auto" w:fill="E1DFDD"/>
    </w:rPr>
  </w:style>
  <w:style w:type="paragraph" w:styleId="TOCHeading">
    <w:name w:val="TOC Heading"/>
    <w:basedOn w:val="Heading1"/>
    <w:next w:val="Normal"/>
    <w:uiPriority w:val="39"/>
    <w:unhideWhenUsed/>
    <w:qFormat/>
    <w:rsid w:val="00FB3005"/>
    <w:pPr>
      <w:keepNext/>
      <w:keepLines/>
      <w:spacing w:before="240" w:after="0" w:line="259" w:lineRule="auto"/>
      <w:outlineLvl w:val="9"/>
    </w:pPr>
    <w:rPr>
      <w:rFonts w:asciiTheme="majorHAnsi" w:eastAsiaTheme="majorEastAsia" w:hAnsiTheme="majorHAnsi" w:cstheme="majorBidi"/>
      <w:b w:val="0"/>
      <w:color w:val="00857E"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8763">
      <w:bodyDiv w:val="1"/>
      <w:marLeft w:val="0"/>
      <w:marRight w:val="0"/>
      <w:marTop w:val="0"/>
      <w:marBottom w:val="0"/>
      <w:divBdr>
        <w:top w:val="none" w:sz="0" w:space="0" w:color="auto"/>
        <w:left w:val="none" w:sz="0" w:space="0" w:color="auto"/>
        <w:bottom w:val="none" w:sz="0" w:space="0" w:color="auto"/>
        <w:right w:val="none" w:sz="0" w:space="0" w:color="auto"/>
      </w:divBdr>
    </w:div>
    <w:div w:id="29503463">
      <w:bodyDiv w:val="1"/>
      <w:marLeft w:val="0"/>
      <w:marRight w:val="0"/>
      <w:marTop w:val="0"/>
      <w:marBottom w:val="0"/>
      <w:divBdr>
        <w:top w:val="none" w:sz="0" w:space="0" w:color="auto"/>
        <w:left w:val="none" w:sz="0" w:space="0" w:color="auto"/>
        <w:bottom w:val="none" w:sz="0" w:space="0" w:color="auto"/>
        <w:right w:val="none" w:sz="0" w:space="0" w:color="auto"/>
      </w:divBdr>
    </w:div>
    <w:div w:id="68507622">
      <w:bodyDiv w:val="1"/>
      <w:marLeft w:val="0"/>
      <w:marRight w:val="0"/>
      <w:marTop w:val="0"/>
      <w:marBottom w:val="0"/>
      <w:divBdr>
        <w:top w:val="none" w:sz="0" w:space="0" w:color="auto"/>
        <w:left w:val="none" w:sz="0" w:space="0" w:color="auto"/>
        <w:bottom w:val="none" w:sz="0" w:space="0" w:color="auto"/>
        <w:right w:val="none" w:sz="0" w:space="0" w:color="auto"/>
      </w:divBdr>
    </w:div>
    <w:div w:id="113520637">
      <w:bodyDiv w:val="1"/>
      <w:marLeft w:val="0"/>
      <w:marRight w:val="0"/>
      <w:marTop w:val="0"/>
      <w:marBottom w:val="0"/>
      <w:divBdr>
        <w:top w:val="none" w:sz="0" w:space="0" w:color="auto"/>
        <w:left w:val="none" w:sz="0" w:space="0" w:color="auto"/>
        <w:bottom w:val="none" w:sz="0" w:space="0" w:color="auto"/>
        <w:right w:val="none" w:sz="0" w:space="0" w:color="auto"/>
      </w:divBdr>
    </w:div>
    <w:div w:id="128323204">
      <w:bodyDiv w:val="1"/>
      <w:marLeft w:val="0"/>
      <w:marRight w:val="0"/>
      <w:marTop w:val="0"/>
      <w:marBottom w:val="0"/>
      <w:divBdr>
        <w:top w:val="none" w:sz="0" w:space="0" w:color="auto"/>
        <w:left w:val="none" w:sz="0" w:space="0" w:color="auto"/>
        <w:bottom w:val="none" w:sz="0" w:space="0" w:color="auto"/>
        <w:right w:val="none" w:sz="0" w:space="0" w:color="auto"/>
      </w:divBdr>
    </w:div>
    <w:div w:id="133063246">
      <w:bodyDiv w:val="1"/>
      <w:marLeft w:val="0"/>
      <w:marRight w:val="0"/>
      <w:marTop w:val="0"/>
      <w:marBottom w:val="0"/>
      <w:divBdr>
        <w:top w:val="none" w:sz="0" w:space="0" w:color="auto"/>
        <w:left w:val="none" w:sz="0" w:space="0" w:color="auto"/>
        <w:bottom w:val="none" w:sz="0" w:space="0" w:color="auto"/>
        <w:right w:val="none" w:sz="0" w:space="0" w:color="auto"/>
      </w:divBdr>
    </w:div>
    <w:div w:id="144441469">
      <w:bodyDiv w:val="1"/>
      <w:marLeft w:val="0"/>
      <w:marRight w:val="0"/>
      <w:marTop w:val="0"/>
      <w:marBottom w:val="0"/>
      <w:divBdr>
        <w:top w:val="none" w:sz="0" w:space="0" w:color="auto"/>
        <w:left w:val="none" w:sz="0" w:space="0" w:color="auto"/>
        <w:bottom w:val="none" w:sz="0" w:space="0" w:color="auto"/>
        <w:right w:val="none" w:sz="0" w:space="0" w:color="auto"/>
      </w:divBdr>
    </w:div>
    <w:div w:id="159466690">
      <w:bodyDiv w:val="1"/>
      <w:marLeft w:val="0"/>
      <w:marRight w:val="0"/>
      <w:marTop w:val="0"/>
      <w:marBottom w:val="0"/>
      <w:divBdr>
        <w:top w:val="none" w:sz="0" w:space="0" w:color="auto"/>
        <w:left w:val="none" w:sz="0" w:space="0" w:color="auto"/>
        <w:bottom w:val="none" w:sz="0" w:space="0" w:color="auto"/>
        <w:right w:val="none" w:sz="0" w:space="0" w:color="auto"/>
      </w:divBdr>
    </w:div>
    <w:div w:id="178277479">
      <w:bodyDiv w:val="1"/>
      <w:marLeft w:val="0"/>
      <w:marRight w:val="0"/>
      <w:marTop w:val="0"/>
      <w:marBottom w:val="0"/>
      <w:divBdr>
        <w:top w:val="none" w:sz="0" w:space="0" w:color="auto"/>
        <w:left w:val="none" w:sz="0" w:space="0" w:color="auto"/>
        <w:bottom w:val="none" w:sz="0" w:space="0" w:color="auto"/>
        <w:right w:val="none" w:sz="0" w:space="0" w:color="auto"/>
      </w:divBdr>
    </w:div>
    <w:div w:id="182524356">
      <w:bodyDiv w:val="1"/>
      <w:marLeft w:val="0"/>
      <w:marRight w:val="0"/>
      <w:marTop w:val="0"/>
      <w:marBottom w:val="0"/>
      <w:divBdr>
        <w:top w:val="none" w:sz="0" w:space="0" w:color="auto"/>
        <w:left w:val="none" w:sz="0" w:space="0" w:color="auto"/>
        <w:bottom w:val="none" w:sz="0" w:space="0" w:color="auto"/>
        <w:right w:val="none" w:sz="0" w:space="0" w:color="auto"/>
      </w:divBdr>
    </w:div>
    <w:div w:id="188184250">
      <w:bodyDiv w:val="1"/>
      <w:marLeft w:val="0"/>
      <w:marRight w:val="0"/>
      <w:marTop w:val="0"/>
      <w:marBottom w:val="0"/>
      <w:divBdr>
        <w:top w:val="none" w:sz="0" w:space="0" w:color="auto"/>
        <w:left w:val="none" w:sz="0" w:space="0" w:color="auto"/>
        <w:bottom w:val="none" w:sz="0" w:space="0" w:color="auto"/>
        <w:right w:val="none" w:sz="0" w:space="0" w:color="auto"/>
      </w:divBdr>
    </w:div>
    <w:div w:id="212927820">
      <w:bodyDiv w:val="1"/>
      <w:marLeft w:val="0"/>
      <w:marRight w:val="0"/>
      <w:marTop w:val="0"/>
      <w:marBottom w:val="0"/>
      <w:divBdr>
        <w:top w:val="none" w:sz="0" w:space="0" w:color="auto"/>
        <w:left w:val="none" w:sz="0" w:space="0" w:color="auto"/>
        <w:bottom w:val="none" w:sz="0" w:space="0" w:color="auto"/>
        <w:right w:val="none" w:sz="0" w:space="0" w:color="auto"/>
      </w:divBdr>
    </w:div>
    <w:div w:id="235943992">
      <w:bodyDiv w:val="1"/>
      <w:marLeft w:val="0"/>
      <w:marRight w:val="0"/>
      <w:marTop w:val="0"/>
      <w:marBottom w:val="0"/>
      <w:divBdr>
        <w:top w:val="none" w:sz="0" w:space="0" w:color="auto"/>
        <w:left w:val="none" w:sz="0" w:space="0" w:color="auto"/>
        <w:bottom w:val="none" w:sz="0" w:space="0" w:color="auto"/>
        <w:right w:val="none" w:sz="0" w:space="0" w:color="auto"/>
      </w:divBdr>
    </w:div>
    <w:div w:id="247932992">
      <w:bodyDiv w:val="1"/>
      <w:marLeft w:val="0"/>
      <w:marRight w:val="0"/>
      <w:marTop w:val="0"/>
      <w:marBottom w:val="0"/>
      <w:divBdr>
        <w:top w:val="none" w:sz="0" w:space="0" w:color="auto"/>
        <w:left w:val="none" w:sz="0" w:space="0" w:color="auto"/>
        <w:bottom w:val="none" w:sz="0" w:space="0" w:color="auto"/>
        <w:right w:val="none" w:sz="0" w:space="0" w:color="auto"/>
      </w:divBdr>
    </w:div>
    <w:div w:id="256447748">
      <w:bodyDiv w:val="1"/>
      <w:marLeft w:val="0"/>
      <w:marRight w:val="0"/>
      <w:marTop w:val="0"/>
      <w:marBottom w:val="0"/>
      <w:divBdr>
        <w:top w:val="none" w:sz="0" w:space="0" w:color="auto"/>
        <w:left w:val="none" w:sz="0" w:space="0" w:color="auto"/>
        <w:bottom w:val="none" w:sz="0" w:space="0" w:color="auto"/>
        <w:right w:val="none" w:sz="0" w:space="0" w:color="auto"/>
      </w:divBdr>
    </w:div>
    <w:div w:id="259684549">
      <w:bodyDiv w:val="1"/>
      <w:marLeft w:val="0"/>
      <w:marRight w:val="0"/>
      <w:marTop w:val="0"/>
      <w:marBottom w:val="0"/>
      <w:divBdr>
        <w:top w:val="none" w:sz="0" w:space="0" w:color="auto"/>
        <w:left w:val="none" w:sz="0" w:space="0" w:color="auto"/>
        <w:bottom w:val="none" w:sz="0" w:space="0" w:color="auto"/>
        <w:right w:val="none" w:sz="0" w:space="0" w:color="auto"/>
      </w:divBdr>
    </w:div>
    <w:div w:id="294457310">
      <w:bodyDiv w:val="1"/>
      <w:marLeft w:val="0"/>
      <w:marRight w:val="0"/>
      <w:marTop w:val="0"/>
      <w:marBottom w:val="0"/>
      <w:divBdr>
        <w:top w:val="none" w:sz="0" w:space="0" w:color="auto"/>
        <w:left w:val="none" w:sz="0" w:space="0" w:color="auto"/>
        <w:bottom w:val="none" w:sz="0" w:space="0" w:color="auto"/>
        <w:right w:val="none" w:sz="0" w:space="0" w:color="auto"/>
      </w:divBdr>
    </w:div>
    <w:div w:id="340009915">
      <w:bodyDiv w:val="1"/>
      <w:marLeft w:val="0"/>
      <w:marRight w:val="0"/>
      <w:marTop w:val="0"/>
      <w:marBottom w:val="0"/>
      <w:divBdr>
        <w:top w:val="none" w:sz="0" w:space="0" w:color="auto"/>
        <w:left w:val="none" w:sz="0" w:space="0" w:color="auto"/>
        <w:bottom w:val="none" w:sz="0" w:space="0" w:color="auto"/>
        <w:right w:val="none" w:sz="0" w:space="0" w:color="auto"/>
      </w:divBdr>
    </w:div>
    <w:div w:id="384182056">
      <w:bodyDiv w:val="1"/>
      <w:marLeft w:val="0"/>
      <w:marRight w:val="0"/>
      <w:marTop w:val="0"/>
      <w:marBottom w:val="0"/>
      <w:divBdr>
        <w:top w:val="none" w:sz="0" w:space="0" w:color="auto"/>
        <w:left w:val="none" w:sz="0" w:space="0" w:color="auto"/>
        <w:bottom w:val="none" w:sz="0" w:space="0" w:color="auto"/>
        <w:right w:val="none" w:sz="0" w:space="0" w:color="auto"/>
      </w:divBdr>
    </w:div>
    <w:div w:id="390538943">
      <w:bodyDiv w:val="1"/>
      <w:marLeft w:val="0"/>
      <w:marRight w:val="0"/>
      <w:marTop w:val="0"/>
      <w:marBottom w:val="0"/>
      <w:divBdr>
        <w:top w:val="none" w:sz="0" w:space="0" w:color="auto"/>
        <w:left w:val="none" w:sz="0" w:space="0" w:color="auto"/>
        <w:bottom w:val="none" w:sz="0" w:space="0" w:color="auto"/>
        <w:right w:val="none" w:sz="0" w:space="0" w:color="auto"/>
      </w:divBdr>
    </w:div>
    <w:div w:id="414786315">
      <w:bodyDiv w:val="1"/>
      <w:marLeft w:val="0"/>
      <w:marRight w:val="0"/>
      <w:marTop w:val="0"/>
      <w:marBottom w:val="0"/>
      <w:divBdr>
        <w:top w:val="none" w:sz="0" w:space="0" w:color="auto"/>
        <w:left w:val="none" w:sz="0" w:space="0" w:color="auto"/>
        <w:bottom w:val="none" w:sz="0" w:space="0" w:color="auto"/>
        <w:right w:val="none" w:sz="0" w:space="0" w:color="auto"/>
      </w:divBdr>
    </w:div>
    <w:div w:id="469984081">
      <w:bodyDiv w:val="1"/>
      <w:marLeft w:val="0"/>
      <w:marRight w:val="0"/>
      <w:marTop w:val="0"/>
      <w:marBottom w:val="0"/>
      <w:divBdr>
        <w:top w:val="none" w:sz="0" w:space="0" w:color="auto"/>
        <w:left w:val="none" w:sz="0" w:space="0" w:color="auto"/>
        <w:bottom w:val="none" w:sz="0" w:space="0" w:color="auto"/>
        <w:right w:val="none" w:sz="0" w:space="0" w:color="auto"/>
      </w:divBdr>
    </w:div>
    <w:div w:id="477575107">
      <w:bodyDiv w:val="1"/>
      <w:marLeft w:val="0"/>
      <w:marRight w:val="0"/>
      <w:marTop w:val="0"/>
      <w:marBottom w:val="0"/>
      <w:divBdr>
        <w:top w:val="none" w:sz="0" w:space="0" w:color="auto"/>
        <w:left w:val="none" w:sz="0" w:space="0" w:color="auto"/>
        <w:bottom w:val="none" w:sz="0" w:space="0" w:color="auto"/>
        <w:right w:val="none" w:sz="0" w:space="0" w:color="auto"/>
      </w:divBdr>
    </w:div>
    <w:div w:id="496770110">
      <w:bodyDiv w:val="1"/>
      <w:marLeft w:val="0"/>
      <w:marRight w:val="0"/>
      <w:marTop w:val="0"/>
      <w:marBottom w:val="0"/>
      <w:divBdr>
        <w:top w:val="none" w:sz="0" w:space="0" w:color="auto"/>
        <w:left w:val="none" w:sz="0" w:space="0" w:color="auto"/>
        <w:bottom w:val="none" w:sz="0" w:space="0" w:color="auto"/>
        <w:right w:val="none" w:sz="0" w:space="0" w:color="auto"/>
      </w:divBdr>
    </w:div>
    <w:div w:id="520357364">
      <w:bodyDiv w:val="1"/>
      <w:marLeft w:val="0"/>
      <w:marRight w:val="0"/>
      <w:marTop w:val="0"/>
      <w:marBottom w:val="0"/>
      <w:divBdr>
        <w:top w:val="none" w:sz="0" w:space="0" w:color="auto"/>
        <w:left w:val="none" w:sz="0" w:space="0" w:color="auto"/>
        <w:bottom w:val="none" w:sz="0" w:space="0" w:color="auto"/>
        <w:right w:val="none" w:sz="0" w:space="0" w:color="auto"/>
      </w:divBdr>
    </w:div>
    <w:div w:id="531723801">
      <w:bodyDiv w:val="1"/>
      <w:marLeft w:val="0"/>
      <w:marRight w:val="0"/>
      <w:marTop w:val="0"/>
      <w:marBottom w:val="0"/>
      <w:divBdr>
        <w:top w:val="none" w:sz="0" w:space="0" w:color="auto"/>
        <w:left w:val="none" w:sz="0" w:space="0" w:color="auto"/>
        <w:bottom w:val="none" w:sz="0" w:space="0" w:color="auto"/>
        <w:right w:val="none" w:sz="0" w:space="0" w:color="auto"/>
      </w:divBdr>
    </w:div>
    <w:div w:id="543714538">
      <w:bodyDiv w:val="1"/>
      <w:marLeft w:val="0"/>
      <w:marRight w:val="0"/>
      <w:marTop w:val="0"/>
      <w:marBottom w:val="0"/>
      <w:divBdr>
        <w:top w:val="none" w:sz="0" w:space="0" w:color="auto"/>
        <w:left w:val="none" w:sz="0" w:space="0" w:color="auto"/>
        <w:bottom w:val="none" w:sz="0" w:space="0" w:color="auto"/>
        <w:right w:val="none" w:sz="0" w:space="0" w:color="auto"/>
      </w:divBdr>
      <w:divsChild>
        <w:div w:id="986980271">
          <w:marLeft w:val="0"/>
          <w:marRight w:val="0"/>
          <w:marTop w:val="0"/>
          <w:marBottom w:val="0"/>
          <w:divBdr>
            <w:top w:val="none" w:sz="0" w:space="0" w:color="auto"/>
            <w:left w:val="none" w:sz="0" w:space="0" w:color="auto"/>
            <w:bottom w:val="none" w:sz="0" w:space="0" w:color="auto"/>
            <w:right w:val="none" w:sz="0" w:space="0" w:color="auto"/>
          </w:divBdr>
          <w:divsChild>
            <w:div w:id="12462998">
              <w:marLeft w:val="225"/>
              <w:marRight w:val="225"/>
              <w:marTop w:val="225"/>
              <w:marBottom w:val="0"/>
              <w:divBdr>
                <w:top w:val="none" w:sz="0" w:space="0" w:color="auto"/>
                <w:left w:val="none" w:sz="0" w:space="0" w:color="auto"/>
                <w:bottom w:val="none" w:sz="0" w:space="0" w:color="auto"/>
                <w:right w:val="none" w:sz="0" w:space="0" w:color="auto"/>
              </w:divBdr>
              <w:divsChild>
                <w:div w:id="130300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146529">
      <w:bodyDiv w:val="1"/>
      <w:marLeft w:val="0"/>
      <w:marRight w:val="0"/>
      <w:marTop w:val="0"/>
      <w:marBottom w:val="0"/>
      <w:divBdr>
        <w:top w:val="none" w:sz="0" w:space="0" w:color="auto"/>
        <w:left w:val="none" w:sz="0" w:space="0" w:color="auto"/>
        <w:bottom w:val="none" w:sz="0" w:space="0" w:color="auto"/>
        <w:right w:val="none" w:sz="0" w:space="0" w:color="auto"/>
      </w:divBdr>
    </w:div>
    <w:div w:id="553585425">
      <w:bodyDiv w:val="1"/>
      <w:marLeft w:val="0"/>
      <w:marRight w:val="0"/>
      <w:marTop w:val="0"/>
      <w:marBottom w:val="0"/>
      <w:divBdr>
        <w:top w:val="none" w:sz="0" w:space="0" w:color="auto"/>
        <w:left w:val="none" w:sz="0" w:space="0" w:color="auto"/>
        <w:bottom w:val="none" w:sz="0" w:space="0" w:color="auto"/>
        <w:right w:val="none" w:sz="0" w:space="0" w:color="auto"/>
      </w:divBdr>
    </w:div>
    <w:div w:id="578028618">
      <w:bodyDiv w:val="1"/>
      <w:marLeft w:val="0"/>
      <w:marRight w:val="0"/>
      <w:marTop w:val="0"/>
      <w:marBottom w:val="0"/>
      <w:divBdr>
        <w:top w:val="none" w:sz="0" w:space="0" w:color="auto"/>
        <w:left w:val="none" w:sz="0" w:space="0" w:color="auto"/>
        <w:bottom w:val="none" w:sz="0" w:space="0" w:color="auto"/>
        <w:right w:val="none" w:sz="0" w:space="0" w:color="auto"/>
      </w:divBdr>
    </w:div>
    <w:div w:id="611978083">
      <w:bodyDiv w:val="1"/>
      <w:marLeft w:val="0"/>
      <w:marRight w:val="0"/>
      <w:marTop w:val="0"/>
      <w:marBottom w:val="0"/>
      <w:divBdr>
        <w:top w:val="none" w:sz="0" w:space="0" w:color="auto"/>
        <w:left w:val="none" w:sz="0" w:space="0" w:color="auto"/>
        <w:bottom w:val="none" w:sz="0" w:space="0" w:color="auto"/>
        <w:right w:val="none" w:sz="0" w:space="0" w:color="auto"/>
      </w:divBdr>
    </w:div>
    <w:div w:id="617564728">
      <w:bodyDiv w:val="1"/>
      <w:marLeft w:val="0"/>
      <w:marRight w:val="0"/>
      <w:marTop w:val="0"/>
      <w:marBottom w:val="0"/>
      <w:divBdr>
        <w:top w:val="none" w:sz="0" w:space="0" w:color="auto"/>
        <w:left w:val="none" w:sz="0" w:space="0" w:color="auto"/>
        <w:bottom w:val="none" w:sz="0" w:space="0" w:color="auto"/>
        <w:right w:val="none" w:sz="0" w:space="0" w:color="auto"/>
      </w:divBdr>
    </w:div>
    <w:div w:id="671376323">
      <w:bodyDiv w:val="1"/>
      <w:marLeft w:val="0"/>
      <w:marRight w:val="0"/>
      <w:marTop w:val="0"/>
      <w:marBottom w:val="0"/>
      <w:divBdr>
        <w:top w:val="none" w:sz="0" w:space="0" w:color="auto"/>
        <w:left w:val="none" w:sz="0" w:space="0" w:color="auto"/>
        <w:bottom w:val="none" w:sz="0" w:space="0" w:color="auto"/>
        <w:right w:val="none" w:sz="0" w:space="0" w:color="auto"/>
      </w:divBdr>
    </w:div>
    <w:div w:id="690764071">
      <w:bodyDiv w:val="1"/>
      <w:marLeft w:val="0"/>
      <w:marRight w:val="0"/>
      <w:marTop w:val="0"/>
      <w:marBottom w:val="0"/>
      <w:divBdr>
        <w:top w:val="none" w:sz="0" w:space="0" w:color="auto"/>
        <w:left w:val="none" w:sz="0" w:space="0" w:color="auto"/>
        <w:bottom w:val="none" w:sz="0" w:space="0" w:color="auto"/>
        <w:right w:val="none" w:sz="0" w:space="0" w:color="auto"/>
      </w:divBdr>
    </w:div>
    <w:div w:id="706029371">
      <w:bodyDiv w:val="1"/>
      <w:marLeft w:val="0"/>
      <w:marRight w:val="0"/>
      <w:marTop w:val="0"/>
      <w:marBottom w:val="0"/>
      <w:divBdr>
        <w:top w:val="none" w:sz="0" w:space="0" w:color="auto"/>
        <w:left w:val="none" w:sz="0" w:space="0" w:color="auto"/>
        <w:bottom w:val="none" w:sz="0" w:space="0" w:color="auto"/>
        <w:right w:val="none" w:sz="0" w:space="0" w:color="auto"/>
      </w:divBdr>
    </w:div>
    <w:div w:id="849297737">
      <w:bodyDiv w:val="1"/>
      <w:marLeft w:val="0"/>
      <w:marRight w:val="0"/>
      <w:marTop w:val="0"/>
      <w:marBottom w:val="0"/>
      <w:divBdr>
        <w:top w:val="none" w:sz="0" w:space="0" w:color="auto"/>
        <w:left w:val="none" w:sz="0" w:space="0" w:color="auto"/>
        <w:bottom w:val="none" w:sz="0" w:space="0" w:color="auto"/>
        <w:right w:val="none" w:sz="0" w:space="0" w:color="auto"/>
      </w:divBdr>
    </w:div>
    <w:div w:id="880365366">
      <w:bodyDiv w:val="1"/>
      <w:marLeft w:val="0"/>
      <w:marRight w:val="0"/>
      <w:marTop w:val="0"/>
      <w:marBottom w:val="0"/>
      <w:divBdr>
        <w:top w:val="none" w:sz="0" w:space="0" w:color="auto"/>
        <w:left w:val="none" w:sz="0" w:space="0" w:color="auto"/>
        <w:bottom w:val="none" w:sz="0" w:space="0" w:color="auto"/>
        <w:right w:val="none" w:sz="0" w:space="0" w:color="auto"/>
      </w:divBdr>
    </w:div>
    <w:div w:id="980306755">
      <w:bodyDiv w:val="1"/>
      <w:marLeft w:val="0"/>
      <w:marRight w:val="0"/>
      <w:marTop w:val="0"/>
      <w:marBottom w:val="0"/>
      <w:divBdr>
        <w:top w:val="none" w:sz="0" w:space="0" w:color="auto"/>
        <w:left w:val="none" w:sz="0" w:space="0" w:color="auto"/>
        <w:bottom w:val="none" w:sz="0" w:space="0" w:color="auto"/>
        <w:right w:val="none" w:sz="0" w:space="0" w:color="auto"/>
      </w:divBdr>
    </w:div>
    <w:div w:id="1034888594">
      <w:bodyDiv w:val="1"/>
      <w:marLeft w:val="0"/>
      <w:marRight w:val="0"/>
      <w:marTop w:val="0"/>
      <w:marBottom w:val="0"/>
      <w:divBdr>
        <w:top w:val="none" w:sz="0" w:space="0" w:color="auto"/>
        <w:left w:val="none" w:sz="0" w:space="0" w:color="auto"/>
        <w:bottom w:val="none" w:sz="0" w:space="0" w:color="auto"/>
        <w:right w:val="none" w:sz="0" w:space="0" w:color="auto"/>
      </w:divBdr>
    </w:div>
    <w:div w:id="1047411333">
      <w:bodyDiv w:val="1"/>
      <w:marLeft w:val="0"/>
      <w:marRight w:val="0"/>
      <w:marTop w:val="0"/>
      <w:marBottom w:val="0"/>
      <w:divBdr>
        <w:top w:val="none" w:sz="0" w:space="0" w:color="auto"/>
        <w:left w:val="none" w:sz="0" w:space="0" w:color="auto"/>
        <w:bottom w:val="none" w:sz="0" w:space="0" w:color="auto"/>
        <w:right w:val="none" w:sz="0" w:space="0" w:color="auto"/>
      </w:divBdr>
    </w:div>
    <w:div w:id="1086267810">
      <w:bodyDiv w:val="1"/>
      <w:marLeft w:val="0"/>
      <w:marRight w:val="0"/>
      <w:marTop w:val="0"/>
      <w:marBottom w:val="0"/>
      <w:divBdr>
        <w:top w:val="none" w:sz="0" w:space="0" w:color="auto"/>
        <w:left w:val="none" w:sz="0" w:space="0" w:color="auto"/>
        <w:bottom w:val="none" w:sz="0" w:space="0" w:color="auto"/>
        <w:right w:val="none" w:sz="0" w:space="0" w:color="auto"/>
      </w:divBdr>
    </w:div>
    <w:div w:id="1087654185">
      <w:bodyDiv w:val="1"/>
      <w:marLeft w:val="0"/>
      <w:marRight w:val="0"/>
      <w:marTop w:val="0"/>
      <w:marBottom w:val="0"/>
      <w:divBdr>
        <w:top w:val="none" w:sz="0" w:space="0" w:color="auto"/>
        <w:left w:val="none" w:sz="0" w:space="0" w:color="auto"/>
        <w:bottom w:val="none" w:sz="0" w:space="0" w:color="auto"/>
        <w:right w:val="none" w:sz="0" w:space="0" w:color="auto"/>
      </w:divBdr>
    </w:div>
    <w:div w:id="1090001580">
      <w:bodyDiv w:val="1"/>
      <w:marLeft w:val="0"/>
      <w:marRight w:val="0"/>
      <w:marTop w:val="0"/>
      <w:marBottom w:val="0"/>
      <w:divBdr>
        <w:top w:val="none" w:sz="0" w:space="0" w:color="auto"/>
        <w:left w:val="none" w:sz="0" w:space="0" w:color="auto"/>
        <w:bottom w:val="none" w:sz="0" w:space="0" w:color="auto"/>
        <w:right w:val="none" w:sz="0" w:space="0" w:color="auto"/>
      </w:divBdr>
    </w:div>
    <w:div w:id="1096630002">
      <w:bodyDiv w:val="1"/>
      <w:marLeft w:val="0"/>
      <w:marRight w:val="0"/>
      <w:marTop w:val="0"/>
      <w:marBottom w:val="0"/>
      <w:divBdr>
        <w:top w:val="none" w:sz="0" w:space="0" w:color="auto"/>
        <w:left w:val="none" w:sz="0" w:space="0" w:color="auto"/>
        <w:bottom w:val="none" w:sz="0" w:space="0" w:color="auto"/>
        <w:right w:val="none" w:sz="0" w:space="0" w:color="auto"/>
      </w:divBdr>
    </w:div>
    <w:div w:id="1097479112">
      <w:bodyDiv w:val="1"/>
      <w:marLeft w:val="0"/>
      <w:marRight w:val="0"/>
      <w:marTop w:val="0"/>
      <w:marBottom w:val="0"/>
      <w:divBdr>
        <w:top w:val="none" w:sz="0" w:space="0" w:color="auto"/>
        <w:left w:val="none" w:sz="0" w:space="0" w:color="auto"/>
        <w:bottom w:val="none" w:sz="0" w:space="0" w:color="auto"/>
        <w:right w:val="none" w:sz="0" w:space="0" w:color="auto"/>
      </w:divBdr>
    </w:div>
    <w:div w:id="1112287702">
      <w:bodyDiv w:val="1"/>
      <w:marLeft w:val="0"/>
      <w:marRight w:val="0"/>
      <w:marTop w:val="0"/>
      <w:marBottom w:val="0"/>
      <w:divBdr>
        <w:top w:val="none" w:sz="0" w:space="0" w:color="auto"/>
        <w:left w:val="none" w:sz="0" w:space="0" w:color="auto"/>
        <w:bottom w:val="none" w:sz="0" w:space="0" w:color="auto"/>
        <w:right w:val="none" w:sz="0" w:space="0" w:color="auto"/>
      </w:divBdr>
    </w:div>
    <w:div w:id="1118991877">
      <w:bodyDiv w:val="1"/>
      <w:marLeft w:val="0"/>
      <w:marRight w:val="0"/>
      <w:marTop w:val="0"/>
      <w:marBottom w:val="0"/>
      <w:divBdr>
        <w:top w:val="none" w:sz="0" w:space="0" w:color="auto"/>
        <w:left w:val="none" w:sz="0" w:space="0" w:color="auto"/>
        <w:bottom w:val="none" w:sz="0" w:space="0" w:color="auto"/>
        <w:right w:val="none" w:sz="0" w:space="0" w:color="auto"/>
      </w:divBdr>
    </w:div>
    <w:div w:id="1165903780">
      <w:bodyDiv w:val="1"/>
      <w:marLeft w:val="0"/>
      <w:marRight w:val="0"/>
      <w:marTop w:val="0"/>
      <w:marBottom w:val="0"/>
      <w:divBdr>
        <w:top w:val="none" w:sz="0" w:space="0" w:color="auto"/>
        <w:left w:val="none" w:sz="0" w:space="0" w:color="auto"/>
        <w:bottom w:val="none" w:sz="0" w:space="0" w:color="auto"/>
        <w:right w:val="none" w:sz="0" w:space="0" w:color="auto"/>
      </w:divBdr>
    </w:div>
    <w:div w:id="1181705533">
      <w:bodyDiv w:val="1"/>
      <w:marLeft w:val="0"/>
      <w:marRight w:val="0"/>
      <w:marTop w:val="0"/>
      <w:marBottom w:val="0"/>
      <w:divBdr>
        <w:top w:val="none" w:sz="0" w:space="0" w:color="auto"/>
        <w:left w:val="none" w:sz="0" w:space="0" w:color="auto"/>
        <w:bottom w:val="none" w:sz="0" w:space="0" w:color="auto"/>
        <w:right w:val="none" w:sz="0" w:space="0" w:color="auto"/>
      </w:divBdr>
    </w:div>
    <w:div w:id="1189297225">
      <w:bodyDiv w:val="1"/>
      <w:marLeft w:val="0"/>
      <w:marRight w:val="0"/>
      <w:marTop w:val="0"/>
      <w:marBottom w:val="0"/>
      <w:divBdr>
        <w:top w:val="none" w:sz="0" w:space="0" w:color="auto"/>
        <w:left w:val="none" w:sz="0" w:space="0" w:color="auto"/>
        <w:bottom w:val="none" w:sz="0" w:space="0" w:color="auto"/>
        <w:right w:val="none" w:sz="0" w:space="0" w:color="auto"/>
      </w:divBdr>
    </w:div>
    <w:div w:id="1316643782">
      <w:bodyDiv w:val="1"/>
      <w:marLeft w:val="0"/>
      <w:marRight w:val="0"/>
      <w:marTop w:val="0"/>
      <w:marBottom w:val="0"/>
      <w:divBdr>
        <w:top w:val="none" w:sz="0" w:space="0" w:color="auto"/>
        <w:left w:val="none" w:sz="0" w:space="0" w:color="auto"/>
        <w:bottom w:val="none" w:sz="0" w:space="0" w:color="auto"/>
        <w:right w:val="none" w:sz="0" w:space="0" w:color="auto"/>
      </w:divBdr>
    </w:div>
    <w:div w:id="1415543607">
      <w:bodyDiv w:val="1"/>
      <w:marLeft w:val="0"/>
      <w:marRight w:val="0"/>
      <w:marTop w:val="0"/>
      <w:marBottom w:val="0"/>
      <w:divBdr>
        <w:top w:val="none" w:sz="0" w:space="0" w:color="auto"/>
        <w:left w:val="none" w:sz="0" w:space="0" w:color="auto"/>
        <w:bottom w:val="none" w:sz="0" w:space="0" w:color="auto"/>
        <w:right w:val="none" w:sz="0" w:space="0" w:color="auto"/>
      </w:divBdr>
      <w:divsChild>
        <w:div w:id="2098944065">
          <w:marLeft w:val="0"/>
          <w:marRight w:val="0"/>
          <w:marTop w:val="0"/>
          <w:marBottom w:val="0"/>
          <w:divBdr>
            <w:top w:val="none" w:sz="0" w:space="0" w:color="auto"/>
            <w:left w:val="none" w:sz="0" w:space="0" w:color="auto"/>
            <w:bottom w:val="none" w:sz="0" w:space="0" w:color="auto"/>
            <w:right w:val="none" w:sz="0" w:space="0" w:color="auto"/>
          </w:divBdr>
          <w:divsChild>
            <w:div w:id="1403021449">
              <w:marLeft w:val="225"/>
              <w:marRight w:val="225"/>
              <w:marTop w:val="225"/>
              <w:marBottom w:val="0"/>
              <w:divBdr>
                <w:top w:val="none" w:sz="0" w:space="0" w:color="auto"/>
                <w:left w:val="none" w:sz="0" w:space="0" w:color="auto"/>
                <w:bottom w:val="none" w:sz="0" w:space="0" w:color="auto"/>
                <w:right w:val="none" w:sz="0" w:space="0" w:color="auto"/>
              </w:divBdr>
              <w:divsChild>
                <w:div w:id="121866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865605">
      <w:bodyDiv w:val="1"/>
      <w:marLeft w:val="0"/>
      <w:marRight w:val="0"/>
      <w:marTop w:val="0"/>
      <w:marBottom w:val="0"/>
      <w:divBdr>
        <w:top w:val="none" w:sz="0" w:space="0" w:color="auto"/>
        <w:left w:val="none" w:sz="0" w:space="0" w:color="auto"/>
        <w:bottom w:val="none" w:sz="0" w:space="0" w:color="auto"/>
        <w:right w:val="none" w:sz="0" w:space="0" w:color="auto"/>
      </w:divBdr>
    </w:div>
    <w:div w:id="1432437468">
      <w:bodyDiv w:val="1"/>
      <w:marLeft w:val="0"/>
      <w:marRight w:val="0"/>
      <w:marTop w:val="0"/>
      <w:marBottom w:val="0"/>
      <w:divBdr>
        <w:top w:val="none" w:sz="0" w:space="0" w:color="auto"/>
        <w:left w:val="none" w:sz="0" w:space="0" w:color="auto"/>
        <w:bottom w:val="none" w:sz="0" w:space="0" w:color="auto"/>
        <w:right w:val="none" w:sz="0" w:space="0" w:color="auto"/>
      </w:divBdr>
    </w:div>
    <w:div w:id="1446659965">
      <w:bodyDiv w:val="1"/>
      <w:marLeft w:val="0"/>
      <w:marRight w:val="0"/>
      <w:marTop w:val="0"/>
      <w:marBottom w:val="0"/>
      <w:divBdr>
        <w:top w:val="none" w:sz="0" w:space="0" w:color="auto"/>
        <w:left w:val="none" w:sz="0" w:space="0" w:color="auto"/>
        <w:bottom w:val="none" w:sz="0" w:space="0" w:color="auto"/>
        <w:right w:val="none" w:sz="0" w:space="0" w:color="auto"/>
      </w:divBdr>
    </w:div>
    <w:div w:id="1466042471">
      <w:bodyDiv w:val="1"/>
      <w:marLeft w:val="0"/>
      <w:marRight w:val="0"/>
      <w:marTop w:val="0"/>
      <w:marBottom w:val="0"/>
      <w:divBdr>
        <w:top w:val="none" w:sz="0" w:space="0" w:color="auto"/>
        <w:left w:val="none" w:sz="0" w:space="0" w:color="auto"/>
        <w:bottom w:val="none" w:sz="0" w:space="0" w:color="auto"/>
        <w:right w:val="none" w:sz="0" w:space="0" w:color="auto"/>
      </w:divBdr>
    </w:div>
    <w:div w:id="1472671258">
      <w:bodyDiv w:val="1"/>
      <w:marLeft w:val="0"/>
      <w:marRight w:val="0"/>
      <w:marTop w:val="0"/>
      <w:marBottom w:val="0"/>
      <w:divBdr>
        <w:top w:val="none" w:sz="0" w:space="0" w:color="auto"/>
        <w:left w:val="none" w:sz="0" w:space="0" w:color="auto"/>
        <w:bottom w:val="none" w:sz="0" w:space="0" w:color="auto"/>
        <w:right w:val="none" w:sz="0" w:space="0" w:color="auto"/>
      </w:divBdr>
    </w:div>
    <w:div w:id="1484394561">
      <w:bodyDiv w:val="1"/>
      <w:marLeft w:val="0"/>
      <w:marRight w:val="0"/>
      <w:marTop w:val="0"/>
      <w:marBottom w:val="0"/>
      <w:divBdr>
        <w:top w:val="none" w:sz="0" w:space="0" w:color="auto"/>
        <w:left w:val="none" w:sz="0" w:space="0" w:color="auto"/>
        <w:bottom w:val="none" w:sz="0" w:space="0" w:color="auto"/>
        <w:right w:val="none" w:sz="0" w:space="0" w:color="auto"/>
      </w:divBdr>
    </w:div>
    <w:div w:id="1512840528">
      <w:bodyDiv w:val="1"/>
      <w:marLeft w:val="0"/>
      <w:marRight w:val="0"/>
      <w:marTop w:val="0"/>
      <w:marBottom w:val="0"/>
      <w:divBdr>
        <w:top w:val="none" w:sz="0" w:space="0" w:color="auto"/>
        <w:left w:val="none" w:sz="0" w:space="0" w:color="auto"/>
        <w:bottom w:val="none" w:sz="0" w:space="0" w:color="auto"/>
        <w:right w:val="none" w:sz="0" w:space="0" w:color="auto"/>
      </w:divBdr>
    </w:div>
    <w:div w:id="1569921485">
      <w:bodyDiv w:val="1"/>
      <w:marLeft w:val="0"/>
      <w:marRight w:val="0"/>
      <w:marTop w:val="0"/>
      <w:marBottom w:val="0"/>
      <w:divBdr>
        <w:top w:val="none" w:sz="0" w:space="0" w:color="auto"/>
        <w:left w:val="none" w:sz="0" w:space="0" w:color="auto"/>
        <w:bottom w:val="none" w:sz="0" w:space="0" w:color="auto"/>
        <w:right w:val="none" w:sz="0" w:space="0" w:color="auto"/>
      </w:divBdr>
    </w:div>
    <w:div w:id="1573541708">
      <w:bodyDiv w:val="1"/>
      <w:marLeft w:val="0"/>
      <w:marRight w:val="0"/>
      <w:marTop w:val="0"/>
      <w:marBottom w:val="0"/>
      <w:divBdr>
        <w:top w:val="none" w:sz="0" w:space="0" w:color="auto"/>
        <w:left w:val="none" w:sz="0" w:space="0" w:color="auto"/>
        <w:bottom w:val="none" w:sz="0" w:space="0" w:color="auto"/>
        <w:right w:val="none" w:sz="0" w:space="0" w:color="auto"/>
      </w:divBdr>
    </w:div>
    <w:div w:id="1576744998">
      <w:bodyDiv w:val="1"/>
      <w:marLeft w:val="0"/>
      <w:marRight w:val="0"/>
      <w:marTop w:val="0"/>
      <w:marBottom w:val="0"/>
      <w:divBdr>
        <w:top w:val="none" w:sz="0" w:space="0" w:color="auto"/>
        <w:left w:val="none" w:sz="0" w:space="0" w:color="auto"/>
        <w:bottom w:val="none" w:sz="0" w:space="0" w:color="auto"/>
        <w:right w:val="none" w:sz="0" w:space="0" w:color="auto"/>
      </w:divBdr>
    </w:div>
    <w:div w:id="1584296239">
      <w:bodyDiv w:val="1"/>
      <w:marLeft w:val="0"/>
      <w:marRight w:val="0"/>
      <w:marTop w:val="0"/>
      <w:marBottom w:val="0"/>
      <w:divBdr>
        <w:top w:val="none" w:sz="0" w:space="0" w:color="auto"/>
        <w:left w:val="none" w:sz="0" w:space="0" w:color="auto"/>
        <w:bottom w:val="none" w:sz="0" w:space="0" w:color="auto"/>
        <w:right w:val="none" w:sz="0" w:space="0" w:color="auto"/>
      </w:divBdr>
    </w:div>
    <w:div w:id="1587231612">
      <w:bodyDiv w:val="1"/>
      <w:marLeft w:val="0"/>
      <w:marRight w:val="0"/>
      <w:marTop w:val="0"/>
      <w:marBottom w:val="0"/>
      <w:divBdr>
        <w:top w:val="none" w:sz="0" w:space="0" w:color="auto"/>
        <w:left w:val="none" w:sz="0" w:space="0" w:color="auto"/>
        <w:bottom w:val="none" w:sz="0" w:space="0" w:color="auto"/>
        <w:right w:val="none" w:sz="0" w:space="0" w:color="auto"/>
      </w:divBdr>
    </w:div>
    <w:div w:id="1597981907">
      <w:bodyDiv w:val="1"/>
      <w:marLeft w:val="0"/>
      <w:marRight w:val="0"/>
      <w:marTop w:val="0"/>
      <w:marBottom w:val="0"/>
      <w:divBdr>
        <w:top w:val="none" w:sz="0" w:space="0" w:color="auto"/>
        <w:left w:val="none" w:sz="0" w:space="0" w:color="auto"/>
        <w:bottom w:val="none" w:sz="0" w:space="0" w:color="auto"/>
        <w:right w:val="none" w:sz="0" w:space="0" w:color="auto"/>
      </w:divBdr>
    </w:div>
    <w:div w:id="1603536821">
      <w:bodyDiv w:val="1"/>
      <w:marLeft w:val="0"/>
      <w:marRight w:val="0"/>
      <w:marTop w:val="0"/>
      <w:marBottom w:val="0"/>
      <w:divBdr>
        <w:top w:val="none" w:sz="0" w:space="0" w:color="auto"/>
        <w:left w:val="none" w:sz="0" w:space="0" w:color="auto"/>
        <w:bottom w:val="none" w:sz="0" w:space="0" w:color="auto"/>
        <w:right w:val="none" w:sz="0" w:space="0" w:color="auto"/>
      </w:divBdr>
    </w:div>
    <w:div w:id="1662653977">
      <w:bodyDiv w:val="1"/>
      <w:marLeft w:val="0"/>
      <w:marRight w:val="0"/>
      <w:marTop w:val="0"/>
      <w:marBottom w:val="0"/>
      <w:divBdr>
        <w:top w:val="none" w:sz="0" w:space="0" w:color="auto"/>
        <w:left w:val="none" w:sz="0" w:space="0" w:color="auto"/>
        <w:bottom w:val="none" w:sz="0" w:space="0" w:color="auto"/>
        <w:right w:val="none" w:sz="0" w:space="0" w:color="auto"/>
      </w:divBdr>
    </w:div>
    <w:div w:id="1664434038">
      <w:bodyDiv w:val="1"/>
      <w:marLeft w:val="0"/>
      <w:marRight w:val="0"/>
      <w:marTop w:val="0"/>
      <w:marBottom w:val="0"/>
      <w:divBdr>
        <w:top w:val="none" w:sz="0" w:space="0" w:color="auto"/>
        <w:left w:val="none" w:sz="0" w:space="0" w:color="auto"/>
        <w:bottom w:val="none" w:sz="0" w:space="0" w:color="auto"/>
        <w:right w:val="none" w:sz="0" w:space="0" w:color="auto"/>
      </w:divBdr>
    </w:div>
    <w:div w:id="1667202858">
      <w:bodyDiv w:val="1"/>
      <w:marLeft w:val="0"/>
      <w:marRight w:val="0"/>
      <w:marTop w:val="0"/>
      <w:marBottom w:val="0"/>
      <w:divBdr>
        <w:top w:val="none" w:sz="0" w:space="0" w:color="auto"/>
        <w:left w:val="none" w:sz="0" w:space="0" w:color="auto"/>
        <w:bottom w:val="none" w:sz="0" w:space="0" w:color="auto"/>
        <w:right w:val="none" w:sz="0" w:space="0" w:color="auto"/>
      </w:divBdr>
    </w:div>
    <w:div w:id="1701709271">
      <w:bodyDiv w:val="1"/>
      <w:marLeft w:val="0"/>
      <w:marRight w:val="0"/>
      <w:marTop w:val="0"/>
      <w:marBottom w:val="0"/>
      <w:divBdr>
        <w:top w:val="none" w:sz="0" w:space="0" w:color="auto"/>
        <w:left w:val="none" w:sz="0" w:space="0" w:color="auto"/>
        <w:bottom w:val="none" w:sz="0" w:space="0" w:color="auto"/>
        <w:right w:val="none" w:sz="0" w:space="0" w:color="auto"/>
      </w:divBdr>
    </w:div>
    <w:div w:id="1704475741">
      <w:bodyDiv w:val="1"/>
      <w:marLeft w:val="0"/>
      <w:marRight w:val="0"/>
      <w:marTop w:val="0"/>
      <w:marBottom w:val="0"/>
      <w:divBdr>
        <w:top w:val="none" w:sz="0" w:space="0" w:color="auto"/>
        <w:left w:val="none" w:sz="0" w:space="0" w:color="auto"/>
        <w:bottom w:val="none" w:sz="0" w:space="0" w:color="auto"/>
        <w:right w:val="none" w:sz="0" w:space="0" w:color="auto"/>
      </w:divBdr>
    </w:div>
    <w:div w:id="1711151482">
      <w:bodyDiv w:val="1"/>
      <w:marLeft w:val="0"/>
      <w:marRight w:val="0"/>
      <w:marTop w:val="0"/>
      <w:marBottom w:val="0"/>
      <w:divBdr>
        <w:top w:val="none" w:sz="0" w:space="0" w:color="auto"/>
        <w:left w:val="none" w:sz="0" w:space="0" w:color="auto"/>
        <w:bottom w:val="none" w:sz="0" w:space="0" w:color="auto"/>
        <w:right w:val="none" w:sz="0" w:space="0" w:color="auto"/>
      </w:divBdr>
    </w:div>
    <w:div w:id="1727486107">
      <w:bodyDiv w:val="1"/>
      <w:marLeft w:val="0"/>
      <w:marRight w:val="0"/>
      <w:marTop w:val="0"/>
      <w:marBottom w:val="0"/>
      <w:divBdr>
        <w:top w:val="none" w:sz="0" w:space="0" w:color="auto"/>
        <w:left w:val="none" w:sz="0" w:space="0" w:color="auto"/>
        <w:bottom w:val="none" w:sz="0" w:space="0" w:color="auto"/>
        <w:right w:val="none" w:sz="0" w:space="0" w:color="auto"/>
      </w:divBdr>
    </w:div>
    <w:div w:id="1766028540">
      <w:bodyDiv w:val="1"/>
      <w:marLeft w:val="0"/>
      <w:marRight w:val="0"/>
      <w:marTop w:val="0"/>
      <w:marBottom w:val="0"/>
      <w:divBdr>
        <w:top w:val="none" w:sz="0" w:space="0" w:color="auto"/>
        <w:left w:val="none" w:sz="0" w:space="0" w:color="auto"/>
        <w:bottom w:val="none" w:sz="0" w:space="0" w:color="auto"/>
        <w:right w:val="none" w:sz="0" w:space="0" w:color="auto"/>
      </w:divBdr>
    </w:div>
    <w:div w:id="1795522214">
      <w:bodyDiv w:val="1"/>
      <w:marLeft w:val="0"/>
      <w:marRight w:val="0"/>
      <w:marTop w:val="0"/>
      <w:marBottom w:val="0"/>
      <w:divBdr>
        <w:top w:val="none" w:sz="0" w:space="0" w:color="auto"/>
        <w:left w:val="none" w:sz="0" w:space="0" w:color="auto"/>
        <w:bottom w:val="none" w:sz="0" w:space="0" w:color="auto"/>
        <w:right w:val="none" w:sz="0" w:space="0" w:color="auto"/>
      </w:divBdr>
    </w:div>
    <w:div w:id="1797135333">
      <w:bodyDiv w:val="1"/>
      <w:marLeft w:val="0"/>
      <w:marRight w:val="0"/>
      <w:marTop w:val="0"/>
      <w:marBottom w:val="0"/>
      <w:divBdr>
        <w:top w:val="none" w:sz="0" w:space="0" w:color="auto"/>
        <w:left w:val="none" w:sz="0" w:space="0" w:color="auto"/>
        <w:bottom w:val="none" w:sz="0" w:space="0" w:color="auto"/>
        <w:right w:val="none" w:sz="0" w:space="0" w:color="auto"/>
      </w:divBdr>
    </w:div>
    <w:div w:id="1820220530">
      <w:bodyDiv w:val="1"/>
      <w:marLeft w:val="0"/>
      <w:marRight w:val="0"/>
      <w:marTop w:val="0"/>
      <w:marBottom w:val="0"/>
      <w:divBdr>
        <w:top w:val="none" w:sz="0" w:space="0" w:color="auto"/>
        <w:left w:val="none" w:sz="0" w:space="0" w:color="auto"/>
        <w:bottom w:val="none" w:sz="0" w:space="0" w:color="auto"/>
        <w:right w:val="none" w:sz="0" w:space="0" w:color="auto"/>
      </w:divBdr>
    </w:div>
    <w:div w:id="1876768078">
      <w:bodyDiv w:val="1"/>
      <w:marLeft w:val="0"/>
      <w:marRight w:val="0"/>
      <w:marTop w:val="0"/>
      <w:marBottom w:val="0"/>
      <w:divBdr>
        <w:top w:val="none" w:sz="0" w:space="0" w:color="auto"/>
        <w:left w:val="none" w:sz="0" w:space="0" w:color="auto"/>
        <w:bottom w:val="none" w:sz="0" w:space="0" w:color="auto"/>
        <w:right w:val="none" w:sz="0" w:space="0" w:color="auto"/>
      </w:divBdr>
    </w:div>
    <w:div w:id="1914659529">
      <w:bodyDiv w:val="1"/>
      <w:marLeft w:val="0"/>
      <w:marRight w:val="0"/>
      <w:marTop w:val="0"/>
      <w:marBottom w:val="0"/>
      <w:divBdr>
        <w:top w:val="none" w:sz="0" w:space="0" w:color="auto"/>
        <w:left w:val="none" w:sz="0" w:space="0" w:color="auto"/>
        <w:bottom w:val="none" w:sz="0" w:space="0" w:color="auto"/>
        <w:right w:val="none" w:sz="0" w:space="0" w:color="auto"/>
      </w:divBdr>
    </w:div>
    <w:div w:id="1957250897">
      <w:bodyDiv w:val="1"/>
      <w:marLeft w:val="0"/>
      <w:marRight w:val="0"/>
      <w:marTop w:val="0"/>
      <w:marBottom w:val="0"/>
      <w:divBdr>
        <w:top w:val="none" w:sz="0" w:space="0" w:color="auto"/>
        <w:left w:val="none" w:sz="0" w:space="0" w:color="auto"/>
        <w:bottom w:val="none" w:sz="0" w:space="0" w:color="auto"/>
        <w:right w:val="none" w:sz="0" w:space="0" w:color="auto"/>
      </w:divBdr>
    </w:div>
    <w:div w:id="1958443893">
      <w:bodyDiv w:val="1"/>
      <w:marLeft w:val="0"/>
      <w:marRight w:val="0"/>
      <w:marTop w:val="0"/>
      <w:marBottom w:val="0"/>
      <w:divBdr>
        <w:top w:val="none" w:sz="0" w:space="0" w:color="auto"/>
        <w:left w:val="none" w:sz="0" w:space="0" w:color="auto"/>
        <w:bottom w:val="none" w:sz="0" w:space="0" w:color="auto"/>
        <w:right w:val="none" w:sz="0" w:space="0" w:color="auto"/>
      </w:divBdr>
    </w:div>
    <w:div w:id="2020157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image" Target="media/image2.jpeg"/><Relationship Id="rId42" Type="http://schemas.openxmlformats.org/officeDocument/2006/relationships/header" Target="header11.xml"/><Relationship Id="rId47" Type="http://schemas.openxmlformats.org/officeDocument/2006/relationships/footer" Target="footer8.xml"/><Relationship Id="rId63" Type="http://schemas.openxmlformats.org/officeDocument/2006/relationships/header" Target="header20.xml"/><Relationship Id="rId68" Type="http://schemas.openxmlformats.org/officeDocument/2006/relationships/header" Target="header22.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6.jpeg"/><Relationship Id="rId11" Type="http://schemas.openxmlformats.org/officeDocument/2006/relationships/webSettings" Target="webSettings.xml"/><Relationship Id="rId24" Type="http://schemas.openxmlformats.org/officeDocument/2006/relationships/header" Target="header4.xml"/><Relationship Id="rId32" Type="http://schemas.openxmlformats.org/officeDocument/2006/relationships/hyperlink" Target="http://www.ari.vic.gov.au" TargetMode="External"/><Relationship Id="rId37" Type="http://schemas.openxmlformats.org/officeDocument/2006/relationships/header" Target="header8.xml"/><Relationship Id="rId40" Type="http://schemas.openxmlformats.org/officeDocument/2006/relationships/footer" Target="footer6.xml"/><Relationship Id="rId45" Type="http://schemas.openxmlformats.org/officeDocument/2006/relationships/header" Target="header13.xml"/><Relationship Id="rId53" Type="http://schemas.openxmlformats.org/officeDocument/2006/relationships/hyperlink" Target="https://doi.org/10.1017/S1464793105006950" TargetMode="External"/><Relationship Id="rId58" Type="http://schemas.openxmlformats.org/officeDocument/2006/relationships/hyperlink" Target="https://doi.org/10.1029/2009GL041067" TargetMode="External"/><Relationship Id="rId66" Type="http://schemas.openxmlformats.org/officeDocument/2006/relationships/hyperlink" Target="http://www.delwp.vic.gov.au" TargetMode="External"/><Relationship Id="rId5" Type="http://schemas.openxmlformats.org/officeDocument/2006/relationships/customXml" Target="../customXml/item5.xml"/><Relationship Id="rId61" Type="http://schemas.openxmlformats.org/officeDocument/2006/relationships/hyperlink" Target="https://scholar.google.com.au/citations?user=UOe8EskAAAAJ&amp;hl=en" TargetMode="Externa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image" Target="media/image3.jpeg"/><Relationship Id="rId27" Type="http://schemas.openxmlformats.org/officeDocument/2006/relationships/header" Target="header6.xml"/><Relationship Id="rId30" Type="http://schemas.openxmlformats.org/officeDocument/2006/relationships/image" Target="media/image7.jpeg"/><Relationship Id="rId35" Type="http://schemas.openxmlformats.org/officeDocument/2006/relationships/hyperlink" Target="http://www.delwp.vic.gov.au" TargetMode="External"/><Relationship Id="rId43" Type="http://schemas.openxmlformats.org/officeDocument/2006/relationships/header" Target="header12.xml"/><Relationship Id="rId48" Type="http://schemas.openxmlformats.org/officeDocument/2006/relationships/header" Target="header15.xml"/><Relationship Id="rId56" Type="http://schemas.openxmlformats.org/officeDocument/2006/relationships/hyperlink" Target="https://www.ari.vic.gov.au/__data/assets/file/0035/589562/Essential-Population-Modelling-Software.zip" TargetMode="External"/><Relationship Id="rId64" Type="http://schemas.openxmlformats.org/officeDocument/2006/relationships/header" Target="header21.xml"/><Relationship Id="rId69" Type="http://schemas.openxmlformats.org/officeDocument/2006/relationships/header" Target="header23.xml"/><Relationship Id="rId8" Type="http://schemas.openxmlformats.org/officeDocument/2006/relationships/numbering" Target="numbering.xml"/><Relationship Id="rId51" Type="http://schemas.openxmlformats.org/officeDocument/2006/relationships/header" Target="header18.xml"/><Relationship Id="rId72" Type="http://schemas.openxmlformats.org/officeDocument/2006/relationships/fontTable" Target="fontTable.xml"/><Relationship Id="Rda578645be0b4df1" Type="http://schemas.microsoft.com/office/2019/09/relationships/intelligence" Target="intelligence.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header" Target="header5.xml"/><Relationship Id="rId33" Type="http://schemas.openxmlformats.org/officeDocument/2006/relationships/hyperlink" Target="mailto:customer.service@delwp.vic.gov.au" TargetMode="External"/><Relationship Id="rId38" Type="http://schemas.openxmlformats.org/officeDocument/2006/relationships/footer" Target="footer5.xml"/><Relationship Id="rId46" Type="http://schemas.openxmlformats.org/officeDocument/2006/relationships/header" Target="header14.xml"/><Relationship Id="rId59" Type="http://schemas.openxmlformats.org/officeDocument/2006/relationships/hyperlink" Target="https://www.ari.vic.gov.au/__data/assets/file/0021/57522/Essential&#8208;Install&#8208;2017.zip" TargetMode="External"/><Relationship Id="rId67" Type="http://schemas.openxmlformats.org/officeDocument/2006/relationships/hyperlink" Target="http://www.delwp.vic.gov.au" TargetMode="External"/><Relationship Id="rId20" Type="http://schemas.openxmlformats.org/officeDocument/2006/relationships/image" Target="media/image1.jpeg"/><Relationship Id="rId41" Type="http://schemas.openxmlformats.org/officeDocument/2006/relationships/header" Target="header10.xml"/><Relationship Id="rId54" Type="http://schemas.openxmlformats.org/officeDocument/2006/relationships/hyperlink" Target="https://www.R-project.org/" TargetMode="External"/><Relationship Id="rId62" Type="http://schemas.openxmlformats.org/officeDocument/2006/relationships/header" Target="header19.xml"/><Relationship Id="rId7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2.xml"/><Relationship Id="rId23" Type="http://schemas.openxmlformats.org/officeDocument/2006/relationships/image" Target="media/image4.jpeg"/><Relationship Id="rId28" Type="http://schemas.openxmlformats.org/officeDocument/2006/relationships/image" Target="media/image5.jpeg"/><Relationship Id="rId36" Type="http://schemas.openxmlformats.org/officeDocument/2006/relationships/header" Target="header7.xml"/><Relationship Id="rId49" Type="http://schemas.openxmlformats.org/officeDocument/2006/relationships/header" Target="header16.xml"/><Relationship Id="rId57" Type="http://schemas.openxmlformats.org/officeDocument/2006/relationships/hyperlink" Target="https://doi.org/10.1016/j.scitotenv.2020.141863" TargetMode="External"/><Relationship Id="rId10" Type="http://schemas.openxmlformats.org/officeDocument/2006/relationships/settings" Target="settings.xml"/><Relationship Id="rId31" Type="http://schemas.openxmlformats.org/officeDocument/2006/relationships/image" Target="media/image8.png"/><Relationship Id="rId44" Type="http://schemas.openxmlformats.org/officeDocument/2006/relationships/footer" Target="footer7.xml"/><Relationship Id="rId52" Type="http://schemas.openxmlformats.org/officeDocument/2006/relationships/footer" Target="footer9.xml"/><Relationship Id="rId60" Type="http://schemas.openxmlformats.org/officeDocument/2006/relationships/hyperlink" Target="https://www.ari.vic.gov.au/research/modelling/population-modelling-software" TargetMode="External"/><Relationship Id="rId65" Type="http://schemas.openxmlformats.org/officeDocument/2006/relationships/footer" Target="footer10.xm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3.xml"/><Relationship Id="rId39" Type="http://schemas.openxmlformats.org/officeDocument/2006/relationships/header" Target="header9.xml"/><Relationship Id="rId34" Type="http://schemas.openxmlformats.org/officeDocument/2006/relationships/hyperlink" Target="http://www.relayservice.com.au" TargetMode="External"/><Relationship Id="rId50" Type="http://schemas.openxmlformats.org/officeDocument/2006/relationships/header" Target="header17.xml"/><Relationship Id="rId55" Type="http://schemas.openxmlformats.org/officeDocument/2006/relationships/hyperlink" Target="https://CRAN.R-project.org/package=R2jags" TargetMode="External"/><Relationship Id="rId7" Type="http://schemas.openxmlformats.org/officeDocument/2006/relationships/customXml" Target="../customXml/item7.xml"/><Relationship Id="rId71" Type="http://schemas.openxmlformats.org/officeDocument/2006/relationships/header" Target="header24.xml"/></Relationships>
</file>

<file path=word/theme/theme1.xml><?xml version="1.0" encoding="utf-8"?>
<a:theme xmlns:a="http://schemas.openxmlformats.org/drawingml/2006/main" name="Office Theme">
  <a:themeElements>
    <a:clrScheme name="DELWP-ECC Colours">
      <a:dk1>
        <a:srgbClr val="363534"/>
      </a:dk1>
      <a:lt1>
        <a:sysClr val="window" lastClr="FFFFFF"/>
      </a:lt1>
      <a:dk2>
        <a:srgbClr val="CDDC29"/>
      </a:dk2>
      <a:lt2>
        <a:srgbClr val="F8FAE8"/>
      </a:lt2>
      <a:accent1>
        <a:srgbClr val="00B2A9"/>
      </a:accent1>
      <a:accent2>
        <a:srgbClr val="CDDC29"/>
      </a:accent2>
      <a:accent3>
        <a:srgbClr val="201547"/>
      </a:accent3>
      <a:accent4>
        <a:srgbClr val="99E0DD"/>
      </a:accent4>
      <a:accent5>
        <a:srgbClr val="E9EEAE"/>
      </a:accent5>
      <a:accent6>
        <a:srgbClr val="A6A1B5"/>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RI Base Document" ma:contentTypeID="0x0101009298E819CE1EBB4F8D2096B3E0F0C29100B8A0A8598197524A94031B398A9B2E7600710F74DDE528E94BB8C6FD275EF64E68" ma:contentTypeVersion="26" ma:contentTypeDescription="" ma:contentTypeScope="" ma:versionID="1b758a568be8145cbdbaa58a49ca558c">
  <xsd:schema xmlns:xsd="http://www.w3.org/2001/XMLSchema" xmlns:xs="http://www.w3.org/2001/XMLSchema" xmlns:p="http://schemas.microsoft.com/office/2006/metadata/properties" xmlns:ns2="a5f32de4-e402-4188-b034-e71ca7d22e54" xmlns:ns3="9fd47c19-1c4a-4d7d-b342-c10cef269344" xmlns:ns4="88dc4bce-575f-44e2-a354-5d5c0b22e6ce" targetNamespace="http://schemas.microsoft.com/office/2006/metadata/properties" ma:root="true" ma:fieldsID="d78f4eb63dc50120724d23523d7ccd4b" ns2:_="" ns3:_="" ns4:_="">
    <xsd:import namespace="a5f32de4-e402-4188-b034-e71ca7d22e54"/>
    <xsd:import namespace="9fd47c19-1c4a-4d7d-b342-c10cef269344"/>
    <xsd:import namespace="88dc4bce-575f-44e2-a354-5d5c0b22e6ce"/>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TaxCatchAllLabel" minOccurs="0"/>
                <xsd:element ref="ns3:a6b8025dacc14cf9b4d4600d95399d54" minOccurs="0"/>
                <xsd:element ref="ns3:d25512bccefe4fa083801fcb78c24163" minOccurs="0"/>
                <xsd:element ref="ns4:Status" minOccurs="0"/>
                <xsd:element ref="ns4:MediaServiceBillingMetadata" minOccurs="0"/>
                <xsd:element ref="ns4:Published" minOccurs="0"/>
                <xsd:element ref="ns4:ReportType" minOccurs="0"/>
                <xsd:element ref="ns4:Year" minOccurs="0"/>
                <xsd:element ref="ns4:WebUplo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5" nillable="true" ma:displayName="Document ID Value" ma:description="The value of the document ID assigned to this item." ma:internalName="_dlc_DocId" ma:readOnly="true">
      <xsd:simpleType>
        <xsd:restriction base="dms:Text"/>
      </xsd:simpleType>
    </xsd:element>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06b4f4e-4854-4ef7-b346-40545d976024}" ma:internalName="TaxCatchAll" ma:showField="CatchAllData" ma:web="71fe923a-761e-4c29-b684-c70d59a7e13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06b4f4e-4854-4ef7-b346-40545d976024}" ma:internalName="TaxCatchAllLabel" ma:readOnly="true" ma:showField="CatchAllDataLabel" ma:web="71fe923a-761e-4c29-b684-c70d59a7e13a">
      <xsd:complexType>
        <xsd:complexContent>
          <xsd:extension base="dms:MultiChoiceLookup">
            <xsd:sequence>
              <xsd:element name="Value" type="dms:Lookup" maxOccurs="unbounded" minOccurs="0" nillable="true"/>
            </xsd:sequence>
          </xsd:extension>
        </xsd:complexContent>
      </xsd:complexType>
    </xsd:element>
    <xsd:element name="a6b8025dacc14cf9b4d4600d95399d54" ma:index="12" nillable="true" ma:taxonomy="true" ma:internalName="a6b8025dacc14cf9b4d4600d95399d54" ma:taxonomyFieldName="Month" ma:displayName="Month" ma:default="" ma:fieldId="{a6b8025d-acc1-4cf9-b4d4-600d95399d54}" ma:sspId="797aeec6-0273-40f2-ab3e-beee73212332" ma:termSetId="b0e8a3b1-1687-48bd-a53a-15ecdb0d9fcb" ma:anchorId="00000000-0000-0000-0000-000000000000" ma:open="false" ma:isKeyword="false">
      <xsd:complexType>
        <xsd:sequence>
          <xsd:element ref="pc:Terms" minOccurs="0" maxOccurs="1"/>
        </xsd:sequence>
      </xsd:complexType>
    </xsd:element>
    <xsd:element name="d25512bccefe4fa083801fcb78c24163" ma:index="15" nillable="true" ma:taxonomy="true" ma:internalName="d25512bccefe4fa083801fcb78c24163" ma:taxonomyFieldName="Records_x0020_Class_x0020_Team_x0020_Admin" ma:displayName="Classification" ma:default="" ma:fieldId="{d25512bc-cefe-4fa0-8380-1fcb78c24163}" ma:sspId="797aeec6-0273-40f2-ab3e-beee73212332" ma:termSetId="4258747f-0974-48f0-ac10-46f208a52cd4" ma:anchorId="504ad493-1bff-42e7-9e93-c0e8ecbd689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8dc4bce-575f-44e2-a354-5d5c0b22e6ce" elementFormDefault="qualified">
    <xsd:import namespace="http://schemas.microsoft.com/office/2006/documentManagement/types"/>
    <xsd:import namespace="http://schemas.microsoft.com/office/infopath/2007/PartnerControls"/>
    <xsd:element name="Status" ma:index="17" nillable="true" ma:displayName="Status" ma:format="Dropdown" ma:internalName="Status">
      <xsd:simpleType>
        <xsd:restriction base="dms:Choice">
          <xsd:enumeration value="Active"/>
          <xsd:enumeration value="Masterfile"/>
          <xsd:enumeration value="Archived"/>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ublished" ma:index="19" nillable="true" ma:displayName="Published" ma:format="Dropdown" ma:indexed="true" ma:internalName="Published">
      <xsd:simpleType>
        <xsd:restriction base="dms:Choice">
          <xsd:enumeration value="Published"/>
          <xsd:enumeration value="Unpublished"/>
        </xsd:restriction>
      </xsd:simpleType>
    </xsd:element>
    <xsd:element name="ReportType" ma:index="20" nillable="true" ma:displayName="Output Type" ma:description="Report type" ma:format="Dropdown" ma:indexed="true" ma:internalName="ReportType">
      <xsd:simpleType>
        <xsd:restriction base="dms:Choice">
          <xsd:enumeration value="Technical Report"/>
          <xsd:enumeration value="Report"/>
          <xsd:enumeration value="Short Report"/>
          <xsd:enumeration value="Fact Sheet"/>
          <xsd:enumeration value="Journal Article"/>
          <xsd:enumeration value="Other output"/>
        </xsd:restriction>
      </xsd:simpleType>
    </xsd:element>
    <xsd:element name="Year" ma:index="21" nillable="true" ma:displayName="Year" ma:description="Year published" ma:format="Dropdown" ma:indexed="true" ma:internalName="Year">
      <xsd:simpleType>
        <xsd:union memberTypes="dms:Text">
          <xsd:simpleType>
            <xsd:restriction base="dms:Choice">
              <xsd:enumeration value="2026"/>
              <xsd:enumeration value="2025"/>
              <xsd:enumeration value="2024"/>
              <xsd:enumeration value="2023"/>
              <xsd:enumeration value="2022"/>
              <xsd:enumeration value="2021"/>
              <xsd:enumeration value="2020"/>
              <xsd:enumeration value="2019"/>
              <xsd:enumeration value="2018"/>
              <xsd:enumeration value="2017"/>
            </xsd:restriction>
          </xsd:simpleType>
        </xsd:union>
      </xsd:simpleType>
    </xsd:element>
    <xsd:element name="WebUpload" ma:index="22" nillable="true" ma:displayName="Web Upload" ma:format="Dropdown" ma:internalName="WebUpload">
      <xsd:simpleType>
        <xsd:restriction base="dms:Choice">
          <xsd:enumeration value="In progress"/>
          <xsd:enumeration value="Completed"/>
          <xsd:enumeration value="NA"/>
          <xsd:enumeration value="Requ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797aeec6-0273-40f2-ab3e-beee73212332" ContentTypeId="0x0101009298E819CE1EBB4F8D2096B3E0F0C291" PreviousValue="true"/>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16</Value>
      <Value>14</Value>
      <Value>7</Value>
      <Value>5</Value>
      <Value>3</Value>
      <Value>2</Value>
      <Value>1</Value>
    </TaxCatchAll>
    <_dlc_DocId xmlns="a5f32de4-e402-4188-b034-e71ca7d22e54">DOCID95-808209665-11299</_dlc_DocId>
    <_dlc_DocIdUrl xmlns="a5f32de4-e402-4188-b034-e71ca7d22e54">
      <Url>https://delwpvicgovau.sharepoint.com/sites/ecm_95/_layouts/15/DocIdRedir.aspx?ID=DOCID95-808209665-11299</Url>
      <Description>DOCID95-808209665-11299</Description>
    </_dlc_DocIdUrl>
    <_dlc_DocIdPersistId xmlns="a5f32de4-e402-4188-b034-e71ca7d22e54">false</_dlc_DocIdPersistId>
    <a6b8025dacc14cf9b4d4600d95399d54 xmlns="9fd47c19-1c4a-4d7d-b342-c10cef269344">
      <Terms xmlns="http://schemas.microsoft.com/office/infopath/2007/PartnerControls"/>
    </a6b8025dacc14cf9b4d4600d95399d54>
    <Year xmlns="88dc4bce-575f-44e2-a354-5d5c0b22e6ce" xsi:nil="true"/>
    <ReportType xmlns="88dc4bce-575f-44e2-a354-5d5c0b22e6ce" xsi:nil="true"/>
    <WebUpload xmlns="88dc4bce-575f-44e2-a354-5d5c0b22e6ce" xsi:nil="true"/>
    <Published xmlns="88dc4bce-575f-44e2-a354-5d5c0b22e6ce" xsi:nil="true"/>
    <d25512bccefe4fa083801fcb78c24163 xmlns="9fd47c19-1c4a-4d7d-b342-c10cef269344">
      <Terms xmlns="http://schemas.microsoft.com/office/infopath/2007/PartnerControls"/>
    </d25512bccefe4fa083801fcb78c24163>
    <Status xmlns="88dc4bce-575f-44e2-a354-5d5c0b22e6ce" xsi:nil="true"/>
  </documentManagement>
</p:properties>
</file>

<file path=customXml/itemProps1.xml><?xml version="1.0" encoding="utf-8"?>
<ds:datastoreItem xmlns:ds="http://schemas.openxmlformats.org/officeDocument/2006/customXml" ds:itemID="{A504C615-DDE5-4044-8C84-18D54F9FC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fd47c19-1c4a-4d7d-b342-c10cef269344"/>
    <ds:schemaRef ds:uri="88dc4bce-575f-44e2-a354-5d5c0b22e6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D714EE-7C5B-47F7-B5A8-8E72291A1E31}">
  <ds:schemaRefs>
    <ds:schemaRef ds:uri="http://schemas.microsoft.com/sharepoint/v3/contenttype/forms"/>
  </ds:schemaRefs>
</ds:datastoreItem>
</file>

<file path=customXml/itemProps3.xml><?xml version="1.0" encoding="utf-8"?>
<ds:datastoreItem xmlns:ds="http://schemas.openxmlformats.org/officeDocument/2006/customXml" ds:itemID="{EA009623-97F4-4E30-AC9C-BE0ED4EE3530}">
  <ds:schemaRefs>
    <ds:schemaRef ds:uri="http://schemas.microsoft.com/sharepoint/events"/>
  </ds:schemaRefs>
</ds:datastoreItem>
</file>

<file path=customXml/itemProps4.xml><?xml version="1.0" encoding="utf-8"?>
<ds:datastoreItem xmlns:ds="http://schemas.openxmlformats.org/officeDocument/2006/customXml" ds:itemID="{C8CD9DA5-6B3A-41D4-A375-D356CDE4DD25}">
  <ds:schemaRefs>
    <ds:schemaRef ds:uri="Microsoft.SharePoint.Taxonomy.ContentTypeSync"/>
  </ds:schemaRefs>
</ds:datastoreItem>
</file>

<file path=customXml/itemProps5.xml><?xml version="1.0" encoding="utf-8"?>
<ds:datastoreItem xmlns:ds="http://schemas.openxmlformats.org/officeDocument/2006/customXml" ds:itemID="{54D89424-8B40-4513-8968-35780511B815}">
  <ds:schemaRefs>
    <ds:schemaRef ds:uri="http://schemas.openxmlformats.org/officeDocument/2006/bibliography"/>
  </ds:schemaRefs>
</ds:datastoreItem>
</file>

<file path=customXml/itemProps6.xml><?xml version="1.0" encoding="utf-8"?>
<ds:datastoreItem xmlns:ds="http://schemas.openxmlformats.org/officeDocument/2006/customXml" ds:itemID="{88B965C3-300E-49D5-AD82-EDAA4005E4C5}">
  <ds:schemaRefs>
    <ds:schemaRef ds:uri="http://schemas.openxmlformats.org/officeDocument/2006/bibliography"/>
  </ds:schemaRefs>
</ds:datastoreItem>
</file>

<file path=customXml/itemProps7.xml><?xml version="1.0" encoding="utf-8"?>
<ds:datastoreItem xmlns:ds="http://schemas.openxmlformats.org/officeDocument/2006/customXml" ds:itemID="{00A40A86-DDC4-4285-9EA8-51B64FA983E2}">
  <ds:schemaRefs>
    <ds:schemaRef ds:uri="http://schemas.microsoft.com/office/2006/metadata/properties"/>
    <ds:schemaRef ds:uri="http://schemas.microsoft.com/office/infopath/2007/PartnerControls"/>
    <ds:schemaRef ds:uri="9fd47c19-1c4a-4d7d-b342-c10cef269344"/>
    <ds:schemaRef ds:uri="a5f32de4-e402-4188-b034-e71ca7d22e54"/>
    <ds:schemaRef ds:uri="88dc4bce-575f-44e2-a354-5d5c0b22e6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129</Pages>
  <Words>53472</Words>
  <Characters>296775</Characters>
  <Application>Microsoft Office Word</Application>
  <DocSecurity>0</DocSecurity>
  <Lines>7238</Lines>
  <Paragraphs>3019</Paragraphs>
  <ScaleCrop>false</ScaleCrop>
  <HeadingPairs>
    <vt:vector size="2" baseType="variant">
      <vt:variant>
        <vt:lpstr>Title</vt:lpstr>
      </vt:variant>
      <vt:variant>
        <vt:i4>1</vt:i4>
      </vt:variant>
    </vt:vector>
  </HeadingPairs>
  <TitlesOfParts>
    <vt:vector size="1" baseType="lpstr">
      <vt:lpstr>MC and GP Pop Models draft final Report NSW Constraints Project submit 18 Feb</vt:lpstr>
    </vt:vector>
  </TitlesOfParts>
  <Company/>
  <LinksUpToDate>false</LinksUpToDate>
  <CharactersWithSpaces>347228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 and GP Pop Models draft final Report NSW Constraints Project submit 18 Feb</dc:title>
  <dc:subject/>
  <dc:creator>Charles.Todd@delwp.vic.gov.au</dc:creator>
  <cp:keywords/>
  <dc:description/>
  <cp:lastModifiedBy>Andrew Geschke (DEECA)</cp:lastModifiedBy>
  <cp:revision>2</cp:revision>
  <cp:lastPrinted>2023-01-03T06:30:00Z</cp:lastPrinted>
  <dcterms:created xsi:type="dcterms:W3CDTF">2026-10-13T21:43:00Z</dcterms:created>
  <dcterms:modified xsi:type="dcterms:W3CDTF">2026-10-13T21:43:00Z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0x0101009298E819CE1EBB4F8D2096B3E0F0C29100B8A0A8598197524A94031B398A9B2E7600710F74DDE528E94BB8C6FD275EF64E68</vt:lpwstr>
  </property>
  <property fmtid="{D5CDD505-2E9C-101B-9397-08002B2CF9AE}" pid="3" name="Section">
    <vt:lpwstr>16;#Applied Aquatic Ecology|f2ee6a44-9da5-499c-ae5f-84f7fe19e1cf</vt:lpwstr>
  </property>
  <property fmtid="{D5CDD505-2E9C-101B-9397-08002B2CF9AE}" pid="4" name="Agency">
    <vt:lpwstr>1;#Department of Environment, Land, Water and Planning|607a3f87-1228-4cd9-82a5-076aa8776274</vt:lpwstr>
  </property>
  <property fmtid="{D5CDD505-2E9C-101B-9397-08002B2CF9AE}" pid="5" name="Branch">
    <vt:lpwstr>7;#Arthur Rylah Institute|40bc2e25-0176-4bcf-8522-e378037ace7d</vt:lpwstr>
  </property>
  <property fmtid="{D5CDD505-2E9C-101B-9397-08002B2CF9AE}" pid="6" name="_dlc_DocIdItemGuid">
    <vt:lpwstr>68f7e2c1-4f7a-4095-ae08-5f15be011a0c</vt:lpwstr>
  </property>
  <property fmtid="{D5CDD505-2E9C-101B-9397-08002B2CF9AE}" pid="7" name="Division">
    <vt:lpwstr>5;#Biodiversity|a369ff78-9705-4b66-a29c-499bde0c7988</vt:lpwstr>
  </property>
  <property fmtid="{D5CDD505-2E9C-101B-9397-08002B2CF9AE}" pid="8" name="Group1">
    <vt:lpwstr>14;#Environment and Climate Change|b90772f5-2afa-408f-b8b8-93ad6baba774</vt:lpwstr>
  </property>
  <property fmtid="{D5CDD505-2E9C-101B-9397-08002B2CF9AE}" pid="9" name="Dissemination Limiting Marker">
    <vt:lpwstr>2;#FOUO|955eb6fc-b35a-4808-8aa5-31e514fa3f26</vt:lpwstr>
  </property>
  <property fmtid="{D5CDD505-2E9C-101B-9397-08002B2CF9AE}" pid="10" name="Security Classification">
    <vt:lpwstr>3;#Unclassified|7fa379f4-4aba-4692-ab80-7d39d3a23cf4</vt:lpwstr>
  </property>
  <property fmtid="{D5CDD505-2E9C-101B-9397-08002B2CF9AE}" pid="11" name="o85941e134754762b9719660a258a6e6">
    <vt:lpwstr/>
  </property>
  <property fmtid="{D5CDD505-2E9C-101B-9397-08002B2CF9AE}" pid="12" name="Location_x0020_Type">
    <vt:lpwstr/>
  </property>
  <property fmtid="{D5CDD505-2E9C-101B-9397-08002B2CF9AE}" pid="13" name="Copyright_x0020_Licence_x0020_Name">
    <vt:lpwstr/>
  </property>
  <property fmtid="{D5CDD505-2E9C-101B-9397-08002B2CF9AE}" pid="14" name="df723ab3fe1c4eb7a0b151674e7ac40d">
    <vt:lpwstr/>
  </property>
  <property fmtid="{D5CDD505-2E9C-101B-9397-08002B2CF9AE}" pid="15" name="Copyright_x0020_License_x0020_Type">
    <vt:lpwstr/>
  </property>
  <property fmtid="{D5CDD505-2E9C-101B-9397-08002B2CF9AE}" pid="16" name="Document type">
    <vt:lpwstr/>
  </property>
  <property fmtid="{D5CDD505-2E9C-101B-9397-08002B2CF9AE}" pid="17" name="Records Classification">
    <vt:lpwstr/>
  </property>
  <property fmtid="{D5CDD505-2E9C-101B-9397-08002B2CF9AE}" pid="18" name="o2e611f6ba3e4c8f9a895dfb7980639e">
    <vt:lpwstr/>
  </property>
  <property fmtid="{D5CDD505-2E9C-101B-9397-08002B2CF9AE}" pid="19" name="Copyright Licence Name">
    <vt:lpwstr/>
  </property>
  <property fmtid="{D5CDD505-2E9C-101B-9397-08002B2CF9AE}" pid="20" name="Location Type">
    <vt:lpwstr/>
  </property>
  <property fmtid="{D5CDD505-2E9C-101B-9397-08002B2CF9AE}" pid="21" name="Copyright License Type">
    <vt:lpwstr/>
  </property>
  <property fmtid="{D5CDD505-2E9C-101B-9397-08002B2CF9AE}" pid="22" name="Sub-Section">
    <vt:lpwstr/>
  </property>
  <property fmtid="{D5CDD505-2E9C-101B-9397-08002B2CF9AE}" pid="23" name="SharedWithUsers">
    <vt:lpwstr>412;#Henry Wootton (DELWP);#36;#Charles R Todd (DELWP);#19;#John D Koehn (DELWP);#226;#Rob Hale (DELWP)</vt:lpwstr>
  </property>
  <property fmtid="{D5CDD505-2E9C-101B-9397-08002B2CF9AE}" pid="24" name="ZOTERO_PREF_1">
    <vt:lpwstr>&lt;data data-version="3" zotero-version="6.0.10"&gt;&lt;session id="ryBCExYR"/&gt;&lt;style id="http://www.zotero.org/styles/ecological-modelling" hasBibliography="1" bibliographyStyleHasBeenSet="1"/&gt;&lt;prefs&gt;&lt;pref name="fieldType" value="Field"/&gt;&lt;pref name="automaticJou</vt:lpwstr>
  </property>
  <property fmtid="{D5CDD505-2E9C-101B-9397-08002B2CF9AE}" pid="25" name="ZOTERO_PREF_2">
    <vt:lpwstr>rnalAbbreviations" value="true"/&gt;&lt;/prefs&gt;&lt;/data&gt;</vt:lpwstr>
  </property>
  <property fmtid="{D5CDD505-2E9C-101B-9397-08002B2CF9AE}" pid="26" name="MediaServiceImageTags">
    <vt:lpwstr/>
  </property>
  <property fmtid="{D5CDD505-2E9C-101B-9397-08002B2CF9AE}" pid="27" name="lcf76f155ced4ddcb4097134ff3c332f">
    <vt:lpwstr/>
  </property>
  <property fmtid="{D5CDD505-2E9C-101B-9397-08002B2CF9AE}" pid="28" name="MSIP_Label_4257e2ab-f512-40e2-9c9a-c64247360765_Enabled">
    <vt:lpwstr>true</vt:lpwstr>
  </property>
  <property fmtid="{D5CDD505-2E9C-101B-9397-08002B2CF9AE}" pid="29" name="MSIP_Label_4257e2ab-f512-40e2-9c9a-c64247360765_SetDate">
    <vt:lpwstr>2023-02-10T04:51:00Z</vt:lpwstr>
  </property>
  <property fmtid="{D5CDD505-2E9C-101B-9397-08002B2CF9AE}" pid="30" name="MSIP_Label_4257e2ab-f512-40e2-9c9a-c64247360765_Method">
    <vt:lpwstr>Privileged</vt:lpwstr>
  </property>
  <property fmtid="{D5CDD505-2E9C-101B-9397-08002B2CF9AE}" pid="31" name="MSIP_Label_4257e2ab-f512-40e2-9c9a-c64247360765_Name">
    <vt:lpwstr>OFFICIAL</vt:lpwstr>
  </property>
  <property fmtid="{D5CDD505-2E9C-101B-9397-08002B2CF9AE}" pid="32" name="MSIP_Label_4257e2ab-f512-40e2-9c9a-c64247360765_SiteId">
    <vt:lpwstr>e8bdd6f7-fc18-4e48-a554-7f547927223b</vt:lpwstr>
  </property>
  <property fmtid="{D5CDD505-2E9C-101B-9397-08002B2CF9AE}" pid="33" name="MSIP_Label_4257e2ab-f512-40e2-9c9a-c64247360765_ActionId">
    <vt:lpwstr>a2b73d20-501f-4d2d-860d-89189bae90ae</vt:lpwstr>
  </property>
  <property fmtid="{D5CDD505-2E9C-101B-9397-08002B2CF9AE}" pid="34" name="MSIP_Label_4257e2ab-f512-40e2-9c9a-c64247360765_ContentBits">
    <vt:lpwstr>2</vt:lpwstr>
  </property>
  <property fmtid="{D5CDD505-2E9C-101B-9397-08002B2CF9AE}" pid="35" name="DocumentSetDescription">
    <vt:lpwstr/>
  </property>
  <property fmtid="{D5CDD505-2E9C-101B-9397-08002B2CF9AE}" pid="36" name="xd_ProgID">
    <vt:lpwstr/>
  </property>
  <property fmtid="{D5CDD505-2E9C-101B-9397-08002B2CF9AE}" pid="37" name="MediaLengthInSeconds">
    <vt:lpwstr/>
  </property>
  <property fmtid="{D5CDD505-2E9C-101B-9397-08002B2CF9AE}" pid="38" name="_ColorHex">
    <vt:lpwstr/>
  </property>
  <property fmtid="{D5CDD505-2E9C-101B-9397-08002B2CF9AE}" pid="39" name="ComplianceAssetId">
    <vt:lpwstr/>
  </property>
  <property fmtid="{D5CDD505-2E9C-101B-9397-08002B2CF9AE}" pid="40" name="TemplateUrl">
    <vt:lpwstr/>
  </property>
  <property fmtid="{D5CDD505-2E9C-101B-9397-08002B2CF9AE}" pid="41" name="Resolution">
    <vt:lpwstr/>
  </property>
  <property fmtid="{D5CDD505-2E9C-101B-9397-08002B2CF9AE}" pid="42" name="vti_imgdate">
    <vt:lpwstr/>
  </property>
  <property fmtid="{D5CDD505-2E9C-101B-9397-08002B2CF9AE}" pid="43" name="_ExtendedDescription">
    <vt:lpwstr/>
  </property>
  <property fmtid="{D5CDD505-2E9C-101B-9397-08002B2CF9AE}" pid="44" name="_ColorTag">
    <vt:lpwstr/>
  </property>
  <property fmtid="{D5CDD505-2E9C-101B-9397-08002B2CF9AE}" pid="45" name="People in Image">
    <vt:lpwstr/>
  </property>
  <property fmtid="{D5CDD505-2E9C-101B-9397-08002B2CF9AE}" pid="46" name="URL">
    <vt:lpwstr/>
  </property>
  <property fmtid="{D5CDD505-2E9C-101B-9397-08002B2CF9AE}" pid="47" name="xd_Signature">
    <vt:lpwstr/>
  </property>
  <property fmtid="{D5CDD505-2E9C-101B-9397-08002B2CF9AE}" pid="48" name="Event Name">
    <vt:lpwstr/>
  </property>
  <property fmtid="{D5CDD505-2E9C-101B-9397-08002B2CF9AE}" pid="49" name="wic_System_Copyright">
    <vt:lpwstr/>
  </property>
  <property fmtid="{D5CDD505-2E9C-101B-9397-08002B2CF9AE}" pid="50" name="_Emoji">
    <vt:lpwstr/>
  </property>
  <property fmtid="{D5CDD505-2E9C-101B-9397-08002B2CF9AE}" pid="51" name="Location Value">
    <vt:lpwstr/>
  </property>
  <property fmtid="{D5CDD505-2E9C-101B-9397-08002B2CF9AE}" pid="52" name="TriggerFlowInfo">
    <vt:lpwstr/>
  </property>
  <property fmtid="{D5CDD505-2E9C-101B-9397-08002B2CF9AE}" pid="53" name="ece32f50ba964e1fbf627a9d83fe6c01">
    <vt:lpwstr>Department of Environment, Land, Water and Planning|607a3f87-1228-4cd9-82a5-076aa8776274</vt:lpwstr>
  </property>
  <property fmtid="{D5CDD505-2E9C-101B-9397-08002B2CF9AE}" pid="54" name="RoutingRuleDescription">
    <vt:lpwstr>draft report</vt:lpwstr>
  </property>
  <property fmtid="{D5CDD505-2E9C-101B-9397-08002B2CF9AE}" pid="55" name="k1bd994a94c2413797db3bab8f123f6f">
    <vt:lpwstr>Applied Aquatic Ecology|f2ee6a44-9da5-499c-ae5f-84f7fe19e1cf</vt:lpwstr>
  </property>
  <property fmtid="{D5CDD505-2E9C-101B-9397-08002B2CF9AE}" pid="56" name="Record Purpose">
    <vt:lpwstr/>
  </property>
  <property fmtid="{D5CDD505-2E9C-101B-9397-08002B2CF9AE}" pid="57" name="Language">
    <vt:lpwstr>English</vt:lpwstr>
  </property>
  <property fmtid="{D5CDD505-2E9C-101B-9397-08002B2CF9AE}" pid="58" name="Record_x0020_Purpose">
    <vt:lpwstr/>
  </property>
  <property fmtid="{D5CDD505-2E9C-101B-9397-08002B2CF9AE}" pid="59" name="Department_x0020_Document_x0020_Type">
    <vt:lpwstr/>
  </property>
  <property fmtid="{D5CDD505-2E9C-101B-9397-08002B2CF9AE}" pid="60" name="ic50d0a05a8e4d9791dac67f8a1e716c">
    <vt:lpwstr>Environment and Climate Change|b90772f5-2afa-408f-b8b8-93ad6baba774</vt:lpwstr>
  </property>
  <property fmtid="{D5CDD505-2E9C-101B-9397-08002B2CF9AE}" pid="61" name="Department Document Type">
    <vt:lpwstr/>
  </property>
  <property fmtid="{D5CDD505-2E9C-101B-9397-08002B2CF9AE}" pid="62" name="mfe9accc5a0b4653a7b513b67ffd122d">
    <vt:lpwstr>Arthur Rylah Institute|40bc2e25-0176-4bcf-8522-e378037ace7d</vt:lpwstr>
  </property>
  <property fmtid="{D5CDD505-2E9C-101B-9397-08002B2CF9AE}" pid="63" name="n771d69a070c4babbf278c67c8a2b859">
    <vt:lpwstr>Biodiversity|a369ff78-9705-4b66-a29c-499bde0c7988</vt:lpwstr>
  </property>
  <property fmtid="{D5CDD505-2E9C-101B-9397-08002B2CF9AE}" pid="64" name="Records_x0020_Class_x0020_Project">
    <vt:lpwstr/>
  </property>
  <property fmtid="{D5CDD505-2E9C-101B-9397-08002B2CF9AE}" pid="65" name="Security_x0020_Classification">
    <vt:lpwstr>3;#Unclassified|7fa379f4-4aba-4692-ab80-7d39d3a23cf4</vt:lpwstr>
  </property>
  <property fmtid="{D5CDD505-2E9C-101B-9397-08002B2CF9AE}" pid="66" name="Dissemination_x0020_Limiting_x0020_Marker">
    <vt:lpwstr>2;#FOUO|955eb6fc-b35a-4808-8aa5-31e514fa3f26</vt:lpwstr>
  </property>
  <property fmtid="{D5CDD505-2E9C-101B-9397-08002B2CF9AE}" pid="67" name="Records Class Project">
    <vt:lpwstr/>
  </property>
  <property fmtid="{D5CDD505-2E9C-101B-9397-08002B2CF9AE}" pid="68" name="pd01c257034b4e86b1f58279a3bd54c6">
    <vt:lpwstr>Unclassified|7fa379f4-4aba-4692-ab80-7d39d3a23cf4</vt:lpwstr>
  </property>
  <property fmtid="{D5CDD505-2E9C-101B-9397-08002B2CF9AE}" pid="69" name="fb3179c379644f499d7166d0c985669b">
    <vt:lpwstr>FOUO|955eb6fc-b35a-4808-8aa5-31e514fa3f26</vt:lpwstr>
  </property>
  <property fmtid="{D5CDD505-2E9C-101B-9397-08002B2CF9AE}" pid="70" name="kd1afe63598044c081c46c46ce9365fb">
    <vt:lpwstr/>
  </property>
  <property fmtid="{D5CDD505-2E9C-101B-9397-08002B2CF9AE}" pid="71" name="a25c4e3633654d669cbaa09ae6b70789">
    <vt:lpwstr/>
  </property>
  <property fmtid="{D5CDD505-2E9C-101B-9397-08002B2CF9AE}" pid="72" name="Records_x0020_Classification">
    <vt:lpwstr/>
  </property>
  <property fmtid="{D5CDD505-2E9C-101B-9397-08002B2CF9AE}" pid="73" name="aba7e269cb3b4758a62d8023824283f8">
    <vt:lpwstr/>
  </property>
  <property fmtid="{D5CDD505-2E9C-101B-9397-08002B2CF9AE}" pid="74" name="Sub_x002d_Section">
    <vt:lpwstr/>
  </property>
  <property fmtid="{D5CDD505-2E9C-101B-9397-08002B2CF9AE}" pid="75" name="Document_x0020_type">
    <vt:lpwstr/>
  </property>
  <property fmtid="{D5CDD505-2E9C-101B-9397-08002B2CF9AE}" pid="76" name="Records_x0020_Class_x0020_Team_x0020_Admin">
    <vt:lpwstr/>
  </property>
  <property fmtid="{D5CDD505-2E9C-101B-9397-08002B2CF9AE}" pid="77" name="Month">
    <vt:lpwstr/>
  </property>
  <property fmtid="{D5CDD505-2E9C-101B-9397-08002B2CF9AE}" pid="78" name="Records Class Team Admin">
    <vt:lpwstr/>
  </property>
</Properties>
</file>